
<file path=[Content_Types].xml><?xml version="1.0" encoding="utf-8"?>
<Types xmlns="http://schemas.openxmlformats.org/package/2006/content-types">
  <Override PartName="/word/header18.xml" ContentType="application/vnd.openxmlformats-officedocument.wordprocessingml.header+xml"/>
  <Override PartName="/word/header29.xml" ContentType="application/vnd.openxmlformats-officedocument.wordprocessingml.header+xml"/>
  <Override PartName="/word/header47.xml" ContentType="application/vnd.openxmlformats-officedocument.wordprocessingml.header+xml"/>
  <Override PartName="/customXml/itemProps1.xml" ContentType="application/vnd.openxmlformats-officedocument.customXmlProperties+xml"/>
  <Override PartName="/word/footer9.xml" ContentType="application/vnd.openxmlformats-officedocument.wordprocessingml.footer+xml"/>
  <Override PartName="/word/header16.xml" ContentType="application/vnd.openxmlformats-officedocument.wordprocessingml.header+xml"/>
  <Override PartName="/word/theme/themeOverride3.xml" ContentType="application/vnd.openxmlformats-officedocument.themeOverride+xml"/>
  <Override PartName="/word/header27.xml" ContentType="application/vnd.openxmlformats-officedocument.wordprocessingml.header+xml"/>
  <Override PartName="/word/header36.xml" ContentType="application/vnd.openxmlformats-officedocument.wordprocessingml.header+xml"/>
  <Override PartName="/word/header45.xml" ContentType="application/vnd.openxmlformats-officedocument.wordprocessingml.header+xml"/>
  <Override PartName="/word/header54.xml" ContentType="application/vnd.openxmlformats-officedocument.wordprocessingml.header+xml"/>
  <Override PartName="/word/footer7.xml" ContentType="application/vnd.openxmlformats-officedocument.wordprocessingml.footer+xml"/>
  <Override PartName="/word/header14.xml" ContentType="application/vnd.openxmlformats-officedocument.wordprocessingml.header+xml"/>
  <Override PartName="/word/header25.xml" ContentType="application/vnd.openxmlformats-officedocument.wordprocessingml.header+xml"/>
  <Override PartName="/word/theme/themeOverride1.xml" ContentType="application/vnd.openxmlformats-officedocument.themeOverride+xml"/>
  <Override PartName="/word/header34.xml" ContentType="application/vnd.openxmlformats-officedocument.wordprocessingml.header+xml"/>
  <Override PartName="/word/header43.xml" ContentType="application/vnd.openxmlformats-officedocument.wordprocessingml.header+xml"/>
  <Override PartName="/word/header52.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footer5.xml" ContentType="application/vnd.openxmlformats-officedocument.wordprocessingml.footer+xml"/>
  <Override PartName="/word/header8.xml" ContentType="application/vnd.openxmlformats-officedocument.wordprocessingml.header+xml"/>
  <Override PartName="/word/header12.xml" ContentType="application/vnd.openxmlformats-officedocument.wordprocessingml.header+xml"/>
  <Override PartName="/word/header21.xml" ContentType="application/vnd.openxmlformats-officedocument.wordprocessingml.header+xml"/>
  <Override PartName="/word/header23.xml" ContentType="application/vnd.openxmlformats-officedocument.wordprocessingml.header+xml"/>
  <Override PartName="/word/header32.xml" ContentType="application/vnd.openxmlformats-officedocument.wordprocessingml.header+xml"/>
  <Override PartName="/word/header41.xml" ContentType="application/vnd.openxmlformats-officedocument.wordprocessingml.header+xml"/>
  <Override PartName="/word/header50.xml" ContentType="application/vnd.openxmlformats-officedocument.wordprocessingml.header+xml"/>
  <Override PartName="/word/footer17.xml" ContentType="application/vnd.openxmlformats-officedocument.wordprocessingml.footer+xml"/>
  <Override PartName="/word/stylesWithEffects.xml" ContentType="application/vnd.ms-word.stylesWithEffects+xml"/>
  <Override PartName="/word/footer3.xml" ContentType="application/vnd.openxmlformats-officedocument.wordprocessingml.footer+xml"/>
  <Override PartName="/word/header6.xml" ContentType="application/vnd.openxmlformats-officedocument.wordprocessingml.header+xml"/>
  <Override PartName="/word/header10.xml" ContentType="application/vnd.openxmlformats-officedocument.wordprocessingml.header+xml"/>
  <Override PartName="/word/header30.xml" ContentType="application/vnd.openxmlformats-officedocument.wordprocessingml.header+xml"/>
  <Override PartName="/word/footer13.xml" ContentType="application/vnd.openxmlformats-officedocument.wordprocessingml.footer+xml"/>
  <Override PartName="/word/footer15.xml" ContentType="application/vnd.openxmlformats-officedocument.wordprocessingml.footer+xml"/>
  <Override PartName="/word/footer1.xml" ContentType="application/vnd.openxmlformats-officedocument.wordprocessingml.footer+xml"/>
  <Override PartName="/word/header4.xml" ContentType="application/vnd.openxmlformats-officedocument.wordprocessingml.header+xml"/>
  <Override PartName="/word/footer11.xml" ContentType="application/vnd.openxmlformats-officedocument.wordprocessingml.footer+xml"/>
  <Override PartName="/word/header2.xml" ContentType="application/vnd.openxmlformats-officedocument.wordprocessingml.header+xml"/>
  <Override PartName="/word/charts/chart3.xml" ContentType="application/vnd.openxmlformats-officedocument.drawingml.chart+xml"/>
  <Override PartName="/word/charts/chart1.xml" ContentType="application/vnd.openxmlformats-officedocument.drawingml.chart+xml"/>
  <Override PartName="/word/header39.xml" ContentType="application/vnd.openxmlformats-officedocument.wordprocessingml.header+xml"/>
  <Default Extension="odttf" ContentType="application/vnd.openxmlformats-officedocument.obfuscatedFont"/>
  <Override PartName="/customXml/itemProps2.xml" ContentType="application/vnd.openxmlformats-officedocument.customXmlProperties+xml"/>
  <Default Extension="png" ContentType="image/png"/>
  <Override PartName="/word/header19.xml" ContentType="application/vnd.openxmlformats-officedocument.wordprocessingml.header+xml"/>
  <Override PartName="/word/theme/themeOverride4.xml" ContentType="application/vnd.openxmlformats-officedocument.themeOverride+xml"/>
  <Override PartName="/word/header28.xml" ContentType="application/vnd.openxmlformats-officedocument.wordprocessingml.header+xml"/>
  <Override PartName="/word/header37.xml" ContentType="application/vnd.openxmlformats-officedocument.wordprocessingml.header+xml"/>
  <Override PartName="/word/header48.xml" ContentType="application/vnd.openxmlformats-officedocument.wordprocessingml.header+xml"/>
  <Override PartName="/word/footer8.xml" ContentType="application/vnd.openxmlformats-officedocument.wordprocessingml.footer+xml"/>
  <Override PartName="/word/header17.xml" ContentType="application/vnd.openxmlformats-officedocument.wordprocessingml.header+xml"/>
  <Override PartName="/word/theme/themeOverride2.xml" ContentType="application/vnd.openxmlformats-officedocument.themeOverride+xml"/>
  <Override PartName="/word/header26.xml" ContentType="application/vnd.openxmlformats-officedocument.wordprocessingml.header+xml"/>
  <Override PartName="/word/header35.xml" ContentType="application/vnd.openxmlformats-officedocument.wordprocessingml.header+xml"/>
  <Override PartName="/word/header44.xml" ContentType="application/vnd.openxmlformats-officedocument.wordprocessingml.header+xml"/>
  <Override PartName="/word/header46.xml" ContentType="application/vnd.openxmlformats-officedocument.wordprocessingml.header+xml"/>
  <Default Extension="jpeg" ContentType="image/jpeg"/>
  <Override PartName="/word/footer6.xml" ContentType="application/vnd.openxmlformats-officedocument.wordprocessingml.footer+xml"/>
  <Override PartName="/word/header15.xml" ContentType="application/vnd.openxmlformats-officedocument.wordprocessingml.header+xml"/>
  <Default Extension="emf" ContentType="image/x-emf"/>
  <Override PartName="/word/header24.xml" ContentType="application/vnd.openxmlformats-officedocument.wordprocessingml.header+xml"/>
  <Override PartName="/word/header33.xml" ContentType="application/vnd.openxmlformats-officedocument.wordprocessingml.header+xml"/>
  <Override PartName="/word/header42.xml" ContentType="application/vnd.openxmlformats-officedocument.wordprocessingml.header+xml"/>
  <Override PartName="/word/footer18.xml" ContentType="application/vnd.openxmlformats-officedocument.wordprocessingml.footer+xml"/>
  <Override PartName="/word/header53.xml" ContentType="application/vnd.openxmlformats-officedocument.wordprocessingml.header+xml"/>
  <Override PartName="/word/numbering.xml" ContentType="application/vnd.openxmlformats-officedocument.wordprocessingml.numbering+xml"/>
  <Override PartName="/word/endnotes.xml" ContentType="application/vnd.openxmlformats-officedocument.wordprocessingml.endnotes+xml"/>
  <Override PartName="/word/footer4.xml" ContentType="application/vnd.openxmlformats-officedocument.wordprocessingml.footer+xml"/>
  <Override PartName="/word/header9.xml" ContentType="application/vnd.openxmlformats-officedocument.wordprocessingml.header+xml"/>
  <Override PartName="/word/header13.xml" ContentType="application/vnd.openxmlformats-officedocument.wordprocessingml.header+xml"/>
  <Override PartName="/word/header22.xml" ContentType="application/vnd.openxmlformats-officedocument.wordprocessingml.header+xml"/>
  <Override PartName="/word/header31.xml" ContentType="application/vnd.openxmlformats-officedocument.wordprocessingml.header+xml"/>
  <Override PartName="/word/header40.xml" ContentType="application/vnd.openxmlformats-officedocument.wordprocessingml.header+xml"/>
  <Override PartName="/word/footer16.xml" ContentType="application/vnd.openxmlformats-officedocument.wordprocessingml.footer+xml"/>
  <Override PartName="/word/header51.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header7.xml" ContentType="application/vnd.openxmlformats-officedocument.wordprocessingml.header+xml"/>
  <Override PartName="/word/header11.xml" ContentType="application/vnd.openxmlformats-officedocument.wordprocessingml.header+xml"/>
  <Override PartName="/word/header20.xml" ContentType="application/vnd.openxmlformats-officedocument.wordprocessingml.header+xml"/>
  <Override PartName="/word/footer14.xml" ContentType="application/vnd.openxmlformats-officedocument.wordprocessingml.footer+xml"/>
  <Default Extension="tiff" ContentType="image/tiff"/>
  <Override PartName="/word/header5.xml" ContentType="application/vnd.openxmlformats-officedocument.wordprocessingml.header+xml"/>
  <Default Extension="gif" ContentType="image/gif"/>
  <Override PartName="/word/charts/chart4.xml" ContentType="application/vnd.openxmlformats-officedocument.drawingml.chart+xml"/>
  <Override PartName="/word/footer12.xml" ContentType="application/vnd.openxmlformats-officedocument.wordprocessingml.footer+xml"/>
  <Override PartName="/word/theme/theme1.xml" ContentType="application/vnd.openxmlformats-officedocument.theme+xml"/>
  <Override PartName="/word/header3.xml" ContentType="application/vnd.openxmlformats-officedocument.wordprocessingml.header+xml"/>
  <Override PartName="/word/footer10.xml" ContentType="application/vnd.openxmlformats-officedocument.wordprocessingml.footer+xml"/>
  <Override PartName="/word/charts/chart2.xml" ContentType="application/vnd.openxmlformats-officedocument.drawingml.chart+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word/header49.xml" ContentType="application/vnd.openxmlformats-officedocument.wordprocessingml.header+xml"/>
  <Override PartName="/docProps/core.xml" ContentType="application/vnd.openxmlformats-package.core-properties+xml"/>
  <Override PartName="/word/footnotes.xml" ContentType="application/vnd.openxmlformats-officedocument.wordprocessingml.footnotes+xml"/>
  <Override PartName="/word/header38.xml" ContentType="application/vnd.openxmlformats-officedocument.wordprocessingml.header+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0E2D51" w:rsidRDefault="00E30949" w:rsidP="00A00BA3">
      <w:bookmarkStart w:id="0" w:name="_GoBack"/>
      <w:bookmarkStart w:id="1" w:name="_Toc85011068"/>
      <w:bookmarkStart w:id="2" w:name="_Toc488634707"/>
      <w:bookmarkStart w:id="3" w:name="_Toc491149929"/>
      <w:bookmarkStart w:id="4" w:name="_Toc520085602"/>
      <w:bookmarkStart w:id="5" w:name="_Toc522329375"/>
      <w:bookmarkEnd w:id="0"/>
      <w:r>
        <w:rPr>
          <w:noProof/>
          <w:lang w:eastAsia="en-AU"/>
        </w:rPr>
        <w:drawing>
          <wp:anchor distT="0" distB="0" distL="114300" distR="114300" simplePos="0" relativeHeight="251752448" behindDoc="0" locked="0" layoutInCell="1" allowOverlap="1">
            <wp:simplePos x="0" y="0"/>
            <wp:positionH relativeFrom="column">
              <wp:posOffset>1428750</wp:posOffset>
            </wp:positionH>
            <wp:positionV relativeFrom="paragraph">
              <wp:posOffset>26670</wp:posOffset>
            </wp:positionV>
            <wp:extent cx="1921510" cy="1319530"/>
            <wp:effectExtent l="19050" t="0" r="2540" b="0"/>
            <wp:wrapTopAndBottom/>
            <wp:docPr id="20" name="Picture 0" descr="Graphic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ic1.jpg"/>
                    <pic:cNvPicPr/>
                  </pic:nvPicPr>
                  <pic:blipFill>
                    <a:blip r:embed="rId9" cstate="screen"/>
                    <a:stretch>
                      <a:fillRect/>
                    </a:stretch>
                  </pic:blipFill>
                  <pic:spPr>
                    <a:xfrm>
                      <a:off x="0" y="0"/>
                      <a:ext cx="1921510" cy="1319530"/>
                    </a:xfrm>
                    <a:prstGeom prst="rect">
                      <a:avLst/>
                    </a:prstGeom>
                  </pic:spPr>
                </pic:pic>
              </a:graphicData>
            </a:graphic>
          </wp:anchor>
        </w:drawing>
      </w:r>
    </w:p>
    <w:p w:rsidR="005A0BE1" w:rsidRDefault="005A0BE1" w:rsidP="00A00BA3"/>
    <w:p w:rsidR="003E6E9C" w:rsidRPr="003E6E9C" w:rsidRDefault="003E6E9C" w:rsidP="003E6E9C">
      <w:pPr>
        <w:pStyle w:val="Copyright"/>
        <w:jc w:val="center"/>
        <w:rPr>
          <w:rFonts w:ascii="Futura XBlk BT" w:hAnsi="Futura XBlk BT" w:cs="Arial"/>
          <w:bCs/>
          <w:smallCaps/>
          <w:noProof/>
          <w:color w:val="0D0D0D" w:themeColor="text1" w:themeTint="F2"/>
          <w:spacing w:val="20"/>
          <w:sz w:val="50"/>
        </w:rPr>
      </w:pPr>
      <w:bookmarkStart w:id="6" w:name="_Toc51403818"/>
      <w:bookmarkStart w:id="7" w:name="_Toc51404709"/>
      <w:bookmarkStart w:id="8" w:name="_Toc51658022"/>
      <w:bookmarkStart w:id="9" w:name="_Toc51734311"/>
      <w:bookmarkStart w:id="10" w:name="_Toc51747012"/>
      <w:bookmarkStart w:id="11" w:name="_Toc52247872"/>
      <w:bookmarkStart w:id="12" w:name="_Toc52267537"/>
      <w:bookmarkStart w:id="13" w:name="_Toc52267638"/>
      <w:bookmarkStart w:id="14" w:name="_Toc52267740"/>
      <w:bookmarkStart w:id="15" w:name="_Toc52616745"/>
      <w:bookmarkStart w:id="16" w:name="_Toc83806483"/>
      <w:bookmarkStart w:id="17" w:name="_Toc84153156"/>
      <w:bookmarkStart w:id="18" w:name="_Toc84153298"/>
      <w:bookmarkStart w:id="19" w:name="_Toc84215119"/>
      <w:bookmarkStart w:id="20" w:name="_Toc84215260"/>
      <w:bookmarkStart w:id="21" w:name="_Toc85011063"/>
      <w:bookmarkStart w:id="22" w:name="_Toc113178993"/>
      <w:bookmarkStart w:id="23" w:name="_Toc113353950"/>
      <w:bookmarkStart w:id="24" w:name="_Toc113872088"/>
      <w:bookmarkStart w:id="25" w:name="_Toc114547213"/>
      <w:bookmarkStart w:id="26" w:name="_Toc114630068"/>
      <w:bookmarkStart w:id="27" w:name="_Toc115254147"/>
      <w:bookmarkStart w:id="28" w:name="_Toc115599423"/>
      <w:bookmarkStart w:id="29" w:name="_Toc116123130"/>
      <w:bookmarkStart w:id="30" w:name="_Toc146017918"/>
      <w:bookmarkStart w:id="31" w:name="_Toc146018047"/>
      <w:bookmarkStart w:id="32" w:name="_Toc146088601"/>
      <w:bookmarkStart w:id="33" w:name="_Toc146345054"/>
      <w:bookmarkStart w:id="34" w:name="_Toc146532602"/>
      <w:bookmarkStart w:id="35" w:name="_Toc146537636"/>
      <w:bookmarkStart w:id="36" w:name="_Toc146537811"/>
      <w:bookmarkStart w:id="37" w:name="_Toc146626825"/>
      <w:bookmarkStart w:id="38" w:name="_Toc176745059"/>
      <w:bookmarkStart w:id="39" w:name="_Toc176745310"/>
      <w:bookmarkStart w:id="40" w:name="_Toc176756962"/>
      <w:bookmarkStart w:id="41" w:name="_Toc176775398"/>
      <w:bookmarkStart w:id="42" w:name="_Toc209513686"/>
      <w:bookmarkStart w:id="43" w:name="_Toc209842414"/>
      <w:bookmarkStart w:id="44" w:name="_Toc240197709"/>
      <w:bookmarkStart w:id="45" w:name="_Toc240277323"/>
      <w:bookmarkStart w:id="46" w:name="_Toc240277481"/>
      <w:bookmarkStart w:id="47" w:name="_Toc272771414"/>
      <w:bookmarkStart w:id="48" w:name="_Toc274816918"/>
      <w:bookmarkStart w:id="49" w:name="_Toc303074330"/>
      <w:bookmarkStart w:id="50" w:name="_Toc334196060"/>
      <w:r w:rsidRPr="003E6E9C">
        <w:rPr>
          <w:rFonts w:ascii="Futura XBlk BT" w:hAnsi="Futura XBlk BT" w:cs="Arial"/>
          <w:bCs/>
          <w:smallCaps/>
          <w:noProof/>
          <w:color w:val="0D0D0D" w:themeColor="text1" w:themeTint="F2"/>
          <w:spacing w:val="20"/>
          <w:sz w:val="50"/>
        </w:rPr>
        <w:t>SUPERVISING</w:t>
      </w:r>
      <w:r w:rsidRPr="003E6E9C">
        <w:rPr>
          <w:rFonts w:ascii="Futura XBlk BT" w:hAnsi="Futura XBlk BT" w:cs="Arial"/>
          <w:bCs/>
          <w:smallCaps/>
          <w:noProof/>
          <w:color w:val="0D0D0D" w:themeColor="text1" w:themeTint="F2"/>
          <w:spacing w:val="20"/>
          <w:sz w:val="50"/>
        </w:rPr>
        <w:br/>
        <w:t>SCIENTIST</w:t>
      </w:r>
      <w:bookmarkEnd w:id="6"/>
      <w:bookmarkEnd w:id="7"/>
      <w:bookmarkEnd w:id="8"/>
      <w:bookmarkEnd w:id="9"/>
      <w:bookmarkEnd w:id="10"/>
      <w:bookmarkEnd w:id="11"/>
      <w:bookmarkEnd w:id="12"/>
      <w:bookmarkEnd w:id="13"/>
      <w:bookmarkEnd w:id="14"/>
      <w:bookmarkEnd w:id="15"/>
      <w:bookmarkEnd w:id="16"/>
      <w:bookmarkEnd w:id="17"/>
      <w:bookmarkEnd w:id="18"/>
      <w:bookmarkEnd w:id="19"/>
      <w:bookmarkEnd w:id="20"/>
      <w:bookmarkEnd w:id="21"/>
      <w:bookmarkEnd w:id="22"/>
      <w:bookmarkEnd w:id="23"/>
      <w:bookmarkEnd w:id="24"/>
      <w:bookmarkEnd w:id="25"/>
      <w:bookmarkEnd w:id="26"/>
      <w:bookmarkEnd w:id="27"/>
      <w:bookmarkEnd w:id="28"/>
      <w:bookmarkEnd w:id="29"/>
      <w:bookmarkEnd w:id="30"/>
      <w:bookmarkEnd w:id="31"/>
      <w:bookmarkEnd w:id="32"/>
      <w:bookmarkEnd w:id="33"/>
      <w:bookmarkEnd w:id="34"/>
      <w:bookmarkEnd w:id="35"/>
      <w:bookmarkEnd w:id="36"/>
      <w:bookmarkEnd w:id="37"/>
      <w:bookmarkEnd w:id="38"/>
      <w:bookmarkEnd w:id="39"/>
      <w:bookmarkEnd w:id="40"/>
      <w:bookmarkEnd w:id="41"/>
      <w:bookmarkEnd w:id="42"/>
      <w:bookmarkEnd w:id="43"/>
      <w:bookmarkEnd w:id="44"/>
      <w:bookmarkEnd w:id="45"/>
      <w:bookmarkEnd w:id="46"/>
      <w:bookmarkEnd w:id="47"/>
      <w:bookmarkEnd w:id="48"/>
      <w:bookmarkEnd w:id="49"/>
      <w:bookmarkEnd w:id="50"/>
    </w:p>
    <w:p w:rsidR="003E6E9C" w:rsidRPr="003E6E9C" w:rsidRDefault="003E6E9C" w:rsidP="003E6E9C">
      <w:pPr>
        <w:pStyle w:val="Copyright"/>
        <w:jc w:val="center"/>
        <w:rPr>
          <w:rFonts w:ascii="Futura XBlk BT" w:hAnsi="Futura XBlk BT" w:cs="Arial"/>
          <w:bCs/>
          <w:smallCaps/>
          <w:noProof/>
          <w:spacing w:val="20"/>
          <w:sz w:val="50"/>
        </w:rPr>
      </w:pPr>
      <w:r w:rsidRPr="003E6E9C">
        <w:rPr>
          <w:rFonts w:ascii="Futura XBlk BT" w:hAnsi="Futura XBlk BT" w:cs="Arial"/>
          <w:bCs/>
          <w:smallCaps/>
          <w:noProof/>
          <w:spacing w:val="20"/>
          <w:sz w:val="50"/>
          <w:lang w:eastAsia="en-AU"/>
        </w:rPr>
        <w:drawing>
          <wp:inline distT="0" distB="0" distL="0" distR="0">
            <wp:extent cx="2266950" cy="3562350"/>
            <wp:effectExtent l="19050" t="0" r="0" b="0"/>
            <wp:docPr id="19" name="Picture 12" descr="PANDANUS-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PANDANUS-2"/>
                    <pic:cNvPicPr>
                      <a:picLocks noChangeAspect="1" noChangeArrowheads="1"/>
                    </pic:cNvPicPr>
                  </pic:nvPicPr>
                  <pic:blipFill>
                    <a:blip r:embed="rId10" cstate="screen"/>
                    <a:srcRect/>
                    <a:stretch>
                      <a:fillRect/>
                    </a:stretch>
                  </pic:blipFill>
                  <pic:spPr bwMode="auto">
                    <a:xfrm>
                      <a:off x="0" y="0"/>
                      <a:ext cx="2266950" cy="3562350"/>
                    </a:xfrm>
                    <a:prstGeom prst="rect">
                      <a:avLst/>
                    </a:prstGeom>
                    <a:noFill/>
                    <a:ln w="9525">
                      <a:noFill/>
                      <a:miter lim="800000"/>
                      <a:headEnd/>
                      <a:tailEnd/>
                    </a:ln>
                  </pic:spPr>
                </pic:pic>
              </a:graphicData>
            </a:graphic>
          </wp:inline>
        </w:drawing>
      </w:r>
    </w:p>
    <w:p w:rsidR="003E6E9C" w:rsidRPr="003E6E9C" w:rsidRDefault="003E6E9C" w:rsidP="003E6E9C">
      <w:pPr>
        <w:pStyle w:val="Copyright"/>
        <w:rPr>
          <w:rFonts w:ascii="Futura XBlk BT" w:hAnsi="Futura XBlk BT" w:cs="Arial"/>
          <w:bCs/>
          <w:smallCaps/>
          <w:noProof/>
          <w:spacing w:val="20"/>
          <w:sz w:val="50"/>
        </w:rPr>
      </w:pPr>
    </w:p>
    <w:p w:rsidR="003E6E9C" w:rsidRPr="003E6E9C" w:rsidRDefault="003E6E9C" w:rsidP="003E6E9C">
      <w:pPr>
        <w:spacing w:line="260" w:lineRule="atLeast"/>
        <w:jc w:val="center"/>
        <w:rPr>
          <w:rFonts w:ascii="GarmdITC Bk BT" w:hAnsi="GarmdITC Bk BT"/>
          <w:i/>
          <w:iCs/>
          <w:spacing w:val="20"/>
          <w:sz w:val="56"/>
        </w:rPr>
      </w:pPr>
      <w:r w:rsidRPr="003E6E9C">
        <w:rPr>
          <w:rFonts w:ascii="GarmdITC Bk BT" w:hAnsi="GarmdITC Bk BT"/>
          <w:i/>
          <w:iCs/>
          <w:spacing w:val="20"/>
          <w:sz w:val="56"/>
        </w:rPr>
        <w:t>Annual Report</w:t>
      </w:r>
    </w:p>
    <w:p w:rsidR="003E6E9C" w:rsidRPr="003E6E9C" w:rsidRDefault="003E6E9C" w:rsidP="003E6E9C">
      <w:pPr>
        <w:pStyle w:val="Copyright"/>
        <w:jc w:val="center"/>
        <w:rPr>
          <w:rFonts w:ascii="Futura XBlk BT" w:hAnsi="Futura XBlk BT" w:cs="Arial"/>
          <w:bCs/>
          <w:smallCaps/>
          <w:noProof/>
          <w:color w:val="0D0D0D" w:themeColor="text1" w:themeTint="F2"/>
          <w:spacing w:val="20"/>
          <w:sz w:val="50"/>
        </w:rPr>
      </w:pPr>
      <w:r w:rsidRPr="003E6E9C">
        <w:rPr>
          <w:rFonts w:ascii="Futura XBlk BT" w:hAnsi="Futura XBlk BT" w:cs="Arial"/>
          <w:bCs/>
          <w:smallCaps/>
          <w:noProof/>
          <w:color w:val="0D0D0D" w:themeColor="text1" w:themeTint="F2"/>
          <w:spacing w:val="20"/>
          <w:sz w:val="48"/>
          <w:szCs w:val="48"/>
        </w:rPr>
        <w:t>2013–2014</w:t>
      </w:r>
    </w:p>
    <w:p w:rsidR="00E04FD5" w:rsidRPr="003E6E9C" w:rsidRDefault="00C46C3B" w:rsidP="00C97C27">
      <w:pPr>
        <w:pStyle w:val="Copyright"/>
        <w:rPr>
          <w:color w:val="0D0D0D" w:themeColor="text1" w:themeTint="F2"/>
        </w:rPr>
      </w:pPr>
      <w:r>
        <w:rPr>
          <w:noProof/>
          <w:color w:val="0D0D0D" w:themeColor="text1" w:themeTint="F2"/>
          <w:lang w:eastAsia="en-AU"/>
        </w:rPr>
        <w:drawing>
          <wp:anchor distT="0" distB="0" distL="114300" distR="114300" simplePos="0" relativeHeight="251676672" behindDoc="0" locked="0" layoutInCell="1" allowOverlap="1">
            <wp:simplePos x="0" y="0"/>
            <wp:positionH relativeFrom="column">
              <wp:posOffset>-180975</wp:posOffset>
            </wp:positionH>
            <wp:positionV relativeFrom="paragraph">
              <wp:posOffset>223520</wp:posOffset>
            </wp:positionV>
            <wp:extent cx="5143500" cy="466725"/>
            <wp:effectExtent l="19050" t="0" r="0" b="0"/>
            <wp:wrapSquare wrapText="bothSides"/>
            <wp:docPr id="301" name="Picture 301" descr="wave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1" descr="wave2"/>
                    <pic:cNvPicPr>
                      <a:picLocks noChangeAspect="1" noChangeArrowheads="1"/>
                    </pic:cNvPicPr>
                  </pic:nvPicPr>
                  <pic:blipFill>
                    <a:blip r:embed="rId11" cstate="screen"/>
                    <a:srcRect/>
                    <a:stretch>
                      <a:fillRect/>
                    </a:stretch>
                  </pic:blipFill>
                  <pic:spPr bwMode="auto">
                    <a:xfrm>
                      <a:off x="0" y="0"/>
                      <a:ext cx="5143500" cy="466725"/>
                    </a:xfrm>
                    <a:prstGeom prst="rect">
                      <a:avLst/>
                    </a:prstGeom>
                    <a:noFill/>
                  </pic:spPr>
                </pic:pic>
              </a:graphicData>
            </a:graphic>
          </wp:anchor>
        </w:drawing>
      </w:r>
      <w:r>
        <w:rPr>
          <w:color w:val="0D0D0D" w:themeColor="text1" w:themeTint="F2"/>
        </w:rPr>
        <w:br w:type="page"/>
      </w:r>
      <w:proofErr w:type="gramStart"/>
      <w:r w:rsidR="00476E36" w:rsidRPr="003E6E9C">
        <w:rPr>
          <w:color w:val="0D0D0D" w:themeColor="text1" w:themeTint="F2"/>
        </w:rPr>
        <w:lastRenderedPageBreak/>
        <w:t>©</w:t>
      </w:r>
      <w:r w:rsidR="00476E36" w:rsidRPr="003E6E9C">
        <w:rPr>
          <w:color w:val="0D0D0D" w:themeColor="text1" w:themeTint="F2"/>
          <w:szCs w:val="16"/>
        </w:rPr>
        <w:t xml:space="preserve">  </w:t>
      </w:r>
      <w:r w:rsidR="00476E36" w:rsidRPr="003E6E9C">
        <w:rPr>
          <w:color w:val="0D0D0D" w:themeColor="text1" w:themeTint="F2"/>
        </w:rPr>
        <w:t>Commonwealth</w:t>
      </w:r>
      <w:proofErr w:type="gramEnd"/>
      <w:r w:rsidR="00476E36" w:rsidRPr="003E6E9C">
        <w:rPr>
          <w:color w:val="0D0D0D" w:themeColor="text1" w:themeTint="F2"/>
        </w:rPr>
        <w:t xml:space="preserve"> of Australia</w:t>
      </w:r>
      <w:r w:rsidR="003F4F99">
        <w:rPr>
          <w:color w:val="0D0D0D" w:themeColor="text1" w:themeTint="F2"/>
        </w:rPr>
        <w:t>,</w:t>
      </w:r>
      <w:r w:rsidR="00A231EB" w:rsidRPr="003E6E9C">
        <w:rPr>
          <w:color w:val="0D0D0D" w:themeColor="text1" w:themeTint="F2"/>
        </w:rPr>
        <w:t xml:space="preserve"> </w:t>
      </w:r>
      <w:r w:rsidR="00476E36" w:rsidRPr="003E6E9C">
        <w:rPr>
          <w:color w:val="0D0D0D" w:themeColor="text1" w:themeTint="F2"/>
        </w:rPr>
        <w:t>201</w:t>
      </w:r>
      <w:r w:rsidR="002E2C8B" w:rsidRPr="003E6E9C">
        <w:rPr>
          <w:color w:val="0D0D0D" w:themeColor="text1" w:themeTint="F2"/>
        </w:rPr>
        <w:t>4</w:t>
      </w:r>
    </w:p>
    <w:p w:rsidR="00E04FD5" w:rsidRPr="003E6E9C" w:rsidRDefault="006263CE" w:rsidP="00A00BA3">
      <w:pPr>
        <w:pStyle w:val="Copyright"/>
        <w:rPr>
          <w:color w:val="0D0D0D" w:themeColor="text1" w:themeTint="F2"/>
        </w:rPr>
      </w:pPr>
      <w:r w:rsidRPr="003E6E9C">
        <w:rPr>
          <w:noProof/>
          <w:color w:val="0D0D0D" w:themeColor="text1" w:themeTint="F2"/>
          <w:lang w:eastAsia="en-AU"/>
        </w:rPr>
        <w:drawing>
          <wp:anchor distT="0" distB="0" distL="114300" distR="114300" simplePos="0" relativeHeight="251673600" behindDoc="0" locked="0" layoutInCell="1" allowOverlap="1">
            <wp:simplePos x="0" y="0"/>
            <wp:positionH relativeFrom="column">
              <wp:posOffset>19050</wp:posOffset>
            </wp:positionH>
            <wp:positionV relativeFrom="paragraph">
              <wp:posOffset>885190</wp:posOffset>
            </wp:positionV>
            <wp:extent cx="1524000" cy="533400"/>
            <wp:effectExtent l="19050" t="0" r="0" b="0"/>
            <wp:wrapTopAndBottom/>
            <wp:docPr id="10093" name="Picture 0" descr="Copyright Ima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Copyright Image.tif"/>
                    <pic:cNvPicPr/>
                  </pic:nvPicPr>
                  <pic:blipFill>
                    <a:blip r:embed="rId12" cstate="screen"/>
                    <a:stretch>
                      <a:fillRect/>
                    </a:stretch>
                  </pic:blipFill>
                  <pic:spPr>
                    <a:xfrm>
                      <a:off x="0" y="0"/>
                      <a:ext cx="1524000" cy="533400"/>
                    </a:xfrm>
                    <a:prstGeom prst="rect">
                      <a:avLst/>
                    </a:prstGeom>
                  </pic:spPr>
                </pic:pic>
              </a:graphicData>
            </a:graphic>
          </wp:anchor>
        </w:drawing>
      </w:r>
      <w:r w:rsidR="00636B4C" w:rsidRPr="003E6E9C">
        <w:rPr>
          <w:color w:val="0D0D0D" w:themeColor="text1" w:themeTint="F2"/>
        </w:rPr>
        <w:t xml:space="preserve">The Supervising Scientist Annual Report 2013–14 is licensed by the Commonwealth of Australia for use under a Creative Commons Attribution 3.0 Australia licence with the exception of the Coat of Arms of the Commonwealth of Australia, the logo of the agency responsible for publishing the report, content supplied by third parties, and any images depicting people. For licence conditions see: </w:t>
      </w:r>
      <w:hyperlink r:id="rId13" w:history="1">
        <w:r w:rsidR="00636B4C" w:rsidRPr="003F4F99">
          <w:rPr>
            <w:rStyle w:val="Hyperlink"/>
          </w:rPr>
          <w:t>http://creativecommons.org/licenses/by/3.0/au/</w:t>
        </w:r>
      </w:hyperlink>
    </w:p>
    <w:p w:rsidR="006263CE" w:rsidRDefault="006263CE" w:rsidP="00A00BA3">
      <w:pPr>
        <w:pStyle w:val="Copyright"/>
      </w:pPr>
    </w:p>
    <w:p w:rsidR="00E04FD5" w:rsidRPr="003E6E9C" w:rsidRDefault="00E04FD5" w:rsidP="00A00BA3">
      <w:pPr>
        <w:pStyle w:val="Copyright"/>
        <w:rPr>
          <w:color w:val="0D0D0D" w:themeColor="text1" w:themeTint="F2"/>
        </w:rPr>
      </w:pPr>
      <w:r w:rsidRPr="003E6E9C">
        <w:rPr>
          <w:color w:val="0D0D0D" w:themeColor="text1" w:themeTint="F2"/>
        </w:rPr>
        <w:t xml:space="preserve">This report should be attributed as </w:t>
      </w:r>
      <w:r w:rsidR="006514FF" w:rsidRPr="003E6E9C">
        <w:rPr>
          <w:color w:val="0D0D0D" w:themeColor="text1" w:themeTint="F2"/>
        </w:rPr>
        <w:t xml:space="preserve">Supervising Scientist 2014. </w:t>
      </w:r>
      <w:r w:rsidR="006514FF" w:rsidRPr="003E6E9C">
        <w:rPr>
          <w:i/>
          <w:color w:val="0D0D0D" w:themeColor="text1" w:themeTint="F2"/>
        </w:rPr>
        <w:t>Annual Report 2013–14</w:t>
      </w:r>
      <w:r w:rsidR="00940553">
        <w:rPr>
          <w:color w:val="0D0D0D" w:themeColor="text1" w:themeTint="F2"/>
        </w:rPr>
        <w:t>,</w:t>
      </w:r>
      <w:r w:rsidR="006514FF" w:rsidRPr="003E6E9C">
        <w:rPr>
          <w:color w:val="0D0D0D" w:themeColor="text1" w:themeTint="F2"/>
        </w:rPr>
        <w:t xml:space="preserve"> Commonwealth of Australia 2014</w:t>
      </w:r>
      <w:r w:rsidRPr="003E6E9C">
        <w:rPr>
          <w:color w:val="0D0D0D" w:themeColor="text1" w:themeTint="F2"/>
        </w:rPr>
        <w:t>.</w:t>
      </w:r>
    </w:p>
    <w:p w:rsidR="003F4F99" w:rsidRPr="003F4F99" w:rsidRDefault="003F4F99" w:rsidP="00A00BA3">
      <w:pPr>
        <w:pStyle w:val="Copyright"/>
        <w:rPr>
          <w:b/>
          <w:color w:val="0D0D0D" w:themeColor="text1" w:themeTint="F2"/>
        </w:rPr>
      </w:pPr>
      <w:r w:rsidRPr="003F4F99">
        <w:rPr>
          <w:b/>
          <w:color w:val="0D0D0D" w:themeColor="text1" w:themeTint="F2"/>
        </w:rPr>
        <w:t>Disclaimer</w:t>
      </w:r>
    </w:p>
    <w:p w:rsidR="00E04FD5" w:rsidRDefault="00E04FD5" w:rsidP="00A00BA3">
      <w:pPr>
        <w:pStyle w:val="Copyright"/>
        <w:rPr>
          <w:color w:val="0D0D0D" w:themeColor="text1" w:themeTint="F2"/>
        </w:rPr>
      </w:pPr>
      <w:r w:rsidRPr="003E6E9C">
        <w:rPr>
          <w:color w:val="0D0D0D" w:themeColor="text1" w:themeTint="F2"/>
        </w:rPr>
        <w:t xml:space="preserve">The views and opinions expressed in this publication are those of the authors and do not necessarily reflect those of the Australian Government or the Minister for the Environment. </w:t>
      </w:r>
    </w:p>
    <w:p w:rsidR="009C0C7C" w:rsidRPr="003E6E9C" w:rsidRDefault="009C0C7C" w:rsidP="00A00BA3">
      <w:pPr>
        <w:pStyle w:val="Copyright"/>
        <w:rPr>
          <w:color w:val="0D0D0D" w:themeColor="text1" w:themeTint="F2"/>
        </w:rPr>
      </w:pPr>
      <w:r>
        <w:rPr>
          <w:rFonts w:cs="Adobe Garamond Pro"/>
          <w:color w:val="221E1F"/>
          <w:szCs w:val="20"/>
        </w:rPr>
        <w:t>While reasonable efforts have been made to ensure that the contents of this publication are factually correct, the Commonwealth does not accept responsibility for the accuracy or completeness of the contents, and shall not be liable for any loss or damage that may be occasioned directly or indirectly through the use of, or reliance on, the contents of this publication.</w:t>
      </w:r>
    </w:p>
    <w:tbl>
      <w:tblPr>
        <w:tblW w:w="7398" w:type="dxa"/>
        <w:tblLook w:val="0000"/>
      </w:tblPr>
      <w:tblGrid>
        <w:gridCol w:w="7398"/>
      </w:tblGrid>
      <w:tr w:rsidR="00476E36" w:rsidTr="00476E36">
        <w:tc>
          <w:tcPr>
            <w:tcW w:w="7398" w:type="dxa"/>
          </w:tcPr>
          <w:p w:rsidR="00144F34" w:rsidRDefault="00144F34" w:rsidP="00A00BA3"/>
          <w:p w:rsidR="006514FF" w:rsidRDefault="006514FF" w:rsidP="00A00BA3">
            <w:r>
              <w:t>ISSN:  1440-3013 (MS Word)</w:t>
            </w:r>
            <w:r w:rsidR="00714351">
              <w:br/>
            </w:r>
            <w:r>
              <w:t>ISSN:  1440-3013 (PDF)</w:t>
            </w:r>
            <w:r>
              <w:br/>
              <w:t xml:space="preserve">ISBN-13: </w:t>
            </w:r>
            <w:r w:rsidRPr="00E04FD5">
              <w:t>978-1-921069-23-9</w:t>
            </w:r>
          </w:p>
          <w:p w:rsidR="006514FF" w:rsidRDefault="006514FF" w:rsidP="00D90248">
            <w:r w:rsidRPr="006514FF">
              <w:t xml:space="preserve">The Supervising Scientist is </w:t>
            </w:r>
            <w:r w:rsidR="00F66BBA">
              <w:t>part</w:t>
            </w:r>
            <w:r w:rsidRPr="006514FF">
              <w:t xml:space="preserve"> of the Australian Government Department of the Environment.</w:t>
            </w:r>
          </w:p>
          <w:p w:rsidR="005D1ADA" w:rsidRDefault="005D1ADA" w:rsidP="00D90248"/>
          <w:p w:rsidR="006514FF" w:rsidRPr="00D90248" w:rsidRDefault="006514FF" w:rsidP="00A00BA3">
            <w:pPr>
              <w:rPr>
                <w:b/>
              </w:rPr>
            </w:pPr>
            <w:r w:rsidRPr="00D90248">
              <w:rPr>
                <w:b/>
              </w:rPr>
              <w:t>Contact</w:t>
            </w:r>
          </w:p>
          <w:p w:rsidR="00476E36" w:rsidRDefault="006514FF" w:rsidP="002907A5">
            <w:pPr>
              <w:spacing w:line="240" w:lineRule="atLeast"/>
            </w:pPr>
            <w:r w:rsidRPr="00CF4799">
              <w:t xml:space="preserve">Supervising Scientist </w:t>
            </w:r>
            <w:r w:rsidR="003F4F99">
              <w:br/>
            </w:r>
            <w:r w:rsidR="001E4FC2" w:rsidRPr="00CF4799">
              <w:t xml:space="preserve">Department of </w:t>
            </w:r>
            <w:r w:rsidR="00DF7309">
              <w:t>the Environment</w:t>
            </w:r>
            <w:r w:rsidR="003F4F99">
              <w:br/>
            </w:r>
            <w:r w:rsidR="00476E36" w:rsidRPr="00CF4799">
              <w:t xml:space="preserve">Postal: GPO </w:t>
            </w:r>
            <w:smartTag w:uri="urn:schemas-microsoft-com:office:smarttags" w:element="address">
              <w:smartTag w:uri="urn:schemas-microsoft-com:office:smarttags" w:element="Street">
                <w:r w:rsidR="00476E36" w:rsidRPr="00CF4799">
                  <w:t>Box 461</w:t>
                </w:r>
              </w:smartTag>
              <w:r w:rsidR="00476E36" w:rsidRPr="00CF4799">
                <w:t xml:space="preserve">, </w:t>
              </w:r>
              <w:smartTag w:uri="urn:schemas-microsoft-com:office:smarttags" w:element="City">
                <w:r w:rsidR="00476E36" w:rsidRPr="00CF4799">
                  <w:t>Darwin</w:t>
                </w:r>
              </w:smartTag>
              <w:r w:rsidR="00476E36" w:rsidRPr="00CF4799">
                <w:t xml:space="preserve"> </w:t>
              </w:r>
              <w:smartTag w:uri="urn:schemas-microsoft-com:office:smarttags" w:element="State">
                <w:r w:rsidR="00476E36" w:rsidRPr="00CF4799">
                  <w:t>NT</w:t>
                </w:r>
              </w:smartTag>
            </w:smartTag>
            <w:r w:rsidR="00476E36" w:rsidRPr="00CF4799">
              <w:t xml:space="preserve"> 0801 Australia</w:t>
            </w:r>
            <w:r w:rsidR="003F4F99">
              <w:br/>
            </w:r>
            <w:r w:rsidR="00476E36" w:rsidRPr="00CF4799">
              <w:t xml:space="preserve">Street: Pederson Road/Fenton Court, </w:t>
            </w:r>
            <w:r w:rsidR="00A36D96">
              <w:t>Eaton</w:t>
            </w:r>
            <w:r w:rsidR="00476E36" w:rsidRPr="00CF4799">
              <w:t xml:space="preserve"> </w:t>
            </w:r>
            <w:smartTag w:uri="urn:schemas-microsoft-com:office:smarttags" w:element="State">
              <w:r w:rsidR="00476E36" w:rsidRPr="00CF4799">
                <w:t>NT</w:t>
              </w:r>
            </w:smartTag>
            <w:r w:rsidR="00476E36" w:rsidRPr="00CF4799">
              <w:t xml:space="preserve"> 08</w:t>
            </w:r>
            <w:r w:rsidR="00A36D96">
              <w:t>20</w:t>
            </w:r>
            <w:r w:rsidR="00476E36" w:rsidRPr="00CF4799">
              <w:t xml:space="preserve"> </w:t>
            </w:r>
            <w:smartTag w:uri="urn:schemas-microsoft-com:office:smarttags" w:element="place">
              <w:smartTag w:uri="urn:schemas-microsoft-com:office:smarttags" w:element="country-region">
                <w:r w:rsidR="00476E36" w:rsidRPr="00CF4799">
                  <w:t>Australia</w:t>
                </w:r>
              </w:smartTag>
            </w:smartTag>
          </w:p>
        </w:tc>
      </w:tr>
      <w:tr w:rsidR="00476E36" w:rsidTr="00476E36">
        <w:tc>
          <w:tcPr>
            <w:tcW w:w="7398" w:type="dxa"/>
          </w:tcPr>
          <w:p w:rsidR="00621D61" w:rsidRDefault="00621D61" w:rsidP="00A00BA3"/>
          <w:p w:rsidR="00602CB6" w:rsidRDefault="00476E36" w:rsidP="00A00BA3">
            <w:r>
              <w:t>Telephone</w:t>
            </w:r>
            <w:r>
              <w:tab/>
            </w:r>
            <w:r w:rsidR="006C1C53">
              <w:t>+</w:t>
            </w:r>
            <w:r>
              <w:t>61 8 892</w:t>
            </w:r>
            <w:r w:rsidR="006C1C53">
              <w:t>0 1100</w:t>
            </w:r>
            <w:r w:rsidR="006C1C53">
              <w:br/>
              <w:t>Facsimile</w:t>
            </w:r>
            <w:r w:rsidR="006C1C53">
              <w:tab/>
              <w:t>+61 8 8920 1199</w:t>
            </w:r>
            <w:r w:rsidR="003F4F99">
              <w:br/>
            </w:r>
            <w:r w:rsidR="00602CB6">
              <w:t>Website</w:t>
            </w:r>
            <w:r w:rsidR="00602CB6">
              <w:tab/>
            </w:r>
            <w:r w:rsidR="00602CB6" w:rsidRPr="006370AE">
              <w:rPr>
                <w:b/>
              </w:rPr>
              <w:t>environment</w:t>
            </w:r>
            <w:r w:rsidR="00602CB6">
              <w:t>.gov.au/s</w:t>
            </w:r>
            <w:r w:rsidR="002907A5">
              <w:t>cience/s</w:t>
            </w:r>
            <w:r w:rsidR="00602CB6">
              <w:t>sd</w:t>
            </w:r>
          </w:p>
        </w:tc>
      </w:tr>
    </w:tbl>
    <w:p w:rsidR="003F4F99" w:rsidRDefault="003F4F99" w:rsidP="00A00BA3"/>
    <w:p w:rsidR="00476E36" w:rsidRDefault="00476E36" w:rsidP="00A00BA3">
      <w:proofErr w:type="gramStart"/>
      <w:r>
        <w:t>Printed in Canberra by Union Offset on Australian</w:t>
      </w:r>
      <w:r w:rsidR="00B75D5E">
        <w:t xml:space="preserve"> </w:t>
      </w:r>
      <w:r>
        <w:t>paper from sustainable plantation timber</w:t>
      </w:r>
      <w:bookmarkEnd w:id="1"/>
      <w:bookmarkEnd w:id="2"/>
      <w:bookmarkEnd w:id="3"/>
      <w:bookmarkEnd w:id="4"/>
      <w:bookmarkEnd w:id="5"/>
      <w:r w:rsidR="00CF4799">
        <w:t>.</w:t>
      </w:r>
      <w:proofErr w:type="gramEnd"/>
    </w:p>
    <w:p w:rsidR="00C07987" w:rsidRDefault="00C07987" w:rsidP="00A00BA3"/>
    <w:p w:rsidR="00476E36" w:rsidRDefault="00476E36" w:rsidP="00A00BA3">
      <w:pPr>
        <w:sectPr w:rsidR="00476E36">
          <w:headerReference w:type="even" r:id="rId14"/>
          <w:headerReference w:type="default" r:id="rId15"/>
          <w:footerReference w:type="even" r:id="rId16"/>
          <w:footerReference w:type="default" r:id="rId17"/>
          <w:headerReference w:type="first" r:id="rId18"/>
          <w:footerReference w:type="first" r:id="rId19"/>
          <w:pgSz w:w="10325" w:h="14573" w:code="13"/>
          <w:pgMar w:top="851" w:right="1440" w:bottom="851" w:left="1440" w:header="720" w:footer="720" w:gutter="0"/>
          <w:pgNumType w:fmt="lowerRoman"/>
          <w:cols w:space="360"/>
          <w:noEndnote/>
          <w:titlePg/>
        </w:sectPr>
      </w:pPr>
    </w:p>
    <w:p w:rsidR="00476E36" w:rsidRDefault="00476E36" w:rsidP="00A00BA3"/>
    <w:p w:rsidR="00805747" w:rsidRDefault="00805747" w:rsidP="00A00BA3"/>
    <w:p w:rsidR="00805747" w:rsidRDefault="00805747" w:rsidP="00A00BA3"/>
    <w:p w:rsidR="00805747" w:rsidRDefault="00805747" w:rsidP="00A00BA3"/>
    <w:p w:rsidR="00476E36" w:rsidRDefault="00A75F1C" w:rsidP="007A5B1C">
      <w:r>
        <w:t xml:space="preserve">Senator </w:t>
      </w:r>
      <w:r w:rsidR="00382922">
        <w:t xml:space="preserve">the Hon </w:t>
      </w:r>
      <w:r>
        <w:t xml:space="preserve">Simon </w:t>
      </w:r>
      <w:r w:rsidR="00382922" w:rsidRPr="00382922">
        <w:t>Birmingham</w:t>
      </w:r>
      <w:r w:rsidR="007A5B1C">
        <w:br/>
      </w:r>
      <w:r>
        <w:t>Parliamentary Secretary</w:t>
      </w:r>
      <w:r w:rsidR="00382922">
        <w:t xml:space="preserve"> to the Minister for the Environment</w:t>
      </w:r>
      <w:r w:rsidR="007A5B1C">
        <w:br/>
      </w:r>
      <w:r w:rsidR="00924A32">
        <w:t>Parliament House</w:t>
      </w:r>
      <w:r w:rsidR="007A5B1C">
        <w:br/>
      </w:r>
      <w:r w:rsidR="00476E36">
        <w:t>CANBERRA ACT 2600</w:t>
      </w:r>
    </w:p>
    <w:p w:rsidR="00476E36" w:rsidRDefault="00476E36" w:rsidP="00A00BA3"/>
    <w:p w:rsidR="00476E36" w:rsidRDefault="00622C2F" w:rsidP="00A00BA3">
      <w:pPr>
        <w:rPr>
          <w:noProof/>
        </w:rPr>
      </w:pPr>
      <w:r w:rsidRPr="00B35510">
        <w:rPr>
          <w:noProof/>
        </w:rPr>
        <w:t>16</w:t>
      </w:r>
      <w:r w:rsidR="00476E36" w:rsidRPr="00B35510">
        <w:rPr>
          <w:noProof/>
        </w:rPr>
        <w:t xml:space="preserve"> October 20</w:t>
      </w:r>
      <w:r w:rsidR="00F47F19" w:rsidRPr="00B35510">
        <w:rPr>
          <w:noProof/>
        </w:rPr>
        <w:t>1</w:t>
      </w:r>
      <w:r w:rsidR="006370AE" w:rsidRPr="00B35510">
        <w:rPr>
          <w:noProof/>
        </w:rPr>
        <w:t>4</w:t>
      </w:r>
    </w:p>
    <w:p w:rsidR="00476E36" w:rsidRDefault="00476E36" w:rsidP="00A00BA3">
      <w:pPr>
        <w:rPr>
          <w:noProof/>
        </w:rPr>
      </w:pPr>
    </w:p>
    <w:p w:rsidR="00476E36" w:rsidRDefault="00476E36" w:rsidP="00A00BA3">
      <w:pPr>
        <w:rPr>
          <w:noProof/>
        </w:rPr>
      </w:pPr>
    </w:p>
    <w:p w:rsidR="00476E36" w:rsidRDefault="00476E36" w:rsidP="00A00BA3">
      <w:r>
        <w:t xml:space="preserve">Dear </w:t>
      </w:r>
      <w:r w:rsidR="00A75F1C">
        <w:t>Senator</w:t>
      </w:r>
    </w:p>
    <w:p w:rsidR="00476E36" w:rsidRDefault="00476E36" w:rsidP="00A00BA3">
      <w:r>
        <w:t xml:space="preserve">In accordance with subsection 36(1) of the </w:t>
      </w:r>
      <w:r>
        <w:rPr>
          <w:i/>
        </w:rPr>
        <w:t xml:space="preserve">Environment Protection (Alligator Rivers Region) Act 1978 </w:t>
      </w:r>
      <w:r>
        <w:t>(the Act), I submit to you the thirty-</w:t>
      </w:r>
      <w:r w:rsidR="00580FA2">
        <w:t xml:space="preserve">fifth </w:t>
      </w:r>
      <w:r>
        <w:t>Annual Report of the Supervising Scientist on the operation of the Act during the period of 1 July 20</w:t>
      </w:r>
      <w:r w:rsidR="00456A34">
        <w:t>1</w:t>
      </w:r>
      <w:r w:rsidR="006370AE">
        <w:t>3</w:t>
      </w:r>
      <w:r>
        <w:t xml:space="preserve"> to 30 June 20</w:t>
      </w:r>
      <w:r w:rsidR="00F47F19">
        <w:t>1</w:t>
      </w:r>
      <w:r w:rsidR="006370AE">
        <w:t>4</w:t>
      </w:r>
      <w:r>
        <w:t>.</w:t>
      </w:r>
    </w:p>
    <w:p w:rsidR="00476E36" w:rsidRDefault="00476E36" w:rsidP="00A00BA3"/>
    <w:p w:rsidR="00476E36" w:rsidRDefault="00476E36" w:rsidP="00A00BA3">
      <w:r>
        <w:t>Yours sincerely</w:t>
      </w:r>
    </w:p>
    <w:p w:rsidR="00476E36" w:rsidRDefault="004B68E0" w:rsidP="00A00BA3">
      <w:r>
        <w:rPr>
          <w:noProof/>
          <w:lang w:eastAsia="en-AU"/>
        </w:rPr>
        <w:drawing>
          <wp:anchor distT="0" distB="0" distL="114300" distR="114300" simplePos="0" relativeHeight="251761664" behindDoc="0" locked="0" layoutInCell="1" allowOverlap="1">
            <wp:simplePos x="0" y="0"/>
            <wp:positionH relativeFrom="column">
              <wp:posOffset>19050</wp:posOffset>
            </wp:positionH>
            <wp:positionV relativeFrom="paragraph">
              <wp:posOffset>41702</wp:posOffset>
            </wp:positionV>
            <wp:extent cx="1570753" cy="361666"/>
            <wp:effectExtent l="19050" t="0" r="0" b="0"/>
            <wp:wrapNone/>
            <wp:docPr id="10111" name="Picture 10110" descr="[Untitled]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001.jpg"/>
                    <pic:cNvPicPr/>
                  </pic:nvPicPr>
                  <pic:blipFill>
                    <a:blip r:embed="rId20" cstate="screen"/>
                    <a:stretch>
                      <a:fillRect/>
                    </a:stretch>
                  </pic:blipFill>
                  <pic:spPr>
                    <a:xfrm>
                      <a:off x="0" y="0"/>
                      <a:ext cx="1570753" cy="361666"/>
                    </a:xfrm>
                    <a:prstGeom prst="rect">
                      <a:avLst/>
                    </a:prstGeom>
                    <a:ln>
                      <a:noFill/>
                    </a:ln>
                  </pic:spPr>
                </pic:pic>
              </a:graphicData>
            </a:graphic>
          </wp:anchor>
        </w:drawing>
      </w:r>
    </w:p>
    <w:p w:rsidR="00F66BBA" w:rsidRDefault="00F66BBA" w:rsidP="00A00BA3"/>
    <w:p w:rsidR="00476E36" w:rsidRDefault="00A231EB" w:rsidP="00A00BA3">
      <w:r>
        <w:t>Richard McAllister</w:t>
      </w:r>
    </w:p>
    <w:p w:rsidR="00476E36" w:rsidRDefault="00A231EB" w:rsidP="00A00BA3">
      <w:r>
        <w:t xml:space="preserve">Acting </w:t>
      </w:r>
      <w:r w:rsidR="00476E36">
        <w:t>Supervising Scientist</w:t>
      </w:r>
    </w:p>
    <w:p w:rsidR="00476E36" w:rsidRDefault="00476E36" w:rsidP="00A00BA3"/>
    <w:p w:rsidR="00476E36" w:rsidRDefault="00476E36" w:rsidP="00A00BA3"/>
    <w:p w:rsidR="00476E36" w:rsidRDefault="00476E36" w:rsidP="00A00BA3">
      <w:pPr>
        <w:sectPr w:rsidR="00476E36" w:rsidSect="00A57D4D">
          <w:headerReference w:type="even" r:id="rId21"/>
          <w:headerReference w:type="default" r:id="rId22"/>
          <w:footerReference w:type="default" r:id="rId23"/>
          <w:headerReference w:type="first" r:id="rId24"/>
          <w:footerReference w:type="first" r:id="rId25"/>
          <w:pgSz w:w="10325" w:h="14573" w:code="13"/>
          <w:pgMar w:top="1440" w:right="1440" w:bottom="1440" w:left="1440" w:header="720" w:footer="720" w:gutter="0"/>
          <w:pgNumType w:fmt="lowerRoman"/>
          <w:cols w:space="360"/>
          <w:noEndnote/>
          <w:titlePg/>
        </w:sectPr>
      </w:pPr>
    </w:p>
    <w:p w:rsidR="002F39D1" w:rsidRDefault="0074407E" w:rsidP="0074407E">
      <w:pPr>
        <w:pStyle w:val="4point"/>
        <w:jc w:val="center"/>
      </w:pPr>
      <w:r>
        <w:rPr>
          <w:noProof/>
          <w:lang w:eastAsia="en-AU"/>
        </w:rPr>
        <w:drawing>
          <wp:inline distT="0" distB="0" distL="0" distR="0">
            <wp:extent cx="5041390" cy="7188474"/>
            <wp:effectExtent l="19050" t="0" r="6860" b="0"/>
            <wp:docPr id="9" name="Picture 8" descr="2013 annual report collage LOW RE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 annual report collage LOW RES.jpg"/>
                    <pic:cNvPicPr/>
                  </pic:nvPicPr>
                  <pic:blipFill>
                    <a:blip r:embed="rId26" cstate="screen"/>
                    <a:stretch>
                      <a:fillRect/>
                    </a:stretch>
                  </pic:blipFill>
                  <pic:spPr>
                    <a:xfrm>
                      <a:off x="0" y="0"/>
                      <a:ext cx="5041390" cy="7188474"/>
                    </a:xfrm>
                    <a:prstGeom prst="rect">
                      <a:avLst/>
                    </a:prstGeom>
                  </pic:spPr>
                </pic:pic>
              </a:graphicData>
            </a:graphic>
          </wp:inline>
        </w:drawing>
      </w:r>
    </w:p>
    <w:p w:rsidR="00474BFE" w:rsidRPr="00936D05" w:rsidRDefault="004015F5" w:rsidP="00B35510">
      <w:pPr>
        <w:pStyle w:val="figurecaption0"/>
        <w:ind w:left="578"/>
        <w:rPr>
          <w:rFonts w:ascii="Times New Roman" w:hAnsi="Times New Roman"/>
          <w:szCs w:val="16"/>
        </w:rPr>
        <w:sectPr w:rsidR="00474BFE" w:rsidRPr="00936D05" w:rsidSect="00294DB5">
          <w:headerReference w:type="first" r:id="rId27"/>
          <w:footerReference w:type="first" r:id="rId28"/>
          <w:pgSz w:w="10325" w:h="14573" w:code="13"/>
          <w:pgMar w:top="1276" w:right="284" w:bottom="284" w:left="284" w:header="0" w:footer="0" w:gutter="0"/>
          <w:pgNumType w:fmt="lowerRoman"/>
          <w:cols w:space="360"/>
          <w:noEndnote/>
          <w:titlePg/>
        </w:sectPr>
      </w:pPr>
      <w:r w:rsidRPr="00936D05">
        <w:rPr>
          <w:rFonts w:ascii="Times New Roman" w:hAnsi="Times New Roman"/>
          <w:szCs w:val="16"/>
        </w:rPr>
        <w:t xml:space="preserve">Photos (from top left): Jabiru Field Station (JFS) staff member conducting site management of atmospheric monitoring; culture tubs </w:t>
      </w:r>
      <w:r w:rsidR="00B35510">
        <w:rPr>
          <w:rFonts w:ascii="Times New Roman" w:hAnsi="Times New Roman"/>
          <w:szCs w:val="16"/>
        </w:rPr>
        <w:br/>
      </w:r>
      <w:r w:rsidRPr="00936D05">
        <w:rPr>
          <w:rFonts w:ascii="Times New Roman" w:hAnsi="Times New Roman"/>
          <w:szCs w:val="16"/>
        </w:rPr>
        <w:t>at JFS, used to supply snails for SSD’s wet season toxicity monitoring program</w:t>
      </w:r>
      <w:r w:rsidR="00661485" w:rsidRPr="00936D05">
        <w:rPr>
          <w:rFonts w:ascii="Times New Roman" w:hAnsi="Times New Roman"/>
          <w:szCs w:val="16"/>
        </w:rPr>
        <w:t>me</w:t>
      </w:r>
      <w:r w:rsidRPr="00936D05">
        <w:rPr>
          <w:rFonts w:ascii="Times New Roman" w:hAnsi="Times New Roman"/>
          <w:szCs w:val="16"/>
        </w:rPr>
        <w:t xml:space="preserve">; SSD staff members shucking mussels prior to </w:t>
      </w:r>
      <w:r w:rsidR="00B35510">
        <w:rPr>
          <w:rFonts w:ascii="Times New Roman" w:hAnsi="Times New Roman"/>
          <w:szCs w:val="16"/>
        </w:rPr>
        <w:br/>
      </w:r>
      <w:r w:rsidRPr="00936D05">
        <w:rPr>
          <w:rFonts w:ascii="Times New Roman" w:hAnsi="Times New Roman"/>
          <w:szCs w:val="16"/>
        </w:rPr>
        <w:t xml:space="preserve">analysis for radionuclides and heavy metals; preliminary tests prior to flying the UAV in Kakadu National Park (KNP); Jabiluka </w:t>
      </w:r>
      <w:r w:rsidR="00B35510">
        <w:rPr>
          <w:rFonts w:ascii="Times New Roman" w:hAnsi="Times New Roman"/>
          <w:szCs w:val="16"/>
        </w:rPr>
        <w:br/>
      </w:r>
      <w:r w:rsidRPr="00936D05">
        <w:rPr>
          <w:rFonts w:ascii="Times New Roman" w:hAnsi="Times New Roman"/>
          <w:szCs w:val="16"/>
        </w:rPr>
        <w:t xml:space="preserve">billabong on the Magela floodplain in KNP; Red Bush Apple - </w:t>
      </w:r>
      <w:r w:rsidRPr="00936D05">
        <w:rPr>
          <w:rFonts w:ascii="Times New Roman" w:hAnsi="Times New Roman"/>
          <w:i/>
          <w:szCs w:val="16"/>
        </w:rPr>
        <w:t>Syzygium suborbiculare</w:t>
      </w:r>
      <w:r w:rsidR="002907A5">
        <w:rPr>
          <w:rFonts w:ascii="Times New Roman" w:hAnsi="Times New Roman"/>
          <w:szCs w:val="16"/>
        </w:rPr>
        <w:t>; Magela Creek continuous m</w:t>
      </w:r>
      <w:r w:rsidRPr="00936D05">
        <w:rPr>
          <w:rFonts w:ascii="Times New Roman" w:hAnsi="Times New Roman"/>
          <w:szCs w:val="16"/>
        </w:rPr>
        <w:t xml:space="preserve">onitoring </w:t>
      </w:r>
      <w:r w:rsidR="00B35510">
        <w:rPr>
          <w:rFonts w:ascii="Times New Roman" w:hAnsi="Times New Roman"/>
          <w:szCs w:val="16"/>
        </w:rPr>
        <w:br/>
      </w:r>
      <w:r w:rsidR="002907A5">
        <w:rPr>
          <w:rFonts w:ascii="Times New Roman" w:hAnsi="Times New Roman"/>
          <w:szCs w:val="16"/>
        </w:rPr>
        <w:t>p</w:t>
      </w:r>
      <w:r w:rsidRPr="00936D05">
        <w:rPr>
          <w:rFonts w:ascii="Times New Roman" w:hAnsi="Times New Roman"/>
          <w:szCs w:val="16"/>
        </w:rPr>
        <w:t xml:space="preserve">ontoon in KNP; SSD and JFS staff members setting croc exclusion nets prior to popnetting at Gulungul billabong KNP; monitoring </w:t>
      </w:r>
      <w:r w:rsidR="00B35510">
        <w:rPr>
          <w:rFonts w:ascii="Times New Roman" w:hAnsi="Times New Roman"/>
          <w:szCs w:val="16"/>
        </w:rPr>
        <w:br/>
      </w:r>
      <w:r w:rsidRPr="00936D05">
        <w:rPr>
          <w:rFonts w:ascii="Times New Roman" w:hAnsi="Times New Roman"/>
          <w:szCs w:val="16"/>
        </w:rPr>
        <w:t>calcium deficiency and shell e</w:t>
      </w:r>
      <w:r w:rsidR="002907A5">
        <w:rPr>
          <w:rFonts w:ascii="Times New Roman" w:hAnsi="Times New Roman"/>
          <w:szCs w:val="16"/>
        </w:rPr>
        <w:t>rosion of snails at JFS; school-</w:t>
      </w:r>
      <w:r w:rsidRPr="00936D05">
        <w:rPr>
          <w:rFonts w:ascii="Times New Roman" w:hAnsi="Times New Roman"/>
          <w:szCs w:val="16"/>
        </w:rPr>
        <w:t xml:space="preserve">based apprentice supplying food to snails for toxicity monitoring </w:t>
      </w:r>
      <w:r w:rsidR="00B35510">
        <w:rPr>
          <w:rFonts w:ascii="Times New Roman" w:hAnsi="Times New Roman"/>
          <w:szCs w:val="16"/>
        </w:rPr>
        <w:br/>
      </w:r>
      <w:r w:rsidRPr="00936D05">
        <w:rPr>
          <w:rFonts w:ascii="Times New Roman" w:hAnsi="Times New Roman"/>
          <w:szCs w:val="16"/>
        </w:rPr>
        <w:t>program</w:t>
      </w:r>
      <w:r w:rsidR="00936D05">
        <w:rPr>
          <w:rFonts w:ascii="Times New Roman" w:hAnsi="Times New Roman"/>
          <w:szCs w:val="16"/>
        </w:rPr>
        <w:t>me</w:t>
      </w:r>
      <w:r w:rsidRPr="00936D05">
        <w:rPr>
          <w:rFonts w:ascii="Times New Roman" w:hAnsi="Times New Roman"/>
          <w:szCs w:val="16"/>
        </w:rPr>
        <w:t>.</w:t>
      </w:r>
      <w:r w:rsidR="00367608" w:rsidRPr="00936D05">
        <w:rPr>
          <w:rFonts w:ascii="Times New Roman" w:hAnsi="Times New Roman"/>
          <w:szCs w:val="16"/>
        </w:rPr>
        <w:t xml:space="preserve"> </w:t>
      </w:r>
    </w:p>
    <w:p w:rsidR="00476E36" w:rsidRDefault="00476E36" w:rsidP="00DE799E">
      <w:pPr>
        <w:pStyle w:val="Heading1"/>
      </w:pPr>
      <w:bookmarkStart w:id="51" w:name="_Toc83797529"/>
      <w:bookmarkStart w:id="52" w:name="_Toc83806485"/>
      <w:bookmarkStart w:id="53" w:name="_Toc84153158"/>
      <w:bookmarkStart w:id="54" w:name="_Toc84153301"/>
      <w:bookmarkStart w:id="55" w:name="_Toc84215120"/>
      <w:bookmarkStart w:id="56" w:name="_Toc84215262"/>
      <w:bookmarkStart w:id="57" w:name="_Toc85011064"/>
      <w:bookmarkStart w:id="58" w:name="_Toc113178994"/>
      <w:bookmarkStart w:id="59" w:name="_Toc113353951"/>
      <w:bookmarkStart w:id="60" w:name="_Toc113872089"/>
      <w:bookmarkStart w:id="61" w:name="_Toc114547214"/>
      <w:bookmarkStart w:id="62" w:name="_Toc114630069"/>
      <w:bookmarkStart w:id="63" w:name="_Toc115254148"/>
      <w:bookmarkStart w:id="64" w:name="_Toc115599424"/>
      <w:bookmarkStart w:id="65" w:name="_Toc116123131"/>
      <w:bookmarkStart w:id="66" w:name="_Toc146017919"/>
      <w:bookmarkStart w:id="67" w:name="_Toc146018048"/>
      <w:bookmarkStart w:id="68" w:name="_Toc146088602"/>
      <w:bookmarkStart w:id="69" w:name="_Toc146345055"/>
      <w:bookmarkStart w:id="70" w:name="_Toc146532603"/>
      <w:bookmarkStart w:id="71" w:name="_Toc146537637"/>
      <w:bookmarkStart w:id="72" w:name="_Toc146537812"/>
      <w:bookmarkStart w:id="73" w:name="_Toc146626826"/>
      <w:bookmarkStart w:id="74" w:name="_Toc176745060"/>
      <w:bookmarkStart w:id="75" w:name="_Toc176745311"/>
      <w:bookmarkStart w:id="76" w:name="_Toc176756963"/>
      <w:bookmarkStart w:id="77" w:name="_Toc176775399"/>
      <w:bookmarkStart w:id="78" w:name="_Toc209513687"/>
      <w:bookmarkStart w:id="79" w:name="_Toc209842415"/>
      <w:bookmarkStart w:id="80" w:name="_Toc240197710"/>
      <w:bookmarkStart w:id="81" w:name="_Toc240277324"/>
      <w:bookmarkStart w:id="82" w:name="_Toc240277482"/>
      <w:bookmarkStart w:id="83" w:name="_Toc272771415"/>
      <w:bookmarkStart w:id="84" w:name="_Toc274816919"/>
      <w:bookmarkStart w:id="85" w:name="_Toc303074331"/>
      <w:bookmarkStart w:id="86" w:name="_Toc334196061"/>
      <w:bookmarkStart w:id="87" w:name="_Toc365030996"/>
      <w:bookmarkStart w:id="88" w:name="_Toc365036560"/>
      <w:bookmarkStart w:id="89" w:name="_Toc365635483"/>
      <w:bookmarkStart w:id="90" w:name="_Toc396375372"/>
      <w:bookmarkStart w:id="91" w:name="_Toc399157513"/>
      <w:bookmarkStart w:id="92" w:name="_Toc399320985"/>
      <w:bookmarkStart w:id="93" w:name="_Toc399925811"/>
      <w:bookmarkStart w:id="94" w:name="_Toc399928164"/>
      <w:r>
        <w:t>Contents</w:t>
      </w:r>
      <w:bookmarkEnd w:id="51"/>
      <w:bookmarkEnd w:id="52"/>
      <w:bookmarkEnd w:id="53"/>
      <w:bookmarkEnd w:id="54"/>
      <w:bookmarkEnd w:id="55"/>
      <w:bookmarkEnd w:id="56"/>
      <w:bookmarkEnd w:id="57"/>
      <w:bookmarkEnd w:id="58"/>
      <w:bookmarkEnd w:id="59"/>
      <w:bookmarkEnd w:id="60"/>
      <w:bookmarkEnd w:id="61"/>
      <w:bookmarkEnd w:id="62"/>
      <w:bookmarkEnd w:id="63"/>
      <w:bookmarkEnd w:id="64"/>
      <w:bookmarkEnd w:id="65"/>
      <w:bookmarkEnd w:id="66"/>
      <w:bookmarkEnd w:id="67"/>
      <w:bookmarkEnd w:id="68"/>
      <w:bookmarkEnd w:id="69"/>
      <w:bookmarkEnd w:id="70"/>
      <w:bookmarkEnd w:id="71"/>
      <w:bookmarkEnd w:id="72"/>
      <w:bookmarkEnd w:id="73"/>
      <w:bookmarkEnd w:id="74"/>
      <w:bookmarkEnd w:id="75"/>
      <w:bookmarkEnd w:id="76"/>
      <w:bookmarkEnd w:id="77"/>
      <w:bookmarkEnd w:id="78"/>
      <w:bookmarkEnd w:id="79"/>
      <w:bookmarkEnd w:id="80"/>
      <w:bookmarkEnd w:id="81"/>
      <w:bookmarkEnd w:id="82"/>
      <w:bookmarkEnd w:id="83"/>
      <w:bookmarkEnd w:id="84"/>
      <w:bookmarkEnd w:id="85"/>
      <w:bookmarkEnd w:id="86"/>
      <w:bookmarkEnd w:id="87"/>
      <w:bookmarkEnd w:id="88"/>
      <w:bookmarkEnd w:id="89"/>
      <w:bookmarkEnd w:id="90"/>
      <w:bookmarkEnd w:id="91"/>
      <w:bookmarkEnd w:id="92"/>
      <w:bookmarkEnd w:id="93"/>
      <w:bookmarkEnd w:id="94"/>
    </w:p>
    <w:p w:rsidR="000B2593" w:rsidRDefault="009C449B">
      <w:pPr>
        <w:pStyle w:val="TOC1"/>
      </w:pPr>
      <w:r>
        <w:t>Letter of transmittal</w:t>
      </w:r>
      <w:r>
        <w:tab/>
      </w:r>
      <w:r>
        <w:rPr>
          <w:caps w:val="0"/>
        </w:rPr>
        <w:t>III</w:t>
      </w:r>
      <w:r w:rsidR="00F9111F">
        <w:fldChar w:fldCharType="begin"/>
      </w:r>
      <w:r>
        <w:instrText xml:space="preserve"> TOC \o "1-1" \h \z \u \t "Heading 2,2" </w:instrText>
      </w:r>
      <w:r w:rsidR="00F9111F">
        <w:fldChar w:fldCharType="separate"/>
      </w:r>
    </w:p>
    <w:p w:rsidR="000B2593" w:rsidRDefault="00F9111F">
      <w:pPr>
        <w:pStyle w:val="TOC1"/>
        <w:rPr>
          <w:rFonts w:asciiTheme="minorHAnsi" w:eastAsiaTheme="minorEastAsia" w:hAnsiTheme="minorHAnsi" w:cstheme="minorBidi"/>
          <w:b w:val="0"/>
          <w:caps w:val="0"/>
          <w:sz w:val="22"/>
          <w:szCs w:val="22"/>
          <w:lang w:eastAsia="en-AU"/>
        </w:rPr>
      </w:pPr>
      <w:hyperlink w:anchor="_Toc399928165" w:history="1">
        <w:r w:rsidR="000B2593" w:rsidRPr="00BC5BC4">
          <w:rPr>
            <w:rStyle w:val="Hyperlink"/>
          </w:rPr>
          <w:t>Foreword</w:t>
        </w:r>
        <w:r w:rsidR="000B2593">
          <w:rPr>
            <w:webHidden/>
          </w:rPr>
          <w:tab/>
        </w:r>
        <w:r>
          <w:rPr>
            <w:webHidden/>
          </w:rPr>
          <w:fldChar w:fldCharType="begin"/>
        </w:r>
        <w:r w:rsidR="000B2593">
          <w:rPr>
            <w:webHidden/>
          </w:rPr>
          <w:instrText xml:space="preserve"> PAGEREF _Toc399928165 \h </w:instrText>
        </w:r>
        <w:r>
          <w:rPr>
            <w:webHidden/>
          </w:rPr>
        </w:r>
        <w:r>
          <w:rPr>
            <w:webHidden/>
          </w:rPr>
          <w:fldChar w:fldCharType="separate"/>
        </w:r>
        <w:r w:rsidR="00520CAB">
          <w:rPr>
            <w:webHidden/>
          </w:rPr>
          <w:t>viii</w:t>
        </w:r>
        <w:r>
          <w:rPr>
            <w:webHidden/>
          </w:rPr>
          <w:fldChar w:fldCharType="end"/>
        </w:r>
      </w:hyperlink>
    </w:p>
    <w:p w:rsidR="000B2593" w:rsidRDefault="00F9111F">
      <w:pPr>
        <w:pStyle w:val="TOC1"/>
        <w:rPr>
          <w:rFonts w:asciiTheme="minorHAnsi" w:eastAsiaTheme="minorEastAsia" w:hAnsiTheme="minorHAnsi" w:cstheme="minorBidi"/>
          <w:b w:val="0"/>
          <w:caps w:val="0"/>
          <w:sz w:val="22"/>
          <w:szCs w:val="22"/>
          <w:lang w:eastAsia="en-AU"/>
        </w:rPr>
      </w:pPr>
      <w:hyperlink w:anchor="_Toc399928166" w:history="1">
        <w:r w:rsidR="000B2593" w:rsidRPr="00BC5BC4">
          <w:rPr>
            <w:rStyle w:val="Hyperlink"/>
          </w:rPr>
          <w:t>Supervising Scientist’s overview</w:t>
        </w:r>
        <w:r w:rsidR="000B2593">
          <w:rPr>
            <w:webHidden/>
          </w:rPr>
          <w:tab/>
        </w:r>
        <w:r>
          <w:rPr>
            <w:webHidden/>
          </w:rPr>
          <w:fldChar w:fldCharType="begin"/>
        </w:r>
        <w:r w:rsidR="000B2593">
          <w:rPr>
            <w:webHidden/>
          </w:rPr>
          <w:instrText xml:space="preserve"> PAGEREF _Toc399928166 \h </w:instrText>
        </w:r>
        <w:r>
          <w:rPr>
            <w:webHidden/>
          </w:rPr>
        </w:r>
        <w:r>
          <w:rPr>
            <w:webHidden/>
          </w:rPr>
          <w:fldChar w:fldCharType="separate"/>
        </w:r>
        <w:r w:rsidR="00520CAB">
          <w:rPr>
            <w:webHidden/>
          </w:rPr>
          <w:t>ix</w:t>
        </w:r>
        <w:r>
          <w:rPr>
            <w:webHidden/>
          </w:rPr>
          <w:fldChar w:fldCharType="end"/>
        </w:r>
      </w:hyperlink>
    </w:p>
    <w:p w:rsidR="000B2593" w:rsidRDefault="00F9111F">
      <w:pPr>
        <w:pStyle w:val="TOC1"/>
        <w:rPr>
          <w:rFonts w:asciiTheme="minorHAnsi" w:eastAsiaTheme="minorEastAsia" w:hAnsiTheme="minorHAnsi" w:cstheme="minorBidi"/>
          <w:b w:val="0"/>
          <w:caps w:val="0"/>
          <w:sz w:val="22"/>
          <w:szCs w:val="22"/>
          <w:lang w:eastAsia="en-AU"/>
        </w:rPr>
      </w:pPr>
      <w:hyperlink w:anchor="_Toc399928167" w:history="1">
        <w:r w:rsidR="000B2593" w:rsidRPr="00BC5BC4">
          <w:rPr>
            <w:rStyle w:val="Hyperlink"/>
          </w:rPr>
          <w:t>1</w:t>
        </w:r>
        <w:r w:rsidR="000B2593">
          <w:rPr>
            <w:rFonts w:asciiTheme="minorHAnsi" w:eastAsiaTheme="minorEastAsia" w:hAnsiTheme="minorHAnsi" w:cstheme="minorBidi"/>
            <w:b w:val="0"/>
            <w:caps w:val="0"/>
            <w:sz w:val="22"/>
            <w:szCs w:val="22"/>
            <w:lang w:eastAsia="en-AU"/>
          </w:rPr>
          <w:tab/>
        </w:r>
        <w:r w:rsidR="000B2593" w:rsidRPr="00BC5BC4">
          <w:rPr>
            <w:rStyle w:val="Hyperlink"/>
          </w:rPr>
          <w:t>Introduction</w:t>
        </w:r>
        <w:r w:rsidR="000B2593">
          <w:rPr>
            <w:webHidden/>
          </w:rPr>
          <w:tab/>
        </w:r>
        <w:r>
          <w:rPr>
            <w:webHidden/>
          </w:rPr>
          <w:fldChar w:fldCharType="begin"/>
        </w:r>
        <w:r w:rsidR="000B2593">
          <w:rPr>
            <w:webHidden/>
          </w:rPr>
          <w:instrText xml:space="preserve"> PAGEREF _Toc399928167 \h </w:instrText>
        </w:r>
        <w:r>
          <w:rPr>
            <w:webHidden/>
          </w:rPr>
        </w:r>
        <w:r>
          <w:rPr>
            <w:webHidden/>
          </w:rPr>
          <w:fldChar w:fldCharType="separate"/>
        </w:r>
        <w:r w:rsidR="00520CAB">
          <w:rPr>
            <w:webHidden/>
          </w:rPr>
          <w:t>2</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68" w:history="1">
        <w:r w:rsidR="000B2593" w:rsidRPr="00BC5BC4">
          <w:rPr>
            <w:rStyle w:val="Hyperlink"/>
          </w:rPr>
          <w:t>1.1</w:t>
        </w:r>
        <w:r w:rsidR="000B2593">
          <w:rPr>
            <w:rFonts w:asciiTheme="minorHAnsi" w:eastAsiaTheme="minorEastAsia" w:hAnsiTheme="minorHAnsi" w:cstheme="minorBidi"/>
            <w:szCs w:val="22"/>
            <w:lang w:eastAsia="en-AU"/>
          </w:rPr>
          <w:tab/>
        </w:r>
        <w:r w:rsidR="000B2593" w:rsidRPr="00BC5BC4">
          <w:rPr>
            <w:rStyle w:val="Hyperlink"/>
          </w:rPr>
          <w:t>Role and function of the Supervising Scientist</w:t>
        </w:r>
        <w:r w:rsidR="000B2593">
          <w:rPr>
            <w:webHidden/>
          </w:rPr>
          <w:tab/>
        </w:r>
        <w:r>
          <w:rPr>
            <w:webHidden/>
          </w:rPr>
          <w:fldChar w:fldCharType="begin"/>
        </w:r>
        <w:r w:rsidR="000B2593">
          <w:rPr>
            <w:webHidden/>
          </w:rPr>
          <w:instrText xml:space="preserve"> PAGEREF _Toc399928168 \h </w:instrText>
        </w:r>
        <w:r>
          <w:rPr>
            <w:webHidden/>
          </w:rPr>
        </w:r>
        <w:r>
          <w:rPr>
            <w:webHidden/>
          </w:rPr>
          <w:fldChar w:fldCharType="separate"/>
        </w:r>
        <w:r w:rsidR="00520CAB">
          <w:rPr>
            <w:webHidden/>
          </w:rPr>
          <w:t>2</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69" w:history="1">
        <w:r w:rsidR="000B2593" w:rsidRPr="00BC5BC4">
          <w:rPr>
            <w:rStyle w:val="Hyperlink"/>
          </w:rPr>
          <w:t>1.2</w:t>
        </w:r>
        <w:r w:rsidR="000B2593">
          <w:rPr>
            <w:rFonts w:asciiTheme="minorHAnsi" w:eastAsiaTheme="minorEastAsia" w:hAnsiTheme="minorHAnsi" w:cstheme="minorBidi"/>
            <w:szCs w:val="22"/>
            <w:lang w:eastAsia="en-AU"/>
          </w:rPr>
          <w:tab/>
        </w:r>
        <w:r w:rsidR="000B2593" w:rsidRPr="00BC5BC4">
          <w:rPr>
            <w:rStyle w:val="Hyperlink"/>
          </w:rPr>
          <w:t>Performance summary</w:t>
        </w:r>
        <w:r w:rsidR="000B2593">
          <w:rPr>
            <w:webHidden/>
          </w:rPr>
          <w:tab/>
        </w:r>
        <w:r>
          <w:rPr>
            <w:webHidden/>
          </w:rPr>
          <w:fldChar w:fldCharType="begin"/>
        </w:r>
        <w:r w:rsidR="000B2593">
          <w:rPr>
            <w:webHidden/>
          </w:rPr>
          <w:instrText xml:space="preserve"> PAGEREF _Toc399928169 \h </w:instrText>
        </w:r>
        <w:r>
          <w:rPr>
            <w:webHidden/>
          </w:rPr>
        </w:r>
        <w:r>
          <w:rPr>
            <w:webHidden/>
          </w:rPr>
          <w:fldChar w:fldCharType="separate"/>
        </w:r>
        <w:r w:rsidR="00520CAB">
          <w:rPr>
            <w:webHidden/>
          </w:rPr>
          <w:t>2</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70" w:history="1">
        <w:r w:rsidR="000B2593" w:rsidRPr="00BC5BC4">
          <w:rPr>
            <w:rStyle w:val="Hyperlink"/>
          </w:rPr>
          <w:t>1.3</w:t>
        </w:r>
        <w:r w:rsidR="000B2593">
          <w:rPr>
            <w:rFonts w:asciiTheme="minorHAnsi" w:eastAsiaTheme="minorEastAsia" w:hAnsiTheme="minorHAnsi" w:cstheme="minorBidi"/>
            <w:szCs w:val="22"/>
            <w:lang w:eastAsia="en-AU"/>
          </w:rPr>
          <w:tab/>
        </w:r>
        <w:r w:rsidR="000B2593" w:rsidRPr="00BC5BC4">
          <w:rPr>
            <w:rStyle w:val="Hyperlink"/>
          </w:rPr>
          <w:t>Business planning</w:t>
        </w:r>
        <w:r w:rsidR="000B2593">
          <w:rPr>
            <w:webHidden/>
          </w:rPr>
          <w:tab/>
        </w:r>
        <w:r>
          <w:rPr>
            <w:webHidden/>
          </w:rPr>
          <w:fldChar w:fldCharType="begin"/>
        </w:r>
        <w:r w:rsidR="000B2593">
          <w:rPr>
            <w:webHidden/>
          </w:rPr>
          <w:instrText xml:space="preserve"> PAGEREF _Toc399928170 \h </w:instrText>
        </w:r>
        <w:r>
          <w:rPr>
            <w:webHidden/>
          </w:rPr>
        </w:r>
        <w:r>
          <w:rPr>
            <w:webHidden/>
          </w:rPr>
          <w:fldChar w:fldCharType="separate"/>
        </w:r>
        <w:r w:rsidR="00520CAB">
          <w:rPr>
            <w:webHidden/>
          </w:rPr>
          <w:t>3</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71" w:history="1">
        <w:r w:rsidR="000B2593" w:rsidRPr="00BC5BC4">
          <w:rPr>
            <w:rStyle w:val="Hyperlink"/>
          </w:rPr>
          <w:t>1.4</w:t>
        </w:r>
        <w:r w:rsidR="000B2593">
          <w:rPr>
            <w:rFonts w:asciiTheme="minorHAnsi" w:eastAsiaTheme="minorEastAsia" w:hAnsiTheme="minorHAnsi" w:cstheme="minorBidi"/>
            <w:szCs w:val="22"/>
            <w:lang w:eastAsia="en-AU"/>
          </w:rPr>
          <w:tab/>
        </w:r>
        <w:r w:rsidR="000B2593" w:rsidRPr="00BC5BC4">
          <w:rPr>
            <w:rStyle w:val="Hyperlink"/>
          </w:rPr>
          <w:t>The Alligator Rivers Region and its uranium deposits</w:t>
        </w:r>
        <w:r w:rsidR="000B2593">
          <w:rPr>
            <w:webHidden/>
          </w:rPr>
          <w:tab/>
        </w:r>
        <w:r>
          <w:rPr>
            <w:webHidden/>
          </w:rPr>
          <w:fldChar w:fldCharType="begin"/>
        </w:r>
        <w:r w:rsidR="000B2593">
          <w:rPr>
            <w:webHidden/>
          </w:rPr>
          <w:instrText xml:space="preserve"> PAGEREF _Toc399928171 \h </w:instrText>
        </w:r>
        <w:r>
          <w:rPr>
            <w:webHidden/>
          </w:rPr>
        </w:r>
        <w:r>
          <w:rPr>
            <w:webHidden/>
          </w:rPr>
          <w:fldChar w:fldCharType="separate"/>
        </w:r>
        <w:r w:rsidR="00520CAB">
          <w:rPr>
            <w:webHidden/>
          </w:rPr>
          <w:t>3</w:t>
        </w:r>
        <w:r>
          <w:rPr>
            <w:webHidden/>
          </w:rPr>
          <w:fldChar w:fldCharType="end"/>
        </w:r>
      </w:hyperlink>
    </w:p>
    <w:p w:rsidR="000B2593" w:rsidRDefault="00F9111F">
      <w:pPr>
        <w:pStyle w:val="TOC1"/>
        <w:rPr>
          <w:rFonts w:asciiTheme="minorHAnsi" w:eastAsiaTheme="minorEastAsia" w:hAnsiTheme="minorHAnsi" w:cstheme="minorBidi"/>
          <w:b w:val="0"/>
          <w:caps w:val="0"/>
          <w:sz w:val="22"/>
          <w:szCs w:val="22"/>
          <w:lang w:eastAsia="en-AU"/>
        </w:rPr>
      </w:pPr>
      <w:hyperlink w:anchor="_Toc399928172" w:history="1">
        <w:r w:rsidR="000B2593" w:rsidRPr="00BC5BC4">
          <w:rPr>
            <w:rStyle w:val="Hyperlink"/>
          </w:rPr>
          <w:t>2</w:t>
        </w:r>
        <w:r w:rsidR="000B2593">
          <w:rPr>
            <w:rFonts w:asciiTheme="minorHAnsi" w:eastAsiaTheme="minorEastAsia" w:hAnsiTheme="minorHAnsi" w:cstheme="minorBidi"/>
            <w:b w:val="0"/>
            <w:caps w:val="0"/>
            <w:sz w:val="22"/>
            <w:szCs w:val="22"/>
            <w:lang w:eastAsia="en-AU"/>
          </w:rPr>
          <w:tab/>
        </w:r>
        <w:r w:rsidR="000B2593" w:rsidRPr="00BC5BC4">
          <w:rPr>
            <w:rStyle w:val="Hyperlink"/>
          </w:rPr>
          <w:t>Statutory committees</w:t>
        </w:r>
        <w:r w:rsidR="000B2593">
          <w:rPr>
            <w:webHidden/>
          </w:rPr>
          <w:tab/>
        </w:r>
        <w:r>
          <w:rPr>
            <w:webHidden/>
          </w:rPr>
          <w:fldChar w:fldCharType="begin"/>
        </w:r>
        <w:r w:rsidR="000B2593">
          <w:rPr>
            <w:webHidden/>
          </w:rPr>
          <w:instrText xml:space="preserve"> PAGEREF _Toc399928172 \h </w:instrText>
        </w:r>
        <w:r>
          <w:rPr>
            <w:webHidden/>
          </w:rPr>
        </w:r>
        <w:r>
          <w:rPr>
            <w:webHidden/>
          </w:rPr>
          <w:fldChar w:fldCharType="separate"/>
        </w:r>
        <w:r w:rsidR="00520CAB">
          <w:rPr>
            <w:webHidden/>
          </w:rPr>
          <w:t>6</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73" w:history="1">
        <w:r w:rsidR="000B2593" w:rsidRPr="00BC5BC4">
          <w:rPr>
            <w:rStyle w:val="Hyperlink"/>
          </w:rPr>
          <w:t>2.1</w:t>
        </w:r>
        <w:r w:rsidR="000B2593">
          <w:rPr>
            <w:rFonts w:asciiTheme="minorHAnsi" w:eastAsiaTheme="minorEastAsia" w:hAnsiTheme="minorHAnsi" w:cstheme="minorBidi"/>
            <w:szCs w:val="22"/>
            <w:lang w:eastAsia="en-AU"/>
          </w:rPr>
          <w:tab/>
        </w:r>
        <w:r w:rsidR="000B2593" w:rsidRPr="00BC5BC4">
          <w:rPr>
            <w:rStyle w:val="Hyperlink"/>
          </w:rPr>
          <w:t>Introduction</w:t>
        </w:r>
        <w:r w:rsidR="000B2593">
          <w:rPr>
            <w:webHidden/>
          </w:rPr>
          <w:tab/>
        </w:r>
        <w:r>
          <w:rPr>
            <w:webHidden/>
          </w:rPr>
          <w:fldChar w:fldCharType="begin"/>
        </w:r>
        <w:r w:rsidR="000B2593">
          <w:rPr>
            <w:webHidden/>
          </w:rPr>
          <w:instrText xml:space="preserve"> PAGEREF _Toc399928173 \h </w:instrText>
        </w:r>
        <w:r>
          <w:rPr>
            <w:webHidden/>
          </w:rPr>
        </w:r>
        <w:r>
          <w:rPr>
            <w:webHidden/>
          </w:rPr>
          <w:fldChar w:fldCharType="separate"/>
        </w:r>
        <w:r w:rsidR="00520CAB">
          <w:rPr>
            <w:webHidden/>
          </w:rPr>
          <w:t>6</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74" w:history="1">
        <w:r w:rsidR="000B2593" w:rsidRPr="00BC5BC4">
          <w:rPr>
            <w:rStyle w:val="Hyperlink"/>
          </w:rPr>
          <w:t>2.2</w:t>
        </w:r>
        <w:r w:rsidR="000B2593">
          <w:rPr>
            <w:rFonts w:asciiTheme="minorHAnsi" w:eastAsiaTheme="minorEastAsia" w:hAnsiTheme="minorHAnsi" w:cstheme="minorBidi"/>
            <w:szCs w:val="22"/>
            <w:lang w:eastAsia="en-AU"/>
          </w:rPr>
          <w:tab/>
        </w:r>
        <w:r w:rsidR="000B2593" w:rsidRPr="00BC5BC4">
          <w:rPr>
            <w:rStyle w:val="Hyperlink"/>
          </w:rPr>
          <w:t>Alligator Rivers Region Advisory Committee</w:t>
        </w:r>
        <w:r w:rsidR="000B2593">
          <w:rPr>
            <w:webHidden/>
          </w:rPr>
          <w:tab/>
        </w:r>
        <w:r>
          <w:rPr>
            <w:webHidden/>
          </w:rPr>
          <w:fldChar w:fldCharType="begin"/>
        </w:r>
        <w:r w:rsidR="000B2593">
          <w:rPr>
            <w:webHidden/>
          </w:rPr>
          <w:instrText xml:space="preserve"> PAGEREF _Toc399928174 \h </w:instrText>
        </w:r>
        <w:r>
          <w:rPr>
            <w:webHidden/>
          </w:rPr>
        </w:r>
        <w:r>
          <w:rPr>
            <w:webHidden/>
          </w:rPr>
          <w:fldChar w:fldCharType="separate"/>
        </w:r>
        <w:r w:rsidR="00520CAB">
          <w:rPr>
            <w:webHidden/>
          </w:rPr>
          <w:t>6</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75" w:history="1">
        <w:r w:rsidR="000B2593" w:rsidRPr="00BC5BC4">
          <w:rPr>
            <w:rStyle w:val="Hyperlink"/>
          </w:rPr>
          <w:t>2.3</w:t>
        </w:r>
        <w:r w:rsidR="000B2593">
          <w:rPr>
            <w:rFonts w:asciiTheme="minorHAnsi" w:eastAsiaTheme="minorEastAsia" w:hAnsiTheme="minorHAnsi" w:cstheme="minorBidi"/>
            <w:szCs w:val="22"/>
            <w:lang w:eastAsia="en-AU"/>
          </w:rPr>
          <w:tab/>
        </w:r>
        <w:r w:rsidR="000B2593" w:rsidRPr="00BC5BC4">
          <w:rPr>
            <w:rStyle w:val="Hyperlink"/>
          </w:rPr>
          <w:t>Alligator Rivers Region Technical Committee</w:t>
        </w:r>
        <w:r w:rsidR="000B2593">
          <w:rPr>
            <w:webHidden/>
          </w:rPr>
          <w:tab/>
        </w:r>
        <w:r>
          <w:rPr>
            <w:webHidden/>
          </w:rPr>
          <w:fldChar w:fldCharType="begin"/>
        </w:r>
        <w:r w:rsidR="000B2593">
          <w:rPr>
            <w:webHidden/>
          </w:rPr>
          <w:instrText xml:space="preserve"> PAGEREF _Toc399928175 \h </w:instrText>
        </w:r>
        <w:r>
          <w:rPr>
            <w:webHidden/>
          </w:rPr>
        </w:r>
        <w:r>
          <w:rPr>
            <w:webHidden/>
          </w:rPr>
          <w:fldChar w:fldCharType="separate"/>
        </w:r>
        <w:r w:rsidR="00520CAB">
          <w:rPr>
            <w:webHidden/>
          </w:rPr>
          <w:t>7</w:t>
        </w:r>
        <w:r>
          <w:rPr>
            <w:webHidden/>
          </w:rPr>
          <w:fldChar w:fldCharType="end"/>
        </w:r>
      </w:hyperlink>
    </w:p>
    <w:p w:rsidR="000B2593" w:rsidRDefault="00F9111F">
      <w:pPr>
        <w:pStyle w:val="TOC1"/>
        <w:rPr>
          <w:rFonts w:asciiTheme="minorHAnsi" w:eastAsiaTheme="minorEastAsia" w:hAnsiTheme="minorHAnsi" w:cstheme="minorBidi"/>
          <w:b w:val="0"/>
          <w:caps w:val="0"/>
          <w:sz w:val="22"/>
          <w:szCs w:val="22"/>
          <w:lang w:eastAsia="en-AU"/>
        </w:rPr>
      </w:pPr>
      <w:hyperlink w:anchor="_Toc399928176" w:history="1">
        <w:r w:rsidR="000B2593" w:rsidRPr="00BC5BC4">
          <w:rPr>
            <w:rStyle w:val="Hyperlink"/>
          </w:rPr>
          <w:t>3</w:t>
        </w:r>
        <w:r w:rsidR="000B2593">
          <w:rPr>
            <w:rFonts w:asciiTheme="minorHAnsi" w:eastAsiaTheme="minorEastAsia" w:hAnsiTheme="minorHAnsi" w:cstheme="minorBidi"/>
            <w:b w:val="0"/>
            <w:caps w:val="0"/>
            <w:sz w:val="22"/>
            <w:szCs w:val="22"/>
            <w:lang w:eastAsia="en-AU"/>
          </w:rPr>
          <w:tab/>
        </w:r>
        <w:r w:rsidR="000B2593" w:rsidRPr="00BC5BC4">
          <w:rPr>
            <w:rStyle w:val="Hyperlink"/>
          </w:rPr>
          <w:t>Environmental assessments of uranium mines</w:t>
        </w:r>
        <w:r w:rsidR="000B2593">
          <w:rPr>
            <w:webHidden/>
          </w:rPr>
          <w:tab/>
        </w:r>
        <w:r>
          <w:rPr>
            <w:webHidden/>
          </w:rPr>
          <w:fldChar w:fldCharType="begin"/>
        </w:r>
        <w:r w:rsidR="000B2593">
          <w:rPr>
            <w:webHidden/>
          </w:rPr>
          <w:instrText xml:space="preserve"> PAGEREF _Toc399928176 \h </w:instrText>
        </w:r>
        <w:r>
          <w:rPr>
            <w:webHidden/>
          </w:rPr>
        </w:r>
        <w:r>
          <w:rPr>
            <w:webHidden/>
          </w:rPr>
          <w:fldChar w:fldCharType="separate"/>
        </w:r>
        <w:r w:rsidR="00520CAB">
          <w:rPr>
            <w:webHidden/>
          </w:rPr>
          <w:t>9</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77" w:history="1">
        <w:r w:rsidR="000B2593" w:rsidRPr="00BC5BC4">
          <w:rPr>
            <w:rStyle w:val="Hyperlink"/>
          </w:rPr>
          <w:t>3.1</w:t>
        </w:r>
        <w:r w:rsidR="000B2593">
          <w:rPr>
            <w:rFonts w:asciiTheme="minorHAnsi" w:eastAsiaTheme="minorEastAsia" w:hAnsiTheme="minorHAnsi" w:cstheme="minorBidi"/>
            <w:szCs w:val="22"/>
            <w:lang w:eastAsia="en-AU"/>
          </w:rPr>
          <w:tab/>
        </w:r>
        <w:r w:rsidR="000B2593" w:rsidRPr="00BC5BC4">
          <w:rPr>
            <w:rStyle w:val="Hyperlink"/>
          </w:rPr>
          <w:t>Supervision process</w:t>
        </w:r>
        <w:r w:rsidR="000B2593">
          <w:rPr>
            <w:webHidden/>
          </w:rPr>
          <w:tab/>
        </w:r>
        <w:r>
          <w:rPr>
            <w:webHidden/>
          </w:rPr>
          <w:fldChar w:fldCharType="begin"/>
        </w:r>
        <w:r w:rsidR="000B2593">
          <w:rPr>
            <w:webHidden/>
          </w:rPr>
          <w:instrText xml:space="preserve"> PAGEREF _Toc399928177 \h </w:instrText>
        </w:r>
        <w:r>
          <w:rPr>
            <w:webHidden/>
          </w:rPr>
        </w:r>
        <w:r>
          <w:rPr>
            <w:webHidden/>
          </w:rPr>
          <w:fldChar w:fldCharType="separate"/>
        </w:r>
        <w:r w:rsidR="00520CAB">
          <w:rPr>
            <w:webHidden/>
          </w:rPr>
          <w:t>9</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78" w:history="1">
        <w:r w:rsidR="000B2593" w:rsidRPr="00BC5BC4">
          <w:rPr>
            <w:rStyle w:val="Hyperlink"/>
          </w:rPr>
          <w:t>3.2</w:t>
        </w:r>
        <w:r w:rsidR="000B2593">
          <w:rPr>
            <w:rFonts w:asciiTheme="minorHAnsi" w:eastAsiaTheme="minorEastAsia" w:hAnsiTheme="minorHAnsi" w:cstheme="minorBidi"/>
            <w:szCs w:val="22"/>
            <w:lang w:eastAsia="en-AU"/>
          </w:rPr>
          <w:tab/>
        </w:r>
        <w:r w:rsidR="000B2593" w:rsidRPr="00BC5BC4">
          <w:rPr>
            <w:rStyle w:val="Hyperlink"/>
          </w:rPr>
          <w:t>Ranger</w:t>
        </w:r>
        <w:r w:rsidR="000B2593">
          <w:rPr>
            <w:webHidden/>
          </w:rPr>
          <w:tab/>
        </w:r>
        <w:r>
          <w:rPr>
            <w:webHidden/>
          </w:rPr>
          <w:fldChar w:fldCharType="begin"/>
        </w:r>
        <w:r w:rsidR="000B2593">
          <w:rPr>
            <w:webHidden/>
          </w:rPr>
          <w:instrText xml:space="preserve"> PAGEREF _Toc399928178 \h </w:instrText>
        </w:r>
        <w:r>
          <w:rPr>
            <w:webHidden/>
          </w:rPr>
        </w:r>
        <w:r>
          <w:rPr>
            <w:webHidden/>
          </w:rPr>
          <w:fldChar w:fldCharType="separate"/>
        </w:r>
        <w:r w:rsidR="00520CAB">
          <w:rPr>
            <w:webHidden/>
          </w:rPr>
          <w:t>11</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79" w:history="1">
        <w:r w:rsidR="000B2593" w:rsidRPr="00BC5BC4">
          <w:rPr>
            <w:rStyle w:val="Hyperlink"/>
            <w:lang w:val="en-US"/>
          </w:rPr>
          <w:t>3.3</w:t>
        </w:r>
        <w:r w:rsidR="000B2593">
          <w:rPr>
            <w:rFonts w:asciiTheme="minorHAnsi" w:eastAsiaTheme="minorEastAsia" w:hAnsiTheme="minorHAnsi" w:cstheme="minorBidi"/>
            <w:szCs w:val="22"/>
            <w:lang w:eastAsia="en-AU"/>
          </w:rPr>
          <w:tab/>
        </w:r>
        <w:r w:rsidR="000B2593" w:rsidRPr="00BC5BC4">
          <w:rPr>
            <w:rStyle w:val="Hyperlink"/>
            <w:lang w:val="en-US"/>
          </w:rPr>
          <w:t>Jabiluka</w:t>
        </w:r>
        <w:r w:rsidR="000B2593">
          <w:rPr>
            <w:webHidden/>
          </w:rPr>
          <w:tab/>
        </w:r>
        <w:r>
          <w:rPr>
            <w:webHidden/>
          </w:rPr>
          <w:fldChar w:fldCharType="begin"/>
        </w:r>
        <w:r w:rsidR="000B2593">
          <w:rPr>
            <w:webHidden/>
          </w:rPr>
          <w:instrText xml:space="preserve"> PAGEREF _Toc399928179 \h </w:instrText>
        </w:r>
        <w:r>
          <w:rPr>
            <w:webHidden/>
          </w:rPr>
        </w:r>
        <w:r>
          <w:rPr>
            <w:webHidden/>
          </w:rPr>
          <w:fldChar w:fldCharType="separate"/>
        </w:r>
        <w:r w:rsidR="00520CAB">
          <w:rPr>
            <w:webHidden/>
          </w:rPr>
          <w:t>58</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80" w:history="1">
        <w:r w:rsidR="000B2593" w:rsidRPr="00BC5BC4">
          <w:rPr>
            <w:rStyle w:val="Hyperlink"/>
          </w:rPr>
          <w:t>3.4</w:t>
        </w:r>
        <w:r w:rsidR="000B2593">
          <w:rPr>
            <w:rFonts w:asciiTheme="minorHAnsi" w:eastAsiaTheme="minorEastAsia" w:hAnsiTheme="minorHAnsi" w:cstheme="minorBidi"/>
            <w:szCs w:val="22"/>
            <w:lang w:eastAsia="en-AU"/>
          </w:rPr>
          <w:tab/>
        </w:r>
        <w:r w:rsidR="000B2593" w:rsidRPr="00BC5BC4">
          <w:rPr>
            <w:rStyle w:val="Hyperlink"/>
          </w:rPr>
          <w:t>Nabarlek</w:t>
        </w:r>
        <w:r w:rsidR="000B2593">
          <w:rPr>
            <w:webHidden/>
          </w:rPr>
          <w:tab/>
        </w:r>
        <w:r>
          <w:rPr>
            <w:webHidden/>
          </w:rPr>
          <w:fldChar w:fldCharType="begin"/>
        </w:r>
        <w:r w:rsidR="000B2593">
          <w:rPr>
            <w:webHidden/>
          </w:rPr>
          <w:instrText xml:space="preserve"> PAGEREF _Toc399928180 \h </w:instrText>
        </w:r>
        <w:r>
          <w:rPr>
            <w:webHidden/>
          </w:rPr>
        </w:r>
        <w:r>
          <w:rPr>
            <w:webHidden/>
          </w:rPr>
          <w:fldChar w:fldCharType="separate"/>
        </w:r>
        <w:r w:rsidR="00520CAB">
          <w:rPr>
            <w:webHidden/>
          </w:rPr>
          <w:t>63</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81" w:history="1">
        <w:r w:rsidR="000B2593" w:rsidRPr="00BC5BC4">
          <w:rPr>
            <w:rStyle w:val="Hyperlink"/>
          </w:rPr>
          <w:t>3.5</w:t>
        </w:r>
        <w:r w:rsidR="000B2593">
          <w:rPr>
            <w:rFonts w:asciiTheme="minorHAnsi" w:eastAsiaTheme="minorEastAsia" w:hAnsiTheme="minorHAnsi" w:cstheme="minorBidi"/>
            <w:szCs w:val="22"/>
            <w:lang w:eastAsia="en-AU"/>
          </w:rPr>
          <w:tab/>
        </w:r>
        <w:r w:rsidR="000B2593" w:rsidRPr="00BC5BC4">
          <w:rPr>
            <w:rStyle w:val="Hyperlink"/>
          </w:rPr>
          <w:t>Other activities in the Alligator Rivers Region</w:t>
        </w:r>
        <w:r w:rsidR="000B2593">
          <w:rPr>
            <w:webHidden/>
          </w:rPr>
          <w:tab/>
        </w:r>
        <w:r>
          <w:rPr>
            <w:webHidden/>
          </w:rPr>
          <w:fldChar w:fldCharType="begin"/>
        </w:r>
        <w:r w:rsidR="000B2593">
          <w:rPr>
            <w:webHidden/>
          </w:rPr>
          <w:instrText xml:space="preserve"> PAGEREF _Toc399928181 \h </w:instrText>
        </w:r>
        <w:r>
          <w:rPr>
            <w:webHidden/>
          </w:rPr>
        </w:r>
        <w:r>
          <w:rPr>
            <w:webHidden/>
          </w:rPr>
          <w:fldChar w:fldCharType="separate"/>
        </w:r>
        <w:r w:rsidR="00520CAB">
          <w:rPr>
            <w:webHidden/>
          </w:rPr>
          <w:t>64</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82" w:history="1">
        <w:r w:rsidR="000B2593" w:rsidRPr="00BC5BC4">
          <w:rPr>
            <w:rStyle w:val="Hyperlink"/>
          </w:rPr>
          <w:t>3.6</w:t>
        </w:r>
        <w:r w:rsidR="000B2593">
          <w:rPr>
            <w:rFonts w:asciiTheme="minorHAnsi" w:eastAsiaTheme="minorEastAsia" w:hAnsiTheme="minorHAnsi" w:cstheme="minorBidi"/>
            <w:szCs w:val="22"/>
            <w:lang w:eastAsia="en-AU"/>
          </w:rPr>
          <w:tab/>
        </w:r>
        <w:r w:rsidR="000B2593" w:rsidRPr="00BC5BC4">
          <w:rPr>
            <w:rStyle w:val="Hyperlink"/>
          </w:rPr>
          <w:t>Radiological issues</w:t>
        </w:r>
        <w:r w:rsidR="000B2593">
          <w:rPr>
            <w:webHidden/>
          </w:rPr>
          <w:tab/>
        </w:r>
        <w:r>
          <w:rPr>
            <w:webHidden/>
          </w:rPr>
          <w:fldChar w:fldCharType="begin"/>
        </w:r>
        <w:r w:rsidR="000B2593">
          <w:rPr>
            <w:webHidden/>
          </w:rPr>
          <w:instrText xml:space="preserve"> PAGEREF _Toc399928182 \h </w:instrText>
        </w:r>
        <w:r>
          <w:rPr>
            <w:webHidden/>
          </w:rPr>
        </w:r>
        <w:r>
          <w:rPr>
            <w:webHidden/>
          </w:rPr>
          <w:fldChar w:fldCharType="separate"/>
        </w:r>
        <w:r w:rsidR="00520CAB">
          <w:rPr>
            <w:webHidden/>
          </w:rPr>
          <w:t>66</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83" w:history="1">
        <w:r w:rsidR="000B2593" w:rsidRPr="00BC5BC4">
          <w:rPr>
            <w:rStyle w:val="Hyperlink"/>
          </w:rPr>
          <w:t>3.7</w:t>
        </w:r>
        <w:r w:rsidR="000B2593">
          <w:rPr>
            <w:rFonts w:asciiTheme="minorHAnsi" w:eastAsiaTheme="minorEastAsia" w:hAnsiTheme="minorHAnsi" w:cstheme="minorBidi"/>
            <w:szCs w:val="22"/>
            <w:lang w:eastAsia="en-AU"/>
          </w:rPr>
          <w:tab/>
        </w:r>
        <w:r w:rsidR="000B2593" w:rsidRPr="00BC5BC4">
          <w:rPr>
            <w:rStyle w:val="Hyperlink"/>
          </w:rPr>
          <w:t>EPBC assessment advice</w:t>
        </w:r>
        <w:r w:rsidR="000B2593">
          <w:rPr>
            <w:webHidden/>
          </w:rPr>
          <w:tab/>
        </w:r>
        <w:r>
          <w:rPr>
            <w:webHidden/>
          </w:rPr>
          <w:fldChar w:fldCharType="begin"/>
        </w:r>
        <w:r w:rsidR="000B2593">
          <w:rPr>
            <w:webHidden/>
          </w:rPr>
          <w:instrText xml:space="preserve"> PAGEREF _Toc399928183 \h </w:instrText>
        </w:r>
        <w:r>
          <w:rPr>
            <w:webHidden/>
          </w:rPr>
        </w:r>
        <w:r>
          <w:rPr>
            <w:webHidden/>
          </w:rPr>
          <w:fldChar w:fldCharType="separate"/>
        </w:r>
        <w:r w:rsidR="00520CAB">
          <w:rPr>
            <w:webHidden/>
          </w:rPr>
          <w:t>75</w:t>
        </w:r>
        <w:r>
          <w:rPr>
            <w:webHidden/>
          </w:rPr>
          <w:fldChar w:fldCharType="end"/>
        </w:r>
      </w:hyperlink>
    </w:p>
    <w:p w:rsidR="000B2593" w:rsidRDefault="00F9111F">
      <w:pPr>
        <w:pStyle w:val="TOC1"/>
        <w:rPr>
          <w:rFonts w:asciiTheme="minorHAnsi" w:eastAsiaTheme="minorEastAsia" w:hAnsiTheme="minorHAnsi" w:cstheme="minorBidi"/>
          <w:b w:val="0"/>
          <w:caps w:val="0"/>
          <w:sz w:val="22"/>
          <w:szCs w:val="22"/>
          <w:lang w:eastAsia="en-AU"/>
        </w:rPr>
      </w:pPr>
      <w:hyperlink w:anchor="_Toc399928184" w:history="1">
        <w:r w:rsidR="000B2593" w:rsidRPr="00BC5BC4">
          <w:rPr>
            <w:rStyle w:val="Hyperlink"/>
          </w:rPr>
          <w:t>4</w:t>
        </w:r>
        <w:r w:rsidR="000B2593">
          <w:rPr>
            <w:rFonts w:asciiTheme="minorHAnsi" w:eastAsiaTheme="minorEastAsia" w:hAnsiTheme="minorHAnsi" w:cstheme="minorBidi"/>
            <w:b w:val="0"/>
            <w:caps w:val="0"/>
            <w:sz w:val="22"/>
            <w:szCs w:val="22"/>
            <w:lang w:eastAsia="en-AU"/>
          </w:rPr>
          <w:tab/>
        </w:r>
        <w:r w:rsidR="000B2593" w:rsidRPr="00BC5BC4">
          <w:rPr>
            <w:rStyle w:val="Hyperlink"/>
          </w:rPr>
          <w:t>Environmental research</w:t>
        </w:r>
        <w:r w:rsidR="000B2593">
          <w:rPr>
            <w:webHidden/>
          </w:rPr>
          <w:tab/>
        </w:r>
        <w:r>
          <w:rPr>
            <w:webHidden/>
          </w:rPr>
          <w:fldChar w:fldCharType="begin"/>
        </w:r>
        <w:r w:rsidR="000B2593">
          <w:rPr>
            <w:webHidden/>
          </w:rPr>
          <w:instrText xml:space="preserve"> PAGEREF _Toc399928184 \h </w:instrText>
        </w:r>
        <w:r>
          <w:rPr>
            <w:webHidden/>
          </w:rPr>
        </w:r>
        <w:r>
          <w:rPr>
            <w:webHidden/>
          </w:rPr>
          <w:fldChar w:fldCharType="separate"/>
        </w:r>
        <w:r w:rsidR="00520CAB">
          <w:rPr>
            <w:webHidden/>
          </w:rPr>
          <w:t>76</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85" w:history="1">
        <w:r w:rsidR="000B2593" w:rsidRPr="00BC5BC4">
          <w:rPr>
            <w:rStyle w:val="Hyperlink"/>
          </w:rPr>
          <w:t>4.1</w:t>
        </w:r>
        <w:r w:rsidR="000B2593">
          <w:rPr>
            <w:rFonts w:asciiTheme="minorHAnsi" w:eastAsiaTheme="minorEastAsia" w:hAnsiTheme="minorHAnsi" w:cstheme="minorBidi"/>
            <w:szCs w:val="22"/>
            <w:lang w:eastAsia="en-AU"/>
          </w:rPr>
          <w:tab/>
        </w:r>
        <w:r w:rsidR="000B2593" w:rsidRPr="00BC5BC4">
          <w:rPr>
            <w:rStyle w:val="Hyperlink"/>
          </w:rPr>
          <w:t>Introduction</w:t>
        </w:r>
        <w:r w:rsidR="000B2593">
          <w:rPr>
            <w:webHidden/>
          </w:rPr>
          <w:tab/>
        </w:r>
        <w:r>
          <w:rPr>
            <w:webHidden/>
          </w:rPr>
          <w:fldChar w:fldCharType="begin"/>
        </w:r>
        <w:r w:rsidR="000B2593">
          <w:rPr>
            <w:webHidden/>
          </w:rPr>
          <w:instrText xml:space="preserve"> PAGEREF _Toc399928185 \h </w:instrText>
        </w:r>
        <w:r>
          <w:rPr>
            <w:webHidden/>
          </w:rPr>
        </w:r>
        <w:r>
          <w:rPr>
            <w:webHidden/>
          </w:rPr>
          <w:fldChar w:fldCharType="separate"/>
        </w:r>
        <w:r w:rsidR="00520CAB">
          <w:rPr>
            <w:webHidden/>
          </w:rPr>
          <w:t>76</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86" w:history="1">
        <w:r w:rsidR="000B2593" w:rsidRPr="00BC5BC4">
          <w:rPr>
            <w:rStyle w:val="Hyperlink"/>
            <w:lang w:eastAsia="en-AU"/>
          </w:rPr>
          <w:t>4.2</w:t>
        </w:r>
        <w:r w:rsidR="000B2593">
          <w:rPr>
            <w:rFonts w:asciiTheme="minorHAnsi" w:eastAsiaTheme="minorEastAsia" w:hAnsiTheme="minorHAnsi" w:cstheme="minorBidi"/>
            <w:szCs w:val="22"/>
            <w:lang w:eastAsia="en-AU"/>
          </w:rPr>
          <w:tab/>
        </w:r>
        <w:r w:rsidR="000B2593" w:rsidRPr="00BC5BC4">
          <w:rPr>
            <w:rStyle w:val="Hyperlink"/>
            <w:i/>
          </w:rPr>
          <w:t>Hydra viridissima</w:t>
        </w:r>
        <w:r w:rsidR="000B2593" w:rsidRPr="00BC5BC4">
          <w:rPr>
            <w:rStyle w:val="Hyperlink"/>
          </w:rPr>
          <w:t xml:space="preserve"> (Green hydra) rapidly recovers from exposure to multiple magnesium pulses</w:t>
        </w:r>
        <w:r w:rsidR="000B2593">
          <w:rPr>
            <w:webHidden/>
          </w:rPr>
          <w:tab/>
        </w:r>
        <w:r>
          <w:rPr>
            <w:webHidden/>
          </w:rPr>
          <w:fldChar w:fldCharType="begin"/>
        </w:r>
        <w:r w:rsidR="000B2593">
          <w:rPr>
            <w:webHidden/>
          </w:rPr>
          <w:instrText xml:space="preserve"> PAGEREF _Toc399928186 \h </w:instrText>
        </w:r>
        <w:r>
          <w:rPr>
            <w:webHidden/>
          </w:rPr>
        </w:r>
        <w:r>
          <w:rPr>
            <w:webHidden/>
          </w:rPr>
          <w:fldChar w:fldCharType="separate"/>
        </w:r>
        <w:r w:rsidR="00520CAB">
          <w:rPr>
            <w:webHidden/>
          </w:rPr>
          <w:t>77</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87" w:history="1">
        <w:r w:rsidR="000B2593" w:rsidRPr="00BC5BC4">
          <w:rPr>
            <w:rStyle w:val="Hyperlink"/>
          </w:rPr>
          <w:t>4.3</w:t>
        </w:r>
        <w:r w:rsidR="000B2593">
          <w:rPr>
            <w:rFonts w:asciiTheme="minorHAnsi" w:eastAsiaTheme="minorEastAsia" w:hAnsiTheme="minorHAnsi" w:cstheme="minorBidi"/>
            <w:szCs w:val="22"/>
            <w:lang w:eastAsia="en-AU"/>
          </w:rPr>
          <w:tab/>
        </w:r>
        <w:r w:rsidR="000B2593" w:rsidRPr="00BC5BC4">
          <w:rPr>
            <w:rStyle w:val="Hyperlink"/>
          </w:rPr>
          <w:t>Derivation of a water quality trigger value for manganese</w:t>
        </w:r>
        <w:r w:rsidR="000B2593">
          <w:rPr>
            <w:webHidden/>
          </w:rPr>
          <w:tab/>
        </w:r>
        <w:r>
          <w:rPr>
            <w:webHidden/>
          </w:rPr>
          <w:fldChar w:fldCharType="begin"/>
        </w:r>
        <w:r w:rsidR="000B2593">
          <w:rPr>
            <w:webHidden/>
          </w:rPr>
          <w:instrText xml:space="preserve"> PAGEREF _Toc399928187 \h </w:instrText>
        </w:r>
        <w:r>
          <w:rPr>
            <w:webHidden/>
          </w:rPr>
        </w:r>
        <w:r>
          <w:rPr>
            <w:webHidden/>
          </w:rPr>
          <w:fldChar w:fldCharType="separate"/>
        </w:r>
        <w:r w:rsidR="00520CAB">
          <w:rPr>
            <w:webHidden/>
          </w:rPr>
          <w:t>84</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88" w:history="1">
        <w:r w:rsidR="000B2593" w:rsidRPr="00BC5BC4">
          <w:rPr>
            <w:rStyle w:val="Hyperlink"/>
          </w:rPr>
          <w:t>4.4</w:t>
        </w:r>
        <w:r w:rsidR="000B2593">
          <w:rPr>
            <w:rFonts w:asciiTheme="minorHAnsi" w:eastAsiaTheme="minorEastAsia" w:hAnsiTheme="minorHAnsi" w:cstheme="minorBidi"/>
            <w:szCs w:val="22"/>
            <w:lang w:eastAsia="en-AU"/>
          </w:rPr>
          <w:tab/>
        </w:r>
        <w:r w:rsidR="000B2593" w:rsidRPr="00BC5BC4">
          <w:rPr>
            <w:rStyle w:val="Hyperlink"/>
          </w:rPr>
          <w:t>Environmental factors associated with toxicity monitoring in Magela and Gulungul Creeks</w:t>
        </w:r>
        <w:r w:rsidR="000B2593">
          <w:rPr>
            <w:webHidden/>
          </w:rPr>
          <w:tab/>
        </w:r>
        <w:r>
          <w:rPr>
            <w:webHidden/>
          </w:rPr>
          <w:fldChar w:fldCharType="begin"/>
        </w:r>
        <w:r w:rsidR="000B2593">
          <w:rPr>
            <w:webHidden/>
          </w:rPr>
          <w:instrText xml:space="preserve"> PAGEREF _Toc399928188 \h </w:instrText>
        </w:r>
        <w:r>
          <w:rPr>
            <w:webHidden/>
          </w:rPr>
        </w:r>
        <w:r>
          <w:rPr>
            <w:webHidden/>
          </w:rPr>
          <w:fldChar w:fldCharType="separate"/>
        </w:r>
        <w:r w:rsidR="00520CAB">
          <w:rPr>
            <w:webHidden/>
          </w:rPr>
          <w:t>87</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89" w:history="1">
        <w:r w:rsidR="000B2593" w:rsidRPr="00BC5BC4">
          <w:rPr>
            <w:rStyle w:val="Hyperlink"/>
            <w:lang w:eastAsia="en-AU"/>
          </w:rPr>
          <w:t>4.4.2</w:t>
        </w:r>
        <w:r w:rsidR="000B2593">
          <w:rPr>
            <w:rFonts w:asciiTheme="minorHAnsi" w:eastAsiaTheme="minorEastAsia" w:hAnsiTheme="minorHAnsi" w:cstheme="minorBidi"/>
            <w:szCs w:val="22"/>
            <w:lang w:eastAsia="en-AU"/>
          </w:rPr>
          <w:tab/>
        </w:r>
        <w:r w:rsidR="000B2593" w:rsidRPr="00BC5BC4">
          <w:rPr>
            <w:rStyle w:val="Hyperlink"/>
            <w:lang w:eastAsia="en-AU"/>
          </w:rPr>
          <w:t xml:space="preserve"> Influences of ambient water quality on the snail egg production response</w:t>
        </w:r>
        <w:r w:rsidR="000B2593">
          <w:rPr>
            <w:webHidden/>
          </w:rPr>
          <w:tab/>
        </w:r>
        <w:r>
          <w:rPr>
            <w:webHidden/>
          </w:rPr>
          <w:fldChar w:fldCharType="begin"/>
        </w:r>
        <w:r w:rsidR="000B2593">
          <w:rPr>
            <w:webHidden/>
          </w:rPr>
          <w:instrText xml:space="preserve"> PAGEREF _Toc399928189 \h </w:instrText>
        </w:r>
        <w:r>
          <w:rPr>
            <w:webHidden/>
          </w:rPr>
        </w:r>
        <w:r>
          <w:rPr>
            <w:webHidden/>
          </w:rPr>
          <w:fldChar w:fldCharType="separate"/>
        </w:r>
        <w:r w:rsidR="00520CAB">
          <w:rPr>
            <w:webHidden/>
          </w:rPr>
          <w:t>90</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90" w:history="1">
        <w:r w:rsidR="000B2593" w:rsidRPr="00BC5BC4">
          <w:rPr>
            <w:rStyle w:val="Hyperlink"/>
            <w:lang w:eastAsia="en-AU"/>
          </w:rPr>
          <w:t>4.5</w:t>
        </w:r>
        <w:r w:rsidR="000B2593">
          <w:rPr>
            <w:rFonts w:asciiTheme="minorHAnsi" w:eastAsiaTheme="minorEastAsia" w:hAnsiTheme="minorHAnsi" w:cstheme="minorBidi"/>
            <w:szCs w:val="22"/>
            <w:lang w:eastAsia="en-AU"/>
          </w:rPr>
          <w:tab/>
        </w:r>
        <w:r w:rsidR="000B2593" w:rsidRPr="00BC5BC4">
          <w:rPr>
            <w:rStyle w:val="Hyperlink"/>
          </w:rPr>
          <w:t>Radon exhalation from a rehabilitated landform</w:t>
        </w:r>
        <w:r w:rsidR="000B2593">
          <w:rPr>
            <w:webHidden/>
          </w:rPr>
          <w:tab/>
        </w:r>
        <w:r>
          <w:rPr>
            <w:webHidden/>
          </w:rPr>
          <w:fldChar w:fldCharType="begin"/>
        </w:r>
        <w:r w:rsidR="000B2593">
          <w:rPr>
            <w:webHidden/>
          </w:rPr>
          <w:instrText xml:space="preserve"> PAGEREF _Toc399928190 \h </w:instrText>
        </w:r>
        <w:r>
          <w:rPr>
            <w:webHidden/>
          </w:rPr>
        </w:r>
        <w:r>
          <w:rPr>
            <w:webHidden/>
          </w:rPr>
          <w:fldChar w:fldCharType="separate"/>
        </w:r>
        <w:r w:rsidR="00520CAB">
          <w:rPr>
            <w:webHidden/>
          </w:rPr>
          <w:t>93</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91" w:history="1">
        <w:r w:rsidR="000B2593" w:rsidRPr="00BC5BC4">
          <w:rPr>
            <w:rStyle w:val="Hyperlink"/>
          </w:rPr>
          <w:t>4.6</w:t>
        </w:r>
        <w:r w:rsidR="000B2593">
          <w:rPr>
            <w:rFonts w:asciiTheme="minorHAnsi" w:eastAsiaTheme="minorEastAsia" w:hAnsiTheme="minorHAnsi" w:cstheme="minorBidi"/>
            <w:szCs w:val="22"/>
            <w:lang w:eastAsia="en-AU"/>
          </w:rPr>
          <w:tab/>
        </w:r>
        <w:r w:rsidR="000B2593" w:rsidRPr="00BC5BC4">
          <w:rPr>
            <w:rStyle w:val="Hyperlink"/>
          </w:rPr>
          <w:t>Post-rehabilitation radiation exposure due to Indigenous bush foods from terrestrial ecosystems</w:t>
        </w:r>
        <w:r w:rsidR="000B2593">
          <w:rPr>
            <w:webHidden/>
          </w:rPr>
          <w:tab/>
        </w:r>
        <w:r>
          <w:rPr>
            <w:webHidden/>
          </w:rPr>
          <w:fldChar w:fldCharType="begin"/>
        </w:r>
        <w:r w:rsidR="000B2593">
          <w:rPr>
            <w:webHidden/>
          </w:rPr>
          <w:instrText xml:space="preserve"> PAGEREF _Toc399928191 \h </w:instrText>
        </w:r>
        <w:r>
          <w:rPr>
            <w:webHidden/>
          </w:rPr>
        </w:r>
        <w:r>
          <w:rPr>
            <w:webHidden/>
          </w:rPr>
          <w:fldChar w:fldCharType="separate"/>
        </w:r>
        <w:r w:rsidR="00520CAB">
          <w:rPr>
            <w:webHidden/>
          </w:rPr>
          <w:t>97</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92" w:history="1">
        <w:r w:rsidR="000B2593" w:rsidRPr="00BC5BC4">
          <w:rPr>
            <w:rStyle w:val="Hyperlink"/>
          </w:rPr>
          <w:t>4.7</w:t>
        </w:r>
        <w:r w:rsidR="000B2593">
          <w:rPr>
            <w:rFonts w:asciiTheme="minorHAnsi" w:eastAsiaTheme="minorEastAsia" w:hAnsiTheme="minorHAnsi" w:cstheme="minorBidi"/>
            <w:szCs w:val="22"/>
            <w:lang w:eastAsia="en-AU"/>
          </w:rPr>
          <w:tab/>
        </w:r>
        <w:r w:rsidR="000B2593" w:rsidRPr="00BC5BC4">
          <w:rPr>
            <w:rStyle w:val="Hyperlink"/>
          </w:rPr>
          <w:t>Unmanned aerial system (UAS) demonstration project</w:t>
        </w:r>
        <w:r w:rsidR="000B2593">
          <w:rPr>
            <w:webHidden/>
          </w:rPr>
          <w:tab/>
        </w:r>
        <w:r>
          <w:rPr>
            <w:webHidden/>
          </w:rPr>
          <w:fldChar w:fldCharType="begin"/>
        </w:r>
        <w:r w:rsidR="000B2593">
          <w:rPr>
            <w:webHidden/>
          </w:rPr>
          <w:instrText xml:space="preserve"> PAGEREF _Toc399928192 \h </w:instrText>
        </w:r>
        <w:r>
          <w:rPr>
            <w:webHidden/>
          </w:rPr>
        </w:r>
        <w:r>
          <w:rPr>
            <w:webHidden/>
          </w:rPr>
          <w:fldChar w:fldCharType="separate"/>
        </w:r>
        <w:r w:rsidR="00520CAB">
          <w:rPr>
            <w:webHidden/>
          </w:rPr>
          <w:t>102</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93" w:history="1">
        <w:r w:rsidR="000B2593" w:rsidRPr="00BC5BC4">
          <w:rPr>
            <w:rStyle w:val="Hyperlink"/>
          </w:rPr>
          <w:t>4.8</w:t>
        </w:r>
        <w:r w:rsidR="000B2593">
          <w:rPr>
            <w:rFonts w:asciiTheme="minorHAnsi" w:eastAsiaTheme="minorEastAsia" w:hAnsiTheme="minorHAnsi" w:cstheme="minorBidi"/>
            <w:szCs w:val="22"/>
            <w:lang w:eastAsia="en-AU"/>
          </w:rPr>
          <w:tab/>
        </w:r>
        <w:r w:rsidR="000B2593" w:rsidRPr="00BC5BC4">
          <w:rPr>
            <w:rStyle w:val="Hyperlink"/>
          </w:rPr>
          <w:t>A multi-year assessment of landform evolution model predictions for a trial rehabilitated landform.</w:t>
        </w:r>
        <w:r w:rsidR="000B2593">
          <w:rPr>
            <w:webHidden/>
          </w:rPr>
          <w:tab/>
        </w:r>
        <w:r>
          <w:rPr>
            <w:webHidden/>
          </w:rPr>
          <w:fldChar w:fldCharType="begin"/>
        </w:r>
        <w:r w:rsidR="000B2593">
          <w:rPr>
            <w:webHidden/>
          </w:rPr>
          <w:instrText xml:space="preserve"> PAGEREF _Toc399928193 \h </w:instrText>
        </w:r>
        <w:r>
          <w:rPr>
            <w:webHidden/>
          </w:rPr>
        </w:r>
        <w:r>
          <w:rPr>
            <w:webHidden/>
          </w:rPr>
          <w:fldChar w:fldCharType="separate"/>
        </w:r>
        <w:r w:rsidR="00520CAB">
          <w:rPr>
            <w:webHidden/>
          </w:rPr>
          <w:t>106</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94" w:history="1">
        <w:r w:rsidR="000B2593" w:rsidRPr="00BC5BC4">
          <w:rPr>
            <w:rStyle w:val="Hyperlink"/>
          </w:rPr>
          <w:t>4.9</w:t>
        </w:r>
        <w:r w:rsidR="000B2593">
          <w:rPr>
            <w:rFonts w:asciiTheme="minorHAnsi" w:eastAsiaTheme="minorEastAsia" w:hAnsiTheme="minorHAnsi" w:cstheme="minorBidi"/>
            <w:szCs w:val="22"/>
            <w:lang w:eastAsia="en-AU"/>
          </w:rPr>
          <w:tab/>
        </w:r>
        <w:r w:rsidR="000B2593" w:rsidRPr="00BC5BC4">
          <w:rPr>
            <w:rStyle w:val="Hyperlink"/>
          </w:rPr>
          <w:t>Rehabilitation and closure ecological risk assessment for Ranger uranium mine</w:t>
        </w:r>
        <w:r w:rsidR="000B2593">
          <w:rPr>
            <w:webHidden/>
          </w:rPr>
          <w:tab/>
        </w:r>
        <w:r>
          <w:rPr>
            <w:webHidden/>
          </w:rPr>
          <w:fldChar w:fldCharType="begin"/>
        </w:r>
        <w:r w:rsidR="000B2593">
          <w:rPr>
            <w:webHidden/>
          </w:rPr>
          <w:instrText xml:space="preserve"> PAGEREF _Toc399928194 \h </w:instrText>
        </w:r>
        <w:r>
          <w:rPr>
            <w:webHidden/>
          </w:rPr>
        </w:r>
        <w:r>
          <w:rPr>
            <w:webHidden/>
          </w:rPr>
          <w:fldChar w:fldCharType="separate"/>
        </w:r>
        <w:r w:rsidR="00520CAB">
          <w:rPr>
            <w:webHidden/>
          </w:rPr>
          <w:t>112</w:t>
        </w:r>
        <w:r>
          <w:rPr>
            <w:webHidden/>
          </w:rPr>
          <w:fldChar w:fldCharType="end"/>
        </w:r>
      </w:hyperlink>
    </w:p>
    <w:p w:rsidR="000B2593" w:rsidRDefault="00F9111F">
      <w:pPr>
        <w:pStyle w:val="TOC1"/>
        <w:rPr>
          <w:rFonts w:asciiTheme="minorHAnsi" w:eastAsiaTheme="minorEastAsia" w:hAnsiTheme="minorHAnsi" w:cstheme="minorBidi"/>
          <w:b w:val="0"/>
          <w:caps w:val="0"/>
          <w:sz w:val="22"/>
          <w:szCs w:val="22"/>
          <w:lang w:eastAsia="en-AU"/>
        </w:rPr>
      </w:pPr>
      <w:hyperlink w:anchor="_Toc399928195" w:history="1">
        <w:r w:rsidR="000B2593" w:rsidRPr="00BC5BC4">
          <w:rPr>
            <w:rStyle w:val="Hyperlink"/>
          </w:rPr>
          <w:t>5</w:t>
        </w:r>
        <w:r w:rsidR="000B2593">
          <w:rPr>
            <w:rFonts w:asciiTheme="minorHAnsi" w:eastAsiaTheme="minorEastAsia" w:hAnsiTheme="minorHAnsi" w:cstheme="minorBidi"/>
            <w:b w:val="0"/>
            <w:caps w:val="0"/>
            <w:sz w:val="22"/>
            <w:szCs w:val="22"/>
            <w:lang w:eastAsia="en-AU"/>
          </w:rPr>
          <w:tab/>
        </w:r>
        <w:r w:rsidR="000B2593" w:rsidRPr="00BC5BC4">
          <w:rPr>
            <w:rStyle w:val="Hyperlink"/>
          </w:rPr>
          <w:t>Other science and technical activities</w:t>
        </w:r>
        <w:r w:rsidR="000B2593">
          <w:rPr>
            <w:webHidden/>
          </w:rPr>
          <w:tab/>
        </w:r>
        <w:r>
          <w:rPr>
            <w:webHidden/>
          </w:rPr>
          <w:fldChar w:fldCharType="begin"/>
        </w:r>
        <w:r w:rsidR="000B2593">
          <w:rPr>
            <w:webHidden/>
          </w:rPr>
          <w:instrText xml:space="preserve"> PAGEREF _Toc399928195 \h </w:instrText>
        </w:r>
        <w:r>
          <w:rPr>
            <w:webHidden/>
          </w:rPr>
        </w:r>
        <w:r>
          <w:rPr>
            <w:webHidden/>
          </w:rPr>
          <w:fldChar w:fldCharType="separate"/>
        </w:r>
        <w:r w:rsidR="00520CAB">
          <w:rPr>
            <w:webHidden/>
          </w:rPr>
          <w:t>117</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96" w:history="1">
        <w:r w:rsidR="000B2593" w:rsidRPr="00BC5BC4">
          <w:rPr>
            <w:rStyle w:val="Hyperlink"/>
          </w:rPr>
          <w:t>5.1</w:t>
        </w:r>
        <w:r w:rsidR="000B2593">
          <w:rPr>
            <w:rFonts w:asciiTheme="minorHAnsi" w:eastAsiaTheme="minorEastAsia" w:hAnsiTheme="minorHAnsi" w:cstheme="minorBidi"/>
            <w:szCs w:val="22"/>
            <w:lang w:eastAsia="en-AU"/>
          </w:rPr>
          <w:tab/>
        </w:r>
        <w:r w:rsidR="000B2593" w:rsidRPr="00BC5BC4">
          <w:rPr>
            <w:rStyle w:val="Hyperlink"/>
          </w:rPr>
          <w:t>Introduction</w:t>
        </w:r>
        <w:r w:rsidR="000B2593">
          <w:rPr>
            <w:webHidden/>
          </w:rPr>
          <w:tab/>
        </w:r>
        <w:r>
          <w:rPr>
            <w:webHidden/>
          </w:rPr>
          <w:fldChar w:fldCharType="begin"/>
        </w:r>
        <w:r w:rsidR="000B2593">
          <w:rPr>
            <w:webHidden/>
          </w:rPr>
          <w:instrText xml:space="preserve"> PAGEREF _Toc399928196 \h </w:instrText>
        </w:r>
        <w:r>
          <w:rPr>
            <w:webHidden/>
          </w:rPr>
        </w:r>
        <w:r>
          <w:rPr>
            <w:webHidden/>
          </w:rPr>
          <w:fldChar w:fldCharType="separate"/>
        </w:r>
        <w:r w:rsidR="00520CAB">
          <w:rPr>
            <w:webHidden/>
          </w:rPr>
          <w:t>117</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97" w:history="1">
        <w:r w:rsidR="000B2593" w:rsidRPr="00BC5BC4">
          <w:rPr>
            <w:rStyle w:val="Hyperlink"/>
          </w:rPr>
          <w:t>5.2</w:t>
        </w:r>
        <w:r w:rsidR="000B2593">
          <w:rPr>
            <w:rFonts w:asciiTheme="minorHAnsi" w:eastAsiaTheme="minorEastAsia" w:hAnsiTheme="minorHAnsi" w:cstheme="minorBidi"/>
            <w:szCs w:val="22"/>
            <w:lang w:eastAsia="en-AU"/>
          </w:rPr>
          <w:tab/>
        </w:r>
        <w:r w:rsidR="000B2593" w:rsidRPr="00BC5BC4">
          <w:rPr>
            <w:rStyle w:val="Hyperlink"/>
          </w:rPr>
          <w:t>National initiatives for radiation protection of the environment</w:t>
        </w:r>
        <w:r w:rsidR="000B2593">
          <w:rPr>
            <w:webHidden/>
          </w:rPr>
          <w:tab/>
        </w:r>
        <w:r>
          <w:rPr>
            <w:webHidden/>
          </w:rPr>
          <w:fldChar w:fldCharType="begin"/>
        </w:r>
        <w:r w:rsidR="000B2593">
          <w:rPr>
            <w:webHidden/>
          </w:rPr>
          <w:instrText xml:space="preserve"> PAGEREF _Toc399928197 \h </w:instrText>
        </w:r>
        <w:r>
          <w:rPr>
            <w:webHidden/>
          </w:rPr>
        </w:r>
        <w:r>
          <w:rPr>
            <w:webHidden/>
          </w:rPr>
          <w:fldChar w:fldCharType="separate"/>
        </w:r>
        <w:r w:rsidR="00520CAB">
          <w:rPr>
            <w:webHidden/>
          </w:rPr>
          <w:t>117</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98" w:history="1">
        <w:r w:rsidR="000B2593" w:rsidRPr="00BC5BC4">
          <w:rPr>
            <w:rStyle w:val="Hyperlink"/>
          </w:rPr>
          <w:t>5.3</w:t>
        </w:r>
        <w:r w:rsidR="000B2593">
          <w:rPr>
            <w:rFonts w:asciiTheme="minorHAnsi" w:eastAsiaTheme="minorEastAsia" w:hAnsiTheme="minorHAnsi" w:cstheme="minorBidi"/>
            <w:szCs w:val="22"/>
            <w:lang w:eastAsia="en-AU"/>
          </w:rPr>
          <w:tab/>
        </w:r>
        <w:r w:rsidR="000B2593" w:rsidRPr="00BC5BC4">
          <w:rPr>
            <w:rStyle w:val="Hyperlink"/>
          </w:rPr>
          <w:t>The IAEA’s MODARIA program</w:t>
        </w:r>
        <w:r w:rsidR="000B2593">
          <w:rPr>
            <w:webHidden/>
          </w:rPr>
          <w:tab/>
        </w:r>
        <w:r>
          <w:rPr>
            <w:webHidden/>
          </w:rPr>
          <w:fldChar w:fldCharType="begin"/>
        </w:r>
        <w:r w:rsidR="000B2593">
          <w:rPr>
            <w:webHidden/>
          </w:rPr>
          <w:instrText xml:space="preserve"> PAGEREF _Toc399928198 \h </w:instrText>
        </w:r>
        <w:r>
          <w:rPr>
            <w:webHidden/>
          </w:rPr>
        </w:r>
        <w:r>
          <w:rPr>
            <w:webHidden/>
          </w:rPr>
          <w:fldChar w:fldCharType="separate"/>
        </w:r>
        <w:r w:rsidR="00520CAB">
          <w:rPr>
            <w:webHidden/>
          </w:rPr>
          <w:t>117</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199" w:history="1">
        <w:r w:rsidR="000B2593" w:rsidRPr="00BC5BC4">
          <w:rPr>
            <w:rStyle w:val="Hyperlink"/>
          </w:rPr>
          <w:t>5.4</w:t>
        </w:r>
        <w:r w:rsidR="000B2593">
          <w:rPr>
            <w:rFonts w:asciiTheme="minorHAnsi" w:eastAsiaTheme="minorEastAsia" w:hAnsiTheme="minorHAnsi" w:cstheme="minorBidi"/>
            <w:szCs w:val="22"/>
            <w:lang w:eastAsia="en-AU"/>
          </w:rPr>
          <w:tab/>
        </w:r>
        <w:r w:rsidR="000B2593" w:rsidRPr="00BC5BC4">
          <w:rPr>
            <w:rStyle w:val="Hyperlink"/>
          </w:rPr>
          <w:t>The International Union of Radioecology</w:t>
        </w:r>
        <w:r w:rsidR="000B2593">
          <w:rPr>
            <w:webHidden/>
          </w:rPr>
          <w:tab/>
        </w:r>
        <w:r>
          <w:rPr>
            <w:webHidden/>
          </w:rPr>
          <w:fldChar w:fldCharType="begin"/>
        </w:r>
        <w:r w:rsidR="000B2593">
          <w:rPr>
            <w:webHidden/>
          </w:rPr>
          <w:instrText xml:space="preserve"> PAGEREF _Toc399928199 \h </w:instrText>
        </w:r>
        <w:r>
          <w:rPr>
            <w:webHidden/>
          </w:rPr>
        </w:r>
        <w:r>
          <w:rPr>
            <w:webHidden/>
          </w:rPr>
          <w:fldChar w:fldCharType="separate"/>
        </w:r>
        <w:r w:rsidR="00520CAB">
          <w:rPr>
            <w:webHidden/>
          </w:rPr>
          <w:t>118</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00" w:history="1">
        <w:r w:rsidR="000B2593" w:rsidRPr="00BC5BC4">
          <w:rPr>
            <w:rStyle w:val="Hyperlink"/>
          </w:rPr>
          <w:t>5.5</w:t>
        </w:r>
        <w:r w:rsidR="000B2593">
          <w:rPr>
            <w:rFonts w:asciiTheme="minorHAnsi" w:eastAsiaTheme="minorEastAsia" w:hAnsiTheme="minorHAnsi" w:cstheme="minorBidi"/>
            <w:szCs w:val="22"/>
            <w:lang w:eastAsia="en-AU"/>
          </w:rPr>
          <w:tab/>
        </w:r>
        <w:r w:rsidR="000B2593" w:rsidRPr="00BC5BC4">
          <w:rPr>
            <w:rStyle w:val="Hyperlink"/>
          </w:rPr>
          <w:t>Revision of National Water Quality Guidelines</w:t>
        </w:r>
        <w:r w:rsidR="000B2593">
          <w:rPr>
            <w:webHidden/>
          </w:rPr>
          <w:tab/>
        </w:r>
        <w:r>
          <w:rPr>
            <w:webHidden/>
          </w:rPr>
          <w:fldChar w:fldCharType="begin"/>
        </w:r>
        <w:r w:rsidR="000B2593">
          <w:rPr>
            <w:webHidden/>
          </w:rPr>
          <w:instrText xml:space="preserve"> PAGEREF _Toc399928200 \h </w:instrText>
        </w:r>
        <w:r>
          <w:rPr>
            <w:webHidden/>
          </w:rPr>
        </w:r>
        <w:r>
          <w:rPr>
            <w:webHidden/>
          </w:rPr>
          <w:fldChar w:fldCharType="separate"/>
        </w:r>
        <w:r w:rsidR="00520CAB">
          <w:rPr>
            <w:webHidden/>
          </w:rPr>
          <w:t>118</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01" w:history="1">
        <w:r w:rsidR="000B2593" w:rsidRPr="00BC5BC4">
          <w:rPr>
            <w:rStyle w:val="Hyperlink"/>
          </w:rPr>
          <w:t>5.6</w:t>
        </w:r>
        <w:r w:rsidR="000B2593">
          <w:rPr>
            <w:rFonts w:asciiTheme="minorHAnsi" w:eastAsiaTheme="minorEastAsia" w:hAnsiTheme="minorHAnsi" w:cstheme="minorBidi"/>
            <w:szCs w:val="22"/>
            <w:lang w:eastAsia="en-AU"/>
          </w:rPr>
          <w:tab/>
        </w:r>
        <w:r w:rsidR="000B2593" w:rsidRPr="00BC5BC4">
          <w:rPr>
            <w:rStyle w:val="Hyperlink"/>
          </w:rPr>
          <w:t>National Environmental Research Program (NERP)</w:t>
        </w:r>
        <w:r w:rsidR="000B2593">
          <w:rPr>
            <w:webHidden/>
          </w:rPr>
          <w:tab/>
        </w:r>
        <w:r>
          <w:rPr>
            <w:webHidden/>
          </w:rPr>
          <w:fldChar w:fldCharType="begin"/>
        </w:r>
        <w:r w:rsidR="000B2593">
          <w:rPr>
            <w:webHidden/>
          </w:rPr>
          <w:instrText xml:space="preserve"> PAGEREF _Toc399928201 \h </w:instrText>
        </w:r>
        <w:r>
          <w:rPr>
            <w:webHidden/>
          </w:rPr>
        </w:r>
        <w:r>
          <w:rPr>
            <w:webHidden/>
          </w:rPr>
          <w:fldChar w:fldCharType="separate"/>
        </w:r>
        <w:r w:rsidR="00520CAB">
          <w:rPr>
            <w:webHidden/>
          </w:rPr>
          <w:t>119</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02" w:history="1">
        <w:r w:rsidR="000B2593" w:rsidRPr="00BC5BC4">
          <w:rPr>
            <w:rStyle w:val="Hyperlink"/>
          </w:rPr>
          <w:t>5.7</w:t>
        </w:r>
        <w:r w:rsidR="000B2593">
          <w:rPr>
            <w:rFonts w:asciiTheme="minorHAnsi" w:eastAsiaTheme="minorEastAsia" w:hAnsiTheme="minorHAnsi" w:cstheme="minorBidi"/>
            <w:szCs w:val="22"/>
            <w:lang w:eastAsia="en-AU"/>
          </w:rPr>
          <w:tab/>
        </w:r>
        <w:r w:rsidR="000B2593" w:rsidRPr="00BC5BC4">
          <w:rPr>
            <w:rStyle w:val="Hyperlink"/>
          </w:rPr>
          <w:t>Kakadu Research Advisory Committee</w:t>
        </w:r>
        <w:r w:rsidR="000B2593">
          <w:rPr>
            <w:webHidden/>
          </w:rPr>
          <w:tab/>
        </w:r>
        <w:r>
          <w:rPr>
            <w:webHidden/>
          </w:rPr>
          <w:fldChar w:fldCharType="begin"/>
        </w:r>
        <w:r w:rsidR="000B2593">
          <w:rPr>
            <w:webHidden/>
          </w:rPr>
          <w:instrText xml:space="preserve"> PAGEREF _Toc399928202 \h </w:instrText>
        </w:r>
        <w:r>
          <w:rPr>
            <w:webHidden/>
          </w:rPr>
        </w:r>
        <w:r>
          <w:rPr>
            <w:webHidden/>
          </w:rPr>
          <w:fldChar w:fldCharType="separate"/>
        </w:r>
        <w:r w:rsidR="00520CAB">
          <w:rPr>
            <w:webHidden/>
          </w:rPr>
          <w:t>119</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03" w:history="1">
        <w:r w:rsidR="000B2593" w:rsidRPr="00BC5BC4">
          <w:rPr>
            <w:rStyle w:val="Hyperlink"/>
          </w:rPr>
          <w:t>5.8</w:t>
        </w:r>
        <w:r w:rsidR="000B2593">
          <w:rPr>
            <w:rFonts w:asciiTheme="minorHAnsi" w:eastAsiaTheme="minorEastAsia" w:hAnsiTheme="minorHAnsi" w:cstheme="minorBidi"/>
            <w:szCs w:val="22"/>
            <w:lang w:eastAsia="en-AU"/>
          </w:rPr>
          <w:tab/>
        </w:r>
        <w:r w:rsidR="000B2593" w:rsidRPr="00BC5BC4">
          <w:rPr>
            <w:rStyle w:val="Hyperlink"/>
          </w:rPr>
          <w:t>EPBC compliance audits</w:t>
        </w:r>
        <w:r w:rsidR="000B2593">
          <w:rPr>
            <w:webHidden/>
          </w:rPr>
          <w:tab/>
        </w:r>
        <w:r>
          <w:rPr>
            <w:webHidden/>
          </w:rPr>
          <w:fldChar w:fldCharType="begin"/>
        </w:r>
        <w:r w:rsidR="000B2593">
          <w:rPr>
            <w:webHidden/>
          </w:rPr>
          <w:instrText xml:space="preserve"> PAGEREF _Toc399928203 \h </w:instrText>
        </w:r>
        <w:r>
          <w:rPr>
            <w:webHidden/>
          </w:rPr>
        </w:r>
        <w:r>
          <w:rPr>
            <w:webHidden/>
          </w:rPr>
          <w:fldChar w:fldCharType="separate"/>
        </w:r>
        <w:r w:rsidR="00520CAB">
          <w:rPr>
            <w:webHidden/>
          </w:rPr>
          <w:t>119</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04" w:history="1">
        <w:r w:rsidR="000B2593" w:rsidRPr="00BC5BC4">
          <w:rPr>
            <w:rStyle w:val="Hyperlink"/>
          </w:rPr>
          <w:t>5.9</w:t>
        </w:r>
        <w:r w:rsidR="000B2593">
          <w:rPr>
            <w:rFonts w:asciiTheme="minorHAnsi" w:eastAsiaTheme="minorEastAsia" w:hAnsiTheme="minorHAnsi" w:cstheme="minorBidi"/>
            <w:szCs w:val="22"/>
            <w:lang w:eastAsia="en-AU"/>
          </w:rPr>
          <w:tab/>
        </w:r>
        <w:r w:rsidR="000B2593" w:rsidRPr="00BC5BC4">
          <w:rPr>
            <w:rStyle w:val="Hyperlink"/>
          </w:rPr>
          <w:t>Rum Jungle Technical Working Group</w:t>
        </w:r>
        <w:r w:rsidR="000B2593">
          <w:rPr>
            <w:webHidden/>
          </w:rPr>
          <w:tab/>
        </w:r>
        <w:r>
          <w:rPr>
            <w:webHidden/>
          </w:rPr>
          <w:fldChar w:fldCharType="begin"/>
        </w:r>
        <w:r w:rsidR="000B2593">
          <w:rPr>
            <w:webHidden/>
          </w:rPr>
          <w:instrText xml:space="preserve"> PAGEREF _Toc399928204 \h </w:instrText>
        </w:r>
        <w:r>
          <w:rPr>
            <w:webHidden/>
          </w:rPr>
        </w:r>
        <w:r>
          <w:rPr>
            <w:webHidden/>
          </w:rPr>
          <w:fldChar w:fldCharType="separate"/>
        </w:r>
        <w:r w:rsidR="00520CAB">
          <w:rPr>
            <w:webHidden/>
          </w:rPr>
          <w:t>119</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05" w:history="1">
        <w:r w:rsidR="000B2593" w:rsidRPr="00BC5BC4">
          <w:rPr>
            <w:rStyle w:val="Hyperlink"/>
          </w:rPr>
          <w:t>5.10</w:t>
        </w:r>
        <w:r w:rsidR="000B2593">
          <w:rPr>
            <w:rFonts w:asciiTheme="minorHAnsi" w:eastAsiaTheme="minorEastAsia" w:hAnsiTheme="minorHAnsi" w:cstheme="minorBidi"/>
            <w:szCs w:val="22"/>
            <w:lang w:eastAsia="en-AU"/>
          </w:rPr>
          <w:tab/>
        </w:r>
        <w:r w:rsidR="000B2593" w:rsidRPr="00BC5BC4">
          <w:rPr>
            <w:rStyle w:val="Hyperlink"/>
          </w:rPr>
          <w:t xml:space="preserve"> Advice to DoE’s expert panel for major coal seam gas projects</w:t>
        </w:r>
        <w:r w:rsidR="000B2593">
          <w:rPr>
            <w:webHidden/>
          </w:rPr>
          <w:tab/>
        </w:r>
        <w:r>
          <w:rPr>
            <w:webHidden/>
          </w:rPr>
          <w:fldChar w:fldCharType="begin"/>
        </w:r>
        <w:r w:rsidR="000B2593">
          <w:rPr>
            <w:webHidden/>
          </w:rPr>
          <w:instrText xml:space="preserve"> PAGEREF _Toc399928205 \h </w:instrText>
        </w:r>
        <w:r>
          <w:rPr>
            <w:webHidden/>
          </w:rPr>
        </w:r>
        <w:r>
          <w:rPr>
            <w:webHidden/>
          </w:rPr>
          <w:fldChar w:fldCharType="separate"/>
        </w:r>
        <w:r w:rsidR="00520CAB">
          <w:rPr>
            <w:webHidden/>
          </w:rPr>
          <w:t>120</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06" w:history="1">
        <w:r w:rsidR="000B2593" w:rsidRPr="00BC5BC4">
          <w:rPr>
            <w:rStyle w:val="Hyperlink"/>
          </w:rPr>
          <w:t>5.11</w:t>
        </w:r>
        <w:r w:rsidR="000B2593">
          <w:rPr>
            <w:rFonts w:asciiTheme="minorHAnsi" w:eastAsiaTheme="minorEastAsia" w:hAnsiTheme="minorHAnsi" w:cstheme="minorBidi"/>
            <w:szCs w:val="22"/>
            <w:lang w:eastAsia="en-AU"/>
          </w:rPr>
          <w:tab/>
        </w:r>
        <w:r w:rsidR="000B2593" w:rsidRPr="00BC5BC4">
          <w:rPr>
            <w:rStyle w:val="Hyperlink"/>
          </w:rPr>
          <w:t xml:space="preserve"> Developing toxicity testing methods for tropical marine species</w:t>
        </w:r>
        <w:r w:rsidR="000B2593">
          <w:rPr>
            <w:webHidden/>
          </w:rPr>
          <w:tab/>
        </w:r>
        <w:r>
          <w:rPr>
            <w:webHidden/>
          </w:rPr>
          <w:fldChar w:fldCharType="begin"/>
        </w:r>
        <w:r w:rsidR="000B2593">
          <w:rPr>
            <w:webHidden/>
          </w:rPr>
          <w:instrText xml:space="preserve"> PAGEREF _Toc399928206 \h </w:instrText>
        </w:r>
        <w:r>
          <w:rPr>
            <w:webHidden/>
          </w:rPr>
        </w:r>
        <w:r>
          <w:rPr>
            <w:webHidden/>
          </w:rPr>
          <w:fldChar w:fldCharType="separate"/>
        </w:r>
        <w:r w:rsidR="00520CAB">
          <w:rPr>
            <w:webHidden/>
          </w:rPr>
          <w:t>121</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07" w:history="1">
        <w:r w:rsidR="000B2593" w:rsidRPr="00BC5BC4">
          <w:rPr>
            <w:rStyle w:val="Hyperlink"/>
          </w:rPr>
          <w:t>5.12</w:t>
        </w:r>
        <w:r w:rsidR="000B2593">
          <w:rPr>
            <w:rFonts w:asciiTheme="minorHAnsi" w:eastAsiaTheme="minorEastAsia" w:hAnsiTheme="minorHAnsi" w:cstheme="minorBidi"/>
            <w:szCs w:val="22"/>
            <w:lang w:eastAsia="en-AU"/>
          </w:rPr>
          <w:tab/>
        </w:r>
        <w:r w:rsidR="000B2593" w:rsidRPr="00BC5BC4">
          <w:rPr>
            <w:rStyle w:val="Hyperlink"/>
          </w:rPr>
          <w:t xml:space="preserve"> Advice to DoI regarding the environmental hazard classification of uranium products</w:t>
        </w:r>
        <w:r w:rsidR="000B2593">
          <w:rPr>
            <w:webHidden/>
          </w:rPr>
          <w:tab/>
        </w:r>
        <w:r>
          <w:rPr>
            <w:webHidden/>
          </w:rPr>
          <w:fldChar w:fldCharType="begin"/>
        </w:r>
        <w:r w:rsidR="000B2593">
          <w:rPr>
            <w:webHidden/>
          </w:rPr>
          <w:instrText xml:space="preserve"> PAGEREF _Toc399928207 \h </w:instrText>
        </w:r>
        <w:r>
          <w:rPr>
            <w:webHidden/>
          </w:rPr>
        </w:r>
        <w:r>
          <w:rPr>
            <w:webHidden/>
          </w:rPr>
          <w:fldChar w:fldCharType="separate"/>
        </w:r>
        <w:r w:rsidR="00520CAB">
          <w:rPr>
            <w:webHidden/>
          </w:rPr>
          <w:t>121</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08" w:history="1">
        <w:r w:rsidR="000B2593" w:rsidRPr="00BC5BC4">
          <w:rPr>
            <w:rStyle w:val="Hyperlink"/>
          </w:rPr>
          <w:t xml:space="preserve">5.13 </w:t>
        </w:r>
        <w:r w:rsidR="000B2593">
          <w:rPr>
            <w:rFonts w:asciiTheme="minorHAnsi" w:eastAsiaTheme="minorEastAsia" w:hAnsiTheme="minorHAnsi" w:cstheme="minorBidi"/>
            <w:szCs w:val="22"/>
            <w:lang w:eastAsia="en-AU"/>
          </w:rPr>
          <w:tab/>
        </w:r>
        <w:r w:rsidR="000B2593" w:rsidRPr="00BC5BC4">
          <w:rPr>
            <w:rStyle w:val="Hyperlink"/>
          </w:rPr>
          <w:t>Other contributions</w:t>
        </w:r>
        <w:r w:rsidR="000B2593">
          <w:rPr>
            <w:webHidden/>
          </w:rPr>
          <w:tab/>
        </w:r>
        <w:r>
          <w:rPr>
            <w:webHidden/>
          </w:rPr>
          <w:fldChar w:fldCharType="begin"/>
        </w:r>
        <w:r w:rsidR="000B2593">
          <w:rPr>
            <w:webHidden/>
          </w:rPr>
          <w:instrText xml:space="preserve"> PAGEREF _Toc399928208 \h </w:instrText>
        </w:r>
        <w:r>
          <w:rPr>
            <w:webHidden/>
          </w:rPr>
        </w:r>
        <w:r>
          <w:rPr>
            <w:webHidden/>
          </w:rPr>
          <w:fldChar w:fldCharType="separate"/>
        </w:r>
        <w:r w:rsidR="00520CAB">
          <w:rPr>
            <w:webHidden/>
          </w:rPr>
          <w:t>122</w:t>
        </w:r>
        <w:r>
          <w:rPr>
            <w:webHidden/>
          </w:rPr>
          <w:fldChar w:fldCharType="end"/>
        </w:r>
      </w:hyperlink>
    </w:p>
    <w:p w:rsidR="000B2593" w:rsidRDefault="00F9111F">
      <w:pPr>
        <w:pStyle w:val="TOC1"/>
        <w:rPr>
          <w:rFonts w:asciiTheme="minorHAnsi" w:eastAsiaTheme="minorEastAsia" w:hAnsiTheme="minorHAnsi" w:cstheme="minorBidi"/>
          <w:b w:val="0"/>
          <w:caps w:val="0"/>
          <w:sz w:val="22"/>
          <w:szCs w:val="22"/>
          <w:lang w:eastAsia="en-AU"/>
        </w:rPr>
      </w:pPr>
      <w:hyperlink w:anchor="_Toc399928209" w:history="1">
        <w:r w:rsidR="000B2593" w:rsidRPr="00BC5BC4">
          <w:rPr>
            <w:rStyle w:val="Hyperlink"/>
          </w:rPr>
          <w:t>6</w:t>
        </w:r>
        <w:r w:rsidR="000B2593">
          <w:rPr>
            <w:rFonts w:asciiTheme="minorHAnsi" w:eastAsiaTheme="minorEastAsia" w:hAnsiTheme="minorHAnsi" w:cstheme="minorBidi"/>
            <w:b w:val="0"/>
            <w:caps w:val="0"/>
            <w:sz w:val="22"/>
            <w:szCs w:val="22"/>
            <w:lang w:eastAsia="en-AU"/>
          </w:rPr>
          <w:tab/>
        </w:r>
        <w:r w:rsidR="000B2593" w:rsidRPr="00BC5BC4">
          <w:rPr>
            <w:rStyle w:val="Hyperlink"/>
          </w:rPr>
          <w:t>Communication activities</w:t>
        </w:r>
        <w:r w:rsidR="000B2593">
          <w:rPr>
            <w:webHidden/>
          </w:rPr>
          <w:tab/>
        </w:r>
        <w:r>
          <w:rPr>
            <w:webHidden/>
          </w:rPr>
          <w:fldChar w:fldCharType="begin"/>
        </w:r>
        <w:r w:rsidR="000B2593">
          <w:rPr>
            <w:webHidden/>
          </w:rPr>
          <w:instrText xml:space="preserve"> PAGEREF _Toc399928209 \h </w:instrText>
        </w:r>
        <w:r>
          <w:rPr>
            <w:webHidden/>
          </w:rPr>
        </w:r>
        <w:r>
          <w:rPr>
            <w:webHidden/>
          </w:rPr>
          <w:fldChar w:fldCharType="separate"/>
        </w:r>
        <w:r w:rsidR="00520CAB">
          <w:rPr>
            <w:webHidden/>
          </w:rPr>
          <w:t>123</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10" w:history="1">
        <w:r w:rsidR="000B2593" w:rsidRPr="00BC5BC4">
          <w:rPr>
            <w:rStyle w:val="Hyperlink"/>
          </w:rPr>
          <w:t>6.1</w:t>
        </w:r>
        <w:r w:rsidR="000B2593">
          <w:rPr>
            <w:rFonts w:asciiTheme="minorHAnsi" w:eastAsiaTheme="minorEastAsia" w:hAnsiTheme="minorHAnsi" w:cstheme="minorBidi"/>
            <w:szCs w:val="22"/>
            <w:lang w:eastAsia="en-AU"/>
          </w:rPr>
          <w:tab/>
        </w:r>
        <w:r w:rsidR="000B2593" w:rsidRPr="00BC5BC4">
          <w:rPr>
            <w:rStyle w:val="Hyperlink"/>
          </w:rPr>
          <w:t>Introduction</w:t>
        </w:r>
        <w:r w:rsidR="000B2593">
          <w:rPr>
            <w:webHidden/>
          </w:rPr>
          <w:tab/>
        </w:r>
        <w:r>
          <w:rPr>
            <w:webHidden/>
          </w:rPr>
          <w:fldChar w:fldCharType="begin"/>
        </w:r>
        <w:r w:rsidR="000B2593">
          <w:rPr>
            <w:webHidden/>
          </w:rPr>
          <w:instrText xml:space="preserve"> PAGEREF _Toc399928210 \h </w:instrText>
        </w:r>
        <w:r>
          <w:rPr>
            <w:webHidden/>
          </w:rPr>
        </w:r>
        <w:r>
          <w:rPr>
            <w:webHidden/>
          </w:rPr>
          <w:fldChar w:fldCharType="separate"/>
        </w:r>
        <w:r w:rsidR="00520CAB">
          <w:rPr>
            <w:webHidden/>
          </w:rPr>
          <w:t>123</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11" w:history="1">
        <w:r w:rsidR="000B2593" w:rsidRPr="00BC5BC4">
          <w:rPr>
            <w:rStyle w:val="Hyperlink"/>
          </w:rPr>
          <w:t>6.2</w:t>
        </w:r>
        <w:r w:rsidR="000B2593">
          <w:rPr>
            <w:rFonts w:asciiTheme="minorHAnsi" w:eastAsiaTheme="minorEastAsia" w:hAnsiTheme="minorHAnsi" w:cstheme="minorBidi"/>
            <w:szCs w:val="22"/>
            <w:lang w:eastAsia="en-AU"/>
          </w:rPr>
          <w:tab/>
        </w:r>
        <w:r w:rsidR="000B2593" w:rsidRPr="00BC5BC4">
          <w:rPr>
            <w:rStyle w:val="Hyperlink"/>
          </w:rPr>
          <w:t>Communication with the public including local community and Kakadu residents</w:t>
        </w:r>
        <w:r w:rsidR="000B2593">
          <w:rPr>
            <w:webHidden/>
          </w:rPr>
          <w:tab/>
        </w:r>
        <w:r>
          <w:rPr>
            <w:webHidden/>
          </w:rPr>
          <w:fldChar w:fldCharType="begin"/>
        </w:r>
        <w:r w:rsidR="000B2593">
          <w:rPr>
            <w:webHidden/>
          </w:rPr>
          <w:instrText xml:space="preserve"> PAGEREF _Toc399928211 \h </w:instrText>
        </w:r>
        <w:r>
          <w:rPr>
            <w:webHidden/>
          </w:rPr>
        </w:r>
        <w:r>
          <w:rPr>
            <w:webHidden/>
          </w:rPr>
          <w:fldChar w:fldCharType="separate"/>
        </w:r>
        <w:r w:rsidR="00520CAB">
          <w:rPr>
            <w:webHidden/>
          </w:rPr>
          <w:t>123</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12" w:history="1">
        <w:r w:rsidR="000B2593" w:rsidRPr="00BC5BC4">
          <w:rPr>
            <w:rStyle w:val="Hyperlink"/>
          </w:rPr>
          <w:t>6.3</w:t>
        </w:r>
        <w:r w:rsidR="000B2593">
          <w:rPr>
            <w:rFonts w:asciiTheme="minorHAnsi" w:eastAsiaTheme="minorEastAsia" w:hAnsiTheme="minorHAnsi" w:cstheme="minorBidi"/>
            <w:szCs w:val="22"/>
            <w:lang w:eastAsia="en-AU"/>
          </w:rPr>
          <w:tab/>
        </w:r>
        <w:r w:rsidR="000B2593" w:rsidRPr="00BC5BC4">
          <w:rPr>
            <w:rStyle w:val="Hyperlink"/>
          </w:rPr>
          <w:t>Communication with primary stakeholders</w:t>
        </w:r>
        <w:r w:rsidR="000B2593">
          <w:rPr>
            <w:webHidden/>
          </w:rPr>
          <w:tab/>
        </w:r>
        <w:r>
          <w:rPr>
            <w:webHidden/>
          </w:rPr>
          <w:fldChar w:fldCharType="begin"/>
        </w:r>
        <w:r w:rsidR="000B2593">
          <w:rPr>
            <w:webHidden/>
          </w:rPr>
          <w:instrText xml:space="preserve"> PAGEREF _Toc399928212 \h </w:instrText>
        </w:r>
        <w:r>
          <w:rPr>
            <w:webHidden/>
          </w:rPr>
        </w:r>
        <w:r>
          <w:rPr>
            <w:webHidden/>
          </w:rPr>
          <w:fldChar w:fldCharType="separate"/>
        </w:r>
        <w:r w:rsidR="00520CAB">
          <w:rPr>
            <w:webHidden/>
          </w:rPr>
          <w:t>125</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13" w:history="1">
        <w:r w:rsidR="000B2593" w:rsidRPr="00BC5BC4">
          <w:rPr>
            <w:rStyle w:val="Hyperlink"/>
          </w:rPr>
          <w:t>6.4</w:t>
        </w:r>
        <w:r w:rsidR="000B2593">
          <w:rPr>
            <w:rFonts w:asciiTheme="minorHAnsi" w:eastAsiaTheme="minorEastAsia" w:hAnsiTheme="minorHAnsi" w:cstheme="minorBidi"/>
            <w:szCs w:val="22"/>
            <w:lang w:eastAsia="en-AU"/>
          </w:rPr>
          <w:tab/>
        </w:r>
        <w:r w:rsidR="000B2593" w:rsidRPr="00BC5BC4">
          <w:rPr>
            <w:rStyle w:val="Hyperlink"/>
          </w:rPr>
          <w:t>Research protocols for Kakadu National Park</w:t>
        </w:r>
        <w:r w:rsidR="000B2593">
          <w:rPr>
            <w:webHidden/>
          </w:rPr>
          <w:tab/>
        </w:r>
        <w:r>
          <w:rPr>
            <w:webHidden/>
          </w:rPr>
          <w:fldChar w:fldCharType="begin"/>
        </w:r>
        <w:r w:rsidR="000B2593">
          <w:rPr>
            <w:webHidden/>
          </w:rPr>
          <w:instrText xml:space="preserve"> PAGEREF _Toc399928213 \h </w:instrText>
        </w:r>
        <w:r>
          <w:rPr>
            <w:webHidden/>
          </w:rPr>
        </w:r>
        <w:r>
          <w:rPr>
            <w:webHidden/>
          </w:rPr>
          <w:fldChar w:fldCharType="separate"/>
        </w:r>
        <w:r w:rsidR="00520CAB">
          <w:rPr>
            <w:webHidden/>
          </w:rPr>
          <w:t>126</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14" w:history="1">
        <w:r w:rsidR="000B2593" w:rsidRPr="00BC5BC4">
          <w:rPr>
            <w:rStyle w:val="Hyperlink"/>
          </w:rPr>
          <w:t>6.5</w:t>
        </w:r>
        <w:r w:rsidR="000B2593">
          <w:rPr>
            <w:rFonts w:asciiTheme="minorHAnsi" w:eastAsiaTheme="minorEastAsia" w:hAnsiTheme="minorHAnsi" w:cstheme="minorBidi"/>
            <w:szCs w:val="22"/>
            <w:lang w:eastAsia="en-AU"/>
          </w:rPr>
          <w:tab/>
        </w:r>
        <w:r w:rsidR="000B2593" w:rsidRPr="00BC5BC4">
          <w:rPr>
            <w:rStyle w:val="Hyperlink"/>
          </w:rPr>
          <w:t>Internal communication</w:t>
        </w:r>
        <w:r w:rsidR="000B2593">
          <w:rPr>
            <w:webHidden/>
          </w:rPr>
          <w:tab/>
        </w:r>
        <w:r>
          <w:rPr>
            <w:webHidden/>
          </w:rPr>
          <w:fldChar w:fldCharType="begin"/>
        </w:r>
        <w:r w:rsidR="000B2593">
          <w:rPr>
            <w:webHidden/>
          </w:rPr>
          <w:instrText xml:space="preserve"> PAGEREF _Toc399928214 \h </w:instrText>
        </w:r>
        <w:r>
          <w:rPr>
            <w:webHidden/>
          </w:rPr>
        </w:r>
        <w:r>
          <w:rPr>
            <w:webHidden/>
          </w:rPr>
          <w:fldChar w:fldCharType="separate"/>
        </w:r>
        <w:r w:rsidR="00520CAB">
          <w:rPr>
            <w:webHidden/>
          </w:rPr>
          <w:t>126</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15" w:history="1">
        <w:r w:rsidR="000B2593" w:rsidRPr="00BC5BC4">
          <w:rPr>
            <w:rStyle w:val="Hyperlink"/>
            <w:lang w:val="en-US"/>
          </w:rPr>
          <w:t>6.6</w:t>
        </w:r>
        <w:r w:rsidR="000B2593">
          <w:rPr>
            <w:rFonts w:asciiTheme="minorHAnsi" w:eastAsiaTheme="minorEastAsia" w:hAnsiTheme="minorHAnsi" w:cstheme="minorBidi"/>
            <w:szCs w:val="22"/>
            <w:lang w:eastAsia="en-AU"/>
          </w:rPr>
          <w:tab/>
        </w:r>
        <w:r w:rsidR="000B2593" w:rsidRPr="00BC5BC4">
          <w:rPr>
            <w:rStyle w:val="Hyperlink"/>
            <w:lang w:val="en-US"/>
          </w:rPr>
          <w:t>Science communication</w:t>
        </w:r>
        <w:r w:rsidR="000B2593">
          <w:rPr>
            <w:webHidden/>
          </w:rPr>
          <w:tab/>
        </w:r>
        <w:r>
          <w:rPr>
            <w:webHidden/>
          </w:rPr>
          <w:fldChar w:fldCharType="begin"/>
        </w:r>
        <w:r w:rsidR="000B2593">
          <w:rPr>
            <w:webHidden/>
          </w:rPr>
          <w:instrText xml:space="preserve"> PAGEREF _Toc399928215 \h </w:instrText>
        </w:r>
        <w:r>
          <w:rPr>
            <w:webHidden/>
          </w:rPr>
        </w:r>
        <w:r>
          <w:rPr>
            <w:webHidden/>
          </w:rPr>
          <w:fldChar w:fldCharType="separate"/>
        </w:r>
        <w:r w:rsidR="00520CAB">
          <w:rPr>
            <w:webHidden/>
          </w:rPr>
          <w:t>127</w:t>
        </w:r>
        <w:r>
          <w:rPr>
            <w:webHidden/>
          </w:rPr>
          <w:fldChar w:fldCharType="end"/>
        </w:r>
      </w:hyperlink>
    </w:p>
    <w:p w:rsidR="000B2593" w:rsidRDefault="00F9111F">
      <w:pPr>
        <w:pStyle w:val="TOC1"/>
        <w:rPr>
          <w:rFonts w:asciiTheme="minorHAnsi" w:eastAsiaTheme="minorEastAsia" w:hAnsiTheme="minorHAnsi" w:cstheme="minorBidi"/>
          <w:b w:val="0"/>
          <w:caps w:val="0"/>
          <w:sz w:val="22"/>
          <w:szCs w:val="22"/>
          <w:lang w:eastAsia="en-AU"/>
        </w:rPr>
      </w:pPr>
      <w:hyperlink w:anchor="_Toc399928216" w:history="1">
        <w:r w:rsidR="000B2593" w:rsidRPr="00BC5BC4">
          <w:rPr>
            <w:rStyle w:val="Hyperlink"/>
          </w:rPr>
          <w:t>7</w:t>
        </w:r>
        <w:r w:rsidR="000B2593">
          <w:rPr>
            <w:rFonts w:asciiTheme="minorHAnsi" w:eastAsiaTheme="minorEastAsia" w:hAnsiTheme="minorHAnsi" w:cstheme="minorBidi"/>
            <w:b w:val="0"/>
            <w:caps w:val="0"/>
            <w:sz w:val="22"/>
            <w:szCs w:val="22"/>
            <w:lang w:eastAsia="en-AU"/>
          </w:rPr>
          <w:tab/>
        </w:r>
        <w:r w:rsidR="000B2593" w:rsidRPr="00BC5BC4">
          <w:rPr>
            <w:rStyle w:val="Hyperlink"/>
          </w:rPr>
          <w:t>Administrative arrangements</w:t>
        </w:r>
        <w:r w:rsidR="000B2593">
          <w:rPr>
            <w:webHidden/>
          </w:rPr>
          <w:tab/>
        </w:r>
        <w:r>
          <w:rPr>
            <w:webHidden/>
          </w:rPr>
          <w:fldChar w:fldCharType="begin"/>
        </w:r>
        <w:r w:rsidR="000B2593">
          <w:rPr>
            <w:webHidden/>
          </w:rPr>
          <w:instrText xml:space="preserve"> PAGEREF _Toc399928216 \h </w:instrText>
        </w:r>
        <w:r>
          <w:rPr>
            <w:webHidden/>
          </w:rPr>
        </w:r>
        <w:r>
          <w:rPr>
            <w:webHidden/>
          </w:rPr>
          <w:fldChar w:fldCharType="separate"/>
        </w:r>
        <w:r w:rsidR="00520CAB">
          <w:rPr>
            <w:webHidden/>
          </w:rPr>
          <w:t>130</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17" w:history="1">
        <w:r w:rsidR="000B2593" w:rsidRPr="00BC5BC4">
          <w:rPr>
            <w:rStyle w:val="Hyperlink"/>
          </w:rPr>
          <w:t>7.1</w:t>
        </w:r>
        <w:r w:rsidR="000B2593">
          <w:rPr>
            <w:rFonts w:asciiTheme="minorHAnsi" w:eastAsiaTheme="minorEastAsia" w:hAnsiTheme="minorHAnsi" w:cstheme="minorBidi"/>
            <w:szCs w:val="22"/>
            <w:lang w:eastAsia="en-AU"/>
          </w:rPr>
          <w:tab/>
        </w:r>
        <w:r w:rsidR="000B2593" w:rsidRPr="00BC5BC4">
          <w:rPr>
            <w:rStyle w:val="Hyperlink"/>
          </w:rPr>
          <w:t>Human resource management</w:t>
        </w:r>
        <w:r w:rsidR="000B2593">
          <w:rPr>
            <w:webHidden/>
          </w:rPr>
          <w:tab/>
        </w:r>
        <w:r>
          <w:rPr>
            <w:webHidden/>
          </w:rPr>
          <w:fldChar w:fldCharType="begin"/>
        </w:r>
        <w:r w:rsidR="000B2593">
          <w:rPr>
            <w:webHidden/>
          </w:rPr>
          <w:instrText xml:space="preserve"> PAGEREF _Toc399928217 \h </w:instrText>
        </w:r>
        <w:r>
          <w:rPr>
            <w:webHidden/>
          </w:rPr>
        </w:r>
        <w:r>
          <w:rPr>
            <w:webHidden/>
          </w:rPr>
          <w:fldChar w:fldCharType="separate"/>
        </w:r>
        <w:r w:rsidR="00520CAB">
          <w:rPr>
            <w:webHidden/>
          </w:rPr>
          <w:t>130</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18" w:history="1">
        <w:r w:rsidR="000B2593" w:rsidRPr="00BC5BC4">
          <w:rPr>
            <w:rStyle w:val="Hyperlink"/>
          </w:rPr>
          <w:t>7.2</w:t>
        </w:r>
        <w:r w:rsidR="000B2593">
          <w:rPr>
            <w:rFonts w:asciiTheme="minorHAnsi" w:eastAsiaTheme="minorEastAsia" w:hAnsiTheme="minorHAnsi" w:cstheme="minorBidi"/>
            <w:szCs w:val="22"/>
            <w:lang w:eastAsia="en-AU"/>
          </w:rPr>
          <w:tab/>
        </w:r>
        <w:r w:rsidR="000B2593" w:rsidRPr="00BC5BC4">
          <w:rPr>
            <w:rStyle w:val="Hyperlink"/>
          </w:rPr>
          <w:t>Work Health and Safety</w:t>
        </w:r>
        <w:r w:rsidR="000B2593">
          <w:rPr>
            <w:webHidden/>
          </w:rPr>
          <w:tab/>
        </w:r>
        <w:r>
          <w:rPr>
            <w:webHidden/>
          </w:rPr>
          <w:fldChar w:fldCharType="begin"/>
        </w:r>
        <w:r w:rsidR="000B2593">
          <w:rPr>
            <w:webHidden/>
          </w:rPr>
          <w:instrText xml:space="preserve"> PAGEREF _Toc399928218 \h </w:instrText>
        </w:r>
        <w:r>
          <w:rPr>
            <w:webHidden/>
          </w:rPr>
        </w:r>
        <w:r>
          <w:rPr>
            <w:webHidden/>
          </w:rPr>
          <w:fldChar w:fldCharType="separate"/>
        </w:r>
        <w:r w:rsidR="00520CAB">
          <w:rPr>
            <w:webHidden/>
          </w:rPr>
          <w:t>132</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19" w:history="1">
        <w:r w:rsidR="000B2593" w:rsidRPr="00BC5BC4">
          <w:rPr>
            <w:rStyle w:val="Hyperlink"/>
          </w:rPr>
          <w:t>7.3</w:t>
        </w:r>
        <w:r w:rsidR="000B2593">
          <w:rPr>
            <w:rFonts w:asciiTheme="minorHAnsi" w:eastAsiaTheme="minorEastAsia" w:hAnsiTheme="minorHAnsi" w:cstheme="minorBidi"/>
            <w:szCs w:val="22"/>
            <w:lang w:eastAsia="en-AU"/>
          </w:rPr>
          <w:tab/>
        </w:r>
        <w:r w:rsidR="000B2593" w:rsidRPr="00BC5BC4">
          <w:rPr>
            <w:rStyle w:val="Hyperlink"/>
          </w:rPr>
          <w:t>Finance</w:t>
        </w:r>
        <w:r w:rsidR="000B2593">
          <w:rPr>
            <w:webHidden/>
          </w:rPr>
          <w:tab/>
        </w:r>
        <w:r>
          <w:rPr>
            <w:webHidden/>
          </w:rPr>
          <w:fldChar w:fldCharType="begin"/>
        </w:r>
        <w:r w:rsidR="000B2593">
          <w:rPr>
            <w:webHidden/>
          </w:rPr>
          <w:instrText xml:space="preserve"> PAGEREF _Toc399928219 \h </w:instrText>
        </w:r>
        <w:r>
          <w:rPr>
            <w:webHidden/>
          </w:rPr>
        </w:r>
        <w:r>
          <w:rPr>
            <w:webHidden/>
          </w:rPr>
          <w:fldChar w:fldCharType="separate"/>
        </w:r>
        <w:r w:rsidR="00520CAB">
          <w:rPr>
            <w:webHidden/>
          </w:rPr>
          <w:t>132</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20" w:history="1">
        <w:r w:rsidR="000B2593" w:rsidRPr="00BC5BC4">
          <w:rPr>
            <w:rStyle w:val="Hyperlink"/>
          </w:rPr>
          <w:t>7.4</w:t>
        </w:r>
        <w:r w:rsidR="000B2593">
          <w:rPr>
            <w:rFonts w:asciiTheme="minorHAnsi" w:eastAsiaTheme="minorEastAsia" w:hAnsiTheme="minorHAnsi" w:cstheme="minorBidi"/>
            <w:szCs w:val="22"/>
            <w:lang w:eastAsia="en-AU"/>
          </w:rPr>
          <w:tab/>
        </w:r>
        <w:r w:rsidR="000B2593" w:rsidRPr="00BC5BC4">
          <w:rPr>
            <w:rStyle w:val="Hyperlink"/>
          </w:rPr>
          <w:t>Facilities</w:t>
        </w:r>
        <w:r w:rsidR="000B2593">
          <w:rPr>
            <w:webHidden/>
          </w:rPr>
          <w:tab/>
        </w:r>
        <w:r>
          <w:rPr>
            <w:webHidden/>
          </w:rPr>
          <w:fldChar w:fldCharType="begin"/>
        </w:r>
        <w:r w:rsidR="000B2593">
          <w:rPr>
            <w:webHidden/>
          </w:rPr>
          <w:instrText xml:space="preserve"> PAGEREF _Toc399928220 \h </w:instrText>
        </w:r>
        <w:r>
          <w:rPr>
            <w:webHidden/>
          </w:rPr>
        </w:r>
        <w:r>
          <w:rPr>
            <w:webHidden/>
          </w:rPr>
          <w:fldChar w:fldCharType="separate"/>
        </w:r>
        <w:r w:rsidR="00520CAB">
          <w:rPr>
            <w:webHidden/>
          </w:rPr>
          <w:t>133</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21" w:history="1">
        <w:r w:rsidR="000B2593" w:rsidRPr="00BC5BC4">
          <w:rPr>
            <w:rStyle w:val="Hyperlink"/>
            <w:snapToGrid w:val="0"/>
          </w:rPr>
          <w:t>7.5</w:t>
        </w:r>
        <w:r w:rsidR="000B2593">
          <w:rPr>
            <w:rFonts w:asciiTheme="minorHAnsi" w:eastAsiaTheme="minorEastAsia" w:hAnsiTheme="minorHAnsi" w:cstheme="minorBidi"/>
            <w:szCs w:val="22"/>
            <w:lang w:eastAsia="en-AU"/>
          </w:rPr>
          <w:tab/>
        </w:r>
        <w:r w:rsidR="000B2593" w:rsidRPr="00BC5BC4">
          <w:rPr>
            <w:rStyle w:val="Hyperlink"/>
            <w:snapToGrid w:val="0"/>
          </w:rPr>
          <w:t>Information management</w:t>
        </w:r>
        <w:r w:rsidR="000B2593">
          <w:rPr>
            <w:webHidden/>
          </w:rPr>
          <w:tab/>
        </w:r>
        <w:r>
          <w:rPr>
            <w:webHidden/>
          </w:rPr>
          <w:fldChar w:fldCharType="begin"/>
        </w:r>
        <w:r w:rsidR="000B2593">
          <w:rPr>
            <w:webHidden/>
          </w:rPr>
          <w:instrText xml:space="preserve"> PAGEREF _Toc399928221 \h </w:instrText>
        </w:r>
        <w:r>
          <w:rPr>
            <w:webHidden/>
          </w:rPr>
        </w:r>
        <w:r>
          <w:rPr>
            <w:webHidden/>
          </w:rPr>
          <w:fldChar w:fldCharType="separate"/>
        </w:r>
        <w:r w:rsidR="00520CAB">
          <w:rPr>
            <w:webHidden/>
          </w:rPr>
          <w:t>134</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22" w:history="1">
        <w:r w:rsidR="000B2593" w:rsidRPr="00BC5BC4">
          <w:rPr>
            <w:rStyle w:val="Hyperlink"/>
          </w:rPr>
          <w:t>7.6</w:t>
        </w:r>
        <w:r w:rsidR="000B2593">
          <w:rPr>
            <w:rFonts w:asciiTheme="minorHAnsi" w:eastAsiaTheme="minorEastAsia" w:hAnsiTheme="minorHAnsi" w:cstheme="minorBidi"/>
            <w:szCs w:val="22"/>
            <w:lang w:eastAsia="en-AU"/>
          </w:rPr>
          <w:tab/>
        </w:r>
        <w:r w:rsidR="000B2593" w:rsidRPr="00BC5BC4">
          <w:rPr>
            <w:rStyle w:val="Hyperlink"/>
          </w:rPr>
          <w:t>Interpretation of Ranger Environmental Requirements</w:t>
        </w:r>
        <w:r w:rsidR="000B2593">
          <w:rPr>
            <w:webHidden/>
          </w:rPr>
          <w:tab/>
        </w:r>
        <w:r>
          <w:rPr>
            <w:webHidden/>
          </w:rPr>
          <w:fldChar w:fldCharType="begin"/>
        </w:r>
        <w:r w:rsidR="000B2593">
          <w:rPr>
            <w:webHidden/>
          </w:rPr>
          <w:instrText xml:space="preserve"> PAGEREF _Toc399928222 \h </w:instrText>
        </w:r>
        <w:r>
          <w:rPr>
            <w:webHidden/>
          </w:rPr>
        </w:r>
        <w:r>
          <w:rPr>
            <w:webHidden/>
          </w:rPr>
          <w:fldChar w:fldCharType="separate"/>
        </w:r>
        <w:r w:rsidR="00520CAB">
          <w:rPr>
            <w:webHidden/>
          </w:rPr>
          <w:t>134</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23" w:history="1">
        <w:r w:rsidR="000B2593" w:rsidRPr="00BC5BC4">
          <w:rPr>
            <w:rStyle w:val="Hyperlink"/>
          </w:rPr>
          <w:t>7.7</w:t>
        </w:r>
        <w:r w:rsidR="000B2593">
          <w:rPr>
            <w:rFonts w:asciiTheme="minorHAnsi" w:eastAsiaTheme="minorEastAsia" w:hAnsiTheme="minorHAnsi" w:cstheme="minorBidi"/>
            <w:szCs w:val="22"/>
            <w:lang w:eastAsia="en-AU"/>
          </w:rPr>
          <w:tab/>
        </w:r>
        <w:r w:rsidR="000B2593" w:rsidRPr="00BC5BC4">
          <w:rPr>
            <w:rStyle w:val="Hyperlink"/>
          </w:rPr>
          <w:t>Ministerial directions</w:t>
        </w:r>
        <w:r w:rsidR="000B2593">
          <w:rPr>
            <w:webHidden/>
          </w:rPr>
          <w:tab/>
        </w:r>
        <w:r>
          <w:rPr>
            <w:webHidden/>
          </w:rPr>
          <w:fldChar w:fldCharType="begin"/>
        </w:r>
        <w:r w:rsidR="000B2593">
          <w:rPr>
            <w:webHidden/>
          </w:rPr>
          <w:instrText xml:space="preserve"> PAGEREF _Toc399928223 \h </w:instrText>
        </w:r>
        <w:r>
          <w:rPr>
            <w:webHidden/>
          </w:rPr>
        </w:r>
        <w:r>
          <w:rPr>
            <w:webHidden/>
          </w:rPr>
          <w:fldChar w:fldCharType="separate"/>
        </w:r>
        <w:r w:rsidR="00520CAB">
          <w:rPr>
            <w:webHidden/>
          </w:rPr>
          <w:t>135</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24" w:history="1">
        <w:r w:rsidR="000B2593" w:rsidRPr="00BC5BC4">
          <w:rPr>
            <w:rStyle w:val="Hyperlink"/>
          </w:rPr>
          <w:t>7.8</w:t>
        </w:r>
        <w:r w:rsidR="000B2593">
          <w:rPr>
            <w:rFonts w:asciiTheme="minorHAnsi" w:eastAsiaTheme="minorEastAsia" w:hAnsiTheme="minorHAnsi" w:cstheme="minorBidi"/>
            <w:szCs w:val="22"/>
            <w:lang w:eastAsia="en-AU"/>
          </w:rPr>
          <w:tab/>
        </w:r>
        <w:r w:rsidR="000B2593" w:rsidRPr="00BC5BC4">
          <w:rPr>
            <w:rStyle w:val="Hyperlink"/>
          </w:rPr>
          <w:t>Environmental performance</w:t>
        </w:r>
        <w:r w:rsidR="000B2593">
          <w:rPr>
            <w:webHidden/>
          </w:rPr>
          <w:tab/>
        </w:r>
        <w:r>
          <w:rPr>
            <w:webHidden/>
          </w:rPr>
          <w:fldChar w:fldCharType="begin"/>
        </w:r>
        <w:r w:rsidR="000B2593">
          <w:rPr>
            <w:webHidden/>
          </w:rPr>
          <w:instrText xml:space="preserve"> PAGEREF _Toc399928224 \h </w:instrText>
        </w:r>
        <w:r>
          <w:rPr>
            <w:webHidden/>
          </w:rPr>
        </w:r>
        <w:r>
          <w:rPr>
            <w:webHidden/>
          </w:rPr>
          <w:fldChar w:fldCharType="separate"/>
        </w:r>
        <w:r w:rsidR="00520CAB">
          <w:rPr>
            <w:webHidden/>
          </w:rPr>
          <w:t>135</w:t>
        </w:r>
        <w:r>
          <w:rPr>
            <w:webHidden/>
          </w:rPr>
          <w:fldChar w:fldCharType="end"/>
        </w:r>
      </w:hyperlink>
    </w:p>
    <w:p w:rsidR="000B2593" w:rsidRDefault="00F9111F">
      <w:pPr>
        <w:pStyle w:val="TOC2"/>
        <w:rPr>
          <w:rFonts w:asciiTheme="minorHAnsi" w:eastAsiaTheme="minorEastAsia" w:hAnsiTheme="minorHAnsi" w:cstheme="minorBidi"/>
          <w:szCs w:val="22"/>
          <w:lang w:eastAsia="en-AU"/>
        </w:rPr>
      </w:pPr>
      <w:hyperlink w:anchor="_Toc399928225" w:history="1">
        <w:r w:rsidR="000B2593" w:rsidRPr="00BC5BC4">
          <w:rPr>
            <w:rStyle w:val="Hyperlink"/>
          </w:rPr>
          <w:t>7.9</w:t>
        </w:r>
        <w:r w:rsidR="000B2593">
          <w:rPr>
            <w:rFonts w:asciiTheme="minorHAnsi" w:eastAsiaTheme="minorEastAsia" w:hAnsiTheme="minorHAnsi" w:cstheme="minorBidi"/>
            <w:szCs w:val="22"/>
            <w:lang w:eastAsia="en-AU"/>
          </w:rPr>
          <w:tab/>
        </w:r>
        <w:r w:rsidR="000B2593" w:rsidRPr="00BC5BC4">
          <w:rPr>
            <w:rStyle w:val="Hyperlink"/>
          </w:rPr>
          <w:t>Animal experimentation ethics approvals</w:t>
        </w:r>
        <w:r w:rsidR="000B2593">
          <w:rPr>
            <w:webHidden/>
          </w:rPr>
          <w:tab/>
        </w:r>
        <w:r>
          <w:rPr>
            <w:webHidden/>
          </w:rPr>
          <w:fldChar w:fldCharType="begin"/>
        </w:r>
        <w:r w:rsidR="000B2593">
          <w:rPr>
            <w:webHidden/>
          </w:rPr>
          <w:instrText xml:space="preserve"> PAGEREF _Toc399928225 \h </w:instrText>
        </w:r>
        <w:r>
          <w:rPr>
            <w:webHidden/>
          </w:rPr>
        </w:r>
        <w:r>
          <w:rPr>
            <w:webHidden/>
          </w:rPr>
          <w:fldChar w:fldCharType="separate"/>
        </w:r>
        <w:r w:rsidR="00520CAB">
          <w:rPr>
            <w:webHidden/>
          </w:rPr>
          <w:t>135</w:t>
        </w:r>
        <w:r>
          <w:rPr>
            <w:webHidden/>
          </w:rPr>
          <w:fldChar w:fldCharType="end"/>
        </w:r>
      </w:hyperlink>
    </w:p>
    <w:p w:rsidR="000B2593" w:rsidRDefault="00F9111F">
      <w:pPr>
        <w:pStyle w:val="TOC1"/>
        <w:rPr>
          <w:rFonts w:asciiTheme="minorHAnsi" w:eastAsiaTheme="minorEastAsia" w:hAnsiTheme="minorHAnsi" w:cstheme="minorBidi"/>
          <w:b w:val="0"/>
          <w:caps w:val="0"/>
          <w:sz w:val="22"/>
          <w:szCs w:val="22"/>
          <w:lang w:eastAsia="en-AU"/>
        </w:rPr>
      </w:pPr>
      <w:hyperlink w:anchor="_Toc399928226" w:history="1">
        <w:r w:rsidR="000B2593" w:rsidRPr="00BC5BC4">
          <w:rPr>
            <w:rStyle w:val="Hyperlink"/>
            <w:lang w:val="en-US"/>
          </w:rPr>
          <w:t>Appendix 1  ARRTC Key Knowledge Needs</w:t>
        </w:r>
        <w:r w:rsidR="000B2593" w:rsidRPr="00BC5BC4">
          <w:rPr>
            <w:rStyle w:val="Hyperlink"/>
          </w:rPr>
          <w:t>: Uranium mining in the Alligator Rivers Region</w:t>
        </w:r>
        <w:r w:rsidR="000B2593">
          <w:rPr>
            <w:webHidden/>
          </w:rPr>
          <w:tab/>
        </w:r>
        <w:r>
          <w:rPr>
            <w:webHidden/>
          </w:rPr>
          <w:fldChar w:fldCharType="begin"/>
        </w:r>
        <w:r w:rsidR="000B2593">
          <w:rPr>
            <w:webHidden/>
          </w:rPr>
          <w:instrText xml:space="preserve"> PAGEREF _Toc399928226 \h </w:instrText>
        </w:r>
        <w:r>
          <w:rPr>
            <w:webHidden/>
          </w:rPr>
        </w:r>
        <w:r>
          <w:rPr>
            <w:webHidden/>
          </w:rPr>
          <w:fldChar w:fldCharType="separate"/>
        </w:r>
        <w:r w:rsidR="00520CAB">
          <w:rPr>
            <w:webHidden/>
          </w:rPr>
          <w:t>137</w:t>
        </w:r>
        <w:r>
          <w:rPr>
            <w:webHidden/>
          </w:rPr>
          <w:fldChar w:fldCharType="end"/>
        </w:r>
      </w:hyperlink>
    </w:p>
    <w:p w:rsidR="000B2593" w:rsidRDefault="00F9111F">
      <w:pPr>
        <w:pStyle w:val="TOC1"/>
        <w:rPr>
          <w:rFonts w:asciiTheme="minorHAnsi" w:eastAsiaTheme="minorEastAsia" w:hAnsiTheme="minorHAnsi" w:cstheme="minorBidi"/>
          <w:b w:val="0"/>
          <w:caps w:val="0"/>
          <w:sz w:val="22"/>
          <w:szCs w:val="22"/>
          <w:lang w:eastAsia="en-AU"/>
        </w:rPr>
      </w:pPr>
      <w:hyperlink w:anchor="_Toc399928253" w:history="1">
        <w:r w:rsidR="000B2593" w:rsidRPr="00BC5BC4">
          <w:rPr>
            <w:rStyle w:val="Hyperlink"/>
          </w:rPr>
          <w:t>Appendix 2  Publications for 2013–14</w:t>
        </w:r>
        <w:r w:rsidR="000B2593">
          <w:rPr>
            <w:webHidden/>
          </w:rPr>
          <w:tab/>
        </w:r>
        <w:r>
          <w:rPr>
            <w:webHidden/>
          </w:rPr>
          <w:fldChar w:fldCharType="begin"/>
        </w:r>
        <w:r w:rsidR="000B2593">
          <w:rPr>
            <w:webHidden/>
          </w:rPr>
          <w:instrText xml:space="preserve"> PAGEREF _Toc399928253 \h </w:instrText>
        </w:r>
        <w:r>
          <w:rPr>
            <w:webHidden/>
          </w:rPr>
        </w:r>
        <w:r>
          <w:rPr>
            <w:webHidden/>
          </w:rPr>
          <w:fldChar w:fldCharType="separate"/>
        </w:r>
        <w:r w:rsidR="00520CAB">
          <w:rPr>
            <w:webHidden/>
          </w:rPr>
          <w:t>151</w:t>
        </w:r>
        <w:r>
          <w:rPr>
            <w:webHidden/>
          </w:rPr>
          <w:fldChar w:fldCharType="end"/>
        </w:r>
      </w:hyperlink>
    </w:p>
    <w:p w:rsidR="000B2593" w:rsidRDefault="00F9111F">
      <w:pPr>
        <w:pStyle w:val="TOC1"/>
        <w:rPr>
          <w:rFonts w:asciiTheme="minorHAnsi" w:eastAsiaTheme="minorEastAsia" w:hAnsiTheme="minorHAnsi" w:cstheme="minorBidi"/>
          <w:b w:val="0"/>
          <w:caps w:val="0"/>
          <w:sz w:val="22"/>
          <w:szCs w:val="22"/>
          <w:lang w:eastAsia="en-AU"/>
        </w:rPr>
      </w:pPr>
      <w:hyperlink w:anchor="_Toc399928256" w:history="1">
        <w:r w:rsidR="000B2593" w:rsidRPr="00BC5BC4">
          <w:rPr>
            <w:rStyle w:val="Hyperlink"/>
            <w:lang w:val="en-US"/>
          </w:rPr>
          <w:t>Appendix 3  Presentations to conferences and symposia, 2013–14</w:t>
        </w:r>
        <w:r w:rsidR="000B2593">
          <w:rPr>
            <w:webHidden/>
          </w:rPr>
          <w:tab/>
        </w:r>
        <w:r>
          <w:rPr>
            <w:webHidden/>
          </w:rPr>
          <w:fldChar w:fldCharType="begin"/>
        </w:r>
        <w:r w:rsidR="000B2593">
          <w:rPr>
            <w:webHidden/>
          </w:rPr>
          <w:instrText xml:space="preserve"> PAGEREF _Toc399928256 \h </w:instrText>
        </w:r>
        <w:r>
          <w:rPr>
            <w:webHidden/>
          </w:rPr>
        </w:r>
        <w:r>
          <w:rPr>
            <w:webHidden/>
          </w:rPr>
          <w:fldChar w:fldCharType="separate"/>
        </w:r>
        <w:r w:rsidR="00520CAB">
          <w:rPr>
            <w:webHidden/>
          </w:rPr>
          <w:t>156</w:t>
        </w:r>
        <w:r>
          <w:rPr>
            <w:webHidden/>
          </w:rPr>
          <w:fldChar w:fldCharType="end"/>
        </w:r>
      </w:hyperlink>
    </w:p>
    <w:p w:rsidR="000B2593" w:rsidRDefault="00F9111F">
      <w:pPr>
        <w:pStyle w:val="TOC1"/>
        <w:rPr>
          <w:rFonts w:asciiTheme="minorHAnsi" w:eastAsiaTheme="minorEastAsia" w:hAnsiTheme="minorHAnsi" w:cstheme="minorBidi"/>
          <w:b w:val="0"/>
          <w:caps w:val="0"/>
          <w:sz w:val="22"/>
          <w:szCs w:val="22"/>
          <w:lang w:eastAsia="en-AU"/>
        </w:rPr>
      </w:pPr>
      <w:hyperlink w:anchor="_Toc399928257" w:history="1">
        <w:r w:rsidR="000B2593" w:rsidRPr="00BC5BC4">
          <w:rPr>
            <w:rStyle w:val="Hyperlink"/>
          </w:rPr>
          <w:t>Appendix 4  List of</w:t>
        </w:r>
        <w:r w:rsidR="004E3653" w:rsidRPr="004E3653">
          <w:rPr>
            <w:rStyle w:val="Hyperlink"/>
            <w:rFonts w:ascii="Times New Roman Bold" w:hAnsi="Times New Roman Bold"/>
            <w:i/>
            <w:caps w:val="0"/>
            <w:sz w:val="21"/>
            <w:szCs w:val="21"/>
          </w:rPr>
          <w:t xml:space="preserve"> eriss</w:t>
        </w:r>
        <w:r w:rsidR="004E3653">
          <w:rPr>
            <w:rStyle w:val="Hyperlink"/>
          </w:rPr>
          <w:t xml:space="preserve"> RESEARCH PROjects, 2013–14</w:t>
        </w:r>
        <w:r w:rsidR="000B2593">
          <w:rPr>
            <w:webHidden/>
          </w:rPr>
          <w:tab/>
        </w:r>
        <w:r>
          <w:rPr>
            <w:webHidden/>
          </w:rPr>
          <w:fldChar w:fldCharType="begin"/>
        </w:r>
        <w:r w:rsidR="000B2593">
          <w:rPr>
            <w:webHidden/>
          </w:rPr>
          <w:instrText xml:space="preserve"> PAGEREF _Toc399928257 \h </w:instrText>
        </w:r>
        <w:r>
          <w:rPr>
            <w:webHidden/>
          </w:rPr>
        </w:r>
        <w:r>
          <w:rPr>
            <w:webHidden/>
          </w:rPr>
          <w:fldChar w:fldCharType="separate"/>
        </w:r>
        <w:r w:rsidR="00520CAB">
          <w:rPr>
            <w:webHidden/>
          </w:rPr>
          <w:t>158</w:t>
        </w:r>
        <w:r>
          <w:rPr>
            <w:webHidden/>
          </w:rPr>
          <w:fldChar w:fldCharType="end"/>
        </w:r>
      </w:hyperlink>
    </w:p>
    <w:p w:rsidR="000B2593" w:rsidRDefault="00F9111F">
      <w:pPr>
        <w:pStyle w:val="TOC1"/>
        <w:rPr>
          <w:rFonts w:asciiTheme="minorHAnsi" w:eastAsiaTheme="minorEastAsia" w:hAnsiTheme="minorHAnsi" w:cstheme="minorBidi"/>
          <w:b w:val="0"/>
          <w:caps w:val="0"/>
          <w:sz w:val="22"/>
          <w:szCs w:val="22"/>
          <w:lang w:eastAsia="en-AU"/>
        </w:rPr>
      </w:pPr>
      <w:hyperlink w:anchor="_Toc399928258" w:history="1">
        <w:r w:rsidR="000B2593" w:rsidRPr="00BC5BC4">
          <w:rPr>
            <w:rStyle w:val="Hyperlink"/>
          </w:rPr>
          <w:t>Glossary of terms, abbreviations and acronyms</w:t>
        </w:r>
        <w:r w:rsidR="000B2593">
          <w:rPr>
            <w:webHidden/>
          </w:rPr>
          <w:tab/>
        </w:r>
        <w:r>
          <w:rPr>
            <w:webHidden/>
          </w:rPr>
          <w:fldChar w:fldCharType="begin"/>
        </w:r>
        <w:r w:rsidR="000B2593">
          <w:rPr>
            <w:webHidden/>
          </w:rPr>
          <w:instrText xml:space="preserve"> PAGEREF _Toc399928258 \h </w:instrText>
        </w:r>
        <w:r>
          <w:rPr>
            <w:webHidden/>
          </w:rPr>
        </w:r>
        <w:r>
          <w:rPr>
            <w:webHidden/>
          </w:rPr>
          <w:fldChar w:fldCharType="separate"/>
        </w:r>
        <w:r w:rsidR="00520CAB">
          <w:rPr>
            <w:webHidden/>
          </w:rPr>
          <w:t>161</w:t>
        </w:r>
        <w:r>
          <w:rPr>
            <w:webHidden/>
          </w:rPr>
          <w:fldChar w:fldCharType="end"/>
        </w:r>
      </w:hyperlink>
    </w:p>
    <w:p w:rsidR="00476E36" w:rsidRPr="003B0489" w:rsidRDefault="00F9111F" w:rsidP="00476E36">
      <w:pPr>
        <w:pStyle w:val="TOC1"/>
        <w:spacing w:before="160"/>
        <w:ind w:left="357" w:right="1077" w:hanging="357"/>
        <w:rPr>
          <w:rFonts w:ascii="Times New Roman" w:hAnsi="Times New Roman"/>
        </w:rPr>
      </w:pPr>
      <w:r>
        <w:fldChar w:fldCharType="end"/>
      </w:r>
      <w:r w:rsidR="003B0489" w:rsidRPr="003B0489">
        <w:rPr>
          <w:rFonts w:ascii="Times New Roman" w:hAnsi="Times New Roman"/>
        </w:rPr>
        <w:t>INDEX</w:t>
      </w:r>
      <w:r w:rsidR="003B0489">
        <w:rPr>
          <w:rFonts w:ascii="Times New Roman" w:hAnsi="Times New Roman"/>
        </w:rPr>
        <w:tab/>
      </w:r>
      <w:r w:rsidR="003B0489">
        <w:rPr>
          <w:rFonts w:ascii="Times New Roman" w:hAnsi="Times New Roman"/>
        </w:rPr>
        <w:tab/>
      </w:r>
      <w:r w:rsidR="003B0489" w:rsidRPr="003B0489">
        <w:rPr>
          <w:rFonts w:cs="Arial"/>
        </w:rPr>
        <w:t>168</w:t>
      </w:r>
    </w:p>
    <w:p w:rsidR="00476E36" w:rsidRDefault="00476E36" w:rsidP="00A00BA3"/>
    <w:p w:rsidR="00476E36" w:rsidRDefault="00476E36" w:rsidP="00A00BA3">
      <w:pPr>
        <w:sectPr w:rsidR="00476E36">
          <w:headerReference w:type="even" r:id="rId29"/>
          <w:headerReference w:type="default" r:id="rId30"/>
          <w:footerReference w:type="even" r:id="rId31"/>
          <w:footerReference w:type="default" r:id="rId32"/>
          <w:headerReference w:type="first" r:id="rId33"/>
          <w:footerReference w:type="first" r:id="rId34"/>
          <w:pgSz w:w="10325" w:h="14573" w:code="13"/>
          <w:pgMar w:top="1440" w:right="1440" w:bottom="1440" w:left="1440" w:header="720" w:footer="720" w:gutter="0"/>
          <w:pgNumType w:fmt="lowerRoman"/>
          <w:cols w:space="360"/>
          <w:noEndnote/>
          <w:titlePg/>
        </w:sectPr>
      </w:pPr>
    </w:p>
    <w:p w:rsidR="00476E36" w:rsidRDefault="00476E36" w:rsidP="00DE799E">
      <w:pPr>
        <w:pStyle w:val="Heading1"/>
      </w:pPr>
      <w:bookmarkStart w:id="95" w:name="_Toc85011065"/>
      <w:bookmarkStart w:id="96" w:name="_Toc113178995"/>
      <w:bookmarkStart w:id="97" w:name="_Toc399928165"/>
      <w:bookmarkStart w:id="98" w:name="_Toc52616749"/>
      <w:bookmarkStart w:id="99" w:name="_Toc84153160"/>
      <w:r>
        <w:t>Foreword</w:t>
      </w:r>
      <w:bookmarkEnd w:id="95"/>
      <w:bookmarkEnd w:id="96"/>
      <w:bookmarkEnd w:id="97"/>
    </w:p>
    <w:p w:rsidR="00572DD6" w:rsidRDefault="00572DD6" w:rsidP="00572DD6">
      <w:bookmarkStart w:id="100" w:name="OLE_LINK5"/>
      <w:bookmarkStart w:id="101" w:name="OLE_LINK6"/>
      <w:bookmarkStart w:id="102" w:name="_Toc240277486"/>
      <w:bookmarkStart w:id="103" w:name="OLE_LINK51"/>
      <w:bookmarkStart w:id="104" w:name="OLE_LINK52"/>
      <w:bookmarkEnd w:id="98"/>
      <w:bookmarkEnd w:id="99"/>
      <w:r>
        <w:t xml:space="preserve">Subsection 36(1) of the </w:t>
      </w:r>
      <w:r>
        <w:rPr>
          <w:i/>
          <w:iCs/>
          <w:color w:val="000000"/>
          <w:szCs w:val="22"/>
        </w:rPr>
        <w:t>Environment Protection (Alligator Rivers Region) Act 1978</w:t>
      </w:r>
      <w:r>
        <w:rPr>
          <w:i/>
          <w:iCs/>
        </w:rPr>
        <w:t xml:space="preserve"> </w:t>
      </w:r>
      <w:r>
        <w:t>requires the Supervising Scientist to provide an Annual Report to Parliament on the operation of the Act and on certain related matters. The Act requires the following information to be reported:</w:t>
      </w:r>
    </w:p>
    <w:p w:rsidR="00572DD6" w:rsidRDefault="00572DD6" w:rsidP="00572DD6">
      <w:pPr>
        <w:pStyle w:val="ListBullet"/>
        <w:numPr>
          <w:ilvl w:val="0"/>
          <w:numId w:val="1"/>
        </w:numPr>
        <w:spacing w:line="260" w:lineRule="atLeast"/>
      </w:pPr>
      <w:r>
        <w:t>all directions given to the Supervising Scientist by the Minister who, for this reporting period, was the Minister for Sustainability, Environment, Water, Population and Communities.</w:t>
      </w:r>
    </w:p>
    <w:p w:rsidR="00572DD6" w:rsidRDefault="00572DD6" w:rsidP="00572DD6">
      <w:pPr>
        <w:pStyle w:val="ListBullet"/>
        <w:numPr>
          <w:ilvl w:val="0"/>
          <w:numId w:val="1"/>
        </w:numPr>
        <w:spacing w:line="260" w:lineRule="atLeast"/>
      </w:pPr>
      <w:proofErr w:type="gramStart"/>
      <w:r>
        <w:t>information</w:t>
      </w:r>
      <w:proofErr w:type="gramEnd"/>
      <w:r>
        <w:t xml:space="preserve"> on the collection and assessment of scientific data relating to the environmental effects of mining in the Alligator Rivers Region. </w:t>
      </w:r>
    </w:p>
    <w:p w:rsidR="00572DD6" w:rsidRDefault="00572DD6" w:rsidP="00572DD6">
      <w:pPr>
        <w:pStyle w:val="ListBullet"/>
        <w:numPr>
          <w:ilvl w:val="0"/>
          <w:numId w:val="1"/>
        </w:numPr>
        <w:spacing w:line="260" w:lineRule="atLeast"/>
      </w:pPr>
      <w:proofErr w:type="gramStart"/>
      <w:r>
        <w:t>standards</w:t>
      </w:r>
      <w:proofErr w:type="gramEnd"/>
      <w:r>
        <w:t xml:space="preserve">, practices and procedures in relation to mining operations adopted or changed during the year, and the environmental effects of those changes. </w:t>
      </w:r>
    </w:p>
    <w:p w:rsidR="00572DD6" w:rsidRDefault="00572DD6" w:rsidP="00572DD6">
      <w:pPr>
        <w:pStyle w:val="ListBullet"/>
        <w:numPr>
          <w:ilvl w:val="0"/>
          <w:numId w:val="1"/>
        </w:numPr>
        <w:spacing w:line="260" w:lineRule="atLeast"/>
      </w:pPr>
      <w:proofErr w:type="gramStart"/>
      <w:r>
        <w:t>measures</w:t>
      </w:r>
      <w:proofErr w:type="gramEnd"/>
      <w:r>
        <w:t xml:space="preserve"> taken to protect the environment, or restore it from the effects of mining in the region. </w:t>
      </w:r>
    </w:p>
    <w:p w:rsidR="00572DD6" w:rsidRDefault="00572DD6" w:rsidP="00572DD6">
      <w:pPr>
        <w:pStyle w:val="ListBullet"/>
        <w:numPr>
          <w:ilvl w:val="0"/>
          <w:numId w:val="1"/>
        </w:numPr>
        <w:spacing w:line="260" w:lineRule="atLeast"/>
      </w:pPr>
      <w:proofErr w:type="gramStart"/>
      <w:r>
        <w:t>requirements</w:t>
      </w:r>
      <w:proofErr w:type="gramEnd"/>
      <w:r>
        <w:t xml:space="preserve"> under prescribed instruments that were enacted, made, adopted or issued and that relate to mining operations in the Alligator Rivers Region and the en</w:t>
      </w:r>
      <w:r w:rsidR="006C6F88">
        <w:t>vironment.</w:t>
      </w:r>
      <w:r>
        <w:t xml:space="preserve"> </w:t>
      </w:r>
    </w:p>
    <w:p w:rsidR="00572DD6" w:rsidRDefault="00572DD6" w:rsidP="00572DD6">
      <w:pPr>
        <w:pStyle w:val="ListBullet"/>
        <w:numPr>
          <w:ilvl w:val="0"/>
          <w:numId w:val="1"/>
        </w:numPr>
        <w:spacing w:line="260" w:lineRule="atLeast"/>
      </w:pPr>
      <w:r>
        <w:t>implementation of the above requirements, and</w:t>
      </w:r>
    </w:p>
    <w:p w:rsidR="00572DD6" w:rsidRDefault="00572DD6" w:rsidP="00572DD6">
      <w:pPr>
        <w:pStyle w:val="ListBullet"/>
        <w:numPr>
          <w:ilvl w:val="0"/>
          <w:numId w:val="1"/>
        </w:numPr>
        <w:spacing w:line="260" w:lineRule="atLeast"/>
        <w:sectPr w:rsidR="00572DD6" w:rsidSect="002E3030">
          <w:headerReference w:type="even" r:id="rId35"/>
          <w:headerReference w:type="default" r:id="rId36"/>
          <w:headerReference w:type="first" r:id="rId37"/>
          <w:pgSz w:w="10325" w:h="14573" w:code="13"/>
          <w:pgMar w:top="851" w:right="1440" w:bottom="851" w:left="1440" w:header="720" w:footer="720" w:gutter="0"/>
          <w:pgNumType w:fmt="lowerRoman"/>
          <w:cols w:space="360"/>
          <w:noEndnote/>
          <w:titlePg/>
        </w:sectPr>
      </w:pPr>
      <w:proofErr w:type="gramStart"/>
      <w:r>
        <w:t>a</w:t>
      </w:r>
      <w:proofErr w:type="gramEnd"/>
      <w:r>
        <w:t xml:space="preserve"> statement of the cost of operations of the Supervising Scientist. </w:t>
      </w:r>
    </w:p>
    <w:p w:rsidR="008257AE" w:rsidRPr="0017191D" w:rsidRDefault="008257AE" w:rsidP="0017191D">
      <w:pPr>
        <w:pStyle w:val="Heading1"/>
      </w:pPr>
      <w:bookmarkStart w:id="105" w:name="_Toc399928166"/>
      <w:bookmarkEnd w:id="100"/>
      <w:bookmarkEnd w:id="101"/>
      <w:r w:rsidRPr="0017191D">
        <w:t>Supervising Scientist</w:t>
      </w:r>
      <w:r w:rsidR="00287CEC" w:rsidRPr="0017191D">
        <w:t>’</w:t>
      </w:r>
      <w:r w:rsidRPr="0017191D">
        <w:t>s overview</w:t>
      </w:r>
      <w:bookmarkEnd w:id="102"/>
      <w:bookmarkEnd w:id="105"/>
    </w:p>
    <w:p w:rsidR="000976A2" w:rsidRPr="00EF63F4" w:rsidRDefault="000976A2" w:rsidP="00313F75">
      <w:r w:rsidRPr="00EF63F4">
        <w:t xml:space="preserve">The Supervising Scientist plays an important role in the protection of the environment of the Alligator Rivers Region of the Northern Territory through the supervision, monitoring and audit of uranium mines, as well as through the conduct of research into the possible impact of uranium mining on the environment of the Region. </w:t>
      </w:r>
    </w:p>
    <w:p w:rsidR="000976A2" w:rsidRPr="00EF63F4" w:rsidRDefault="000976A2" w:rsidP="00313F75">
      <w:r w:rsidRPr="00EF63F4">
        <w:t>Ranger is currently the only operational uranium mine in the Region, and is owned and operated by Energy Resources of Australia Ltd (ERA). Production commenced at Ranger in August 1981, with milling of stockpiled ore expected to contin</w:t>
      </w:r>
      <w:r w:rsidR="0083745E">
        <w:t xml:space="preserve">ue through 2020. Mining of Pit </w:t>
      </w:r>
      <w:r w:rsidRPr="00EF63F4">
        <w:t xml:space="preserve">3 ceased in December 2012 and the pit is currently in the process of being backfilled with tailings deposition, expected to commence during 2015. A proposal to develop the Ranger 3 Deeps underground operation was referred under the </w:t>
      </w:r>
      <w:r w:rsidRPr="00EF63F4">
        <w:rPr>
          <w:i/>
        </w:rPr>
        <w:t xml:space="preserve">Environment Protection Biodiversity Conservation Act 1999 </w:t>
      </w:r>
      <w:r w:rsidRPr="00EF63F4">
        <w:t xml:space="preserve">(EPBC Act) in January 2013, and determined by the Minister to require assessment under the EPBC Act at the Environmental Impact Statement (EIS) level. At the time of writing a draft EIS had been completed and was in final preparation for public release towards the end of 2014. The proposal is not expected to impact on the closure of operations at Ranger. Mining and milling are currently required to cease by 2021 with closure of Ranger by 2026. </w:t>
      </w:r>
    </w:p>
    <w:p w:rsidR="000976A2" w:rsidRDefault="000976A2" w:rsidP="00313F75">
      <w:r w:rsidRPr="00EF63F4">
        <w:t>During the year there were three incidents investigated independently by the Supervising Scientist. On 3 November 2013, staff investigated circumstances around a vehicle taken from Ranger mine without authorisation, on 18 November 2013 an investigation was undertaken into four product drums found in bushland in the Darwin rural area that had originated from Ranger, and on 7 December 2013, following the collapse of Leach Tank No. 1, which resulted in a spill of approximately 1400m</w:t>
      </w:r>
      <w:r w:rsidRPr="00EF63F4">
        <w:rPr>
          <w:vertAlign w:val="superscript"/>
        </w:rPr>
        <w:t>3</w:t>
      </w:r>
      <w:r w:rsidRPr="00EF63F4">
        <w:t xml:space="preserve"> of slurry into the processing area, the Supervising Scientist commenced a major investigation into the environmental impacts of the collapse. Findings of all three incidents determined that no detrimental impact to the surrounding environment had occurred. Detail on each of the incidents is contained in this report in Chapter 3. A separate report into the environmental impacts of the failure of Leach Tank No.1 was due to be released in August 2014. </w:t>
      </w:r>
    </w:p>
    <w:p w:rsidR="000976A2" w:rsidRPr="00EF63F4" w:rsidRDefault="000976A2" w:rsidP="00313F75">
      <w:r w:rsidRPr="00EF63F4">
        <w:t xml:space="preserve">The 2013-14 wet </w:t>
      </w:r>
      <w:proofErr w:type="gramStart"/>
      <w:r w:rsidRPr="00EF63F4">
        <w:t>season</w:t>
      </w:r>
      <w:proofErr w:type="gramEnd"/>
      <w:r w:rsidRPr="00EF63F4">
        <w:t xml:space="preserve"> was wetter than avera</w:t>
      </w:r>
      <w:r>
        <w:t>ge following a dry year in 2012–</w:t>
      </w:r>
      <w:r w:rsidRPr="00EF63F4">
        <w:t>13. Despite this, water inventories at Ranger are largely under control following the commissioning of a Brine Concentrator process water treatment plant towards the end of 2013. Following completion of mining in Pit 3 in November 2012, works on the preparation of the base of the pit, to receive the transfer of tailings from the tailings storage facility (TSF), are close to finalisation. Tailings transfer from the TSF to Pit 3 is expected to commence in Q2 or Q3 of 2015. Over the 2014 dry season capping of the tailings in Pit 1 will be completed and the pit removed from the process water catchment to further improve water inventories on site.</w:t>
      </w:r>
    </w:p>
    <w:p w:rsidR="000976A2" w:rsidRPr="00EF63F4" w:rsidRDefault="000976A2" w:rsidP="00313F75">
      <w:r w:rsidRPr="00EF63F4">
        <w:t>As in previous years, the management of the TSF remains a focus. Capacity increases over the past few years combined with a contingency pumping system, and the commissioning of the Brine Concentrator process water treatment plant, have resulted in increased capacity to manage process water within the TSF. Notwithstanding, it is expected that tr</w:t>
      </w:r>
      <w:r>
        <w:t xml:space="preserve">ansfer of process water to Pit </w:t>
      </w:r>
      <w:r w:rsidRPr="00EF63F4">
        <w:t>3 will commence during January or February 2015 depending on the quantity of early wet season rain.</w:t>
      </w:r>
    </w:p>
    <w:p w:rsidR="000976A2" w:rsidRPr="00EF63F4" w:rsidRDefault="000976A2" w:rsidP="00313F75">
      <w:pPr>
        <w:rPr>
          <w:color w:val="000000"/>
        </w:rPr>
      </w:pPr>
      <w:r w:rsidRPr="00EF63F4">
        <w:rPr>
          <w:color w:val="000000"/>
        </w:rPr>
        <w:t>Works continue on the construction of an exploration decline into the Ranger 3 Deeps (R3D). Complications in tunnelling during 2014 led to alterations in the alignment of the decline due to poor ground conditions. Despite this, the construction continues on schedule. As discussed above, an EIS for the development of the R3D ore body has been drafted and is expected to be released to the public in late 2014.</w:t>
      </w:r>
    </w:p>
    <w:p w:rsidR="00313F75" w:rsidRDefault="000976A2" w:rsidP="00313F75">
      <w:pPr>
        <w:rPr>
          <w:color w:val="000000"/>
        </w:rPr>
      </w:pPr>
      <w:r w:rsidRPr="00EF63F4">
        <w:rPr>
          <w:color w:val="000000"/>
        </w:rPr>
        <w:t xml:space="preserve">The 2013–14 wet </w:t>
      </w:r>
      <w:proofErr w:type="gramStart"/>
      <w:r w:rsidRPr="00EF63F4">
        <w:rPr>
          <w:color w:val="000000"/>
        </w:rPr>
        <w:t>season</w:t>
      </w:r>
      <w:proofErr w:type="gramEnd"/>
      <w:r w:rsidRPr="00EF63F4">
        <w:rPr>
          <w:color w:val="000000"/>
        </w:rPr>
        <w:t xml:space="preserve"> represents the fourth season for which continuous monitoring of pH, electrical conductivity (EC) and turbidity in Magela and Gulungul Creeks upstream and downstream of the Ranger mine has been the primary early warning monitoring method employed by the SSD. The monitoring stations are equipped with autosamplers that collect water samples triggered by in-stream events, such as increases in conductivity or turbidity, exceeding defined threshold levels. </w:t>
      </w:r>
    </w:p>
    <w:p w:rsidR="000976A2" w:rsidRPr="00EF63F4" w:rsidRDefault="000976A2" w:rsidP="00313F75">
      <w:r w:rsidRPr="00EF63F4">
        <w:rPr>
          <w:color w:val="000000"/>
        </w:rPr>
        <w:t xml:space="preserve">The SSD’s surface water monitoring results, together with explanatory notes, were posted weekly on the internet throughout the wet season. Overall, the water qualities measured in Magela and Gulungul Creeks for the 2013–14 wet </w:t>
      </w:r>
      <w:proofErr w:type="gramStart"/>
      <w:r w:rsidRPr="00EF63F4">
        <w:rPr>
          <w:color w:val="000000"/>
        </w:rPr>
        <w:t>season</w:t>
      </w:r>
      <w:proofErr w:type="gramEnd"/>
      <w:r w:rsidRPr="00EF63F4">
        <w:rPr>
          <w:color w:val="000000"/>
        </w:rPr>
        <w:t xml:space="preserve"> were comparable with previous wet seasons, with the results indicating that the aquatic environment in the creek has remained protected from mining activities.</w:t>
      </w:r>
    </w:p>
    <w:p w:rsidR="000976A2" w:rsidRPr="00EF63F4" w:rsidRDefault="000976A2" w:rsidP="00313F75">
      <w:r w:rsidRPr="00EF63F4">
        <w:rPr>
          <w:i/>
        </w:rPr>
        <w:t>In situ</w:t>
      </w:r>
      <w:r w:rsidRPr="00EF63F4">
        <w:t xml:space="preserve"> toxicity monitoring using fresh water snails in Magela and Gulungul Creeks upstream and downstream of the mine, with test organisms deployed in containers immersed in the creek water, is a biological-based method that complements the finding from the continuous monitoring. The measured responses of the snails during the 2013–14 wet season, combined with the results from the monitoring of fish and macroinvertebrates conducted in the recessional flow period towards, the end of the wet </w:t>
      </w:r>
      <w:proofErr w:type="gramStart"/>
      <w:r w:rsidRPr="00EF63F4">
        <w:t>season,</w:t>
      </w:r>
      <w:proofErr w:type="gramEnd"/>
      <w:r w:rsidRPr="00EF63F4">
        <w:t xml:space="preserve"> continue to confirm that the downstream aquatic environment remains protected from the effects of mining.</w:t>
      </w:r>
    </w:p>
    <w:p w:rsidR="000976A2" w:rsidRPr="00DA5324" w:rsidRDefault="000976A2" w:rsidP="00313F75">
      <w:r w:rsidRPr="00EF63F4">
        <w:t xml:space="preserve">As noted in previous years, work is continuing on further enhancing interpretation of the results from the Supervising Scientist’s surface water monitoring program. Work to establish a quantitative relationship between the trigger value for Mg and exposure durations was finalised during 2012 to a point such that an applicable trigger value can be derived for any given pulse duration and magnitude detected by the continuous water quality monitoring system. This work has been published in peer-reviewed international journals, and been presented to the </w:t>
      </w:r>
      <w:r>
        <w:t>M</w:t>
      </w:r>
      <w:r w:rsidRPr="00EF63F4">
        <w:t>inesite Technical Committee and has been accepted as part of the water quality regulatory regime for compliance in Magela Creek. This represents world’s leading practice in applying ecotoxicological derived limits to continuous monitoring data.</w:t>
      </w:r>
      <w:r>
        <w:t xml:space="preserve"> </w:t>
      </w:r>
      <w:r w:rsidRPr="00EF63F4">
        <w:t>Determination of radionuclide levels in mussels from Mudginberri Billabong has been a continuing element of the SSD assurance monitoring programme downstream of Ranger. The results from the most recent sampling and analysis conducted in October 2013 show that the levels of uranium and radium in mussels collected downstream of Ranger continue to pose no risk to human health.</w:t>
      </w:r>
    </w:p>
    <w:p w:rsidR="000976A2" w:rsidRPr="00EF63F4" w:rsidRDefault="000976A2" w:rsidP="00313F75">
      <w:r w:rsidRPr="00EF63F4">
        <w:t>The Jabiluka project remains in long-term care and maintenance. Agreement was reached during 2012 between ERA and traditional owners on rehabilitation of the remaining infrastructure on site. The Interim Water Management Pond (IWMP) was removed and the site revegetated during 2013. SSD increased its monitoring of the site in response to the ground disturbance of the remedial activities and to date no impact has been detected.</w:t>
      </w:r>
    </w:p>
    <w:p w:rsidR="000976A2" w:rsidRPr="00EF63F4" w:rsidRDefault="000976A2" w:rsidP="00313F75">
      <w:r w:rsidRPr="00EF63F4">
        <w:t xml:space="preserve">The Nabarlek mine in western Arnhem Land was decommissioned in 1995 and the rehabilitation of this site remains under ongoing assessment. No further exploration activities were undertaken by the owner Uranium Equities Limited during 2013. </w:t>
      </w:r>
    </w:p>
    <w:p w:rsidR="000976A2" w:rsidRPr="00EF63F4" w:rsidRDefault="000976A2" w:rsidP="00313F75">
      <w:r w:rsidRPr="00EF63F4">
        <w:t>In May 2006, the Australian Government announced funding to undertake rehabilitation of former uranium mining sites in the South Alligator Valley, in the southern part of Kakadu National Park. This project has now been completed. SSD continues to provide advice and assistance to the Director of National Parks on aspects relating to ongoing monitoring of the work.</w:t>
      </w:r>
    </w:p>
    <w:p w:rsidR="000976A2" w:rsidRPr="00EF63F4" w:rsidRDefault="000976A2" w:rsidP="00313F75">
      <w:r w:rsidRPr="00EF63F4">
        <w:t xml:space="preserve">The Alligator Rivers Region Technical Committee (ARRTC) continues to play a vital role in assessing the key knowledge required, and the robustness of the science used, to make judgements about the protection of the environment from the impacts of uranium mining. During the year ARRTC continued to focus on the ERA closure plan with a view of informing the revision of the Key Knowledge Needs. This work is ongoing and will evolve as Ranger approaches closure, informing both closure criteria and key gaps in knowledge. </w:t>
      </w:r>
    </w:p>
    <w:p w:rsidR="000976A2" w:rsidRPr="00EF63F4" w:rsidRDefault="000976A2" w:rsidP="00313F75">
      <w:r w:rsidRPr="00EF63F4">
        <w:t>Detailed outcomes from the Environmental Research Institute of the Supervising Scientist (</w:t>
      </w:r>
      <w:r w:rsidRPr="00DA5324">
        <w:rPr>
          <w:b/>
          <w:i/>
          <w:sz w:val="21"/>
          <w:szCs w:val="21"/>
        </w:rPr>
        <w:t>eriss</w:t>
      </w:r>
      <w:r w:rsidRPr="00EF63F4">
        <w:t>) research program are published in journal and conference papers and in the Supervising Scientist and Internal Report series. Highlights of this work are described in this annual report.</w:t>
      </w:r>
    </w:p>
    <w:p w:rsidR="000976A2" w:rsidRPr="00EF63F4" w:rsidRDefault="000976A2" w:rsidP="00313F75">
      <w:r w:rsidRPr="00EF63F4">
        <w:t>During the reporting period, SSD provided advice to the Environment Assessment and Compliance Division of the Department on referrals submitted in accordance with the EPBC Act for proposed new and expanding uranium mines.</w:t>
      </w:r>
    </w:p>
    <w:p w:rsidR="000976A2" w:rsidRPr="00EF63F4" w:rsidRDefault="000976A2" w:rsidP="00313F75">
      <w:r w:rsidRPr="00EF63F4">
        <w:t xml:space="preserve">Funds were provided </w:t>
      </w:r>
      <w:proofErr w:type="gramStart"/>
      <w:r w:rsidRPr="00EF63F4">
        <w:t>in the 2013–14 Federal Budget for continuation of a programme to develop contemporary site rehabilitation strategies at Rum Jungle under a national partnership agreement between the Northern Territory and the Australian Governments</w:t>
      </w:r>
      <w:proofErr w:type="gramEnd"/>
      <w:r w:rsidRPr="00EF63F4">
        <w:t>. The Rum Jungle Technical Working Group comprises representatives from the Northern Territory Department of Mines and Energy, Northern Territory Environment Protection Authority, Australian Government Department of Industry, the Northern Land Council and SSD. SSD continued to provide advice to the Rum Jungle Technical Working Group during the reporting period.</w:t>
      </w:r>
    </w:p>
    <w:p w:rsidR="00313F75" w:rsidRDefault="000976A2" w:rsidP="00313F75">
      <w:r w:rsidRPr="00EF63F4">
        <w:t xml:space="preserve">In closing I offer my personal thanks to all the staff of the Supervising Scientist Division for their continued enthusiasm and efforts during the year. The 2014 year has provided many challenges from a major incident investigation to departmental restructures that have seen the Supervising Scientist move from being a Division in its own right to forming a part of the much larger Science Division. This change will produce many opportunities and I encourage all the staff of the Supervising Scientist to embrace the new future. </w:t>
      </w:r>
    </w:p>
    <w:p w:rsidR="000976A2" w:rsidRPr="00EF63F4" w:rsidRDefault="000976A2" w:rsidP="00313F75">
      <w:r w:rsidRPr="00EF63F4">
        <w:t xml:space="preserve">It is through the commitment and professionalism of the Division’s staff that the Division is able to fulfil its role in ensuring the highest level of environmental protection is afforded to the Alligator Rivers Region. In particular I would like to highlight the efforts of those staff </w:t>
      </w:r>
      <w:proofErr w:type="gramStart"/>
      <w:r w:rsidRPr="00EF63F4">
        <w:t>who</w:t>
      </w:r>
      <w:proofErr w:type="gramEnd"/>
      <w:r w:rsidRPr="00EF63F4">
        <w:t xml:space="preserve"> have recently departed after many years of service, including Dave Walden who has been the </w:t>
      </w:r>
      <w:r w:rsidRPr="00313F75">
        <w:t xml:space="preserve">backbone and major historian of the organisation and will be sorely missed for the character and professionalism he brought to the workplace over many years. </w:t>
      </w:r>
    </w:p>
    <w:p w:rsidR="00313F75" w:rsidRDefault="00313F75" w:rsidP="00A00BA3">
      <w:r w:rsidRPr="00313F75">
        <w:rPr>
          <w:noProof/>
          <w:lang w:eastAsia="en-AU"/>
        </w:rPr>
        <w:drawing>
          <wp:anchor distT="0" distB="0" distL="114300" distR="114300" simplePos="0" relativeHeight="251760640" behindDoc="0" locked="0" layoutInCell="1" allowOverlap="1">
            <wp:simplePos x="0" y="0"/>
            <wp:positionH relativeFrom="column">
              <wp:posOffset>-47625</wp:posOffset>
            </wp:positionH>
            <wp:positionV relativeFrom="paragraph">
              <wp:posOffset>111125</wp:posOffset>
            </wp:positionV>
            <wp:extent cx="1571625" cy="361950"/>
            <wp:effectExtent l="19050" t="0" r="9525" b="0"/>
            <wp:wrapSquare wrapText="bothSides"/>
            <wp:docPr id="32" name="Picture 6" descr="[Untitled]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Untitled]001.jpg"/>
                    <pic:cNvPicPr/>
                  </pic:nvPicPr>
                  <pic:blipFill>
                    <a:blip r:embed="rId20" cstate="screen"/>
                    <a:stretch>
                      <a:fillRect/>
                    </a:stretch>
                  </pic:blipFill>
                  <pic:spPr>
                    <a:xfrm>
                      <a:off x="0" y="0"/>
                      <a:ext cx="1571625" cy="361950"/>
                    </a:xfrm>
                    <a:prstGeom prst="rect">
                      <a:avLst/>
                    </a:prstGeom>
                  </pic:spPr>
                </pic:pic>
              </a:graphicData>
            </a:graphic>
          </wp:anchor>
        </w:drawing>
      </w:r>
    </w:p>
    <w:p w:rsidR="00313F75" w:rsidRDefault="00313F75" w:rsidP="00A00BA3"/>
    <w:p w:rsidR="00313F75" w:rsidRDefault="00313F75" w:rsidP="00A00BA3"/>
    <w:p w:rsidR="008257AE" w:rsidRPr="002A0025" w:rsidRDefault="00AF7597" w:rsidP="00A00BA3">
      <w:r w:rsidRPr="002A0025">
        <w:t>Richard McAllister</w:t>
      </w:r>
    </w:p>
    <w:p w:rsidR="00476E36" w:rsidRDefault="009B6A98" w:rsidP="00A00BA3">
      <w:r w:rsidRPr="002A0025">
        <w:t xml:space="preserve">Acting </w:t>
      </w:r>
      <w:r w:rsidR="008257AE" w:rsidRPr="002A0025">
        <w:t>Supervising Scientist</w:t>
      </w:r>
      <w:bookmarkEnd w:id="103"/>
      <w:bookmarkEnd w:id="104"/>
    </w:p>
    <w:p w:rsidR="00DC54F1" w:rsidRDefault="00DC54F1" w:rsidP="00A00BA3"/>
    <w:p w:rsidR="00DC54F1" w:rsidRDefault="00DC54F1" w:rsidP="00DC54F1">
      <w:pPr>
        <w:jc w:val="center"/>
        <w:rPr>
          <w:noProof/>
          <w:lang w:val="en-US"/>
        </w:rPr>
      </w:pPr>
      <w:r>
        <w:br w:type="page"/>
      </w:r>
      <w:r>
        <w:rPr>
          <w:noProof/>
          <w:lang w:eastAsia="en-AU"/>
        </w:rPr>
        <w:drawing>
          <wp:anchor distT="0" distB="0" distL="114300" distR="114300" simplePos="0" relativeHeight="251754496" behindDoc="0" locked="0" layoutInCell="1" allowOverlap="1">
            <wp:simplePos x="0" y="0"/>
            <wp:positionH relativeFrom="column">
              <wp:posOffset>-38100</wp:posOffset>
            </wp:positionH>
            <wp:positionV relativeFrom="paragraph">
              <wp:posOffset>409575</wp:posOffset>
            </wp:positionV>
            <wp:extent cx="4724400" cy="6429375"/>
            <wp:effectExtent l="19050" t="0" r="0" b="0"/>
            <wp:wrapTopAndBottom/>
            <wp:docPr id="11" name="Picture 0" descr="ranger_annualrep-ma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ger_annualrep-map1.jpg"/>
                    <pic:cNvPicPr/>
                  </pic:nvPicPr>
                  <pic:blipFill>
                    <a:blip r:embed="rId38" cstate="screen"/>
                    <a:srcRect/>
                    <a:stretch>
                      <a:fillRect/>
                    </a:stretch>
                  </pic:blipFill>
                  <pic:spPr>
                    <a:xfrm>
                      <a:off x="0" y="0"/>
                      <a:ext cx="4724400" cy="6429375"/>
                    </a:xfrm>
                    <a:prstGeom prst="rect">
                      <a:avLst/>
                    </a:prstGeom>
                  </pic:spPr>
                </pic:pic>
              </a:graphicData>
            </a:graphic>
          </wp:anchor>
        </w:drawing>
      </w:r>
    </w:p>
    <w:p w:rsidR="00DC54F1" w:rsidRDefault="00DC54F1" w:rsidP="00DC54F1">
      <w:pPr>
        <w:pStyle w:val="figurecaption"/>
        <w:spacing w:before="400"/>
      </w:pPr>
      <w:bookmarkStart w:id="106" w:name="_Toc51658557"/>
      <w:bookmarkStart w:id="107" w:name="_Toc52163432"/>
      <w:bookmarkStart w:id="108" w:name="_Toc85011740"/>
      <w:bookmarkStart w:id="109" w:name="_Toc146538766"/>
      <w:bookmarkStart w:id="110" w:name="_Toc176756316"/>
      <w:bookmarkStart w:id="111" w:name="_Toc272855291"/>
      <w:r>
        <w:rPr>
          <w:b/>
        </w:rPr>
        <w:t>Map 1</w:t>
      </w:r>
      <w:r>
        <w:t xml:space="preserve">  Alligator Rivers Region</w:t>
      </w:r>
      <w:bookmarkEnd w:id="106"/>
      <w:bookmarkEnd w:id="107"/>
      <w:bookmarkEnd w:id="108"/>
      <w:bookmarkEnd w:id="109"/>
      <w:bookmarkEnd w:id="110"/>
      <w:bookmarkEnd w:id="111"/>
    </w:p>
    <w:p w:rsidR="00DC54F1" w:rsidRDefault="00DC54F1" w:rsidP="00A00BA3">
      <w:pPr>
        <w:sectPr w:rsidR="00DC54F1">
          <w:headerReference w:type="default" r:id="rId39"/>
          <w:pgSz w:w="10325" w:h="14573" w:code="13"/>
          <w:pgMar w:top="1440" w:right="1440" w:bottom="1440" w:left="1440" w:header="720" w:footer="720" w:gutter="0"/>
          <w:pgNumType w:fmt="lowerRoman"/>
          <w:cols w:space="360"/>
          <w:noEndnote/>
          <w:titlePg/>
        </w:sectPr>
      </w:pPr>
    </w:p>
    <w:p w:rsidR="00A608EB" w:rsidRDefault="00A608EB" w:rsidP="00EA77A9">
      <w:pPr>
        <w:pStyle w:val="figurecaption"/>
        <w:rPr>
          <w:b/>
        </w:rPr>
      </w:pPr>
    </w:p>
    <w:p w:rsidR="00EA77A9" w:rsidRPr="00C03097" w:rsidRDefault="00EA77A9" w:rsidP="00EA77A9">
      <w:pPr>
        <w:pStyle w:val="figurecaption"/>
      </w:pPr>
      <w:r>
        <w:rPr>
          <w:b/>
          <w:lang w:val="en-AU" w:eastAsia="en-AU"/>
        </w:rPr>
        <w:drawing>
          <wp:anchor distT="0" distB="0" distL="114300" distR="114300" simplePos="0" relativeHeight="251756544" behindDoc="0" locked="0" layoutInCell="1" allowOverlap="1">
            <wp:simplePos x="0" y="0"/>
            <wp:positionH relativeFrom="column">
              <wp:posOffset>-104775</wp:posOffset>
            </wp:positionH>
            <wp:positionV relativeFrom="paragraph">
              <wp:posOffset>238125</wp:posOffset>
            </wp:positionV>
            <wp:extent cx="4739005" cy="5876925"/>
            <wp:effectExtent l="19050" t="0" r="4445" b="0"/>
            <wp:wrapTopAndBottom/>
            <wp:docPr id="33" name="Picture 1" descr="ranger_annualrep-map2_18june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ger_annualrep-map2_18june2012.jpg"/>
                    <pic:cNvPicPr/>
                  </pic:nvPicPr>
                  <pic:blipFill>
                    <a:blip r:embed="rId40" cstate="screen"/>
                    <a:srcRect/>
                    <a:stretch>
                      <a:fillRect/>
                    </a:stretch>
                  </pic:blipFill>
                  <pic:spPr>
                    <a:xfrm>
                      <a:off x="0" y="0"/>
                      <a:ext cx="4739005" cy="5876925"/>
                    </a:xfrm>
                    <a:prstGeom prst="rect">
                      <a:avLst/>
                    </a:prstGeom>
                  </pic:spPr>
                </pic:pic>
              </a:graphicData>
            </a:graphic>
          </wp:anchor>
        </w:drawing>
      </w:r>
      <w:r>
        <w:rPr>
          <w:b/>
        </w:rPr>
        <w:t>Map 2</w:t>
      </w:r>
      <w:r>
        <w:t xml:space="preserve">  Ranger minesite</w:t>
      </w:r>
    </w:p>
    <w:p w:rsidR="00CC7F91" w:rsidRDefault="00CC7F91" w:rsidP="00A00BA3"/>
    <w:p w:rsidR="00476E36" w:rsidRDefault="00476E36" w:rsidP="00A00BA3">
      <w:pPr>
        <w:rPr>
          <w:lang w:val="en-US"/>
        </w:rPr>
        <w:sectPr w:rsidR="00476E36">
          <w:headerReference w:type="even" r:id="rId41"/>
          <w:headerReference w:type="default" r:id="rId42"/>
          <w:headerReference w:type="first" r:id="rId43"/>
          <w:pgSz w:w="10325" w:h="14573" w:code="13"/>
          <w:pgMar w:top="1440" w:right="1440" w:bottom="1440" w:left="1440" w:header="720" w:footer="720" w:gutter="0"/>
          <w:pgNumType w:fmt="lowerRoman"/>
          <w:cols w:space="360"/>
          <w:noEndnote/>
        </w:sectPr>
      </w:pPr>
    </w:p>
    <w:p w:rsidR="00F41B05" w:rsidRDefault="00A608EB" w:rsidP="00F41B05">
      <w:pPr>
        <w:pStyle w:val="figurecaption"/>
      </w:pPr>
      <w:bookmarkStart w:id="112" w:name="_Toc146538768"/>
      <w:bookmarkStart w:id="113" w:name="_Toc176756318"/>
      <w:bookmarkStart w:id="114" w:name="_Toc272855293"/>
      <w:bookmarkStart w:id="115" w:name="_Toc146538767"/>
      <w:bookmarkStart w:id="116" w:name="_Toc176756317"/>
      <w:bookmarkStart w:id="117" w:name="_Toc272855292"/>
      <w:r>
        <w:rPr>
          <w:b/>
          <w:lang w:val="en-AU" w:eastAsia="en-AU"/>
        </w:rPr>
        <w:drawing>
          <wp:anchor distT="0" distB="0" distL="114300" distR="114300" simplePos="0" relativeHeight="251758592" behindDoc="0" locked="0" layoutInCell="1" allowOverlap="1">
            <wp:simplePos x="0" y="0"/>
            <wp:positionH relativeFrom="column">
              <wp:posOffset>-66675</wp:posOffset>
            </wp:positionH>
            <wp:positionV relativeFrom="paragraph">
              <wp:posOffset>228600</wp:posOffset>
            </wp:positionV>
            <wp:extent cx="4562475" cy="6717665"/>
            <wp:effectExtent l="19050" t="0" r="9525" b="0"/>
            <wp:wrapTopAndBottom/>
            <wp:docPr id="36" name="Picture 2" descr="ranger_annualrep-map3_june20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ranger_annualrep-map3_june2012.jpg"/>
                    <pic:cNvPicPr/>
                  </pic:nvPicPr>
                  <pic:blipFill>
                    <a:blip r:embed="rId44" cstate="screen"/>
                    <a:srcRect/>
                    <a:stretch>
                      <a:fillRect/>
                    </a:stretch>
                  </pic:blipFill>
                  <pic:spPr>
                    <a:xfrm>
                      <a:off x="0" y="0"/>
                      <a:ext cx="4562475" cy="6717665"/>
                    </a:xfrm>
                    <a:prstGeom prst="rect">
                      <a:avLst/>
                    </a:prstGeom>
                  </pic:spPr>
                </pic:pic>
              </a:graphicData>
            </a:graphic>
          </wp:anchor>
        </w:drawing>
      </w:r>
      <w:r w:rsidR="00F41B05">
        <w:rPr>
          <w:b/>
        </w:rPr>
        <w:br/>
        <w:t>Map 3</w:t>
      </w:r>
      <w:r w:rsidR="00F41B05">
        <w:t xml:space="preserve">  </w:t>
      </w:r>
      <w:bookmarkEnd w:id="112"/>
      <w:bookmarkEnd w:id="113"/>
      <w:bookmarkEnd w:id="114"/>
      <w:r w:rsidR="00F41B05">
        <w:t xml:space="preserve">Location of waterbodies and atmospheric monitoring sites used in the SSD </w:t>
      </w:r>
      <w:r w:rsidR="0035765C">
        <w:br/>
      </w:r>
      <w:r w:rsidR="00F41B05">
        <w:t>environmental research and monitoring programmes.</w:t>
      </w:r>
    </w:p>
    <w:p w:rsidR="00E0239E" w:rsidRDefault="00E0239E" w:rsidP="00DE799E">
      <w:pPr>
        <w:pStyle w:val="Heading1"/>
      </w:pPr>
      <w:bookmarkStart w:id="118" w:name="_Toc272771422"/>
      <w:bookmarkStart w:id="119" w:name="_Toc399928167"/>
      <w:bookmarkEnd w:id="115"/>
      <w:bookmarkEnd w:id="116"/>
      <w:bookmarkEnd w:id="117"/>
      <w:r>
        <w:t>1</w:t>
      </w:r>
      <w:r>
        <w:tab/>
        <w:t>Introduction</w:t>
      </w:r>
      <w:bookmarkEnd w:id="118"/>
      <w:bookmarkEnd w:id="119"/>
    </w:p>
    <w:p w:rsidR="00377BF3" w:rsidRDefault="00377BF3" w:rsidP="00377BF3">
      <w:pPr>
        <w:pStyle w:val="Heading2"/>
      </w:pPr>
      <w:bookmarkStart w:id="120" w:name="_Toc272771423"/>
      <w:bookmarkStart w:id="121" w:name="_Toc399928168"/>
      <w:r>
        <w:t>1.1</w:t>
      </w:r>
      <w:r>
        <w:tab/>
        <w:t>Role and function of the Supervising Scientist</w:t>
      </w:r>
      <w:bookmarkEnd w:id="120"/>
      <w:bookmarkEnd w:id="121"/>
    </w:p>
    <w:p w:rsidR="002E7CFC" w:rsidRPr="002E7CFC" w:rsidRDefault="002E7CFC" w:rsidP="002E7CFC">
      <w:bookmarkStart w:id="122" w:name="_Toc272771424"/>
      <w:r w:rsidRPr="002E7CFC">
        <w:t xml:space="preserve">The position of Supervising Scientist was established under the Commonwealth </w:t>
      </w:r>
      <w:r w:rsidRPr="002E7CFC">
        <w:rPr>
          <w:i/>
          <w:iCs/>
        </w:rPr>
        <w:t xml:space="preserve">Environment Protection (Alligator Rivers Region) Act 1978 </w:t>
      </w:r>
      <w:r w:rsidRPr="002E7CFC">
        <w:rPr>
          <w:iCs/>
        </w:rPr>
        <w:t xml:space="preserve">(the EPARR Act) in response to a recommendation of the </w:t>
      </w:r>
      <w:r w:rsidRPr="002E7CFC">
        <w:t>second and final Fox Commission report in May 1977.</w:t>
      </w:r>
    </w:p>
    <w:p w:rsidR="002E7CFC" w:rsidRPr="002E7CFC" w:rsidRDefault="002E7CFC" w:rsidP="002E7CFC">
      <w:pPr>
        <w:spacing w:after="90"/>
        <w:rPr>
          <w:lang w:val="en-US"/>
        </w:rPr>
      </w:pPr>
      <w:r w:rsidRPr="002E7CFC">
        <w:rPr>
          <w:lang w:val="en-US"/>
        </w:rPr>
        <w:t>The roles and responsibilities of the Supervising Scientist are to:</w:t>
      </w:r>
    </w:p>
    <w:p w:rsidR="00AC75EE" w:rsidRDefault="002E7CFC" w:rsidP="00CA6E4B">
      <w:pPr>
        <w:pStyle w:val="bulletlist1"/>
      </w:pPr>
      <w:r w:rsidRPr="002E7CFC">
        <w:t>develop, coordinate and manage program</w:t>
      </w:r>
      <w:r w:rsidR="00936D05">
        <w:t>me</w:t>
      </w:r>
      <w:r w:rsidRPr="002E7CFC">
        <w:t>s of research into the effects on the environment of uranium mining within the Alligator Rivers Region</w:t>
      </w:r>
    </w:p>
    <w:p w:rsidR="00AC75EE" w:rsidRDefault="002E7CFC" w:rsidP="00CA6E4B">
      <w:pPr>
        <w:pStyle w:val="bulletlist1"/>
      </w:pPr>
      <w:r w:rsidRPr="002E7CFC">
        <w:t>develop standards, practices and procedures that will protect the environment and people from the effects of uranium mining within the Alligator Rivers Region</w:t>
      </w:r>
    </w:p>
    <w:p w:rsidR="00AC75EE" w:rsidRDefault="002E7CFC" w:rsidP="00CA6E4B">
      <w:pPr>
        <w:pStyle w:val="bulletlist1"/>
        <w:rPr>
          <w:lang w:val="en-US"/>
        </w:rPr>
      </w:pPr>
      <w:r w:rsidRPr="002E7CFC">
        <w:rPr>
          <w:lang w:val="en-US"/>
        </w:rPr>
        <w:t>develop measures for the protection and restoration of the environment</w:t>
      </w:r>
    </w:p>
    <w:p w:rsidR="00AC75EE" w:rsidRDefault="002E7CFC" w:rsidP="00CA6E4B">
      <w:pPr>
        <w:pStyle w:val="bulletlist1"/>
        <w:rPr>
          <w:lang w:val="en-US"/>
        </w:rPr>
      </w:pPr>
      <w:r w:rsidRPr="002E7CFC">
        <w:rPr>
          <w:lang w:val="en-US"/>
        </w:rPr>
        <w:t>coordinate and supervise the implementation of requirements made under laws applicable to environmental aspects of uranium mining in the Alligator Rivers Region</w:t>
      </w:r>
    </w:p>
    <w:p w:rsidR="00AC75EE" w:rsidRDefault="002E7CFC" w:rsidP="00CA6E4B">
      <w:pPr>
        <w:pStyle w:val="bulletlist1"/>
        <w:rPr>
          <w:spacing w:val="-3"/>
          <w:lang w:val="en-US"/>
        </w:rPr>
      </w:pPr>
      <w:r w:rsidRPr="002E7CFC">
        <w:rPr>
          <w:spacing w:val="-3"/>
          <w:lang w:val="en-US"/>
        </w:rPr>
        <w:t xml:space="preserve">provide the Minister for </w:t>
      </w:r>
      <w:r w:rsidRPr="002E7CFC">
        <w:rPr>
          <w:spacing w:val="-3"/>
          <w:lang w:val="en-US" w:eastAsia="en-AU"/>
        </w:rPr>
        <w:t xml:space="preserve">the Environment </w:t>
      </w:r>
      <w:r w:rsidRPr="002E7CFC">
        <w:rPr>
          <w:spacing w:val="-3"/>
          <w:lang w:val="en-US"/>
        </w:rPr>
        <w:t>with scientific and technical advice on mining in the Alligator Rivers Region</w:t>
      </w:r>
    </w:p>
    <w:p w:rsidR="00AC75EE" w:rsidRDefault="002E7CFC" w:rsidP="00CA6E4B">
      <w:pPr>
        <w:pStyle w:val="bulletlist1"/>
        <w:rPr>
          <w:lang w:val="en-US"/>
        </w:rPr>
      </w:pPr>
      <w:proofErr w:type="gramStart"/>
      <w:r w:rsidRPr="002E7CFC">
        <w:rPr>
          <w:lang w:val="en-US"/>
        </w:rPr>
        <w:t>on</w:t>
      </w:r>
      <w:proofErr w:type="gramEnd"/>
      <w:r w:rsidRPr="002E7CFC">
        <w:rPr>
          <w:lang w:val="en-US"/>
        </w:rPr>
        <w:t xml:space="preserve"> request, provide the Minister </w:t>
      </w:r>
      <w:r w:rsidRPr="002E7CFC">
        <w:rPr>
          <w:spacing w:val="-3"/>
          <w:lang w:val="en-US"/>
        </w:rPr>
        <w:t xml:space="preserve">for </w:t>
      </w:r>
      <w:r w:rsidRPr="002E7CFC">
        <w:rPr>
          <w:spacing w:val="-3"/>
          <w:lang w:val="en-US" w:eastAsia="en-AU"/>
        </w:rPr>
        <w:t xml:space="preserve">the Environment </w:t>
      </w:r>
      <w:r w:rsidRPr="002E7CFC">
        <w:rPr>
          <w:lang w:val="en-US"/>
        </w:rPr>
        <w:t>with scientific and technical advice on environmental matters elsewhere in Australia.</w:t>
      </w:r>
    </w:p>
    <w:p w:rsidR="002E7CFC" w:rsidRPr="002E7CFC" w:rsidRDefault="002E7CFC" w:rsidP="002E7CFC">
      <w:r w:rsidRPr="002E7CFC">
        <w:t xml:space="preserve">The Supervising Scientist heads the </w:t>
      </w:r>
      <w:r w:rsidRPr="002E7CFC">
        <w:rPr>
          <w:b/>
        </w:rPr>
        <w:t>Supervising Scientist Division (SSD)</w:t>
      </w:r>
      <w:r w:rsidRPr="002E7CFC">
        <w:t xml:space="preserve"> within the </w:t>
      </w:r>
      <w:r w:rsidRPr="002E7CFC">
        <w:rPr>
          <w:lang w:eastAsia="en-AU"/>
        </w:rPr>
        <w:t>Department of the Environment</w:t>
      </w:r>
      <w:r w:rsidRPr="002E7CFC">
        <w:t>. The Division comprises two Branches.</w:t>
      </w:r>
    </w:p>
    <w:p w:rsidR="002E7CFC" w:rsidRPr="002E7CFC" w:rsidRDefault="002E7CFC" w:rsidP="002E7CFC">
      <w:pPr>
        <w:rPr>
          <w:lang w:val="en-US"/>
        </w:rPr>
      </w:pPr>
      <w:r w:rsidRPr="002E7CFC">
        <w:t xml:space="preserve">The </w:t>
      </w:r>
      <w:r w:rsidRPr="002E7CFC">
        <w:rPr>
          <w:b/>
        </w:rPr>
        <w:t xml:space="preserve">Office of the Supervising Scientist </w:t>
      </w:r>
      <w:r w:rsidRPr="002E7CFC">
        <w:t>(</w:t>
      </w:r>
      <w:r w:rsidRPr="002E7CFC">
        <w:rPr>
          <w:b/>
          <w:i/>
          <w:sz w:val="23"/>
          <w:szCs w:val="23"/>
        </w:rPr>
        <w:t>oss</w:t>
      </w:r>
      <w:r w:rsidRPr="002E7CFC">
        <w:t xml:space="preserve">) </w:t>
      </w:r>
      <w:r w:rsidRPr="002E7CFC">
        <w:rPr>
          <w:bCs/>
          <w:iCs/>
          <w:lang w:val="en-US"/>
        </w:rPr>
        <w:t xml:space="preserve">undertakes </w:t>
      </w:r>
      <w:r w:rsidRPr="002E7CFC">
        <w:rPr>
          <w:lang w:val="en-US"/>
        </w:rPr>
        <w:t>supervision, audit and assessment activities and provides policy advice to the Australian Government in relation to the environmental performance of uranium mines in the Alligator Rivers Region. The Branch also provides business and administrative support to the Supervising Scientist Division.</w:t>
      </w:r>
    </w:p>
    <w:p w:rsidR="002E7CFC" w:rsidRDefault="002E7CFC" w:rsidP="002E7CFC">
      <w:pPr>
        <w:rPr>
          <w:b/>
          <w:lang w:val="en-US"/>
        </w:rPr>
      </w:pPr>
      <w:r w:rsidRPr="002E7CFC">
        <w:rPr>
          <w:lang w:val="en-US"/>
        </w:rPr>
        <w:t>T</w:t>
      </w:r>
      <w:r w:rsidRPr="002E7CFC">
        <w:t xml:space="preserve">he </w:t>
      </w:r>
      <w:r w:rsidRPr="000A218C">
        <w:rPr>
          <w:b/>
        </w:rPr>
        <w:t xml:space="preserve">Environmental Research Institute of the Supervising Scientist </w:t>
      </w:r>
      <w:r w:rsidRPr="002E7CFC">
        <w:t>(</w:t>
      </w:r>
      <w:r w:rsidRPr="00E73CE5">
        <w:rPr>
          <w:b/>
          <w:i/>
          <w:sz w:val="23"/>
          <w:szCs w:val="23"/>
        </w:rPr>
        <w:t>eriss</w:t>
      </w:r>
      <w:r w:rsidRPr="002E7CFC">
        <w:t xml:space="preserve">) </w:t>
      </w:r>
      <w:r w:rsidRPr="002E7CFC">
        <w:rPr>
          <w:lang w:val="en-US"/>
        </w:rPr>
        <w:t>undertakes environmental monitoring and scientific research into the impact of uranium mining on the environment within the Alligator Rivers Region to support the role of the Supervising Scientist.</w:t>
      </w:r>
    </w:p>
    <w:p w:rsidR="00377BF3" w:rsidRDefault="00377BF3" w:rsidP="002E7CFC">
      <w:pPr>
        <w:pStyle w:val="Heading2"/>
      </w:pPr>
      <w:bookmarkStart w:id="123" w:name="_Toc399928169"/>
      <w:r>
        <w:t>1.2</w:t>
      </w:r>
      <w:r>
        <w:tab/>
      </w:r>
      <w:r w:rsidRPr="00AF57DA">
        <w:t>Performance</w:t>
      </w:r>
      <w:r>
        <w:t xml:space="preserve"> summary</w:t>
      </w:r>
      <w:bookmarkEnd w:id="122"/>
      <w:bookmarkEnd w:id="123"/>
    </w:p>
    <w:p w:rsidR="00377BF3" w:rsidRDefault="00377BF3" w:rsidP="00377BF3">
      <w:r>
        <w:t xml:space="preserve">As a Division of the </w:t>
      </w:r>
      <w:r>
        <w:rPr>
          <w:lang w:eastAsia="en-AU"/>
        </w:rPr>
        <w:t>Department of the Environment</w:t>
      </w:r>
      <w:r>
        <w:t>, SSD is funded under the Portfolio’s departmental output appropriation and contributes to the delivery of Outcome 5:</w:t>
      </w:r>
    </w:p>
    <w:p w:rsidR="00377BF3" w:rsidRDefault="00377BF3" w:rsidP="00377BF3">
      <w:pPr>
        <w:pStyle w:val="Quote1"/>
        <w:rPr>
          <w:lang w:eastAsia="en-AU"/>
        </w:rPr>
      </w:pPr>
      <w:r>
        <w:t>ensuring efficient and effective environmental regulation in cooperation with stakeholders, especially in relation to protecting matters of national environmental significance; improving the delivery of regulatory services under the EPBC Act; protecting and increasing awareness and enjoyment of the places and stories that make Australia special and are part of our heritage; and ensuring that the environment and natural values of the Alligator Rivers Region are protected from the impacts of uranium mining.</w:t>
      </w:r>
    </w:p>
    <w:p w:rsidR="00377BF3" w:rsidRPr="00625D00" w:rsidRDefault="00377BF3" w:rsidP="00377BF3">
      <w:r>
        <w:t>Outcome 5 is divided into two program</w:t>
      </w:r>
      <w:r w:rsidR="00936D05">
        <w:t>me</w:t>
      </w:r>
      <w:r>
        <w:t xml:space="preserve">s. During the 2013–14 financial </w:t>
      </w:r>
      <w:proofErr w:type="gramStart"/>
      <w:r>
        <w:t>year</w:t>
      </w:r>
      <w:proofErr w:type="gramEnd"/>
      <w:r>
        <w:t xml:space="preserve">, the Supervising Scientist contributed to </w:t>
      </w:r>
      <w:r w:rsidRPr="00625D00">
        <w:t xml:space="preserve">Program </w:t>
      </w:r>
      <w:r>
        <w:t xml:space="preserve">5.2 </w:t>
      </w:r>
      <w:r w:rsidRPr="00625D00">
        <w:t xml:space="preserve">Environmental </w:t>
      </w:r>
      <w:r>
        <w:t>R</w:t>
      </w:r>
      <w:r w:rsidRPr="00625D00">
        <w:t>egulation</w:t>
      </w:r>
      <w:r>
        <w:t>.</w:t>
      </w:r>
    </w:p>
    <w:p w:rsidR="00377BF3" w:rsidRDefault="00377BF3" w:rsidP="00377BF3">
      <w:r>
        <w:t xml:space="preserve">Further details on SSD activities during 2013–14 contributing to Program 5.2 are provided in Chapters 2, 3 and 5 of this Annual Report. </w:t>
      </w:r>
    </w:p>
    <w:p w:rsidR="00377BF3" w:rsidRDefault="00377BF3" w:rsidP="00377BF3">
      <w:r>
        <w:t xml:space="preserve">Communicating the outcomes of research, monitoring and supervision activities to relevant stakeholders and the broader scientific community is a key part of the work of the Division. Of particular importance is the ongoing communication and consultation SSD undertakes with the </w:t>
      </w:r>
      <w:r w:rsidR="000A08E4">
        <w:t>Indigenous</w:t>
      </w:r>
      <w:r>
        <w:t xml:space="preserve"> people living in the Alligator Rivers Region. Further details on SSD communications activities during 2013–14 are provided in Chapter 5. </w:t>
      </w:r>
    </w:p>
    <w:p w:rsidR="00377BF3" w:rsidRDefault="00377BF3" w:rsidP="00377BF3">
      <w:pPr>
        <w:pStyle w:val="Heading2"/>
      </w:pPr>
      <w:bookmarkStart w:id="124" w:name="_Toc272771425"/>
      <w:bookmarkStart w:id="125" w:name="_Toc399928170"/>
      <w:r>
        <w:t>1.3</w:t>
      </w:r>
      <w:r>
        <w:tab/>
        <w:t>Business planning</w:t>
      </w:r>
      <w:bookmarkEnd w:id="124"/>
      <w:bookmarkEnd w:id="125"/>
    </w:p>
    <w:p w:rsidR="00377BF3" w:rsidRDefault="00377BF3" w:rsidP="00377BF3">
      <w:pPr>
        <w:rPr>
          <w:lang w:eastAsia="en-AU"/>
        </w:rPr>
      </w:pPr>
      <w:r>
        <w:rPr>
          <w:lang w:eastAsia="en-AU"/>
        </w:rPr>
        <w:t>SSD undertakes a strategic business planning approach and inputs into Departmental strategic business planning processes to ensure outputs are achieved in the most effective and efficient way. SSD prepares an annual Business Plan that outlines the main goals and challenges for the Division over the coming year, the range of activities and program</w:t>
      </w:r>
      <w:r w:rsidR="00936D05">
        <w:rPr>
          <w:lang w:eastAsia="en-AU"/>
        </w:rPr>
        <w:t>me</w:t>
      </w:r>
      <w:r>
        <w:rPr>
          <w:lang w:eastAsia="en-AU"/>
        </w:rPr>
        <w:t>s to be undertaken and associated performance measures. Progress against strategic priorities and key result areas is assessed on an ongoing basis as part of Departmental performance management processes.</w:t>
      </w:r>
    </w:p>
    <w:p w:rsidR="00377BF3" w:rsidRDefault="00377BF3" w:rsidP="00377BF3">
      <w:pPr>
        <w:pStyle w:val="Heading2"/>
      </w:pPr>
      <w:bookmarkStart w:id="126" w:name="_Toc272771426"/>
      <w:bookmarkStart w:id="127" w:name="_Toc399928171"/>
      <w:r>
        <w:t>1.4</w:t>
      </w:r>
      <w:r>
        <w:tab/>
        <w:t>The Alligator Rivers Region and its uranium deposits</w:t>
      </w:r>
      <w:bookmarkEnd w:id="126"/>
      <w:bookmarkEnd w:id="127"/>
    </w:p>
    <w:p w:rsidR="00282780" w:rsidRDefault="00282780" w:rsidP="00282780">
      <w:pPr>
        <w:rPr>
          <w:lang w:val="en-US"/>
        </w:rPr>
      </w:pPr>
      <w:r>
        <w:rPr>
          <w:lang w:val="en-US"/>
        </w:rPr>
        <w:t>The Alligator Rivers Region is located 220 km east of Darwin and encompasses an area of approximately 28 000 km</w:t>
      </w:r>
      <w:r>
        <w:rPr>
          <w:vertAlign w:val="superscript"/>
          <w:lang w:val="en-US"/>
        </w:rPr>
        <w:t>2</w:t>
      </w:r>
      <w:r>
        <w:rPr>
          <w:lang w:val="en-US"/>
        </w:rPr>
        <w:t xml:space="preserve"> (see Map 1). The Region includes the catchments of the West Alligator, South Alligator and </w:t>
      </w:r>
      <w:smartTag w:uri="urn:schemas-microsoft-com:office:smarttags" w:element="PlaceName">
        <w:r>
          <w:rPr>
            <w:lang w:val="en-US"/>
          </w:rPr>
          <w:t>East</w:t>
        </w:r>
      </w:smartTag>
      <w:r>
        <w:rPr>
          <w:lang w:val="en-US"/>
        </w:rPr>
        <w:t xml:space="preserve"> </w:t>
      </w:r>
      <w:smartTag w:uri="urn:schemas-microsoft-com:office:smarttags" w:element="PlaceName">
        <w:r>
          <w:rPr>
            <w:lang w:val="en-US"/>
          </w:rPr>
          <w:t>Alligator</w:t>
        </w:r>
      </w:smartTag>
      <w:r>
        <w:rPr>
          <w:lang w:val="en-US"/>
        </w:rPr>
        <w:t xml:space="preserve"> </w:t>
      </w:r>
      <w:smartTag w:uri="urn:schemas-microsoft-com:office:smarttags" w:element="PlaceType">
        <w:r>
          <w:rPr>
            <w:lang w:val="en-US"/>
          </w:rPr>
          <w:t>Rivers</w:t>
        </w:r>
      </w:smartTag>
      <w:r>
        <w:rPr>
          <w:lang w:val="en-US"/>
        </w:rPr>
        <w:t xml:space="preserve">, and extends into western </w:t>
      </w:r>
      <w:smartTag w:uri="urn:schemas-microsoft-com:office:smarttags" w:element="place">
        <w:r>
          <w:rPr>
            <w:lang w:val="en-US"/>
          </w:rPr>
          <w:t>Arnhem Land</w:t>
        </w:r>
      </w:smartTag>
      <w:r>
        <w:rPr>
          <w:lang w:val="en-US"/>
        </w:rPr>
        <w:t xml:space="preserve">. The World Heritage listed </w:t>
      </w:r>
      <w:smartTag w:uri="urn:schemas-microsoft-com:office:smarttags" w:element="place">
        <w:smartTag w:uri="urn:schemas-microsoft-com:office:smarttags" w:element="PlaceName">
          <w:r>
            <w:rPr>
              <w:lang w:val="en-US"/>
            </w:rPr>
            <w:t>Kakadu</w:t>
          </w:r>
        </w:smartTag>
        <w:r>
          <w:rPr>
            <w:lang w:val="en-US"/>
          </w:rPr>
          <w:t xml:space="preserve"> </w:t>
        </w:r>
        <w:smartTag w:uri="urn:schemas-microsoft-com:office:smarttags" w:element="PlaceType">
          <w:r>
            <w:rPr>
              <w:lang w:val="en-US"/>
            </w:rPr>
            <w:t>National Park</w:t>
          </w:r>
        </w:smartTag>
      </w:smartTag>
      <w:r>
        <w:rPr>
          <w:lang w:val="en-US"/>
        </w:rPr>
        <w:t xml:space="preserve"> lies entirely within the Alligator Rivers Region.</w:t>
      </w:r>
    </w:p>
    <w:p w:rsidR="00282780" w:rsidRDefault="00282780" w:rsidP="00282780">
      <w:pPr>
        <w:rPr>
          <w:spacing w:val="-2"/>
        </w:rPr>
      </w:pPr>
      <w:r>
        <w:rPr>
          <w:spacing w:val="-2"/>
        </w:rPr>
        <w:t xml:space="preserve">The Ranger and Jabiluka uranium deposits within the Alligator Rivers Region are not, and never have been, located within </w:t>
      </w:r>
      <w:smartTag w:uri="urn:schemas-microsoft-com:office:smarttags" w:element="place">
        <w:smartTag w:uri="urn:schemas-microsoft-com:office:smarttags" w:element="PlaceName">
          <w:r>
            <w:rPr>
              <w:spacing w:val="-2"/>
            </w:rPr>
            <w:t>Kakadu</w:t>
          </w:r>
        </w:smartTag>
        <w:r>
          <w:rPr>
            <w:spacing w:val="-2"/>
          </w:rPr>
          <w:t xml:space="preserve"> </w:t>
        </w:r>
        <w:smartTag w:uri="urn:schemas-microsoft-com:office:smarttags" w:element="PlaceType">
          <w:r>
            <w:rPr>
              <w:spacing w:val="-2"/>
            </w:rPr>
            <w:t>National Park</w:t>
          </w:r>
        </w:smartTag>
      </w:smartTag>
      <w:r>
        <w:rPr>
          <w:spacing w:val="-2"/>
        </w:rPr>
        <w:t xml:space="preserve">. The Koongarra project area was incorporated into the Kakadu World Heritage area in 2011. Commonwealth legislation incorporating the Koongarra project area into Kakadu National Park came into effect in March 2013. Nabarlek is situated to the east of </w:t>
      </w:r>
      <w:smartTag w:uri="urn:schemas-microsoft-com:office:smarttags" w:element="PlaceName">
        <w:r>
          <w:rPr>
            <w:spacing w:val="-2"/>
          </w:rPr>
          <w:t>Kakadu</w:t>
        </w:r>
      </w:smartTag>
      <w:r>
        <w:rPr>
          <w:spacing w:val="-2"/>
        </w:rPr>
        <w:t xml:space="preserve"> </w:t>
      </w:r>
      <w:smartTag w:uri="urn:schemas-microsoft-com:office:smarttags" w:element="PlaceType">
        <w:r>
          <w:rPr>
            <w:spacing w:val="-2"/>
          </w:rPr>
          <w:t>National Park</w:t>
        </w:r>
      </w:smartTag>
      <w:r>
        <w:rPr>
          <w:spacing w:val="-2"/>
        </w:rPr>
        <w:t xml:space="preserve"> within </w:t>
      </w:r>
      <w:smartTag w:uri="urn:schemas-microsoft-com:office:smarttags" w:element="place">
        <w:r>
          <w:rPr>
            <w:spacing w:val="-2"/>
          </w:rPr>
          <w:t>Arnhem Land</w:t>
        </w:r>
      </w:smartTag>
      <w:r>
        <w:rPr>
          <w:spacing w:val="-2"/>
        </w:rPr>
        <w:t>.</w:t>
      </w:r>
    </w:p>
    <w:p w:rsidR="00282780" w:rsidRDefault="00282780" w:rsidP="00282780">
      <w:pPr>
        <w:rPr>
          <w:spacing w:val="-2"/>
        </w:rPr>
      </w:pPr>
      <w:r>
        <w:rPr>
          <w:spacing w:val="-2"/>
        </w:rPr>
        <w:t xml:space="preserve">Ranger is currently the only operational uranium mine in the Region. Mining at Ranger ceased in 2012, however processing of stockpiled ore is continuing. Mining ceased at Jabiluka in 1999 and the site is under long-term care and maintenance. Mining at Nabarlek ceased in 1980 and the site has been decommissioned and is subject to ongoing rehabilitation. There are also a number of former uranium mine sites in the </w:t>
      </w:r>
      <w:smartTag w:uri="urn:schemas-microsoft-com:office:smarttags" w:element="place">
        <w:smartTag w:uri="urn:schemas-microsoft-com:office:smarttags" w:element="PlaceName">
          <w:r>
            <w:rPr>
              <w:spacing w:val="-2"/>
            </w:rPr>
            <w:t>South</w:t>
          </w:r>
        </w:smartTag>
        <w:r>
          <w:rPr>
            <w:spacing w:val="-2"/>
          </w:rPr>
          <w:t xml:space="preserve"> </w:t>
        </w:r>
        <w:smartTag w:uri="urn:schemas-microsoft-com:office:smarttags" w:element="PlaceName">
          <w:r>
            <w:rPr>
              <w:spacing w:val="-2"/>
            </w:rPr>
            <w:t>Alligator</w:t>
          </w:r>
        </w:smartTag>
        <w:r>
          <w:rPr>
            <w:spacing w:val="-2"/>
          </w:rPr>
          <w:t xml:space="preserve"> </w:t>
        </w:r>
        <w:smartTag w:uri="urn:schemas-microsoft-com:office:smarttags" w:element="PlaceType">
          <w:r>
            <w:rPr>
              <w:spacing w:val="-2"/>
            </w:rPr>
            <w:t>River</w:t>
          </w:r>
        </w:smartTag>
        <w:r>
          <w:rPr>
            <w:spacing w:val="-2"/>
          </w:rPr>
          <w:t xml:space="preserve"> </w:t>
        </w:r>
        <w:smartTag w:uri="urn:schemas-microsoft-com:office:smarttags" w:element="PlaceType">
          <w:r>
            <w:rPr>
              <w:spacing w:val="-2"/>
            </w:rPr>
            <w:t>Valley</w:t>
          </w:r>
        </w:smartTag>
      </w:smartTag>
      <w:r>
        <w:rPr>
          <w:spacing w:val="-2"/>
        </w:rPr>
        <w:t xml:space="preserve"> that operated during the 1950s and 1960s. The Australian Government funded the rehabilitation of these sites, which was completed in 2009.</w:t>
      </w:r>
    </w:p>
    <w:p w:rsidR="00377BF3" w:rsidRDefault="00377BF3" w:rsidP="00377BF3">
      <w:pPr>
        <w:pStyle w:val="Heading3"/>
      </w:pPr>
      <w:bookmarkStart w:id="128" w:name="_Toc272771427"/>
      <w:bookmarkStart w:id="129" w:name="_Toc365635491"/>
      <w:r>
        <w:t>1.4.1</w:t>
      </w:r>
      <w:r>
        <w:tab/>
        <w:t xml:space="preserve"> Ranger</w:t>
      </w:r>
      <w:bookmarkEnd w:id="128"/>
      <w:bookmarkEnd w:id="129"/>
    </w:p>
    <w:p w:rsidR="00282780" w:rsidRDefault="00282780" w:rsidP="00282780">
      <w:pPr>
        <w:rPr>
          <w:lang w:val="en-US"/>
        </w:rPr>
      </w:pPr>
      <w:r>
        <w:t xml:space="preserve">Energy Resources of Australia Ltd (ERA) operates the Ranger uranium mine, which is located 8 km east of the </w:t>
      </w:r>
      <w:smartTag w:uri="urn:schemas-microsoft-com:office:smarttags" w:element="place">
        <w:smartTag w:uri="urn:schemas-microsoft-com:office:smarttags" w:element="PlaceType">
          <w:r>
            <w:t>township</w:t>
          </w:r>
        </w:smartTag>
        <w:r>
          <w:t xml:space="preserve"> of </w:t>
        </w:r>
        <w:smartTag w:uri="urn:schemas-microsoft-com:office:smarttags" w:element="PlaceName">
          <w:r>
            <w:t>Jabiru</w:t>
          </w:r>
        </w:smartTag>
      </w:smartTag>
      <w:r>
        <w:t>. The mine lies within the 78 km</w:t>
      </w:r>
      <w:r>
        <w:rPr>
          <w:vertAlign w:val="superscript"/>
        </w:rPr>
        <w:t>2</w:t>
      </w:r>
      <w:r>
        <w:t xml:space="preserve"> Ranger project area and is adjacent to Magela Creek, a tributary of the </w:t>
      </w:r>
      <w:smartTag w:uri="urn:schemas-microsoft-com:office:smarttags" w:element="place">
        <w:smartTag w:uri="urn:schemas-microsoft-com:office:smarttags" w:element="PlaceName">
          <w:r>
            <w:t>East</w:t>
          </w:r>
        </w:smartTag>
        <w:r>
          <w:t xml:space="preserve"> </w:t>
        </w:r>
        <w:smartTag w:uri="urn:schemas-microsoft-com:office:smarttags" w:element="PlaceName">
          <w:r>
            <w:t>Alligator</w:t>
          </w:r>
        </w:smartTag>
        <w:r>
          <w:t xml:space="preserve"> </w:t>
        </w:r>
        <w:smartTag w:uri="urn:schemas-microsoft-com:office:smarttags" w:element="PlaceType">
          <w:r>
            <w:t>River</w:t>
          </w:r>
        </w:smartTag>
      </w:smartTag>
      <w:r>
        <w:t xml:space="preserve">. </w:t>
      </w:r>
      <w:r>
        <w:rPr>
          <w:lang w:val="en-US"/>
        </w:rPr>
        <w:t>Ranger is an open cut mine and commercial production of uranium concentrate (U</w:t>
      </w:r>
      <w:r>
        <w:rPr>
          <w:rFonts w:ascii="Times" w:hAnsi="Times"/>
          <w:vertAlign w:val="subscript"/>
          <w:lang w:val="en-US"/>
        </w:rPr>
        <w:t>3</w:t>
      </w:r>
      <w:r>
        <w:rPr>
          <w:lang w:val="en-US"/>
        </w:rPr>
        <w:t>O</w:t>
      </w:r>
      <w:r>
        <w:rPr>
          <w:rFonts w:ascii="Times" w:hAnsi="Times"/>
          <w:vertAlign w:val="subscript"/>
          <w:lang w:val="en-US"/>
        </w:rPr>
        <w:t>8</w:t>
      </w:r>
      <w:r>
        <w:rPr>
          <w:lang w:val="en-US"/>
        </w:rPr>
        <w:t>) has been under way since 1981. Orebody No 1 was exhausted in late 1994 and excavation of Orebody No 3 began in 1997. Mining in Pit#3 at Ranger ceased in 2012 and the pit is currently being backfilled. Processing of stockpiled ore is expected to continue until 2020.</w:t>
      </w:r>
    </w:p>
    <w:p w:rsidR="00282780" w:rsidRDefault="00282780" w:rsidP="00282780">
      <w:pPr>
        <w:rPr>
          <w:lang w:val="en-US"/>
        </w:rPr>
      </w:pPr>
      <w:r>
        <w:rPr>
          <w:lang w:val="en-US"/>
        </w:rPr>
        <w:t>In January 2013, ERA submitted a proposal for the development of an underground mine at Ranger under the NT</w:t>
      </w:r>
      <w:r w:rsidRPr="00860CE5">
        <w:t xml:space="preserve"> </w:t>
      </w:r>
      <w:r w:rsidRPr="003C11E6">
        <w:rPr>
          <w:i/>
          <w:lang w:val="en-US"/>
        </w:rPr>
        <w:t>Environmental Assessment Act</w:t>
      </w:r>
      <w:r>
        <w:rPr>
          <w:lang w:val="en-US"/>
        </w:rPr>
        <w:t xml:space="preserve"> and the </w:t>
      </w:r>
      <w:proofErr w:type="gramStart"/>
      <w:r>
        <w:rPr>
          <w:lang w:val="en-US"/>
        </w:rPr>
        <w:t>Commonwealth</w:t>
      </w:r>
      <w:r w:rsidR="0035765C">
        <w:rPr>
          <w:lang w:val="en-US"/>
        </w:rPr>
        <w:t xml:space="preserve"> </w:t>
      </w:r>
      <w:r w:rsidRPr="00860CE5">
        <w:t xml:space="preserve"> </w:t>
      </w:r>
      <w:r w:rsidRPr="003C11E6">
        <w:rPr>
          <w:i/>
          <w:lang w:val="en-US"/>
        </w:rPr>
        <w:t>Environment</w:t>
      </w:r>
      <w:proofErr w:type="gramEnd"/>
      <w:r w:rsidRPr="003C11E6">
        <w:rPr>
          <w:i/>
          <w:lang w:val="en-US"/>
        </w:rPr>
        <w:t xml:space="preserve"> Protection and Biodiversity Conservation Act 1999</w:t>
      </w:r>
      <w:r w:rsidRPr="00860CE5">
        <w:rPr>
          <w:lang w:val="en-US"/>
        </w:rPr>
        <w:t>.</w:t>
      </w:r>
      <w:r>
        <w:rPr>
          <w:lang w:val="en-US"/>
        </w:rPr>
        <w:t xml:space="preserve"> In March 2013, it was determined that the Ranger 3 Deeps Underground Mine proposal requires assessment at the Environmental Impact Statement level under both the Commonwealth and Northern Territory environmental approval processes.</w:t>
      </w:r>
    </w:p>
    <w:p w:rsidR="00282780" w:rsidRDefault="00282780" w:rsidP="00282780">
      <w:pPr>
        <w:rPr>
          <w:lang w:val="en-US"/>
        </w:rPr>
      </w:pPr>
      <w:r>
        <w:rPr>
          <w:lang w:val="en-US"/>
        </w:rPr>
        <w:t>On 7 December 2013 leach tank 1 at Ranger uranium mine failed spilling uranium leach slurry into the plant area. Processing operations ceased at the time of the incident and were not resumed until 5 June 2014. Further details on the incident and the Supervising Scientist’s response are provided in Section 3.</w:t>
      </w:r>
    </w:p>
    <w:p w:rsidR="00377BF3" w:rsidRDefault="00377BF3" w:rsidP="00377BF3">
      <w:pPr>
        <w:pStyle w:val="Heading3"/>
      </w:pPr>
      <w:bookmarkStart w:id="130" w:name="_Toc272771428"/>
      <w:bookmarkStart w:id="131" w:name="_Toc365635492"/>
      <w:r>
        <w:t>1.4.2</w:t>
      </w:r>
      <w:r>
        <w:tab/>
        <w:t xml:space="preserve"> Jabiluka</w:t>
      </w:r>
      <w:bookmarkEnd w:id="130"/>
      <w:bookmarkEnd w:id="131"/>
    </w:p>
    <w:p w:rsidR="00282780" w:rsidRDefault="00282780" w:rsidP="00282780">
      <w:bookmarkStart w:id="132" w:name="OLE_LINK61"/>
      <w:bookmarkStart w:id="133" w:name="OLE_LINK62"/>
      <w:r>
        <w:t>The Jabiluka mineral lease abuts the northern boundary of the Ranger project area and the Jabiluka site is situated 20 km north of the Ranger minesite. It is also owned by ERA.</w:t>
      </w:r>
    </w:p>
    <w:bookmarkEnd w:id="132"/>
    <w:bookmarkEnd w:id="133"/>
    <w:p w:rsidR="00282780" w:rsidRDefault="00282780" w:rsidP="00282780">
      <w:r>
        <w:t xml:space="preserve">Unlike the Ranger and Nabarlek deposits, the Jabiluka orebody lies beneath a cover of cliff-forming sandstone. It is in the catchment of the </w:t>
      </w:r>
      <w:smartTag w:uri="urn:schemas-microsoft-com:office:smarttags" w:element="place">
        <w:smartTag w:uri="urn:schemas-microsoft-com:office:smarttags" w:element="PlaceName">
          <w:r>
            <w:t>East</w:t>
          </w:r>
        </w:smartTag>
        <w:r>
          <w:t xml:space="preserve"> </w:t>
        </w:r>
        <w:smartTag w:uri="urn:schemas-microsoft-com:office:smarttags" w:element="PlaceName">
          <w:r>
            <w:t>Alligator</w:t>
          </w:r>
        </w:smartTag>
        <w:r>
          <w:t xml:space="preserve"> </w:t>
        </w:r>
        <w:smartTag w:uri="urn:schemas-microsoft-com:office:smarttags" w:element="PlaceType">
          <w:r>
            <w:t>River</w:t>
          </w:r>
        </w:smartTag>
      </w:smartTag>
      <w:r>
        <w:t>, adjacent to Ngarradj (Swift Creek), which drains north to the Magela floodplain. The Australian Government completed its assessment of ERA’s Environmental Impact Statement, which provided for milling of Jabiluka ore at Ranger, in 1997.</w:t>
      </w:r>
    </w:p>
    <w:p w:rsidR="00282780" w:rsidRDefault="00282780" w:rsidP="00282780">
      <w:pPr>
        <w:rPr>
          <w:lang w:val="en-US"/>
        </w:rPr>
      </w:pPr>
      <w:r>
        <w:t xml:space="preserve">Development work at Jabiluka took place in the late 1990s but ceased in September 1999, at which time the site was placed in an environmental management and standby phase that lasted until 2003. During 2003, </w:t>
      </w:r>
      <w:r>
        <w:rPr>
          <w:lang w:val="en-US"/>
        </w:rPr>
        <w:t>discussions commenced between ERA, the Commonwealth and Northern Territory Governments, the Northern Land Council (NLC) and Gundjeihmi Aboriginal Corporation (GAC) which rep</w:t>
      </w:r>
      <w:r w:rsidR="000A08E4">
        <w:rPr>
          <w:lang w:val="en-US"/>
        </w:rPr>
        <w:t>resents the area’s traditional Indigenous</w:t>
      </w:r>
      <w:r>
        <w:rPr>
          <w:lang w:val="en-US"/>
        </w:rPr>
        <w:t xml:space="preserve"> owners, the Mirarr people. Following these discussions, an agreement was reached between the parties that resulted in Jabiluka being placed in long-term care and maintenance.</w:t>
      </w:r>
    </w:p>
    <w:p w:rsidR="00282780" w:rsidRDefault="00282780" w:rsidP="00282780">
      <w:pPr>
        <w:rPr>
          <w:lang w:val="en-US"/>
        </w:rPr>
      </w:pPr>
      <w:r>
        <w:rPr>
          <w:lang w:val="en-US"/>
        </w:rPr>
        <w:t>This agreement included an undertaking by ERA not to engage in mining activities at Jabiluka without the consent of the Mirarr people. The agreement was endorsed by the NLC in 2004 and was approved by the then Australian Government Minister for Immigration and Multicultural and Indigenous Affairs in 2005.</w:t>
      </w:r>
    </w:p>
    <w:p w:rsidR="00282780" w:rsidRPr="00282780" w:rsidRDefault="00282780" w:rsidP="00282780"/>
    <w:p w:rsidR="00377BF3" w:rsidRDefault="00377BF3" w:rsidP="00377BF3">
      <w:pPr>
        <w:pStyle w:val="Heading3"/>
      </w:pPr>
      <w:bookmarkStart w:id="134" w:name="_Toc272771429"/>
      <w:bookmarkStart w:id="135" w:name="_Toc365635493"/>
      <w:r>
        <w:t>1.4.3</w:t>
      </w:r>
      <w:r>
        <w:tab/>
        <w:t xml:space="preserve"> Nabarlek</w:t>
      </w:r>
      <w:bookmarkEnd w:id="134"/>
      <w:bookmarkEnd w:id="135"/>
    </w:p>
    <w:p w:rsidR="00282780" w:rsidRDefault="00282780" w:rsidP="00282780">
      <w:pPr>
        <w:rPr>
          <w:spacing w:val="-2"/>
        </w:rPr>
      </w:pPr>
      <w:r>
        <w:rPr>
          <w:spacing w:val="-2"/>
        </w:rPr>
        <w:t xml:space="preserve">Nabarlek is about 280 km east of </w:t>
      </w:r>
      <w:smartTag w:uri="urn:schemas-microsoft-com:office:smarttags" w:element="place">
        <w:smartTag w:uri="urn:schemas-microsoft-com:office:smarttags" w:element="City">
          <w:r>
            <w:rPr>
              <w:spacing w:val="-2"/>
            </w:rPr>
            <w:t>Darwin</w:t>
          </w:r>
        </w:smartTag>
      </w:smartTag>
      <w:r>
        <w:rPr>
          <w:spacing w:val="-2"/>
        </w:rPr>
        <w:t xml:space="preserve">. Queensland Mines Ltd undertook mining at Nabarlek during the dry season of 1979 and milling of the ore continued until 1988. Some 10 857 t of </w:t>
      </w:r>
      <w:r>
        <w:rPr>
          <w:spacing w:val="-2"/>
          <w:lang w:val="en-US"/>
        </w:rPr>
        <w:t>uranium concentrate (U</w:t>
      </w:r>
      <w:r>
        <w:rPr>
          <w:rFonts w:ascii="Times" w:hAnsi="Times"/>
          <w:spacing w:val="-2"/>
          <w:vertAlign w:val="subscript"/>
          <w:lang w:val="en-US"/>
        </w:rPr>
        <w:t>3</w:t>
      </w:r>
      <w:r>
        <w:rPr>
          <w:spacing w:val="-2"/>
          <w:lang w:val="en-US"/>
        </w:rPr>
        <w:t>O</w:t>
      </w:r>
      <w:r>
        <w:rPr>
          <w:rFonts w:ascii="Times" w:hAnsi="Times"/>
          <w:spacing w:val="-2"/>
          <w:vertAlign w:val="subscript"/>
          <w:lang w:val="en-US"/>
        </w:rPr>
        <w:t>8</w:t>
      </w:r>
      <w:r>
        <w:rPr>
          <w:spacing w:val="-2"/>
          <w:lang w:val="en-US"/>
        </w:rPr>
        <w:t>) was produced while the mill was operational.</w:t>
      </w:r>
    </w:p>
    <w:p w:rsidR="00282780" w:rsidRDefault="00282780" w:rsidP="00282780">
      <w:pPr>
        <w:rPr>
          <w:spacing w:val="-3"/>
        </w:rPr>
      </w:pPr>
      <w:r>
        <w:rPr>
          <w:spacing w:val="-3"/>
        </w:rPr>
        <w:t>Decommissioning of the mine was completed in 1995 and the performance of the rehabilitation and revegetation program</w:t>
      </w:r>
      <w:r w:rsidR="00936D05">
        <w:rPr>
          <w:spacing w:val="-3"/>
        </w:rPr>
        <w:t>me</w:t>
      </w:r>
      <w:r>
        <w:rPr>
          <w:spacing w:val="-3"/>
        </w:rPr>
        <w:t xml:space="preserve"> continues to be monitored by SSD.</w:t>
      </w:r>
    </w:p>
    <w:p w:rsidR="00282780" w:rsidRDefault="00282780" w:rsidP="00282780">
      <w:pPr>
        <w:rPr>
          <w:spacing w:val="-3"/>
        </w:rPr>
      </w:pPr>
      <w:r>
        <w:t xml:space="preserve">In early 2008, </w:t>
      </w:r>
      <w:smartTag w:uri="urn:schemas-microsoft-com:office:smarttags" w:element="City">
        <w:r>
          <w:t>Ur</w:t>
        </w:r>
      </w:smartTag>
      <w:r>
        <w:t xml:space="preserve">anium Equities Limited (UEL) bought </w:t>
      </w:r>
      <w:smartTag w:uri="urn:schemas-microsoft-com:office:smarttags" w:element="place">
        <w:smartTag w:uri="urn:schemas-microsoft-com:office:smarttags" w:element="State">
          <w:r>
            <w:t>Queensland</w:t>
          </w:r>
        </w:smartTag>
      </w:smartTag>
      <w:r>
        <w:t xml:space="preserve"> Mines Pty Ltd thereby acquiring the Nabarlek lease. Since then UEL has undertaken further exploration on the lease as well as a range of weed control, revegetation and other rehabilitation works. </w:t>
      </w:r>
    </w:p>
    <w:p w:rsidR="00377BF3" w:rsidRDefault="00377BF3" w:rsidP="00377BF3">
      <w:pPr>
        <w:pStyle w:val="Heading3"/>
      </w:pPr>
      <w:bookmarkStart w:id="136" w:name="_Toc272771430"/>
      <w:bookmarkStart w:id="137" w:name="_Toc365635494"/>
      <w:r>
        <w:t xml:space="preserve">1.4.4 </w:t>
      </w:r>
      <w:r>
        <w:tab/>
        <w:t>Koongarra</w:t>
      </w:r>
      <w:bookmarkEnd w:id="136"/>
      <w:bookmarkEnd w:id="137"/>
    </w:p>
    <w:p w:rsidR="00282780" w:rsidRDefault="00282780" w:rsidP="00282780">
      <w:r>
        <w:rPr>
          <w:spacing w:val="-2"/>
        </w:rPr>
        <w:t xml:space="preserve">The Koongarra deposit is about 25 km south-west of Ranger, in the </w:t>
      </w:r>
      <w:smartTag w:uri="urn:schemas-microsoft-com:office:smarttags" w:element="place">
        <w:smartTag w:uri="urn:schemas-microsoft-com:office:smarttags" w:element="PlaceName">
          <w:r>
            <w:rPr>
              <w:spacing w:val="-2"/>
            </w:rPr>
            <w:t>South</w:t>
          </w:r>
        </w:smartTag>
        <w:r>
          <w:rPr>
            <w:spacing w:val="-2"/>
          </w:rPr>
          <w:t xml:space="preserve"> </w:t>
        </w:r>
        <w:smartTag w:uri="urn:schemas-microsoft-com:office:smarttags" w:element="PlaceName">
          <w:r>
            <w:rPr>
              <w:spacing w:val="-2"/>
            </w:rPr>
            <w:t>Alligator</w:t>
          </w:r>
        </w:smartTag>
        <w:r>
          <w:rPr>
            <w:spacing w:val="-2"/>
          </w:rPr>
          <w:t xml:space="preserve"> </w:t>
        </w:r>
        <w:smartTag w:uri="urn:schemas-microsoft-com:office:smarttags" w:element="PlaceType">
          <w:r>
            <w:rPr>
              <w:spacing w:val="-2"/>
            </w:rPr>
            <w:t>River</w:t>
          </w:r>
        </w:smartTag>
      </w:smartTag>
      <w:r>
        <w:rPr>
          <w:spacing w:val="-2"/>
        </w:rPr>
        <w:t xml:space="preserve"> catchment. </w:t>
      </w:r>
      <w:r>
        <w:t>The Koongarra lease was owned by Koongarra Pty Ltd, a subsidiary of AREVA Australia Pty Ltd. In 2011, t</w:t>
      </w:r>
      <w:r>
        <w:rPr>
          <w:lang w:val="en-US"/>
        </w:rPr>
        <w:t xml:space="preserve">he Koongarra Project Area was added to the </w:t>
      </w:r>
      <w:r>
        <w:t xml:space="preserve">Kakadu World Heritage Area by the </w:t>
      </w:r>
      <w:r>
        <w:rPr>
          <w:lang w:val="en-US"/>
        </w:rPr>
        <w:t xml:space="preserve">World Heritage Committee with the support of the Australian Government. The </w:t>
      </w:r>
      <w:r w:rsidRPr="003C11E6">
        <w:rPr>
          <w:i/>
          <w:lang w:val="en-US"/>
        </w:rPr>
        <w:t xml:space="preserve">Completion of Kakadu National Park (Koongarra Project Area Repeal) </w:t>
      </w:r>
      <w:r>
        <w:rPr>
          <w:i/>
          <w:lang w:val="en-US"/>
        </w:rPr>
        <w:t>Act</w:t>
      </w:r>
      <w:r w:rsidRPr="003C11E6">
        <w:rPr>
          <w:i/>
          <w:lang w:val="en-US"/>
        </w:rPr>
        <w:t xml:space="preserve"> 2013</w:t>
      </w:r>
      <w:r>
        <w:rPr>
          <w:lang w:val="en-US"/>
        </w:rPr>
        <w:t xml:space="preserve">, </w:t>
      </w:r>
      <w:r w:rsidRPr="003C11E6">
        <w:rPr>
          <w:lang w:val="en-US"/>
        </w:rPr>
        <w:t>which repeal</w:t>
      </w:r>
      <w:r>
        <w:rPr>
          <w:lang w:val="en-US"/>
        </w:rPr>
        <w:t>ed</w:t>
      </w:r>
      <w:r w:rsidRPr="003C11E6">
        <w:rPr>
          <w:lang w:val="en-US"/>
        </w:rPr>
        <w:t xml:space="preserve"> the</w:t>
      </w:r>
      <w:r>
        <w:rPr>
          <w:i/>
          <w:lang w:val="en-US"/>
        </w:rPr>
        <w:t xml:space="preserve"> </w:t>
      </w:r>
      <w:r w:rsidRPr="003C11E6">
        <w:rPr>
          <w:i/>
          <w:lang w:val="en-US"/>
        </w:rPr>
        <w:t>Koongarra Project Area Act 1981</w:t>
      </w:r>
      <w:r>
        <w:rPr>
          <w:lang w:val="en-US"/>
        </w:rPr>
        <w:t xml:space="preserve">, </w:t>
      </w:r>
      <w:r w:rsidRPr="00060557">
        <w:rPr>
          <w:lang w:val="en-US"/>
        </w:rPr>
        <w:t xml:space="preserve">and incorporated the </w:t>
      </w:r>
      <w:r>
        <w:rPr>
          <w:lang w:val="en-US"/>
        </w:rPr>
        <w:t xml:space="preserve">lease </w:t>
      </w:r>
      <w:r w:rsidRPr="00060557">
        <w:rPr>
          <w:lang w:val="en-US"/>
        </w:rPr>
        <w:t>area into Kakadu National Park</w:t>
      </w:r>
      <w:r>
        <w:rPr>
          <w:lang w:val="en-US"/>
        </w:rPr>
        <w:t>, came into effect on 31 March 2013.</w:t>
      </w:r>
    </w:p>
    <w:p w:rsidR="00377BF3" w:rsidRDefault="00377BF3" w:rsidP="00377BF3">
      <w:pPr>
        <w:pStyle w:val="Heading3"/>
      </w:pPr>
      <w:bookmarkStart w:id="138" w:name="_Toc272771431"/>
      <w:bookmarkStart w:id="139" w:name="_Toc365635495"/>
      <w:r>
        <w:t>1.4.5</w:t>
      </w:r>
      <w:r>
        <w:tab/>
        <w:t xml:space="preserve"> </w:t>
      </w:r>
      <w:smartTag w:uri="urn:schemas-microsoft-com:office:smarttags" w:element="place">
        <w:smartTag w:uri="urn:schemas-microsoft-com:office:smarttags" w:element="PlaceName">
          <w:r>
            <w:t>South</w:t>
          </w:r>
        </w:smartTag>
        <w:r>
          <w:t xml:space="preserve"> </w:t>
        </w:r>
        <w:smartTag w:uri="urn:schemas-microsoft-com:office:smarttags" w:element="PlaceName">
          <w:r>
            <w:t>Alligator</w:t>
          </w:r>
        </w:smartTag>
        <w:r>
          <w:t xml:space="preserve"> </w:t>
        </w:r>
        <w:smartTag w:uri="urn:schemas-microsoft-com:office:smarttags" w:element="PlaceType">
          <w:r>
            <w:t>Valley</w:t>
          </w:r>
        </w:smartTag>
      </w:smartTag>
      <w:r>
        <w:t xml:space="preserve"> mines</w:t>
      </w:r>
      <w:bookmarkEnd w:id="138"/>
      <w:bookmarkEnd w:id="139"/>
    </w:p>
    <w:p w:rsidR="00282780" w:rsidRDefault="00282780" w:rsidP="00282780">
      <w:r>
        <w:t xml:space="preserve">During the 1950s and 1960s, a number of small uranium mines and milling facilities operated in the </w:t>
      </w:r>
      <w:smartTag w:uri="urn:schemas-microsoft-com:office:smarttags" w:element="place">
        <w:smartTag w:uri="urn:schemas-microsoft-com:office:smarttags" w:element="PlaceName">
          <w:r>
            <w:t>South</w:t>
          </w:r>
        </w:smartTag>
        <w:r>
          <w:t xml:space="preserve"> </w:t>
        </w:r>
        <w:smartTag w:uri="urn:schemas-microsoft-com:office:smarttags" w:element="PlaceName">
          <w:r>
            <w:t>Alligator</w:t>
          </w:r>
        </w:smartTag>
        <w:r>
          <w:t xml:space="preserve"> </w:t>
        </w:r>
        <w:smartTag w:uri="urn:schemas-microsoft-com:office:smarttags" w:element="PlaceType">
          <w:r>
            <w:t>River</w:t>
          </w:r>
        </w:smartTag>
        <w:r>
          <w:t xml:space="preserve"> </w:t>
        </w:r>
        <w:smartTag w:uri="urn:schemas-microsoft-com:office:smarttags" w:element="PlaceType">
          <w:r>
            <w:t>Valley</w:t>
          </w:r>
        </w:smartTag>
      </w:smartTag>
      <w:r>
        <w:t xml:space="preserve">, in the southern part of the Alligator Rivers Region. Mining occurred at several locations – principally at El Sherana, El Sherana West, Rockhole Creek and Coronation Hill (Guratba). Milling also occurred at Rockhole Creek within the </w:t>
      </w:r>
      <w:smartTag w:uri="urn:schemas-microsoft-com:office:smarttags" w:element="PlaceName">
        <w:r>
          <w:t>South</w:t>
        </w:r>
      </w:smartTag>
      <w:r>
        <w:t xml:space="preserve"> </w:t>
      </w:r>
      <w:smartTag w:uri="urn:schemas-microsoft-com:office:smarttags" w:element="PlaceName">
        <w:r>
          <w:t>Alligator</w:t>
        </w:r>
      </w:smartTag>
      <w:r>
        <w:t xml:space="preserve"> </w:t>
      </w:r>
      <w:smartTag w:uri="urn:schemas-microsoft-com:office:smarttags" w:element="PlaceType">
        <w:r>
          <w:t>Valley</w:t>
        </w:r>
      </w:smartTag>
      <w:r>
        <w:t xml:space="preserve"> and at nearby </w:t>
      </w:r>
      <w:smartTag w:uri="urn:schemas-microsoft-com:office:smarttags" w:element="place">
        <w:smartTag w:uri="urn:schemas-microsoft-com:office:smarttags" w:element="City">
          <w:r>
            <w:t>Moline</w:t>
          </w:r>
        </w:smartTag>
      </w:smartTag>
      <w:r>
        <w:t xml:space="preserve"> which lies outside the Alligator Rivers Region. </w:t>
      </w:r>
    </w:p>
    <w:p w:rsidR="00282780" w:rsidRDefault="00282780" w:rsidP="00282780">
      <w:r>
        <w:t xml:space="preserve">Output from these mines was relatively small. It is estimated that less than 1000 t of uranium concentrate was produced at the Rockhole Creek and </w:t>
      </w:r>
      <w:smartTag w:uri="urn:schemas-microsoft-com:office:smarttags" w:element="City">
        <w:r>
          <w:t>Moline</w:t>
        </w:r>
      </w:smartTag>
      <w:r>
        <w:t xml:space="preserve"> mills from the ore mined in the </w:t>
      </w:r>
      <w:smartTag w:uri="urn:schemas-microsoft-com:office:smarttags" w:element="place">
        <w:smartTag w:uri="urn:schemas-microsoft-com:office:smarttags" w:element="PlaceName">
          <w:r>
            <w:t>South</w:t>
          </w:r>
        </w:smartTag>
        <w:r>
          <w:t xml:space="preserve"> </w:t>
        </w:r>
        <w:smartTag w:uri="urn:schemas-microsoft-com:office:smarttags" w:element="PlaceName">
          <w:r>
            <w:t>Alligator</w:t>
          </w:r>
        </w:smartTag>
        <w:r>
          <w:t xml:space="preserve"> </w:t>
        </w:r>
        <w:smartTag w:uri="urn:schemas-microsoft-com:office:smarttags" w:element="PlaceType">
          <w:r>
            <w:t>Valley</w:t>
          </w:r>
        </w:smartTag>
      </w:smartTag>
      <w:r>
        <w:t xml:space="preserve"> during this period.</w:t>
      </w:r>
    </w:p>
    <w:p w:rsidR="00282780" w:rsidRDefault="00282780" w:rsidP="00282780">
      <w:r>
        <w:t xml:space="preserve">These sites, excluding </w:t>
      </w:r>
      <w:smartTag w:uri="urn:schemas-microsoft-com:office:smarttags" w:element="place">
        <w:smartTag w:uri="urn:schemas-microsoft-com:office:smarttags" w:element="City">
          <w:r>
            <w:t>Moline</w:t>
          </w:r>
        </w:smartTag>
      </w:smartTag>
      <w:r>
        <w:t>, are the responsibility of the Australian Government Director of National Parks and are administered through Parks Australia. In May 2006, the Australian Government provided funding over four years for the rehabilitation of a number of these sites. This rehabilitation work was completed in 2009.</w:t>
      </w:r>
      <w:r w:rsidR="0036381C">
        <w:t xml:space="preserve"> Moline lies outside Kakadu National Park, is the </w:t>
      </w:r>
      <w:r w:rsidR="00CA6E4B">
        <w:t>responsibility</w:t>
      </w:r>
      <w:r w:rsidR="0036381C">
        <w:t xml:space="preserve"> of the Northern Territory Government,</w:t>
      </w:r>
      <w:r w:rsidR="00CA6E4B">
        <w:t xml:space="preserve"> and is administered by the Dep</w:t>
      </w:r>
      <w:r w:rsidR="0036381C">
        <w:t>artment of Mines and Energy.</w:t>
      </w:r>
    </w:p>
    <w:p w:rsidR="00903EA7" w:rsidRDefault="00282780" w:rsidP="00903EA7">
      <w:pPr>
        <w:sectPr w:rsidR="00903EA7" w:rsidSect="002A70CD">
          <w:headerReference w:type="even" r:id="rId45"/>
          <w:headerReference w:type="default" r:id="rId46"/>
          <w:footerReference w:type="even" r:id="rId47"/>
          <w:footerReference w:type="default" r:id="rId48"/>
          <w:headerReference w:type="first" r:id="rId49"/>
          <w:type w:val="continuous"/>
          <w:pgSz w:w="10325" w:h="14573" w:code="13"/>
          <w:pgMar w:top="1440" w:right="1440" w:bottom="1440" w:left="1440" w:header="720" w:footer="720" w:gutter="0"/>
          <w:pgNumType w:start="1"/>
          <w:cols w:space="360"/>
          <w:noEndnote/>
          <w:titlePg/>
          <w:docGrid w:linePitch="272"/>
        </w:sectPr>
      </w:pPr>
      <w:r>
        <w:t>During 2013–14, SSD continued to assist Parks Australia with technical advice related to the ongoing monitoring of these rehabilitated sites. Further details on SSD involvement in this work are provided in Section 3.5.1 of this Annual Report.</w:t>
      </w:r>
      <w:bookmarkStart w:id="140" w:name="_Toc363824141"/>
      <w:bookmarkStart w:id="141" w:name="_Toc107109479"/>
    </w:p>
    <w:p w:rsidR="00F21B81" w:rsidRDefault="00F21B81" w:rsidP="00903EA7">
      <w:pPr>
        <w:pStyle w:val="Heading1"/>
      </w:pPr>
      <w:bookmarkStart w:id="142" w:name="_Toc399928172"/>
      <w:r>
        <w:t>2</w:t>
      </w:r>
      <w:r>
        <w:tab/>
        <w:t>Statutory committees</w:t>
      </w:r>
      <w:bookmarkEnd w:id="142"/>
    </w:p>
    <w:p w:rsidR="00F21B81" w:rsidRDefault="00F21B81" w:rsidP="00F21B81">
      <w:pPr>
        <w:pStyle w:val="Heading2"/>
      </w:pPr>
      <w:bookmarkStart w:id="143" w:name="_Toc85011119"/>
      <w:bookmarkStart w:id="144" w:name="_Toc113179044"/>
      <w:bookmarkStart w:id="145" w:name="_Toc116123179"/>
      <w:bookmarkStart w:id="146" w:name="_Toc272771486"/>
      <w:bookmarkStart w:id="147" w:name="_Toc399928173"/>
      <w:r>
        <w:t>2.1</w:t>
      </w:r>
      <w:r>
        <w:tab/>
        <w:t>Introduction</w:t>
      </w:r>
      <w:bookmarkEnd w:id="143"/>
      <w:bookmarkEnd w:id="144"/>
      <w:bookmarkEnd w:id="145"/>
      <w:bookmarkEnd w:id="146"/>
      <w:bookmarkEnd w:id="147"/>
    </w:p>
    <w:p w:rsidR="00DD6D97" w:rsidRPr="00A237AA" w:rsidRDefault="00DD6D97" w:rsidP="00A00BA3">
      <w:bookmarkStart w:id="148" w:name="_Toc85011120"/>
      <w:bookmarkStart w:id="149" w:name="_Toc113179045"/>
      <w:bookmarkStart w:id="150" w:name="_Toc116123180"/>
      <w:bookmarkStart w:id="151" w:name="_Toc272771487"/>
      <w:r w:rsidRPr="00A237AA">
        <w:t>During 2013–14, the Supervising Scientist Division provided secretariat and administrative support to two statutory committees: the Alligator Rivers Region Advisory Committee and the Alligator Rivers Region Technical Committee.</w:t>
      </w:r>
    </w:p>
    <w:p w:rsidR="00DD6D97" w:rsidRPr="00A237AA" w:rsidRDefault="00DD6D97" w:rsidP="00A00BA3">
      <w:r w:rsidRPr="00A237AA">
        <w:t>These committees play important roles in facilitating discussion and information exchange between stakeholders in relation to the environment effects of uranium mining in the Alligator Rivers Region, and the independent review of the outcomes of scientific research and monitoring undertaken by SSD, ERA and others.</w:t>
      </w:r>
    </w:p>
    <w:p w:rsidR="00F21B81" w:rsidRDefault="00F21B81" w:rsidP="00F21B81">
      <w:pPr>
        <w:pStyle w:val="Heading2"/>
      </w:pPr>
      <w:bookmarkStart w:id="152" w:name="_Toc399928174"/>
      <w:r>
        <w:t>2.2</w:t>
      </w:r>
      <w:r>
        <w:tab/>
        <w:t>Alligator Rivers Region Advisory Committee</w:t>
      </w:r>
      <w:bookmarkEnd w:id="148"/>
      <w:bookmarkEnd w:id="149"/>
      <w:bookmarkEnd w:id="150"/>
      <w:bookmarkEnd w:id="151"/>
      <w:bookmarkEnd w:id="152"/>
      <w:r>
        <w:t xml:space="preserve"> </w:t>
      </w:r>
    </w:p>
    <w:p w:rsidR="00DD6D97" w:rsidRPr="00DD6D97" w:rsidRDefault="00DD6D97" w:rsidP="00A00BA3">
      <w:bookmarkStart w:id="153" w:name="_Toc85011121"/>
      <w:bookmarkStart w:id="154" w:name="_Toc113179046"/>
      <w:bookmarkStart w:id="155" w:name="_Toc116123181"/>
      <w:bookmarkStart w:id="156" w:name="_Toc272771488"/>
      <w:r w:rsidRPr="00DD6D97">
        <w:t>The Alligator Rivers Region Advisory Committee (A</w:t>
      </w:r>
      <w:r w:rsidR="00B07EC1">
        <w:t xml:space="preserve">RRAC) was established under the </w:t>
      </w:r>
      <w:r w:rsidRPr="00DD6D97">
        <w:t xml:space="preserve">Commonwealth </w:t>
      </w:r>
      <w:r w:rsidRPr="00DD6D97">
        <w:rPr>
          <w:i/>
        </w:rPr>
        <w:t>Environment Protection (Alligator Rivers Region) Act 1978</w:t>
      </w:r>
      <w:r w:rsidRPr="00DD6D97">
        <w:t>.</w:t>
      </w:r>
    </w:p>
    <w:p w:rsidR="00DD6D97" w:rsidRPr="00DD6D97" w:rsidRDefault="00DD6D97" w:rsidP="00A00BA3">
      <w:r w:rsidRPr="00DD6D97">
        <w:t>ARRAC comprises an independent Chair and representatives from the following stakeholder organisations:</w:t>
      </w:r>
    </w:p>
    <w:p w:rsidR="00DD6D97" w:rsidRPr="00C94F71" w:rsidRDefault="00DD6D97" w:rsidP="005558E1">
      <w:pPr>
        <w:pStyle w:val="bulletlist1"/>
      </w:pPr>
      <w:r w:rsidRPr="00C94F71">
        <w:t>NT Department of Mines and Energy</w:t>
      </w:r>
      <w:r w:rsidR="00345392">
        <w:t xml:space="preserve"> (DME)</w:t>
      </w:r>
    </w:p>
    <w:p w:rsidR="00DD6D97" w:rsidRPr="00C94F71" w:rsidRDefault="00DD6D97" w:rsidP="005558E1">
      <w:pPr>
        <w:pStyle w:val="bulletlist1"/>
      </w:pPr>
      <w:r w:rsidRPr="00C94F71">
        <w:t xml:space="preserve">NT Environment Protection Authority </w:t>
      </w:r>
    </w:p>
    <w:p w:rsidR="00DD6D97" w:rsidRPr="00C94F71" w:rsidRDefault="00DD6D97" w:rsidP="005558E1">
      <w:pPr>
        <w:pStyle w:val="bulletlist1"/>
      </w:pPr>
      <w:r w:rsidRPr="00C94F71">
        <w:t>NT Department of Health</w:t>
      </w:r>
    </w:p>
    <w:p w:rsidR="00DD6D97" w:rsidRPr="00C94F71" w:rsidRDefault="00DD6D97" w:rsidP="005558E1">
      <w:pPr>
        <w:pStyle w:val="bulletlist1"/>
      </w:pPr>
      <w:r w:rsidRPr="00C94F71">
        <w:t>Office of the Administrator of the NT</w:t>
      </w:r>
    </w:p>
    <w:p w:rsidR="00DD6D97" w:rsidRPr="00C94F71" w:rsidRDefault="00DD6D97" w:rsidP="005558E1">
      <w:pPr>
        <w:pStyle w:val="bulletlist1"/>
      </w:pPr>
      <w:r w:rsidRPr="00C94F71">
        <w:t>Australian Radiation Protection and Nuclear Safety Agency</w:t>
      </w:r>
    </w:p>
    <w:p w:rsidR="00DD6D97" w:rsidRPr="00C94F71" w:rsidRDefault="00DD6D97" w:rsidP="005558E1">
      <w:pPr>
        <w:pStyle w:val="bulletlist1"/>
      </w:pPr>
      <w:r w:rsidRPr="00C94F71">
        <w:t>Energy Resources of Australia Ltd</w:t>
      </w:r>
    </w:p>
    <w:p w:rsidR="00DD6D97" w:rsidRPr="00C94F71" w:rsidRDefault="00DD6D97" w:rsidP="005558E1">
      <w:pPr>
        <w:pStyle w:val="bulletlist1"/>
      </w:pPr>
      <w:r w:rsidRPr="00C94F71">
        <w:t>Cameco Australia Pty Ltd</w:t>
      </w:r>
    </w:p>
    <w:p w:rsidR="00DD6D97" w:rsidRPr="00C94F71" w:rsidRDefault="00DD6D97" w:rsidP="005558E1">
      <w:pPr>
        <w:pStyle w:val="bulletlist1"/>
      </w:pPr>
      <w:r w:rsidRPr="00C94F71">
        <w:t>Uranium Equities Ltd</w:t>
      </w:r>
    </w:p>
    <w:p w:rsidR="00DD6D97" w:rsidRPr="00C94F71" w:rsidRDefault="00DD6D97" w:rsidP="005558E1">
      <w:pPr>
        <w:pStyle w:val="bulletlist1"/>
      </w:pPr>
      <w:r w:rsidRPr="00C94F71">
        <w:t>A</w:t>
      </w:r>
      <w:r w:rsidR="006C6F88">
        <w:t>REVA (formerly A</w:t>
      </w:r>
      <w:r w:rsidRPr="00C94F71">
        <w:t>fmeco Mining and Exploration Pty Ltd</w:t>
      </w:r>
      <w:r w:rsidR="006C6F88">
        <w:t xml:space="preserve">) </w:t>
      </w:r>
    </w:p>
    <w:p w:rsidR="00DD6D97" w:rsidRPr="00C94F71" w:rsidRDefault="00DD6D97" w:rsidP="005558E1">
      <w:pPr>
        <w:pStyle w:val="bulletlist1"/>
      </w:pPr>
      <w:r w:rsidRPr="00C94F71">
        <w:t>Northern Land Council</w:t>
      </w:r>
    </w:p>
    <w:p w:rsidR="00DD6D97" w:rsidRPr="00C94F71" w:rsidRDefault="00DD6D97" w:rsidP="005558E1">
      <w:pPr>
        <w:pStyle w:val="bulletlist1"/>
      </w:pPr>
      <w:r w:rsidRPr="00C94F71">
        <w:t>Gundjeihmi Aboriginal Corporation</w:t>
      </w:r>
    </w:p>
    <w:p w:rsidR="00DD6D97" w:rsidRPr="00C94F71" w:rsidRDefault="00DD6D97" w:rsidP="005558E1">
      <w:pPr>
        <w:pStyle w:val="bulletlist1"/>
      </w:pPr>
      <w:r w:rsidRPr="00C94F71">
        <w:t>Environment Centre Northern Territory</w:t>
      </w:r>
    </w:p>
    <w:p w:rsidR="00DD6D97" w:rsidRPr="00C94F71" w:rsidRDefault="00DD6D97" w:rsidP="005558E1">
      <w:pPr>
        <w:pStyle w:val="bulletlist1"/>
      </w:pPr>
      <w:r w:rsidRPr="00C94F71">
        <w:t xml:space="preserve">Australian Government Department of </w:t>
      </w:r>
      <w:r w:rsidR="0086365A">
        <w:t>Industry</w:t>
      </w:r>
    </w:p>
    <w:p w:rsidR="00DD6D97" w:rsidRPr="00C94F71" w:rsidRDefault="00DD6D97" w:rsidP="005558E1">
      <w:pPr>
        <w:pStyle w:val="bulletlist1"/>
      </w:pPr>
      <w:r w:rsidRPr="00C94F71">
        <w:t xml:space="preserve">Parks Australia, Australian Government Department of the Environment </w:t>
      </w:r>
    </w:p>
    <w:p w:rsidR="00DD6D97" w:rsidRPr="00C94F71" w:rsidRDefault="00DD6D97" w:rsidP="005558E1">
      <w:pPr>
        <w:pStyle w:val="bulletlist1"/>
      </w:pPr>
      <w:r w:rsidRPr="00C94F71">
        <w:t xml:space="preserve">Supervising Scientist, Australian Government Department of the Environment </w:t>
      </w:r>
    </w:p>
    <w:p w:rsidR="00DD6D97" w:rsidRPr="00DD6D97" w:rsidRDefault="00DD6D97" w:rsidP="00A00BA3">
      <w:r w:rsidRPr="00DD6D97">
        <w:t>ARRAC provides a valuable forum for relevant stakeholders to exchange views and information relating to the protection and rehabilitation of the Alligator Rivers Region environment from the effects of uranium mining. Public disclosure of environmental performance data through ARRAC is an important means of ensuring transparency and enhancing trust between the various stakeholder organisations.</w:t>
      </w:r>
    </w:p>
    <w:p w:rsidR="00DD6D97" w:rsidRPr="00DD6D97" w:rsidRDefault="00DD6D97" w:rsidP="00A00BA3">
      <w:pPr>
        <w:rPr>
          <w:lang w:val="en-US"/>
        </w:rPr>
      </w:pPr>
      <w:r w:rsidRPr="00DD6D97">
        <w:t>At each ARRAC meeting, stakeholder members provide an update report on their activities during the reporting period. SSD also provides a detailed report covering the outcomes of audit and assessment activities and the results from SSD environmental monitoring program</w:t>
      </w:r>
      <w:r w:rsidR="00936D05">
        <w:t>me</w:t>
      </w:r>
      <w:r w:rsidRPr="00DD6D97">
        <w:t>s to each meeting.</w:t>
      </w:r>
    </w:p>
    <w:p w:rsidR="00DD6D97" w:rsidRPr="00DD6D97" w:rsidRDefault="00C62BB6" w:rsidP="00A00BA3">
      <w:r>
        <w:rPr>
          <w:lang w:val="en-US"/>
        </w:rPr>
        <w:t>ARRAC met twice during 2013–14,</w:t>
      </w:r>
      <w:r w:rsidR="00DD6D97" w:rsidRPr="00DD6D97">
        <w:rPr>
          <w:lang w:val="en-US"/>
        </w:rPr>
        <w:t xml:space="preserve"> in Jabiru</w:t>
      </w:r>
      <w:r w:rsidR="004F4656">
        <w:rPr>
          <w:lang w:val="en-US"/>
        </w:rPr>
        <w:t>, NT</w:t>
      </w:r>
      <w:r w:rsidR="00DD6D97" w:rsidRPr="00DD6D97">
        <w:rPr>
          <w:lang w:val="en-US"/>
        </w:rPr>
        <w:t xml:space="preserve"> in September 2013 and in </w:t>
      </w:r>
      <w:smartTag w:uri="urn:schemas-microsoft-com:office:smarttags" w:element="place">
        <w:smartTag w:uri="urn:schemas-microsoft-com:office:smarttags" w:element="City">
          <w:r w:rsidR="00DD6D97" w:rsidRPr="00DD6D97">
            <w:rPr>
              <w:lang w:val="en-US"/>
            </w:rPr>
            <w:t>Darwin</w:t>
          </w:r>
        </w:smartTag>
      </w:smartTag>
      <w:r w:rsidR="00DD6D97" w:rsidRPr="00DD6D97">
        <w:rPr>
          <w:lang w:val="en-US"/>
        </w:rPr>
        <w:t xml:space="preserve"> in April 2014. Key </w:t>
      </w:r>
      <w:r w:rsidR="00DD6D97" w:rsidRPr="00DD6D97">
        <w:t>issues considered by ARRAC at these meetings included:</w:t>
      </w:r>
    </w:p>
    <w:p w:rsidR="00DD6D97" w:rsidRPr="00E11684" w:rsidRDefault="00DD6D97" w:rsidP="005558E1">
      <w:pPr>
        <w:pStyle w:val="bulletlist1"/>
      </w:pPr>
      <w:r w:rsidRPr="00E11684">
        <w:t>The status of mine operations, planning and development at Ranger.</w:t>
      </w:r>
    </w:p>
    <w:p w:rsidR="00DD6D97" w:rsidRPr="00E11684" w:rsidRDefault="00DD6D97" w:rsidP="005558E1">
      <w:pPr>
        <w:pStyle w:val="bulletlist1"/>
      </w:pPr>
      <w:r w:rsidRPr="00E11684">
        <w:t>The results of chemical, biological and radiological monitoring for Ranger and Jabiluka.</w:t>
      </w:r>
    </w:p>
    <w:p w:rsidR="00DD6D97" w:rsidRPr="00E11684" w:rsidRDefault="00DD6D97" w:rsidP="005558E1">
      <w:pPr>
        <w:pStyle w:val="bulletlist1"/>
      </w:pPr>
      <w:r w:rsidRPr="00E11684">
        <w:t>SSD communication and research activities.</w:t>
      </w:r>
    </w:p>
    <w:p w:rsidR="00DD6D97" w:rsidRPr="00DD6D97" w:rsidRDefault="0020525E" w:rsidP="005558E1">
      <w:pPr>
        <w:pStyle w:val="bulletlist1"/>
      </w:pPr>
      <w:r>
        <w:t>T</w:t>
      </w:r>
      <w:r w:rsidR="00DD6D97" w:rsidRPr="00E11684">
        <w:t>he outcomes of environmental</w:t>
      </w:r>
      <w:r w:rsidR="00DD6D97" w:rsidRPr="00DD6D97">
        <w:t xml:space="preserve"> audits and assessments o</w:t>
      </w:r>
      <w:r>
        <w:t>f Ranger, Jabiluka and Nabarlek.</w:t>
      </w:r>
    </w:p>
    <w:p w:rsidR="00DD6D97" w:rsidRPr="00DD6D97" w:rsidRDefault="0020525E" w:rsidP="005558E1">
      <w:pPr>
        <w:pStyle w:val="bulletlist1"/>
      </w:pPr>
      <w:r>
        <w:t>T</w:t>
      </w:r>
      <w:r w:rsidR="00DD6D97" w:rsidRPr="00DD6D97">
        <w:t>he outcomes of Minesite Technical Committee (MTC) meetings</w:t>
      </w:r>
      <w:r>
        <w:t xml:space="preserve"> and other regulatory processes.</w:t>
      </w:r>
    </w:p>
    <w:p w:rsidR="00DD6D97" w:rsidRPr="00DD6D97" w:rsidRDefault="0020525E" w:rsidP="005558E1">
      <w:pPr>
        <w:pStyle w:val="bulletlist1"/>
      </w:pPr>
      <w:r>
        <w:t>T</w:t>
      </w:r>
      <w:r w:rsidR="00DD6D97" w:rsidRPr="00DD6D97">
        <w:t>he status of mine rehabilitation projects in the South Alligator Valley; and</w:t>
      </w:r>
    </w:p>
    <w:p w:rsidR="00DD6D97" w:rsidRPr="00DD6D97" w:rsidRDefault="0020525E" w:rsidP="005558E1">
      <w:pPr>
        <w:pStyle w:val="bulletlist1"/>
      </w:pPr>
      <w:r>
        <w:t>T</w:t>
      </w:r>
      <w:r w:rsidR="00DD6D97" w:rsidRPr="00DD6D97">
        <w:t>he Northern Land Council’s work with the Alligator Rivers Region stakeholders and traditional owners.</w:t>
      </w:r>
    </w:p>
    <w:p w:rsidR="00DD6D97" w:rsidRPr="00DD6D97" w:rsidRDefault="00DD6D97" w:rsidP="00F93CFA">
      <w:pPr>
        <w:pStyle w:val="bulletlist1"/>
        <w:numPr>
          <w:ilvl w:val="0"/>
          <w:numId w:val="0"/>
        </w:numPr>
      </w:pPr>
      <w:r w:rsidRPr="00DD6D97">
        <w:t>ARRAC m</w:t>
      </w:r>
      <w:r w:rsidR="00DF13B7">
        <w:t>eeting minutes are available from the ARRAC website at www.environment.gov.au</w:t>
      </w:r>
      <w:r w:rsidR="00DF13B7" w:rsidRPr="00EF4A91">
        <w:t>/ssd/communication/committees/arrac/meeting.html</w:t>
      </w:r>
    </w:p>
    <w:p w:rsidR="00F21B81" w:rsidRDefault="00F21B81" w:rsidP="00DD6D97">
      <w:pPr>
        <w:pStyle w:val="Heading2"/>
      </w:pPr>
      <w:bookmarkStart w:id="157" w:name="_Toc399928175"/>
      <w:r>
        <w:t>2.3</w:t>
      </w:r>
      <w:r>
        <w:tab/>
        <w:t>Alligator Rivers Region Technical Committee</w:t>
      </w:r>
      <w:bookmarkEnd w:id="153"/>
      <w:bookmarkEnd w:id="154"/>
      <w:bookmarkEnd w:id="155"/>
      <w:bookmarkEnd w:id="156"/>
      <w:bookmarkEnd w:id="157"/>
    </w:p>
    <w:p w:rsidR="00DD6D97" w:rsidRPr="00DD6D97" w:rsidRDefault="00DD6D97" w:rsidP="00A00BA3">
      <w:r w:rsidRPr="00DD6D97">
        <w:t xml:space="preserve">The Alligator Rivers Region Technical Committee (ARRTC) was established under the </w:t>
      </w:r>
      <w:r w:rsidRPr="00DD6D97">
        <w:rPr>
          <w:i/>
        </w:rPr>
        <w:t>Environment Protection (Alligator Rivers Region) Act 1978</w:t>
      </w:r>
      <w:r w:rsidRPr="00DD6D97">
        <w:t xml:space="preserve">. </w:t>
      </w:r>
    </w:p>
    <w:p w:rsidR="00DD6D97" w:rsidRPr="00DD6D97" w:rsidRDefault="00DD6D97" w:rsidP="00A00BA3">
      <w:r w:rsidRPr="00DD6D97">
        <w:t xml:space="preserve">ARRTC plays an important role in ensuring the scientific research conducted by </w:t>
      </w:r>
      <w:r w:rsidR="00C62BB6" w:rsidRPr="00C62BB6">
        <w:rPr>
          <w:b/>
          <w:i/>
          <w:sz w:val="23"/>
          <w:szCs w:val="23"/>
        </w:rPr>
        <w:t>eriss</w:t>
      </w:r>
      <w:r w:rsidR="00C62BB6">
        <w:rPr>
          <w:b/>
          <w:i/>
          <w:sz w:val="23"/>
          <w:szCs w:val="23"/>
        </w:rPr>
        <w:t>,</w:t>
      </w:r>
      <w:r w:rsidR="00C62BB6" w:rsidRPr="00DD6D97">
        <w:t xml:space="preserve"> </w:t>
      </w:r>
      <w:r w:rsidRPr="00DD6D97">
        <w:t>ERA, NT Government agencies and others into the protection of the environment from the impacts of uranium mining in the Alligator Rivers Region is appropriately targeted and of the highest possible standard. ARRTC also reviews the quality and adequacy of the science used for the regulatory assessment and approval of uranium mining related applications and proposals in the Alligator Rivers Region.</w:t>
      </w:r>
    </w:p>
    <w:p w:rsidR="00DD6D97" w:rsidRPr="00DD6D97" w:rsidRDefault="00DD6D97" w:rsidP="00A00BA3">
      <w:bookmarkStart w:id="158" w:name="OLE_LINK54"/>
      <w:bookmarkStart w:id="159" w:name="OLE_LINK55"/>
      <w:r w:rsidRPr="00DD6D97">
        <w:t>The membership of ARRTC comprises:</w:t>
      </w:r>
    </w:p>
    <w:bookmarkEnd w:id="158"/>
    <w:bookmarkEnd w:id="159"/>
    <w:p w:rsidR="00DD6D97" w:rsidRPr="0020525E" w:rsidRDefault="00DD6D97" w:rsidP="005558E1">
      <w:pPr>
        <w:pStyle w:val="bulletlist1"/>
      </w:pPr>
      <w:r w:rsidRPr="0020525E">
        <w:t xml:space="preserve">an independent Chair </w:t>
      </w:r>
    </w:p>
    <w:p w:rsidR="00DD6D97" w:rsidRPr="0020525E" w:rsidRDefault="00DD6D97" w:rsidP="005558E1">
      <w:pPr>
        <w:pStyle w:val="bulletlist1"/>
      </w:pPr>
      <w:r w:rsidRPr="0020525E">
        <w:t>the Supervising Scientist</w:t>
      </w:r>
    </w:p>
    <w:p w:rsidR="00DD6D97" w:rsidRPr="0020525E" w:rsidRDefault="00DD6D97" w:rsidP="005558E1">
      <w:pPr>
        <w:pStyle w:val="bulletlist1"/>
      </w:pPr>
      <w:proofErr w:type="gramStart"/>
      <w:r w:rsidRPr="0020525E">
        <w:t>a</w:t>
      </w:r>
      <w:proofErr w:type="gramEnd"/>
      <w:r w:rsidRPr="0020525E">
        <w:t xml:space="preserve"> number of independent scientific members (including the Chair) with specific expertise nominated by Science and Technology Australia – formerly the Federation of Australian Scientific and Technological Societies (FASTS). </w:t>
      </w:r>
    </w:p>
    <w:p w:rsidR="00DD6D97" w:rsidRPr="0020525E" w:rsidRDefault="00DD6D97" w:rsidP="005558E1">
      <w:pPr>
        <w:pStyle w:val="bulletlist1"/>
      </w:pPr>
      <w:r w:rsidRPr="0020525E">
        <w:t>a member representing NGO interests</w:t>
      </w:r>
    </w:p>
    <w:p w:rsidR="00DD6D97" w:rsidRPr="0020525E" w:rsidRDefault="00DD6D97" w:rsidP="005558E1">
      <w:pPr>
        <w:pStyle w:val="bulletlist1"/>
      </w:pPr>
      <w:proofErr w:type="gramStart"/>
      <w:r w:rsidRPr="0020525E">
        <w:t>a</w:t>
      </w:r>
      <w:proofErr w:type="gramEnd"/>
      <w:r w:rsidRPr="0020525E">
        <w:t xml:space="preserve"> number of members representing other relevant stakeholders including the Northern Land Council, the NT Department of Mines and Energy, Energy Resources of Australia Ltd (for Ranger and Jabiluka), Uranium Equities Ltd (for Nabarlek) and Parks Australia.</w:t>
      </w:r>
    </w:p>
    <w:p w:rsidR="00DD6D97" w:rsidRPr="00DD6D97" w:rsidRDefault="00DD6D97" w:rsidP="00A00BA3">
      <w:r w:rsidRPr="00DD6D97">
        <w:t>The Committee is chaired by Dr Simon Barry, who is also the Independent Scientific Member with expertise in Ecological Risk Assessment.</w:t>
      </w:r>
    </w:p>
    <w:p w:rsidR="00DD6D97" w:rsidRPr="00DD6D97" w:rsidRDefault="00DD6D97" w:rsidP="00A00BA3">
      <w:r w:rsidRPr="00DD6D97">
        <w:t>ARR</w:t>
      </w:r>
      <w:r w:rsidR="00C62BB6">
        <w:t>TC held two meetings in 2013–14,</w:t>
      </w:r>
      <w:r w:rsidRPr="00DD6D97">
        <w:t xml:space="preserve"> in November 2013 and May 2014. Key issues considered by ARRTC at these meetings included:</w:t>
      </w:r>
    </w:p>
    <w:p w:rsidR="00DD6D97" w:rsidRPr="00DD6D97" w:rsidRDefault="00DD6D97" w:rsidP="005558E1">
      <w:pPr>
        <w:pStyle w:val="bulletlist1"/>
      </w:pPr>
      <w:r w:rsidRPr="00DD6D97">
        <w:t xml:space="preserve">Current and proposed scientific research activities for </w:t>
      </w:r>
      <w:r w:rsidRPr="00C62BB6">
        <w:rPr>
          <w:b/>
          <w:i/>
          <w:sz w:val="23"/>
          <w:szCs w:val="23"/>
        </w:rPr>
        <w:t>eriss</w:t>
      </w:r>
      <w:r w:rsidRPr="00DF3DBB">
        <w:rPr>
          <w:sz w:val="26"/>
          <w:szCs w:val="26"/>
        </w:rPr>
        <w:t xml:space="preserve"> </w:t>
      </w:r>
      <w:r w:rsidRPr="00DD6D97">
        <w:t>and ERA, in the context of the ARRTC Key Knowledge Needs (KKN).</w:t>
      </w:r>
    </w:p>
    <w:p w:rsidR="00DD6D97" w:rsidRPr="00DD6D97" w:rsidRDefault="00DD6D97" w:rsidP="005558E1">
      <w:pPr>
        <w:pStyle w:val="bulletlist1"/>
      </w:pPr>
      <w:r w:rsidRPr="00DD6D97">
        <w:t>Outcomes of chemical, biological and radiological research and monitoring being undertaken</w:t>
      </w:r>
      <w:r w:rsidR="001553F8">
        <w:t xml:space="preserve"> by SSD, ERA and </w:t>
      </w:r>
      <w:r w:rsidRPr="00DD6D97">
        <w:t>DME.</w:t>
      </w:r>
    </w:p>
    <w:p w:rsidR="00DD6D97" w:rsidRPr="00DD6D97" w:rsidRDefault="00DD6D97" w:rsidP="005558E1">
      <w:pPr>
        <w:pStyle w:val="bulletlist1"/>
      </w:pPr>
      <w:r w:rsidRPr="00DD6D97">
        <w:t>Scientific and technical issues relating to Ranger, Jabiluka and Nabarlek.</w:t>
      </w:r>
    </w:p>
    <w:p w:rsidR="00DD6D97" w:rsidRPr="00DD6D97" w:rsidRDefault="00DD6D97" w:rsidP="005558E1">
      <w:pPr>
        <w:pStyle w:val="bulletlist1"/>
      </w:pPr>
      <w:r w:rsidRPr="00DD6D97">
        <w:t>The science underpinning Minesite Technical Committee (MTC) meetings and other regulatory decision making.</w:t>
      </w:r>
    </w:p>
    <w:p w:rsidR="00DD6D97" w:rsidRPr="00DD6D97" w:rsidRDefault="00DD6D97" w:rsidP="005558E1">
      <w:pPr>
        <w:pStyle w:val="bulletlist1"/>
      </w:pPr>
      <w:r w:rsidRPr="00DD6D97">
        <w:t>The status of South Alligator Valley rehabilitation activities.</w:t>
      </w:r>
    </w:p>
    <w:p w:rsidR="00E11684" w:rsidRPr="0020525E" w:rsidRDefault="00DD6D97" w:rsidP="005558E1">
      <w:pPr>
        <w:pStyle w:val="bulletlist1"/>
      </w:pPr>
      <w:r w:rsidRPr="00DD6D97">
        <w:t>Activity reports from the various stakeholder organisations.</w:t>
      </w:r>
    </w:p>
    <w:p w:rsidR="000D0FA0" w:rsidRDefault="000D0FA0" w:rsidP="000D0FA0">
      <w:pPr>
        <w:rPr>
          <w:szCs w:val="22"/>
        </w:rPr>
      </w:pPr>
      <w:r w:rsidRPr="00733FFF">
        <w:rPr>
          <w:szCs w:val="22"/>
        </w:rPr>
        <w:t xml:space="preserve">At its meeting in </w:t>
      </w:r>
      <w:r>
        <w:rPr>
          <w:szCs w:val="22"/>
        </w:rPr>
        <w:t>May</w:t>
      </w:r>
      <w:r w:rsidRPr="00733FFF">
        <w:rPr>
          <w:szCs w:val="22"/>
        </w:rPr>
        <w:t xml:space="preserve"> 201</w:t>
      </w:r>
      <w:r>
        <w:rPr>
          <w:szCs w:val="22"/>
        </w:rPr>
        <w:t>4</w:t>
      </w:r>
      <w:r w:rsidRPr="00733FFF">
        <w:rPr>
          <w:szCs w:val="22"/>
        </w:rPr>
        <w:t xml:space="preserve">, ARRTC endorsed the proposed </w:t>
      </w:r>
      <w:r w:rsidRPr="00733FFF">
        <w:rPr>
          <w:b/>
          <w:i/>
          <w:sz w:val="24"/>
          <w:szCs w:val="24"/>
        </w:rPr>
        <w:t>eriss</w:t>
      </w:r>
      <w:r w:rsidRPr="00733FFF">
        <w:rPr>
          <w:szCs w:val="22"/>
        </w:rPr>
        <w:t xml:space="preserve"> scientific research program for 201</w:t>
      </w:r>
      <w:r w:rsidR="00562C9B">
        <w:rPr>
          <w:szCs w:val="22"/>
        </w:rPr>
        <w:t>4</w:t>
      </w:r>
      <w:r w:rsidRPr="00733FFF">
        <w:rPr>
          <w:szCs w:val="22"/>
        </w:rPr>
        <w:t>–1</w:t>
      </w:r>
      <w:r w:rsidR="00562C9B">
        <w:rPr>
          <w:szCs w:val="22"/>
        </w:rPr>
        <w:t xml:space="preserve">5. </w:t>
      </w:r>
      <w:r>
        <w:rPr>
          <w:szCs w:val="22"/>
        </w:rPr>
        <w:t xml:space="preserve"> </w:t>
      </w:r>
      <w:r w:rsidRPr="00733FFF">
        <w:rPr>
          <w:szCs w:val="22"/>
        </w:rPr>
        <w:t xml:space="preserve">ARRTC also reviewed the status of the current </w:t>
      </w:r>
      <w:r>
        <w:rPr>
          <w:szCs w:val="22"/>
        </w:rPr>
        <w:t>ERA Rehabilitation/Closure Risk Assessment Project, the outcomes of which are being used to inform the ongoing revision of the ARRTC Key Knowledge Needs.</w:t>
      </w:r>
      <w:r w:rsidRPr="004A6A16">
        <w:rPr>
          <w:szCs w:val="22"/>
        </w:rPr>
        <w:t xml:space="preserve"> </w:t>
      </w:r>
    </w:p>
    <w:p w:rsidR="003B1FD1" w:rsidRDefault="000D0FA0" w:rsidP="003B1FD1">
      <w:pPr>
        <w:sectPr w:rsidR="003B1FD1" w:rsidSect="002A70CD">
          <w:headerReference w:type="even" r:id="rId50"/>
          <w:headerReference w:type="default" r:id="rId51"/>
          <w:headerReference w:type="first" r:id="rId52"/>
          <w:pgSz w:w="10325" w:h="14573" w:code="13"/>
          <w:pgMar w:top="1440" w:right="1440" w:bottom="1440" w:left="1440" w:header="720" w:footer="720" w:gutter="0"/>
          <w:cols w:space="360"/>
          <w:noEndnote/>
          <w:titlePg/>
          <w:docGrid w:linePitch="272"/>
        </w:sectPr>
      </w:pPr>
      <w:r>
        <w:t xml:space="preserve">The ARRTC Key Knowledge Needs are included in Appendix 1 of this Annual Report. ARRTC meeting minutes are available on the ARRTC web site at </w:t>
      </w:r>
      <w:r w:rsidRPr="00EF4A91">
        <w:t>www.environment.gov.au/ssd/communication/committees/arrtc/index.html</w:t>
      </w:r>
    </w:p>
    <w:p w:rsidR="00903EA7" w:rsidRDefault="00903EA7" w:rsidP="00DE799E">
      <w:pPr>
        <w:pStyle w:val="Heading1"/>
        <w:sectPr w:rsidR="00903EA7" w:rsidSect="00681992">
          <w:footnotePr>
            <w:numRestart w:val="eachSect"/>
          </w:footnotePr>
          <w:type w:val="continuous"/>
          <w:pgSz w:w="10325" w:h="14573" w:code="13"/>
          <w:pgMar w:top="1440" w:right="1440" w:bottom="1440" w:left="1440" w:header="720" w:footer="720" w:gutter="0"/>
          <w:cols w:space="360"/>
          <w:noEndnote/>
        </w:sectPr>
      </w:pPr>
    </w:p>
    <w:p w:rsidR="00AF7597" w:rsidRDefault="00F21B81" w:rsidP="00DE799E">
      <w:pPr>
        <w:pStyle w:val="Heading1"/>
      </w:pPr>
      <w:bookmarkStart w:id="160" w:name="_Toc399928176"/>
      <w:r>
        <w:t>3</w:t>
      </w:r>
      <w:r w:rsidR="00AF7597">
        <w:tab/>
        <w:t>Environmental assessments of uranium mines</w:t>
      </w:r>
      <w:bookmarkEnd w:id="140"/>
      <w:bookmarkEnd w:id="160"/>
    </w:p>
    <w:p w:rsidR="00AF7597" w:rsidRDefault="00F21B81" w:rsidP="00AF57DA">
      <w:pPr>
        <w:pStyle w:val="Heading2"/>
      </w:pPr>
      <w:bookmarkStart w:id="161" w:name="_Toc272771433"/>
      <w:bookmarkStart w:id="162" w:name="_Toc363824142"/>
      <w:bookmarkStart w:id="163" w:name="_Toc399928177"/>
      <w:bookmarkStart w:id="164" w:name="_Toc272771440"/>
      <w:bookmarkEnd w:id="141"/>
      <w:r w:rsidRPr="00641D0D">
        <w:t>3</w:t>
      </w:r>
      <w:r w:rsidR="00AF7597" w:rsidRPr="00641D0D">
        <w:t>.1</w:t>
      </w:r>
      <w:r w:rsidR="00AF7597" w:rsidRPr="00641D0D">
        <w:tab/>
        <w:t>Supervision process</w:t>
      </w:r>
      <w:bookmarkEnd w:id="161"/>
      <w:bookmarkEnd w:id="162"/>
      <w:bookmarkEnd w:id="163"/>
    </w:p>
    <w:p w:rsidR="00BF4D4D" w:rsidRPr="00391203" w:rsidRDefault="00BF4D4D" w:rsidP="00BF4D4D">
      <w:bookmarkStart w:id="165" w:name="_Toc272771434"/>
      <w:bookmarkStart w:id="166" w:name="_Toc363824143"/>
      <w:bookmarkStart w:id="167" w:name="_Toc365635502"/>
      <w:r w:rsidRPr="00353BC2">
        <w:t>The Supervising Scientist utilises a structured program</w:t>
      </w:r>
      <w:r w:rsidR="00936D05">
        <w:t>me</w:t>
      </w:r>
      <w:r w:rsidRPr="00353BC2">
        <w:t xml:space="preserve"> of audits and inspections, in conjunction with the Northern Territory Department of Mines and Energy (DME)</w:t>
      </w:r>
      <w:r w:rsidR="008B5EE4">
        <w:t>,</w:t>
      </w:r>
      <w:r w:rsidRPr="00353BC2">
        <w:t xml:space="preserve"> Northern Land Council (NLC)</w:t>
      </w:r>
      <w:r w:rsidR="008B5EE4">
        <w:t xml:space="preserve"> </w:t>
      </w:r>
      <w:r w:rsidR="008B5EE4" w:rsidRPr="00353BC2">
        <w:t>and the</w:t>
      </w:r>
      <w:r w:rsidR="008B5EE4">
        <w:t xml:space="preserve"> Gundjeihmi Aboriginal Corporation (</w:t>
      </w:r>
      <w:r w:rsidR="008B5EE4" w:rsidRPr="004954EE">
        <w:t>GAC</w:t>
      </w:r>
      <w:r w:rsidR="008B5EE4">
        <w:t>)</w:t>
      </w:r>
      <w:r w:rsidRPr="00353BC2">
        <w:t xml:space="preserve">, to supervise uranium mining operations in the Alligator Rivers Region (ARR). The outcomes of these activities are considered by the Supervising Scientist, together with environmental monitoring data and other information, to draw conclusions regarding the effectiveness of environmental management at uranium </w:t>
      </w:r>
      <w:r w:rsidR="00112258">
        <w:t xml:space="preserve">and exploration </w:t>
      </w:r>
      <w:r w:rsidRPr="00353BC2">
        <w:t>mining sites.</w:t>
      </w:r>
    </w:p>
    <w:bookmarkEnd w:id="165"/>
    <w:bookmarkEnd w:id="166"/>
    <w:bookmarkEnd w:id="167"/>
    <w:p w:rsidR="00CE378B" w:rsidRPr="00E76C9D" w:rsidRDefault="00CE378B" w:rsidP="00CE378B">
      <w:pPr>
        <w:pStyle w:val="Heading3"/>
      </w:pPr>
      <w:r>
        <w:t>3.1.1</w:t>
      </w:r>
      <w:r w:rsidRPr="00E76C9D">
        <w:tab/>
      </w:r>
      <w:r>
        <w:tab/>
      </w:r>
      <w:r w:rsidRPr="00CE378B">
        <w:t>Minesite Technical Committees</w:t>
      </w:r>
    </w:p>
    <w:p w:rsidR="00BF4D4D" w:rsidRPr="00391203" w:rsidRDefault="00BF4D4D" w:rsidP="00BF4D4D">
      <w:bookmarkStart w:id="168" w:name="_Toc334196080"/>
      <w:r w:rsidRPr="004954EE">
        <w:t xml:space="preserve">Minesite Technical Committees (MTCs) have been established for Ranger, Jabiluka and Nabarlek. The MTC meetings provide an effective forum for stakeholders, including Supervising Scientist Division (SSD) staff, to discuss technical environmental management issues, especially in connection with the assessment of applications and reports submitted by mining companies for approval under Northern Territory and Commonwealth legislation. As such, each Ranger and Jabiluka MTC is made up of representatives from DME (which provides the Chair), SSD, NLC, </w:t>
      </w:r>
      <w:r>
        <w:t>Gundjeihmi Aboriginal Corporation (</w:t>
      </w:r>
      <w:r w:rsidRPr="004954EE">
        <w:t>GAC</w:t>
      </w:r>
      <w:r>
        <w:t>)</w:t>
      </w:r>
      <w:r w:rsidRPr="004954EE">
        <w:t xml:space="preserve"> and Energy Resources of Australia (ERA). Representatives from the Australian Government Department of </w:t>
      </w:r>
      <w:r>
        <w:t>Industry (DoI)</w:t>
      </w:r>
      <w:r w:rsidRPr="004954EE">
        <w:t xml:space="preserve"> also participate in the Ranger and Jabiluka MTCs. Other organisations or experts may be co-opted from time to time as required to assist MTC members. The Nabarlek MTC is made up of representatives from DME, NLC, SSD and the relevant mining company (currently Uranium Equities Limited).</w:t>
      </w:r>
    </w:p>
    <w:p w:rsidR="00E76C9D" w:rsidRPr="00E76C9D" w:rsidRDefault="00E76C9D" w:rsidP="00E76C9D">
      <w:pPr>
        <w:pStyle w:val="Heading3"/>
      </w:pPr>
      <w:r w:rsidRPr="00E76C9D">
        <w:t>3.1.2</w:t>
      </w:r>
      <w:r w:rsidRPr="00E76C9D">
        <w:tab/>
      </w:r>
      <w:r w:rsidR="00D54978">
        <w:tab/>
      </w:r>
      <w:r w:rsidRPr="00E76C9D">
        <w:t>Audits and inspections</w:t>
      </w:r>
      <w:bookmarkEnd w:id="168"/>
    </w:p>
    <w:p w:rsidR="00BF4D4D" w:rsidRDefault="00BF4D4D" w:rsidP="00BF4D4D">
      <w:bookmarkStart w:id="169" w:name="_Toc272771436"/>
      <w:bookmarkStart w:id="170" w:name="_Toc363824145"/>
      <w:bookmarkStart w:id="171" w:name="_Toc365635504"/>
      <w:r>
        <w:t>The Supervising Scientist, in consultation with the applicable MTC members, has developed and implemented a program</w:t>
      </w:r>
      <w:r w:rsidR="00936D05">
        <w:t>me</w:t>
      </w:r>
      <w:r>
        <w:t xml:space="preserve"> of environmental audits and inspections at the Ranger mine, the Jabiluka Mineral Lease and the Nabarlek mine. SSD </w:t>
      </w:r>
      <w:proofErr w:type="gramStart"/>
      <w:r>
        <w:t>staff also participate</w:t>
      </w:r>
      <w:proofErr w:type="gramEnd"/>
      <w:r>
        <w:t xml:space="preserve"> in audits of exploration operations throughout the ARR. </w:t>
      </w:r>
    </w:p>
    <w:p w:rsidR="00BF4D4D" w:rsidRDefault="00BF4D4D" w:rsidP="00BF4D4D">
      <w:r>
        <w:t xml:space="preserve">Routine Periodic Inspections (RPI) take place monthly at Ranger, being the only operating mine in the region, and quarterly at Jabiluka, which is currently in long-term care and maintenance. The RPIs are intended to provide a snapshot of the adequacy of environmental management activities on site as well as an opportunity for the inspection team to discuss current environmental management issues with staff on site. The discussions that occur during RPIs may include addressing any unplanned events or reportable incidents and any associated follow-up actions. The inspection team is made up of representatives from the SSD, DME, NLC and GAC. </w:t>
      </w:r>
    </w:p>
    <w:p w:rsidR="00BF4D4D" w:rsidRDefault="00BF4D4D" w:rsidP="00BF4D4D">
      <w:r>
        <w:t>The El Sherana Airstrip radiological containm</w:t>
      </w:r>
      <w:r w:rsidR="00FF7393">
        <w:t xml:space="preserve">ent facility at South Alligator </w:t>
      </w:r>
      <w:r>
        <w:t>Valley is also inspected at least annually by SSD in conjunction with Parks Australia.</w:t>
      </w:r>
    </w:p>
    <w:p w:rsidR="00BF4D4D" w:rsidRDefault="00BF4D4D" w:rsidP="00BF4D4D">
      <w:r>
        <w:t>Environmental audits are conducted by a team of qualified audit staff from SSD, DME</w:t>
      </w:r>
      <w:r w:rsidR="008B5EE4">
        <w:t>, NLC</w:t>
      </w:r>
      <w:r>
        <w:t xml:space="preserve"> and the </w:t>
      </w:r>
      <w:r w:rsidR="008B5EE4">
        <w:t>GAC</w:t>
      </w:r>
      <w:r w:rsidR="003B1FD1">
        <w:t>,</w:t>
      </w:r>
      <w:r>
        <w:t xml:space="preserve"> and are undertaken in accordance with ISO Standard 19011:2011 (Guidelines for quality and/or environmental management systems auditing) and are consistent with current best practice methods for environmental assessments. </w:t>
      </w:r>
    </w:p>
    <w:p w:rsidR="00BF4D4D" w:rsidRDefault="00BF4D4D" w:rsidP="00BF4D4D">
      <w:r>
        <w:t>The annual environmental audits of Ranger and Jabiluka occur each May to assess the performance of each site against commitments taken from selected management plans or approval documents. The final audit report is tabled at the follo</w:t>
      </w:r>
      <w:r w:rsidR="003B1FD1">
        <w:t>wing meeting of the ARRAC</w:t>
      </w:r>
      <w:r>
        <w:t>. Audit findings are followed up as required through the RPI process. The Nabarlek program</w:t>
      </w:r>
      <w:r w:rsidR="00936D05">
        <w:t>me</w:t>
      </w:r>
      <w:r>
        <w:t xml:space="preserve"> is slightly different in that an inspection is carried out early in the dry season to assess the post wet se</w:t>
      </w:r>
      <w:r w:rsidR="003B1FD1">
        <w:t xml:space="preserve">ason condition of the area, in order to </w:t>
      </w:r>
      <w:r>
        <w:t xml:space="preserve">provide recommendations that can be addressed during the dry season when </w:t>
      </w:r>
      <w:r w:rsidR="003B1FD1">
        <w:t xml:space="preserve">the site is </w:t>
      </w:r>
      <w:r>
        <w:t>access</w:t>
      </w:r>
      <w:r w:rsidR="003B1FD1">
        <w:t>ible</w:t>
      </w:r>
      <w:r>
        <w:t xml:space="preserve">. The annual environmental audit is conducted later in the year if required. </w:t>
      </w:r>
    </w:p>
    <w:p w:rsidR="00BF4D4D" w:rsidRPr="00391203" w:rsidRDefault="00BF4D4D" w:rsidP="00BF4D4D">
      <w:r>
        <w:t>The audit outcomes for 2013–14 are described later in this annual report.</w:t>
      </w:r>
    </w:p>
    <w:p w:rsidR="00AF7597" w:rsidRDefault="00F21B81" w:rsidP="00116315">
      <w:pPr>
        <w:pStyle w:val="Heading3"/>
      </w:pPr>
      <w:r>
        <w:t>3</w:t>
      </w:r>
      <w:r w:rsidR="00AF7597" w:rsidRPr="006A01E9">
        <w:t>.1.3</w:t>
      </w:r>
      <w:r w:rsidR="00AF7597" w:rsidRPr="006A01E9">
        <w:tab/>
      </w:r>
      <w:r w:rsidR="00D54978">
        <w:tab/>
      </w:r>
      <w:r w:rsidR="00AF7597" w:rsidRPr="006A01E9">
        <w:t>Assessment of reports, plans and applications</w:t>
      </w:r>
      <w:bookmarkEnd w:id="169"/>
      <w:bookmarkEnd w:id="170"/>
      <w:bookmarkEnd w:id="171"/>
    </w:p>
    <w:p w:rsidR="00BF4D4D" w:rsidRPr="00E76C9D" w:rsidRDefault="00BF4D4D" w:rsidP="00BF4D4D">
      <w:bookmarkStart w:id="172" w:name="_Toc520085607"/>
      <w:bookmarkStart w:id="173" w:name="_Toc522329380"/>
      <w:bookmarkStart w:id="174" w:name="_Toc85011085"/>
      <w:bookmarkStart w:id="175" w:name="_Toc107109194"/>
      <w:bookmarkStart w:id="176" w:name="_Toc107109380"/>
      <w:bookmarkStart w:id="177" w:name="_Toc107109472"/>
      <w:bookmarkStart w:id="178" w:name="_Toc144613358"/>
      <w:bookmarkStart w:id="179" w:name="_Toc146626846"/>
      <w:bookmarkStart w:id="180" w:name="_Toc272771437"/>
      <w:bookmarkStart w:id="181" w:name="_Toc363824146"/>
      <w:r w:rsidRPr="00E76C9D">
        <w:t xml:space="preserve">The Authorisations for Ranger and the Jabiluka are issued under the </w:t>
      </w:r>
      <w:r w:rsidRPr="000A218C">
        <w:rPr>
          <w:i/>
        </w:rPr>
        <w:t>Northern Territory Mining Management Act 2001</w:t>
      </w:r>
      <w:r w:rsidRPr="00E76C9D">
        <w:t>. The Act provides for alterations to the Authorisation to be issued by the Northern Territory Government. The Authorisations require that ERA seeks approval for certain activities from the Northern Territory regulatory authority, through DME, which then considers applications after SSD, NLC and GAC have assessed the proposal and provided feedback. This provides the primary mechanism for the Supervising Scientist’s participation in the regulatory processes of the Northern Territory Government and is supported by section 34 of the Act which requires the Northern Territory Government to act in accordance with the advice of the Commonwealth Resources Minister for issues related to uranium mining.</w:t>
      </w:r>
    </w:p>
    <w:p w:rsidR="00BF4D4D" w:rsidRPr="00E76C9D" w:rsidRDefault="00BF4D4D" w:rsidP="00BF4D4D">
      <w:r w:rsidRPr="00E76C9D">
        <w:t>The main reports and plans assessed by the Supervising Scientist during 2013</w:t>
      </w:r>
      <w:r>
        <w:t>–</w:t>
      </w:r>
      <w:r w:rsidRPr="00E76C9D">
        <w:t xml:space="preserve">14 included: </w:t>
      </w:r>
    </w:p>
    <w:p w:rsidR="00BF4D4D" w:rsidRPr="00E76C9D" w:rsidRDefault="00BF4D4D" w:rsidP="00BF4D4D">
      <w:pPr>
        <w:pStyle w:val="bulletlist1"/>
      </w:pPr>
      <w:r w:rsidRPr="00E76C9D">
        <w:t>Ranger Amended Plan of Rehabilitation No 39</w:t>
      </w:r>
    </w:p>
    <w:p w:rsidR="00BF4D4D" w:rsidRPr="00E76C9D" w:rsidRDefault="00BF4D4D" w:rsidP="00BF4D4D">
      <w:pPr>
        <w:pStyle w:val="bulletlist1"/>
      </w:pPr>
      <w:r w:rsidRPr="00E76C9D">
        <w:t>Ranger Mine Water Management Plan</w:t>
      </w:r>
    </w:p>
    <w:p w:rsidR="00BF4D4D" w:rsidRPr="00E76C9D" w:rsidRDefault="00BF4D4D" w:rsidP="00BF4D4D">
      <w:pPr>
        <w:pStyle w:val="bulletlist1"/>
      </w:pPr>
      <w:r w:rsidRPr="00E76C9D">
        <w:t>Ranger Mine and Jabiluka Annual Environmental Reports</w:t>
      </w:r>
    </w:p>
    <w:p w:rsidR="00BF4D4D" w:rsidRPr="00E76C9D" w:rsidRDefault="00BF4D4D" w:rsidP="00BF4D4D">
      <w:pPr>
        <w:pStyle w:val="bulletlist1"/>
      </w:pPr>
      <w:r w:rsidRPr="00E76C9D">
        <w:t>Ranger Mine and Jabiluka Wet Season Reports</w:t>
      </w:r>
    </w:p>
    <w:p w:rsidR="00BF4D4D" w:rsidRPr="00E76C9D" w:rsidRDefault="00BF4D4D" w:rsidP="00BF4D4D">
      <w:pPr>
        <w:pStyle w:val="bulletlist1"/>
      </w:pPr>
      <w:r w:rsidRPr="00E76C9D">
        <w:t>Ranger Mine Annual Tailings Dam Inspection Report</w:t>
      </w:r>
    </w:p>
    <w:p w:rsidR="00BF4D4D" w:rsidRPr="00E76C9D" w:rsidRDefault="00BF4D4D" w:rsidP="00BF4D4D">
      <w:pPr>
        <w:pStyle w:val="bulletlist1"/>
      </w:pPr>
      <w:r w:rsidRPr="00E76C9D">
        <w:t xml:space="preserve">Ranger Mine and Jabiluka Radiation Protection and Atmospheric Monitoring Program annual report and quarterly data submissions </w:t>
      </w:r>
    </w:p>
    <w:p w:rsidR="00BF4D4D" w:rsidRDefault="00BF4D4D" w:rsidP="00BF4D4D">
      <w:pPr>
        <w:pStyle w:val="bulletlist1"/>
      </w:pPr>
      <w:r w:rsidRPr="00E76C9D">
        <w:t>ERA weekly environmental monitoring data and quarterly reports submitted in accordance with the Authorisations</w:t>
      </w:r>
    </w:p>
    <w:p w:rsidR="00BF4D4D" w:rsidRPr="00E76C9D" w:rsidRDefault="00BF4D4D" w:rsidP="00BF4D4D">
      <w:pPr>
        <w:pStyle w:val="bulletlist1"/>
      </w:pPr>
      <w:r w:rsidRPr="00AC63DD">
        <w:t>Applications by ERA for amendments to their Authorisations (refer to 3.2.2.5 and 3.3.2.4)</w:t>
      </w:r>
    </w:p>
    <w:p w:rsidR="00AF7597" w:rsidRPr="006A01E9" w:rsidRDefault="00F21B81" w:rsidP="00AF57DA">
      <w:pPr>
        <w:pStyle w:val="Heading2"/>
      </w:pPr>
      <w:bookmarkStart w:id="182" w:name="_Toc399928178"/>
      <w:r>
        <w:t>3</w:t>
      </w:r>
      <w:r w:rsidR="00AF7597" w:rsidRPr="006A01E9">
        <w:t>.2</w:t>
      </w:r>
      <w:r w:rsidR="00AF7597" w:rsidRPr="006A01E9">
        <w:tab/>
        <w:t>Ranger</w:t>
      </w:r>
      <w:bookmarkEnd w:id="172"/>
      <w:bookmarkEnd w:id="173"/>
      <w:bookmarkEnd w:id="174"/>
      <w:bookmarkEnd w:id="175"/>
      <w:bookmarkEnd w:id="176"/>
      <w:bookmarkEnd w:id="177"/>
      <w:bookmarkEnd w:id="178"/>
      <w:bookmarkEnd w:id="179"/>
      <w:bookmarkEnd w:id="180"/>
      <w:bookmarkEnd w:id="181"/>
      <w:bookmarkEnd w:id="182"/>
    </w:p>
    <w:p w:rsidR="00AF7597" w:rsidRDefault="00F21B81" w:rsidP="00116315">
      <w:pPr>
        <w:pStyle w:val="Heading3"/>
      </w:pPr>
      <w:bookmarkStart w:id="183" w:name="_Toc272771438"/>
      <w:bookmarkStart w:id="184" w:name="_Toc363824147"/>
      <w:bookmarkStart w:id="185" w:name="_Toc365635506"/>
      <w:r>
        <w:t>3</w:t>
      </w:r>
      <w:r w:rsidR="00D54978">
        <w:t>.2.1</w:t>
      </w:r>
      <w:r w:rsidR="00D54978">
        <w:tab/>
      </w:r>
      <w:r w:rsidR="00D54978">
        <w:tab/>
      </w:r>
      <w:r w:rsidR="00AF7597" w:rsidRPr="006A01E9">
        <w:t>Developments</w:t>
      </w:r>
      <w:bookmarkEnd w:id="183"/>
      <w:bookmarkEnd w:id="184"/>
      <w:bookmarkEnd w:id="185"/>
    </w:p>
    <w:p w:rsidR="00E76C9D" w:rsidRDefault="00BF4D4D" w:rsidP="00E76C9D">
      <w:proofErr w:type="gramStart"/>
      <w:r w:rsidRPr="00E766BA">
        <w:t>Mining in Pit 3 at Ranger Mine ceased in November 2012, with backfill of the pit from the western stockpile commencing shortly thereafter.</w:t>
      </w:r>
      <w:proofErr w:type="gramEnd"/>
      <w:r w:rsidRPr="00E766BA">
        <w:t xml:space="preserve"> The mill produced 1 113 tonnes of uranium oxide (U</w:t>
      </w:r>
      <w:r w:rsidRPr="00E766BA">
        <w:rPr>
          <w:vertAlign w:val="subscript"/>
        </w:rPr>
        <w:t>3</w:t>
      </w:r>
      <w:r w:rsidRPr="00E766BA">
        <w:t>O</w:t>
      </w:r>
      <w:r w:rsidRPr="00E766BA">
        <w:rPr>
          <w:vertAlign w:val="subscript"/>
        </w:rPr>
        <w:t>8</w:t>
      </w:r>
      <w:r w:rsidRPr="00E766BA">
        <w:t>) during 2013–14 from 1 164 000 tonnes of ore (Table 3.1). Production statistics for the milling of ore and the production of U</w:t>
      </w:r>
      <w:r w:rsidRPr="00E766BA">
        <w:rPr>
          <w:vertAlign w:val="subscript"/>
        </w:rPr>
        <w:t>3</w:t>
      </w:r>
      <w:r w:rsidRPr="00E766BA">
        <w:t>O</w:t>
      </w:r>
      <w:r w:rsidRPr="00E766BA">
        <w:rPr>
          <w:vertAlign w:val="subscript"/>
        </w:rPr>
        <w:t>8</w:t>
      </w:r>
      <w:r w:rsidRPr="00E766BA">
        <w:t xml:space="preserve"> at Ranger for the past five years are shown in Table 3.2.</w:t>
      </w:r>
      <w:r w:rsidR="00923A8A">
        <w:br/>
      </w:r>
    </w:p>
    <w:tbl>
      <w:tblPr>
        <w:tblW w:w="0" w:type="auto"/>
        <w:tblLayout w:type="fixed"/>
        <w:tblCellMar>
          <w:left w:w="0" w:type="dxa"/>
          <w:right w:w="0" w:type="dxa"/>
        </w:tblCellMar>
        <w:tblLook w:val="0000"/>
      </w:tblPr>
      <w:tblGrid>
        <w:gridCol w:w="1993"/>
        <w:gridCol w:w="1344"/>
        <w:gridCol w:w="1345"/>
        <w:gridCol w:w="1344"/>
        <w:gridCol w:w="1345"/>
      </w:tblGrid>
      <w:tr w:rsidR="00E76C9D" w:rsidRPr="00E76C9D" w:rsidTr="00E76C9D">
        <w:tc>
          <w:tcPr>
            <w:tcW w:w="7371" w:type="dxa"/>
            <w:gridSpan w:val="5"/>
            <w:shd w:val="clear" w:color="auto" w:fill="D9D9D9"/>
            <w:noWrap/>
            <w:tcMar>
              <w:top w:w="0" w:type="dxa"/>
              <w:left w:w="0" w:type="dxa"/>
              <w:bottom w:w="0" w:type="dxa"/>
              <w:right w:w="0" w:type="dxa"/>
            </w:tcMar>
          </w:tcPr>
          <w:p w:rsidR="00E76C9D" w:rsidRPr="00E76C9D" w:rsidRDefault="00E76C9D" w:rsidP="005C01EE">
            <w:pPr>
              <w:pStyle w:val="tablecaption"/>
            </w:pPr>
            <w:bookmarkStart w:id="186" w:name="_Toc272849715"/>
            <w:r w:rsidRPr="00E76C9D">
              <w:t>Table 3.1  Rang</w:t>
            </w:r>
            <w:r>
              <w:t>er production activity for 2012–</w:t>
            </w:r>
            <w:r w:rsidRPr="00E76C9D">
              <w:t>2013 by quarter</w:t>
            </w:r>
            <w:bookmarkEnd w:id="186"/>
            <w:r w:rsidR="00290FBD" w:rsidRPr="00290FBD">
              <w:rPr>
                <w:rFonts w:cs="Times New Roman"/>
                <w:snapToGrid w:val="0"/>
                <w:color w:val="000000"/>
                <w:position w:val="4"/>
                <w:sz w:val="12"/>
                <w:szCs w:val="0"/>
                <w:u w:color="000000"/>
              </w:rPr>
              <w:t>1</w:t>
            </w:r>
          </w:p>
        </w:tc>
      </w:tr>
      <w:tr w:rsidR="00E76C9D" w:rsidRPr="00E76C9D" w:rsidTr="00E76C9D">
        <w:tc>
          <w:tcPr>
            <w:tcW w:w="1993" w:type="dxa"/>
            <w:tcBorders>
              <w:bottom w:val="single" w:sz="6" w:space="0" w:color="999999"/>
            </w:tcBorders>
            <w:noWrap/>
            <w:tcMar>
              <w:top w:w="13" w:type="dxa"/>
              <w:left w:w="13" w:type="dxa"/>
              <w:bottom w:w="0" w:type="dxa"/>
              <w:right w:w="13" w:type="dxa"/>
            </w:tcMar>
          </w:tcPr>
          <w:p w:rsidR="00E76C9D" w:rsidRPr="00E76C9D" w:rsidRDefault="00E76C9D" w:rsidP="00396335">
            <w:pPr>
              <w:pStyle w:val="table1"/>
            </w:pPr>
          </w:p>
        </w:tc>
        <w:tc>
          <w:tcPr>
            <w:tcW w:w="1344" w:type="dxa"/>
            <w:tcBorders>
              <w:bottom w:val="single" w:sz="6" w:space="0" w:color="999999"/>
            </w:tcBorders>
            <w:noWrap/>
            <w:tcMar>
              <w:top w:w="13" w:type="dxa"/>
              <w:left w:w="13" w:type="dxa"/>
              <w:bottom w:w="0" w:type="dxa"/>
              <w:right w:w="13" w:type="dxa"/>
            </w:tcMar>
          </w:tcPr>
          <w:p w:rsidR="00E76C9D" w:rsidRPr="00E76C9D" w:rsidRDefault="00E76C9D" w:rsidP="00396335">
            <w:pPr>
              <w:pStyle w:val="table1"/>
            </w:pPr>
            <w:r w:rsidRPr="00E76C9D">
              <w:t>1/07/2013 to 30/09/2013</w:t>
            </w:r>
          </w:p>
        </w:tc>
        <w:tc>
          <w:tcPr>
            <w:tcW w:w="1345" w:type="dxa"/>
            <w:tcBorders>
              <w:bottom w:val="single" w:sz="6" w:space="0" w:color="999999"/>
            </w:tcBorders>
            <w:noWrap/>
            <w:tcMar>
              <w:top w:w="13" w:type="dxa"/>
              <w:left w:w="13" w:type="dxa"/>
              <w:bottom w:w="0" w:type="dxa"/>
              <w:right w:w="13" w:type="dxa"/>
            </w:tcMar>
          </w:tcPr>
          <w:p w:rsidR="00E76C9D" w:rsidRPr="00E76C9D" w:rsidRDefault="00E76C9D" w:rsidP="00396335">
            <w:pPr>
              <w:pStyle w:val="table1"/>
            </w:pPr>
            <w:r w:rsidRPr="00E76C9D">
              <w:t>1/10/2013 to 31/12/2013</w:t>
            </w:r>
          </w:p>
        </w:tc>
        <w:tc>
          <w:tcPr>
            <w:tcW w:w="1344" w:type="dxa"/>
            <w:tcBorders>
              <w:bottom w:val="single" w:sz="6" w:space="0" w:color="999999"/>
            </w:tcBorders>
            <w:noWrap/>
            <w:tcMar>
              <w:top w:w="13" w:type="dxa"/>
              <w:left w:w="13" w:type="dxa"/>
              <w:bottom w:w="0" w:type="dxa"/>
              <w:right w:w="13" w:type="dxa"/>
            </w:tcMar>
          </w:tcPr>
          <w:p w:rsidR="00E76C9D" w:rsidRPr="00E76C9D" w:rsidRDefault="00E76C9D" w:rsidP="00396335">
            <w:pPr>
              <w:pStyle w:val="table1"/>
            </w:pPr>
            <w:r w:rsidRPr="00E76C9D">
              <w:t>1/01/2014 to 31/03/2014</w:t>
            </w:r>
          </w:p>
        </w:tc>
        <w:tc>
          <w:tcPr>
            <w:tcW w:w="1345" w:type="dxa"/>
            <w:tcBorders>
              <w:bottom w:val="single" w:sz="6" w:space="0" w:color="999999"/>
            </w:tcBorders>
            <w:noWrap/>
            <w:tcMar>
              <w:top w:w="13" w:type="dxa"/>
              <w:left w:w="13" w:type="dxa"/>
              <w:bottom w:w="0" w:type="dxa"/>
              <w:right w:w="13" w:type="dxa"/>
            </w:tcMar>
          </w:tcPr>
          <w:p w:rsidR="00E76C9D" w:rsidRPr="00E76C9D" w:rsidRDefault="00E76C9D" w:rsidP="00396335">
            <w:pPr>
              <w:pStyle w:val="table1"/>
            </w:pPr>
            <w:r w:rsidRPr="00E76C9D">
              <w:t>1/04/2014 to 30/06/2014</w:t>
            </w:r>
          </w:p>
        </w:tc>
      </w:tr>
      <w:tr w:rsidR="00E76C9D" w:rsidRPr="00E76C9D" w:rsidTr="00E76C9D">
        <w:tc>
          <w:tcPr>
            <w:tcW w:w="1993" w:type="dxa"/>
            <w:tcBorders>
              <w:top w:val="single" w:sz="6" w:space="0" w:color="999999"/>
            </w:tcBorders>
            <w:noWrap/>
            <w:tcMar>
              <w:top w:w="13" w:type="dxa"/>
              <w:left w:w="13" w:type="dxa"/>
              <w:bottom w:w="0" w:type="dxa"/>
              <w:right w:w="13" w:type="dxa"/>
            </w:tcMar>
          </w:tcPr>
          <w:p w:rsidR="00E76C9D" w:rsidRPr="00E76C9D" w:rsidRDefault="00E76C9D" w:rsidP="00396335">
            <w:pPr>
              <w:pStyle w:val="table1"/>
            </w:pPr>
            <w:r w:rsidRPr="00E76C9D">
              <w:t>Production (drummed tonnes of U</w:t>
            </w:r>
            <w:r w:rsidRPr="00E76C9D">
              <w:rPr>
                <w:vertAlign w:val="subscript"/>
              </w:rPr>
              <w:t>3</w:t>
            </w:r>
            <w:r w:rsidRPr="00E76C9D">
              <w:t>O</w:t>
            </w:r>
            <w:r w:rsidRPr="00E76C9D">
              <w:rPr>
                <w:vertAlign w:val="subscript"/>
              </w:rPr>
              <w:t>8</w:t>
            </w:r>
            <w:r w:rsidRPr="00E76C9D">
              <w:t>)</w:t>
            </w:r>
          </w:p>
        </w:tc>
        <w:tc>
          <w:tcPr>
            <w:tcW w:w="1344" w:type="dxa"/>
            <w:tcBorders>
              <w:top w:val="single" w:sz="6" w:space="0" w:color="999999"/>
            </w:tcBorders>
            <w:shd w:val="clear" w:color="auto" w:fill="auto"/>
            <w:noWrap/>
            <w:tcMar>
              <w:top w:w="13" w:type="dxa"/>
              <w:left w:w="13" w:type="dxa"/>
              <w:bottom w:w="0" w:type="dxa"/>
              <w:right w:w="13" w:type="dxa"/>
            </w:tcMar>
          </w:tcPr>
          <w:p w:rsidR="00E76C9D" w:rsidRPr="00E76C9D" w:rsidRDefault="00E76C9D" w:rsidP="00396335">
            <w:pPr>
              <w:pStyle w:val="table1"/>
            </w:pPr>
            <w:r w:rsidRPr="00E76C9D">
              <w:t>610</w:t>
            </w:r>
          </w:p>
        </w:tc>
        <w:tc>
          <w:tcPr>
            <w:tcW w:w="1345" w:type="dxa"/>
            <w:tcBorders>
              <w:top w:val="single" w:sz="6" w:space="0" w:color="999999"/>
            </w:tcBorders>
            <w:shd w:val="clear" w:color="auto" w:fill="auto"/>
            <w:noWrap/>
            <w:tcMar>
              <w:top w:w="13" w:type="dxa"/>
              <w:left w:w="13" w:type="dxa"/>
              <w:bottom w:w="0" w:type="dxa"/>
              <w:right w:w="13" w:type="dxa"/>
            </w:tcMar>
          </w:tcPr>
          <w:p w:rsidR="00E76C9D" w:rsidRPr="00E76C9D" w:rsidRDefault="00E76C9D" w:rsidP="00396335">
            <w:pPr>
              <w:pStyle w:val="table1"/>
            </w:pPr>
            <w:r w:rsidRPr="00E76C9D">
              <w:t>503</w:t>
            </w:r>
          </w:p>
        </w:tc>
        <w:tc>
          <w:tcPr>
            <w:tcW w:w="1344" w:type="dxa"/>
            <w:tcBorders>
              <w:top w:val="single" w:sz="6" w:space="0" w:color="999999"/>
            </w:tcBorders>
            <w:shd w:val="clear" w:color="auto" w:fill="auto"/>
            <w:noWrap/>
            <w:tcMar>
              <w:top w:w="13" w:type="dxa"/>
              <w:left w:w="13" w:type="dxa"/>
              <w:bottom w:w="0" w:type="dxa"/>
              <w:right w:w="13" w:type="dxa"/>
            </w:tcMar>
          </w:tcPr>
          <w:p w:rsidR="00E76C9D" w:rsidRPr="00E76C9D" w:rsidRDefault="00E76C9D" w:rsidP="00396335">
            <w:pPr>
              <w:pStyle w:val="table1"/>
            </w:pPr>
            <w:r w:rsidRPr="00E76C9D">
              <w:t>0</w:t>
            </w:r>
          </w:p>
        </w:tc>
        <w:tc>
          <w:tcPr>
            <w:tcW w:w="1345" w:type="dxa"/>
            <w:tcBorders>
              <w:top w:val="single" w:sz="6" w:space="0" w:color="999999"/>
            </w:tcBorders>
            <w:shd w:val="clear" w:color="auto" w:fill="auto"/>
            <w:noWrap/>
            <w:tcMar>
              <w:top w:w="13" w:type="dxa"/>
              <w:left w:w="13" w:type="dxa"/>
              <w:bottom w:w="0" w:type="dxa"/>
              <w:right w:w="13" w:type="dxa"/>
            </w:tcMar>
          </w:tcPr>
          <w:p w:rsidR="00E76C9D" w:rsidRPr="00E76C9D" w:rsidRDefault="00E76C9D" w:rsidP="00396335">
            <w:pPr>
              <w:pStyle w:val="table1"/>
            </w:pPr>
            <w:r w:rsidRPr="00E76C9D">
              <w:t>0</w:t>
            </w:r>
          </w:p>
        </w:tc>
      </w:tr>
      <w:tr w:rsidR="00E76C9D" w:rsidRPr="00E76C9D" w:rsidTr="00E76C9D">
        <w:tc>
          <w:tcPr>
            <w:tcW w:w="1993" w:type="dxa"/>
            <w:tcBorders>
              <w:bottom w:val="single" w:sz="6" w:space="0" w:color="999999"/>
            </w:tcBorders>
            <w:noWrap/>
            <w:tcMar>
              <w:top w:w="13" w:type="dxa"/>
              <w:left w:w="13" w:type="dxa"/>
              <w:bottom w:w="0" w:type="dxa"/>
              <w:right w:w="13" w:type="dxa"/>
            </w:tcMar>
          </w:tcPr>
          <w:p w:rsidR="00E76C9D" w:rsidRPr="00E76C9D" w:rsidRDefault="00E76C9D" w:rsidP="00396335">
            <w:pPr>
              <w:pStyle w:val="table1"/>
            </w:pPr>
            <w:r w:rsidRPr="00E76C9D">
              <w:t>Ore treated (‘000 tonnes)</w:t>
            </w:r>
          </w:p>
        </w:tc>
        <w:tc>
          <w:tcPr>
            <w:tcW w:w="1344" w:type="dxa"/>
            <w:tcBorders>
              <w:bottom w:val="single" w:sz="6" w:space="0" w:color="999999"/>
            </w:tcBorders>
            <w:shd w:val="clear" w:color="auto" w:fill="auto"/>
            <w:noWrap/>
            <w:tcMar>
              <w:top w:w="13" w:type="dxa"/>
              <w:left w:w="13" w:type="dxa"/>
              <w:bottom w:w="0" w:type="dxa"/>
              <w:right w:w="13" w:type="dxa"/>
            </w:tcMar>
          </w:tcPr>
          <w:p w:rsidR="00E76C9D" w:rsidRPr="00E76C9D" w:rsidRDefault="00E76C9D" w:rsidP="00396335">
            <w:pPr>
              <w:pStyle w:val="table1"/>
            </w:pPr>
            <w:r w:rsidRPr="00E76C9D">
              <w:t>632</w:t>
            </w:r>
          </w:p>
        </w:tc>
        <w:tc>
          <w:tcPr>
            <w:tcW w:w="1345" w:type="dxa"/>
            <w:tcBorders>
              <w:bottom w:val="single" w:sz="6" w:space="0" w:color="999999"/>
            </w:tcBorders>
            <w:shd w:val="clear" w:color="auto" w:fill="auto"/>
            <w:noWrap/>
            <w:tcMar>
              <w:top w:w="13" w:type="dxa"/>
              <w:left w:w="13" w:type="dxa"/>
              <w:bottom w:w="0" w:type="dxa"/>
              <w:right w:w="13" w:type="dxa"/>
            </w:tcMar>
          </w:tcPr>
          <w:p w:rsidR="00E76C9D" w:rsidRPr="00E76C9D" w:rsidRDefault="00E76C9D" w:rsidP="00396335">
            <w:pPr>
              <w:pStyle w:val="table1"/>
            </w:pPr>
            <w:r w:rsidRPr="00E76C9D">
              <w:t>486</w:t>
            </w:r>
          </w:p>
        </w:tc>
        <w:tc>
          <w:tcPr>
            <w:tcW w:w="1344" w:type="dxa"/>
            <w:tcBorders>
              <w:bottom w:val="single" w:sz="6" w:space="0" w:color="999999"/>
            </w:tcBorders>
            <w:shd w:val="clear" w:color="auto" w:fill="auto"/>
            <w:noWrap/>
            <w:tcMar>
              <w:top w:w="13" w:type="dxa"/>
              <w:left w:w="13" w:type="dxa"/>
              <w:bottom w:w="0" w:type="dxa"/>
              <w:right w:w="13" w:type="dxa"/>
            </w:tcMar>
          </w:tcPr>
          <w:p w:rsidR="00E76C9D" w:rsidRPr="00E76C9D" w:rsidRDefault="00E76C9D" w:rsidP="00396335">
            <w:pPr>
              <w:pStyle w:val="table1"/>
            </w:pPr>
            <w:r w:rsidRPr="00E76C9D">
              <w:t>0</w:t>
            </w:r>
          </w:p>
        </w:tc>
        <w:tc>
          <w:tcPr>
            <w:tcW w:w="1345" w:type="dxa"/>
            <w:tcBorders>
              <w:bottom w:val="single" w:sz="6" w:space="0" w:color="999999"/>
            </w:tcBorders>
            <w:shd w:val="clear" w:color="auto" w:fill="auto"/>
            <w:noWrap/>
            <w:tcMar>
              <w:top w:w="13" w:type="dxa"/>
              <w:left w:w="13" w:type="dxa"/>
              <w:bottom w:w="0" w:type="dxa"/>
              <w:right w:w="13" w:type="dxa"/>
            </w:tcMar>
          </w:tcPr>
          <w:p w:rsidR="00E76C9D" w:rsidRPr="00E76C9D" w:rsidRDefault="00E76C9D" w:rsidP="00396335">
            <w:pPr>
              <w:pStyle w:val="table1"/>
            </w:pPr>
            <w:r w:rsidRPr="00E76C9D">
              <w:t>46</w:t>
            </w:r>
          </w:p>
        </w:tc>
      </w:tr>
    </w:tbl>
    <w:p w:rsidR="00E76C9D" w:rsidRPr="009B24C3" w:rsidRDefault="00290FBD" w:rsidP="00E76C9D">
      <w:pPr>
        <w:rPr>
          <w:sz w:val="16"/>
          <w:szCs w:val="16"/>
        </w:rPr>
      </w:pPr>
      <w:r w:rsidRPr="009B24C3">
        <w:rPr>
          <w:sz w:val="16"/>
          <w:szCs w:val="16"/>
        </w:rPr>
        <w:t xml:space="preserve"> </w:t>
      </w:r>
      <w:r w:rsidRPr="009B24C3">
        <w:rPr>
          <w:snapToGrid w:val="0"/>
          <w:color w:val="000000"/>
          <w:position w:val="5"/>
          <w:sz w:val="16"/>
          <w:szCs w:val="16"/>
          <w:u w:color="000000"/>
        </w:rPr>
        <w:t>1</w:t>
      </w:r>
      <w:r w:rsidRPr="009B24C3">
        <w:rPr>
          <w:sz w:val="16"/>
          <w:szCs w:val="16"/>
        </w:rPr>
        <w:t>ERA data</w:t>
      </w:r>
      <w:r w:rsidR="00923A8A">
        <w:rPr>
          <w:sz w:val="16"/>
          <w:szCs w:val="16"/>
        </w:rPr>
        <w:br/>
      </w:r>
    </w:p>
    <w:tbl>
      <w:tblPr>
        <w:tblW w:w="7393" w:type="dxa"/>
        <w:tblLayout w:type="fixed"/>
        <w:tblCellMar>
          <w:left w:w="0" w:type="dxa"/>
          <w:right w:w="0" w:type="dxa"/>
        </w:tblCellMar>
        <w:tblLook w:val="0000"/>
      </w:tblPr>
      <w:tblGrid>
        <w:gridCol w:w="1993"/>
        <w:gridCol w:w="1080"/>
        <w:gridCol w:w="1080"/>
        <w:gridCol w:w="1080"/>
        <w:gridCol w:w="1080"/>
        <w:gridCol w:w="1080"/>
      </w:tblGrid>
      <w:tr w:rsidR="00E76C9D" w:rsidRPr="00E76C9D" w:rsidTr="00E76C9D">
        <w:tc>
          <w:tcPr>
            <w:tcW w:w="7393" w:type="dxa"/>
            <w:gridSpan w:val="6"/>
            <w:shd w:val="clear" w:color="auto" w:fill="D9D9D9"/>
            <w:noWrap/>
            <w:tcMar>
              <w:top w:w="0" w:type="dxa"/>
              <w:left w:w="0" w:type="dxa"/>
              <w:bottom w:w="0" w:type="dxa"/>
              <w:right w:w="0" w:type="dxa"/>
            </w:tcMar>
          </w:tcPr>
          <w:p w:rsidR="00E76C9D" w:rsidRPr="00E76C9D" w:rsidRDefault="00E76C9D" w:rsidP="005C01EE">
            <w:pPr>
              <w:pStyle w:val="tablecaption"/>
            </w:pPr>
            <w:bookmarkStart w:id="187" w:name="_Toc272849716"/>
            <w:r w:rsidRPr="00E76C9D">
              <w:t>Table 3.2  Ranger production activity for 2009</w:t>
            </w:r>
            <w:r>
              <w:t>–</w:t>
            </w:r>
            <w:r w:rsidRPr="00E76C9D">
              <w:t xml:space="preserve">2010 to </w:t>
            </w:r>
            <w:bookmarkEnd w:id="187"/>
            <w:r w:rsidRPr="00E76C9D">
              <w:t>2013</w:t>
            </w:r>
            <w:r>
              <w:t>–</w:t>
            </w:r>
            <w:r w:rsidRPr="00E76C9D">
              <w:t>2014</w:t>
            </w:r>
            <w:r w:rsidR="00290FBD" w:rsidRPr="00290FBD">
              <w:rPr>
                <w:rFonts w:cs="Times New Roman"/>
                <w:snapToGrid w:val="0"/>
                <w:color w:val="000000"/>
                <w:position w:val="4"/>
                <w:sz w:val="12"/>
                <w:szCs w:val="0"/>
                <w:u w:color="000000"/>
              </w:rPr>
              <w:t>1</w:t>
            </w:r>
          </w:p>
        </w:tc>
      </w:tr>
      <w:tr w:rsidR="00E76C9D" w:rsidRPr="00E76C9D" w:rsidTr="00E76C9D">
        <w:tc>
          <w:tcPr>
            <w:tcW w:w="1993" w:type="dxa"/>
            <w:tcBorders>
              <w:bottom w:val="single" w:sz="6" w:space="0" w:color="999999"/>
            </w:tcBorders>
            <w:noWrap/>
            <w:tcMar>
              <w:top w:w="13" w:type="dxa"/>
              <w:left w:w="13" w:type="dxa"/>
              <w:bottom w:w="0" w:type="dxa"/>
              <w:right w:w="13" w:type="dxa"/>
            </w:tcMar>
          </w:tcPr>
          <w:p w:rsidR="00E76C9D" w:rsidRPr="00E76C9D" w:rsidRDefault="00E76C9D" w:rsidP="00E76C9D"/>
        </w:tc>
        <w:tc>
          <w:tcPr>
            <w:tcW w:w="1080" w:type="dxa"/>
            <w:tcBorders>
              <w:bottom w:val="single" w:sz="6" w:space="0" w:color="999999"/>
            </w:tcBorders>
            <w:noWrap/>
            <w:tcMar>
              <w:top w:w="13" w:type="dxa"/>
              <w:left w:w="13" w:type="dxa"/>
              <w:bottom w:w="0" w:type="dxa"/>
              <w:right w:w="13" w:type="dxa"/>
            </w:tcMar>
          </w:tcPr>
          <w:p w:rsidR="00E76C9D" w:rsidRPr="00E76C9D" w:rsidRDefault="00E76C9D" w:rsidP="00396335">
            <w:pPr>
              <w:pStyle w:val="table1"/>
            </w:pPr>
            <w:r w:rsidRPr="00E76C9D">
              <w:t>2009–2010</w:t>
            </w:r>
          </w:p>
        </w:tc>
        <w:tc>
          <w:tcPr>
            <w:tcW w:w="1080" w:type="dxa"/>
            <w:tcBorders>
              <w:bottom w:val="single" w:sz="6" w:space="0" w:color="999999"/>
            </w:tcBorders>
            <w:noWrap/>
            <w:tcMar>
              <w:top w:w="13" w:type="dxa"/>
              <w:left w:w="13" w:type="dxa"/>
              <w:bottom w:w="0" w:type="dxa"/>
              <w:right w:w="13" w:type="dxa"/>
            </w:tcMar>
          </w:tcPr>
          <w:p w:rsidR="00E76C9D" w:rsidRPr="00E76C9D" w:rsidRDefault="00E76C9D" w:rsidP="00396335">
            <w:pPr>
              <w:pStyle w:val="table1"/>
            </w:pPr>
            <w:r w:rsidRPr="00E76C9D">
              <w:t>2010–2011</w:t>
            </w:r>
          </w:p>
        </w:tc>
        <w:tc>
          <w:tcPr>
            <w:tcW w:w="1080" w:type="dxa"/>
            <w:tcBorders>
              <w:bottom w:val="single" w:sz="6" w:space="0" w:color="999999"/>
            </w:tcBorders>
            <w:noWrap/>
            <w:tcMar>
              <w:top w:w="13" w:type="dxa"/>
              <w:left w:w="13" w:type="dxa"/>
              <w:bottom w:w="0" w:type="dxa"/>
              <w:right w:w="13" w:type="dxa"/>
            </w:tcMar>
          </w:tcPr>
          <w:p w:rsidR="00E76C9D" w:rsidRPr="00E76C9D" w:rsidRDefault="00E76C9D" w:rsidP="00396335">
            <w:pPr>
              <w:pStyle w:val="table1"/>
            </w:pPr>
            <w:r w:rsidRPr="00E76C9D">
              <w:t>2011–2012</w:t>
            </w:r>
          </w:p>
        </w:tc>
        <w:tc>
          <w:tcPr>
            <w:tcW w:w="1080" w:type="dxa"/>
            <w:tcBorders>
              <w:bottom w:val="single" w:sz="6" w:space="0" w:color="999999"/>
            </w:tcBorders>
            <w:noWrap/>
            <w:tcMar>
              <w:top w:w="0" w:type="dxa"/>
              <w:left w:w="0" w:type="dxa"/>
              <w:bottom w:w="0" w:type="dxa"/>
              <w:right w:w="0" w:type="dxa"/>
            </w:tcMar>
          </w:tcPr>
          <w:p w:rsidR="00E76C9D" w:rsidRPr="00E76C9D" w:rsidRDefault="00E76C9D" w:rsidP="00396335">
            <w:pPr>
              <w:pStyle w:val="table1"/>
            </w:pPr>
            <w:r>
              <w:t>2012–</w:t>
            </w:r>
            <w:r w:rsidRPr="00E76C9D">
              <w:t>2013</w:t>
            </w:r>
          </w:p>
        </w:tc>
        <w:tc>
          <w:tcPr>
            <w:tcW w:w="1080" w:type="dxa"/>
            <w:tcBorders>
              <w:bottom w:val="single" w:sz="6" w:space="0" w:color="999999"/>
            </w:tcBorders>
          </w:tcPr>
          <w:p w:rsidR="00E76C9D" w:rsidRPr="00E76C9D" w:rsidRDefault="00E76C9D" w:rsidP="00396335">
            <w:pPr>
              <w:pStyle w:val="table1"/>
            </w:pPr>
            <w:r>
              <w:t>2013–</w:t>
            </w:r>
            <w:r w:rsidRPr="00E76C9D">
              <w:t>2014</w:t>
            </w:r>
          </w:p>
        </w:tc>
      </w:tr>
      <w:tr w:rsidR="00E76C9D" w:rsidRPr="00E76C9D" w:rsidTr="00E76C9D">
        <w:tc>
          <w:tcPr>
            <w:tcW w:w="1993" w:type="dxa"/>
            <w:tcBorders>
              <w:top w:val="single" w:sz="6" w:space="0" w:color="999999"/>
            </w:tcBorders>
            <w:noWrap/>
            <w:tcMar>
              <w:top w:w="13" w:type="dxa"/>
              <w:left w:w="13" w:type="dxa"/>
              <w:bottom w:w="0" w:type="dxa"/>
              <w:right w:w="13" w:type="dxa"/>
            </w:tcMar>
          </w:tcPr>
          <w:p w:rsidR="00E76C9D" w:rsidRPr="00E76C9D" w:rsidRDefault="00E76C9D" w:rsidP="00396335">
            <w:pPr>
              <w:pStyle w:val="table1"/>
            </w:pPr>
            <w:r w:rsidRPr="00E76C9D">
              <w:t>Production (drummed tonnes of U</w:t>
            </w:r>
            <w:r w:rsidRPr="00E76C9D">
              <w:rPr>
                <w:vertAlign w:val="subscript"/>
              </w:rPr>
              <w:t>3</w:t>
            </w:r>
            <w:r w:rsidRPr="00E76C9D">
              <w:t>O</w:t>
            </w:r>
            <w:r w:rsidRPr="00E76C9D">
              <w:rPr>
                <w:vertAlign w:val="subscript"/>
              </w:rPr>
              <w:t>8</w:t>
            </w:r>
            <w:r w:rsidRPr="00E76C9D">
              <w:t>)</w:t>
            </w:r>
          </w:p>
        </w:tc>
        <w:tc>
          <w:tcPr>
            <w:tcW w:w="1080" w:type="dxa"/>
            <w:tcBorders>
              <w:top w:val="single" w:sz="6" w:space="0" w:color="999999"/>
            </w:tcBorders>
            <w:noWrap/>
            <w:tcMar>
              <w:top w:w="13" w:type="dxa"/>
              <w:left w:w="13" w:type="dxa"/>
              <w:bottom w:w="0" w:type="dxa"/>
              <w:right w:w="13" w:type="dxa"/>
            </w:tcMar>
          </w:tcPr>
          <w:p w:rsidR="00E76C9D" w:rsidRPr="00E76C9D" w:rsidRDefault="00E76C9D" w:rsidP="00396335">
            <w:pPr>
              <w:pStyle w:val="table1"/>
            </w:pPr>
            <w:r w:rsidRPr="00E76C9D">
              <w:t>4222</w:t>
            </w:r>
          </w:p>
        </w:tc>
        <w:tc>
          <w:tcPr>
            <w:tcW w:w="1080" w:type="dxa"/>
            <w:tcBorders>
              <w:top w:val="single" w:sz="6" w:space="0" w:color="999999"/>
            </w:tcBorders>
            <w:noWrap/>
            <w:tcMar>
              <w:top w:w="13" w:type="dxa"/>
              <w:left w:w="13" w:type="dxa"/>
              <w:bottom w:w="0" w:type="dxa"/>
              <w:right w:w="13" w:type="dxa"/>
            </w:tcMar>
          </w:tcPr>
          <w:p w:rsidR="00E76C9D" w:rsidRPr="00E76C9D" w:rsidRDefault="00E76C9D" w:rsidP="00396335">
            <w:pPr>
              <w:pStyle w:val="table1"/>
            </w:pPr>
            <w:r w:rsidRPr="00E76C9D">
              <w:t>2679</w:t>
            </w:r>
          </w:p>
        </w:tc>
        <w:tc>
          <w:tcPr>
            <w:tcW w:w="1080" w:type="dxa"/>
            <w:tcBorders>
              <w:top w:val="single" w:sz="6" w:space="0" w:color="999999"/>
            </w:tcBorders>
            <w:noWrap/>
            <w:tcMar>
              <w:top w:w="13" w:type="dxa"/>
              <w:left w:w="13" w:type="dxa"/>
              <w:bottom w:w="0" w:type="dxa"/>
              <w:right w:w="13" w:type="dxa"/>
            </w:tcMar>
          </w:tcPr>
          <w:p w:rsidR="00E76C9D" w:rsidRPr="00E76C9D" w:rsidRDefault="00E76C9D" w:rsidP="00396335">
            <w:pPr>
              <w:pStyle w:val="table1"/>
            </w:pPr>
            <w:r w:rsidRPr="00E76C9D">
              <w:t>3282</w:t>
            </w:r>
          </w:p>
        </w:tc>
        <w:tc>
          <w:tcPr>
            <w:tcW w:w="1080" w:type="dxa"/>
            <w:tcBorders>
              <w:top w:val="single" w:sz="6" w:space="0" w:color="999999"/>
            </w:tcBorders>
            <w:noWrap/>
            <w:tcMar>
              <w:top w:w="13" w:type="dxa"/>
              <w:left w:w="13" w:type="dxa"/>
              <w:bottom w:w="0" w:type="dxa"/>
              <w:right w:w="13" w:type="dxa"/>
            </w:tcMar>
          </w:tcPr>
          <w:p w:rsidR="00E76C9D" w:rsidRPr="00E76C9D" w:rsidRDefault="00E76C9D" w:rsidP="00396335">
            <w:pPr>
              <w:pStyle w:val="table1"/>
            </w:pPr>
            <w:r w:rsidRPr="00E76C9D">
              <w:t>4313</w:t>
            </w:r>
          </w:p>
        </w:tc>
        <w:tc>
          <w:tcPr>
            <w:tcW w:w="1080" w:type="dxa"/>
            <w:tcBorders>
              <w:top w:val="single" w:sz="6" w:space="0" w:color="999999"/>
            </w:tcBorders>
            <w:shd w:val="clear" w:color="auto" w:fill="auto"/>
          </w:tcPr>
          <w:p w:rsidR="00E76C9D" w:rsidRPr="00E76C9D" w:rsidRDefault="00E76C9D" w:rsidP="00396335">
            <w:pPr>
              <w:pStyle w:val="table1"/>
            </w:pPr>
            <w:r w:rsidRPr="00E76C9D">
              <w:t>1113</w:t>
            </w:r>
          </w:p>
        </w:tc>
      </w:tr>
      <w:tr w:rsidR="00E76C9D" w:rsidRPr="00E76C9D" w:rsidTr="00E76C9D">
        <w:tc>
          <w:tcPr>
            <w:tcW w:w="1993" w:type="dxa"/>
            <w:tcBorders>
              <w:bottom w:val="single" w:sz="6" w:space="0" w:color="999999"/>
            </w:tcBorders>
            <w:noWrap/>
            <w:tcMar>
              <w:top w:w="13" w:type="dxa"/>
              <w:left w:w="13" w:type="dxa"/>
              <w:bottom w:w="0" w:type="dxa"/>
              <w:right w:w="13" w:type="dxa"/>
            </w:tcMar>
          </w:tcPr>
          <w:p w:rsidR="00E76C9D" w:rsidRPr="00E76C9D" w:rsidRDefault="00E76C9D" w:rsidP="00396335">
            <w:pPr>
              <w:pStyle w:val="table1"/>
            </w:pPr>
            <w:smartTag w:uri="urn:schemas-microsoft-com:office:smarttags" w:element="place">
              <w:smartTag w:uri="urn:schemas-microsoft-com:office:smarttags" w:element="State">
                <w:r w:rsidRPr="00E76C9D">
                  <w:t>Ore</w:t>
                </w:r>
              </w:smartTag>
            </w:smartTag>
            <w:r w:rsidRPr="00E76C9D">
              <w:t xml:space="preserve"> treated (‘000 tonnes)</w:t>
            </w:r>
          </w:p>
        </w:tc>
        <w:tc>
          <w:tcPr>
            <w:tcW w:w="1080" w:type="dxa"/>
            <w:tcBorders>
              <w:bottom w:val="single" w:sz="6" w:space="0" w:color="999999"/>
            </w:tcBorders>
            <w:noWrap/>
            <w:tcMar>
              <w:top w:w="13" w:type="dxa"/>
              <w:left w:w="13" w:type="dxa"/>
              <w:bottom w:w="0" w:type="dxa"/>
              <w:right w:w="13" w:type="dxa"/>
            </w:tcMar>
          </w:tcPr>
          <w:p w:rsidR="00E76C9D" w:rsidRPr="00E76C9D" w:rsidRDefault="00E76C9D" w:rsidP="00396335">
            <w:pPr>
              <w:pStyle w:val="table1"/>
            </w:pPr>
            <w:r w:rsidRPr="00E76C9D">
              <w:t>2283</w:t>
            </w:r>
          </w:p>
        </w:tc>
        <w:tc>
          <w:tcPr>
            <w:tcW w:w="1080" w:type="dxa"/>
            <w:tcBorders>
              <w:bottom w:val="single" w:sz="6" w:space="0" w:color="999999"/>
            </w:tcBorders>
            <w:noWrap/>
            <w:tcMar>
              <w:top w:w="13" w:type="dxa"/>
              <w:left w:w="13" w:type="dxa"/>
              <w:bottom w:w="0" w:type="dxa"/>
              <w:right w:w="13" w:type="dxa"/>
            </w:tcMar>
          </w:tcPr>
          <w:p w:rsidR="00E76C9D" w:rsidRPr="00E76C9D" w:rsidRDefault="00E76C9D" w:rsidP="00396335">
            <w:pPr>
              <w:pStyle w:val="table1"/>
            </w:pPr>
            <w:r w:rsidRPr="00E76C9D">
              <w:t>1305</w:t>
            </w:r>
          </w:p>
        </w:tc>
        <w:tc>
          <w:tcPr>
            <w:tcW w:w="1080" w:type="dxa"/>
            <w:tcBorders>
              <w:bottom w:val="single" w:sz="6" w:space="0" w:color="999999"/>
            </w:tcBorders>
            <w:noWrap/>
            <w:tcMar>
              <w:top w:w="13" w:type="dxa"/>
              <w:left w:w="13" w:type="dxa"/>
              <w:bottom w:w="0" w:type="dxa"/>
              <w:right w:w="13" w:type="dxa"/>
            </w:tcMar>
          </w:tcPr>
          <w:p w:rsidR="00E76C9D" w:rsidRPr="00E76C9D" w:rsidRDefault="00E76C9D" w:rsidP="00396335">
            <w:pPr>
              <w:pStyle w:val="table1"/>
            </w:pPr>
            <w:r w:rsidRPr="00E76C9D">
              <w:t>2404</w:t>
            </w:r>
          </w:p>
        </w:tc>
        <w:tc>
          <w:tcPr>
            <w:tcW w:w="1080" w:type="dxa"/>
            <w:tcBorders>
              <w:bottom w:val="single" w:sz="6" w:space="0" w:color="999999"/>
            </w:tcBorders>
            <w:noWrap/>
            <w:tcMar>
              <w:top w:w="13" w:type="dxa"/>
              <w:left w:w="13" w:type="dxa"/>
              <w:bottom w:w="0" w:type="dxa"/>
              <w:right w:w="13" w:type="dxa"/>
            </w:tcMar>
          </w:tcPr>
          <w:p w:rsidR="00E76C9D" w:rsidRPr="00E76C9D" w:rsidRDefault="00E76C9D" w:rsidP="00396335">
            <w:pPr>
              <w:pStyle w:val="table1"/>
            </w:pPr>
            <w:r w:rsidRPr="00E76C9D">
              <w:t>2487</w:t>
            </w:r>
          </w:p>
        </w:tc>
        <w:tc>
          <w:tcPr>
            <w:tcW w:w="1080" w:type="dxa"/>
            <w:tcBorders>
              <w:bottom w:val="single" w:sz="6" w:space="0" w:color="999999"/>
            </w:tcBorders>
            <w:shd w:val="clear" w:color="auto" w:fill="auto"/>
          </w:tcPr>
          <w:p w:rsidR="00E76C9D" w:rsidRPr="00E76C9D" w:rsidRDefault="00E76C9D" w:rsidP="00396335">
            <w:pPr>
              <w:pStyle w:val="table1"/>
            </w:pPr>
            <w:r w:rsidRPr="00E76C9D">
              <w:t>1164</w:t>
            </w:r>
          </w:p>
        </w:tc>
      </w:tr>
    </w:tbl>
    <w:p w:rsidR="00290FBD" w:rsidRPr="009B24C3" w:rsidRDefault="00290FBD" w:rsidP="00116315">
      <w:pPr>
        <w:pStyle w:val="Heading4"/>
        <w:rPr>
          <w:b w:val="0"/>
          <w:sz w:val="16"/>
          <w:szCs w:val="16"/>
        </w:rPr>
      </w:pPr>
      <w:bookmarkStart w:id="188" w:name="_Toc107109474"/>
      <w:r w:rsidRPr="009B24C3">
        <w:rPr>
          <w:b w:val="0"/>
          <w:snapToGrid w:val="0"/>
          <w:color w:val="000000"/>
          <w:position w:val="5"/>
          <w:sz w:val="16"/>
          <w:szCs w:val="16"/>
          <w:u w:color="000000"/>
        </w:rPr>
        <w:t>1</w:t>
      </w:r>
      <w:r w:rsidRPr="009B24C3">
        <w:rPr>
          <w:b w:val="0"/>
          <w:sz w:val="16"/>
          <w:szCs w:val="16"/>
        </w:rPr>
        <w:t>ERA data</w:t>
      </w:r>
    </w:p>
    <w:p w:rsidR="00AF7597" w:rsidRPr="006A01E9" w:rsidRDefault="007775E8" w:rsidP="00116315">
      <w:pPr>
        <w:pStyle w:val="Heading4"/>
      </w:pPr>
      <w:r>
        <w:t>3</w:t>
      </w:r>
      <w:r w:rsidR="00AF7597" w:rsidRPr="006A01E9">
        <w:t>.2.1.1</w:t>
      </w:r>
      <w:r w:rsidR="00AF7597" w:rsidRPr="006A01E9">
        <w:tab/>
        <w:t>On-site activities</w:t>
      </w:r>
      <w:bookmarkEnd w:id="188"/>
    </w:p>
    <w:p w:rsidR="00A974BF" w:rsidRPr="00A974BF" w:rsidRDefault="00A974BF" w:rsidP="000E5FF1">
      <w:pPr>
        <w:pStyle w:val="Heading5"/>
      </w:pPr>
      <w:bookmarkStart w:id="189" w:name="_Toc272771439"/>
      <w:r w:rsidRPr="00A974BF">
        <w:t>Ranger 3 Deeps Underground Mine</w:t>
      </w:r>
    </w:p>
    <w:p w:rsidR="00BF4D4D" w:rsidRPr="00A974BF" w:rsidRDefault="00BF4D4D" w:rsidP="00BF4D4D">
      <w:r>
        <w:t>On 16 January 2013</w:t>
      </w:r>
      <w:r w:rsidR="003B1FD1">
        <w:t>,</w:t>
      </w:r>
      <w:r>
        <w:t xml:space="preserve"> ERA</w:t>
      </w:r>
      <w:r w:rsidRPr="00A974BF">
        <w:t xml:space="preserve"> submitted a referral under the Environment Protection and Biodiversity Conservation Act (EPBC Act) for the development </w:t>
      </w:r>
      <w:r w:rsidR="00112258">
        <w:t xml:space="preserve">of </w:t>
      </w:r>
      <w:r w:rsidRPr="00A974BF">
        <w:t xml:space="preserve">the Ranger 3 Deeps underground mine to be constructed on the site of the existing Ranger uranium mine. On 13 March 2013, the Minister determined that the proposal would be assessed at the EIS level with final guidelines for the EIS issued on 2 August 2013. </w:t>
      </w:r>
    </w:p>
    <w:p w:rsidR="00BF4D4D" w:rsidRPr="00A974BF" w:rsidRDefault="00BF4D4D" w:rsidP="00BF4D4D">
      <w:r w:rsidRPr="00A974BF">
        <w:t>ERA has advised that they expect to lodge the EIS in the third quarter of 2014.</w:t>
      </w:r>
    </w:p>
    <w:p w:rsidR="00A974BF" w:rsidRPr="00A974BF" w:rsidRDefault="00A974BF" w:rsidP="000E5FF1">
      <w:pPr>
        <w:pStyle w:val="Heading5"/>
      </w:pPr>
      <w:r w:rsidRPr="00A974BF">
        <w:t>Ranger Exploration Decline Project</w:t>
      </w:r>
    </w:p>
    <w:p w:rsidR="00BF4D4D" w:rsidRPr="00A974BF" w:rsidRDefault="00BF4D4D" w:rsidP="00BF4D4D">
      <w:r w:rsidRPr="00A974BF">
        <w:t>In April 2009</w:t>
      </w:r>
      <w:r w:rsidR="003B1FD1">
        <w:t>,</w:t>
      </w:r>
      <w:r w:rsidRPr="00A974BF">
        <w:t xml:space="preserve"> ERA submitted an application for the proposed construction of an exploration decline to provide exploration access to mineralisation in the Ranger 3 </w:t>
      </w:r>
      <w:r w:rsidR="00112258">
        <w:t>D</w:t>
      </w:r>
      <w:r w:rsidRPr="00A974BF">
        <w:t>eeps area. The application was approved by the NT Resources Minister in early September 2011, with construction of the exploration decline commencing on 1 May</w:t>
      </w:r>
      <w:r>
        <w:t xml:space="preserve"> </w:t>
      </w:r>
      <w:r w:rsidRPr="00A974BF">
        <w:t>2012. Mineralised material intersected in the development of the decline is not processed and is stockpiled separately. As of 30 June 2014 approximat</w:t>
      </w:r>
      <w:r w:rsidR="003B1FD1">
        <w:t>ely 1 600 tonnes of material had</w:t>
      </w:r>
      <w:r w:rsidRPr="00A974BF">
        <w:t xml:space="preserve"> been stockpiled as potentially mineralised material. The vertic</w:t>
      </w:r>
      <w:r w:rsidR="009B5A58">
        <w:t>al distance below the surface was</w:t>
      </w:r>
      <w:r w:rsidRPr="00A974BF">
        <w:t xml:space="preserve"> 340 metres and the </w:t>
      </w:r>
      <w:r w:rsidR="003B1FD1">
        <w:t xml:space="preserve">current length of the decline </w:t>
      </w:r>
      <w:r w:rsidR="00112258">
        <w:t>i</w:t>
      </w:r>
      <w:r w:rsidR="003B1FD1">
        <w:t>s</w:t>
      </w:r>
      <w:r w:rsidRPr="00A974BF">
        <w:t xml:space="preserve"> 2 216 metres from the decline portal, with a total of 153 000 tonnes of material removed.</w:t>
      </w:r>
    </w:p>
    <w:p w:rsidR="00A974BF" w:rsidRPr="00A974BF" w:rsidRDefault="00A974BF" w:rsidP="000E5FF1">
      <w:pPr>
        <w:pStyle w:val="Heading5"/>
      </w:pPr>
      <w:r w:rsidRPr="00A974BF">
        <w:t>Ranger Exploration Decline Phase 2</w:t>
      </w:r>
    </w:p>
    <w:p w:rsidR="009B5A58" w:rsidRPr="00A974BF" w:rsidRDefault="009B5A58" w:rsidP="009B5A58">
      <w:r w:rsidRPr="00A974BF">
        <w:t>An application to c</w:t>
      </w:r>
      <w:r>
        <w:t>onstruct a second phase of the exploration d</w:t>
      </w:r>
      <w:r w:rsidRPr="00A974BF">
        <w:t>ecline was approved on 4 June 2013. Phase 2 included a single vent raise, an extension of the decline by approximately 1 000 m and a cross cut through the ore body to obtain a 10 000 tonne bulk sample for metallurgical test work. On 5 December 2013</w:t>
      </w:r>
      <w:r>
        <w:t>,</w:t>
      </w:r>
      <w:r w:rsidRPr="00A974BF">
        <w:t xml:space="preserve"> DME approved an application for modification of the vent shaft raise following consideration by the Ranger MTC. Following an ERA presentation and consideration by the MTC in February 2014, approval was given by DME on 14 March 2014 for a further realignment of Phase 2 to avoid additional unstable ground. </w:t>
      </w:r>
    </w:p>
    <w:p w:rsidR="00BF4D4D" w:rsidRPr="00A974BF" w:rsidRDefault="009B5A58" w:rsidP="00BF4D4D">
      <w:r>
        <w:t>ERA has</w:t>
      </w:r>
      <w:r w:rsidR="00BF4D4D" w:rsidRPr="00A974BF">
        <w:t xml:space="preserve"> stated that the ore obtained from the bulk sample will not b</w:t>
      </w:r>
      <w:r w:rsidR="00BF4D4D">
        <w:t>e processed through the Ranger m</w:t>
      </w:r>
      <w:r w:rsidR="00BF4D4D" w:rsidRPr="00A974BF">
        <w:t xml:space="preserve">ill and will be set aside for return to the decline should the Ranger 3 Deeps underground mine not progress. </w:t>
      </w:r>
    </w:p>
    <w:p w:rsidR="00A974BF" w:rsidRPr="00A974BF" w:rsidRDefault="00A974BF" w:rsidP="000E5FF1">
      <w:pPr>
        <w:pStyle w:val="Heading5"/>
      </w:pPr>
      <w:r w:rsidRPr="00A974BF">
        <w:t xml:space="preserve">Brine </w:t>
      </w:r>
      <w:r w:rsidR="00BD6D1D">
        <w:t>c</w:t>
      </w:r>
      <w:r w:rsidRPr="00A974BF">
        <w:t>oncentrator</w:t>
      </w:r>
    </w:p>
    <w:p w:rsidR="00BF4D4D" w:rsidRPr="00A974BF" w:rsidRDefault="00BF4D4D" w:rsidP="00BF4D4D">
      <w:r w:rsidRPr="00A974BF">
        <w:t xml:space="preserve">As part of the strategy to manage and reduce the process water inventory on site, ERA has constructed a brine concentrator on site to treat process water. The brine concentrator is located at the site of the now-demolished acid plant adjacent to the power station. The brine concentrator was commissioned in September 2013 and has the capacity to treat 1.83 GL of process water per year. SSD </w:t>
      </w:r>
      <w:r w:rsidR="008B5EE4">
        <w:t>initially undertook</w:t>
      </w:r>
      <w:r w:rsidRPr="00A974BF">
        <w:t xml:space="preserve"> a range of ecotoxicological tests on distillate produced from a brine concentrator pilot plant campaign that was run at Rio Tinto’s research centre in Melbourne using process water transported by tanker from the mine. These tests indicated the distillate was of a very high quality, but potentially lacking in trace elements.</w:t>
      </w:r>
    </w:p>
    <w:p w:rsidR="00BF4D4D" w:rsidRPr="00A974BF" w:rsidRDefault="00BF4D4D" w:rsidP="00BF4D4D">
      <w:r w:rsidRPr="00A974BF">
        <w:t>These results were confirmed by SSD with further toxicity testing completed using water from the full-scale plant. This testing showed ammonia as the only toxicant of environmental significance in the distillate.</w:t>
      </w:r>
    </w:p>
    <w:p w:rsidR="00BF4D4D" w:rsidRPr="00A974BF" w:rsidRDefault="00BF4D4D" w:rsidP="00BF4D4D">
      <w:r w:rsidRPr="00A974BF">
        <w:t xml:space="preserve">On 29 August 2013, ERA submitted an application to dispose of distillate produced from the brine concentrator to the Ranger Mine pond water system and Corridor Creek wetland filter during the 2013 dry season. SSD provided water quality criteria to DME for the release of brine concentrator distillate to the pond water system on 13 September 2013 and to the Corridor Creek Wetland Filter on 27 September 2013. </w:t>
      </w:r>
    </w:p>
    <w:p w:rsidR="009B5A58" w:rsidRPr="00A974BF" w:rsidRDefault="009B5A58" w:rsidP="009B5A58">
      <w:r w:rsidRPr="00A974BF">
        <w:t>On 6 December 2013</w:t>
      </w:r>
      <w:r>
        <w:t>,</w:t>
      </w:r>
      <w:r w:rsidRPr="00A974BF">
        <w:t xml:space="preserve"> ERA submitted an application for an ongoing brine concentrator distillate disposal strategy. This application proposed dry season irrigation and wet season discharge </w:t>
      </w:r>
      <w:r>
        <w:t xml:space="preserve">to the managed release system. </w:t>
      </w:r>
      <w:r w:rsidRPr="00A974BF">
        <w:t>On 24 January 2014</w:t>
      </w:r>
      <w:r>
        <w:t>,</w:t>
      </w:r>
      <w:r w:rsidRPr="00A974BF">
        <w:t xml:space="preserve"> SSD provided to DME, and other stakeholders, the conditions of approval for the release of brine concentrator distillate.</w:t>
      </w:r>
    </w:p>
    <w:p w:rsidR="009B5A58" w:rsidRPr="002742E4" w:rsidRDefault="009B5A58" w:rsidP="009B5A58">
      <w:r w:rsidRPr="002742E4">
        <w:t>Since commissioning in September 2013</w:t>
      </w:r>
      <w:r>
        <w:t>,</w:t>
      </w:r>
      <w:r w:rsidRPr="002742E4">
        <w:t xml:space="preserve"> a total of 470 ML of distillate has been produced over 181 operational days, of which 386 ML of distillate has been produced over 152 operational days since January 2014. </w:t>
      </w:r>
    </w:p>
    <w:p w:rsidR="00A974BF" w:rsidRPr="00A974BF" w:rsidRDefault="00BD6D1D" w:rsidP="000E5FF1">
      <w:pPr>
        <w:pStyle w:val="Heading5"/>
      </w:pPr>
      <w:r>
        <w:t>Pit 3 b</w:t>
      </w:r>
      <w:r w:rsidR="00A974BF" w:rsidRPr="00A974BF">
        <w:t>ackfill</w:t>
      </w:r>
    </w:p>
    <w:p w:rsidR="000E2DC4" w:rsidRPr="002742E4" w:rsidRDefault="000E2DC4" w:rsidP="000E2DC4">
      <w:r w:rsidRPr="002742E4">
        <w:t>Mining in Pit 3 was completed in November 2012 with backfill of the pit from the Western Stockpile commencing shortly thereafter. As of 30 June 2014</w:t>
      </w:r>
      <w:r>
        <w:t>,</w:t>
      </w:r>
      <w:r w:rsidRPr="002742E4">
        <w:t xml:space="preserve"> approximately 31.16 </w:t>
      </w:r>
      <w:r w:rsidR="0060682E">
        <w:t>M</w:t>
      </w:r>
      <w:r w:rsidRPr="002742E4">
        <w:t xml:space="preserve"> tonnes of waste rock required to form a level base for tailings deposition had been returned to the pit. </w:t>
      </w:r>
    </w:p>
    <w:p w:rsidR="00A974BF" w:rsidRPr="00A974BF" w:rsidRDefault="00A974BF" w:rsidP="000E5FF1">
      <w:pPr>
        <w:pStyle w:val="Heading5"/>
      </w:pPr>
      <w:r w:rsidRPr="00A974BF">
        <w:t xml:space="preserve">Pit 1 </w:t>
      </w:r>
      <w:r w:rsidR="00BD6D1D">
        <w:t>p</w:t>
      </w:r>
      <w:r w:rsidRPr="00A974BF">
        <w:t>reload</w:t>
      </w:r>
    </w:p>
    <w:p w:rsidR="000E2DC4" w:rsidRPr="000E5FF1" w:rsidRDefault="000E2DC4" w:rsidP="000E2DC4">
      <w:bookmarkStart w:id="190" w:name="_Toc363824148"/>
      <w:bookmarkStart w:id="191" w:name="_Toc365635507"/>
      <w:r w:rsidRPr="000E5FF1">
        <w:t xml:space="preserve">ERA applied to the Ranger MTC in May 2013 to place a 2.5 m thick layer of rock over the tailings within Pit 1. This application was approved by DME on 13 August 2013. This loading is intended to activate the 7 499 wicks installed in 2012 and accelerate the dewatering of the tailings. Approximately 70% of the tailings surface was covered with the initial layer of rock prior to the 2013–14 wet </w:t>
      </w:r>
      <w:proofErr w:type="gramStart"/>
      <w:r w:rsidRPr="000E5FF1">
        <w:t>season</w:t>
      </w:r>
      <w:proofErr w:type="gramEnd"/>
      <w:r w:rsidRPr="000E5FF1">
        <w:t>. Due to some of the remaining tailings surface still being waterlogged</w:t>
      </w:r>
      <w:r>
        <w:t>,</w:t>
      </w:r>
      <w:r w:rsidRPr="000E5FF1">
        <w:t xml:space="preserve"> the remainder of pre-load was not completed before the wet season and is planned for completion over the 2014 dry season. The information gained from this project will provide valuable data for the validation of tailings consolidation and seepage modelling.</w:t>
      </w:r>
    </w:p>
    <w:p w:rsidR="00AF7597" w:rsidRPr="006A01E9" w:rsidRDefault="007775E8" w:rsidP="00116315">
      <w:pPr>
        <w:pStyle w:val="Heading3"/>
      </w:pPr>
      <w:r>
        <w:t>3</w:t>
      </w:r>
      <w:r w:rsidR="00AF7597" w:rsidRPr="006A01E9">
        <w:t>.2.2</w:t>
      </w:r>
      <w:r w:rsidR="00AF7597" w:rsidRPr="006A01E9">
        <w:tab/>
      </w:r>
      <w:r w:rsidR="00D54978">
        <w:tab/>
      </w:r>
      <w:r w:rsidR="00AF7597" w:rsidRPr="006A01E9">
        <w:t>On</w:t>
      </w:r>
      <w:r>
        <w:t>-</w:t>
      </w:r>
      <w:r w:rsidR="00AF7597" w:rsidRPr="006A01E9">
        <w:t>site environmental management</w:t>
      </w:r>
      <w:bookmarkEnd w:id="189"/>
      <w:bookmarkEnd w:id="190"/>
      <w:bookmarkEnd w:id="191"/>
    </w:p>
    <w:p w:rsidR="00AF7597" w:rsidRDefault="007775E8" w:rsidP="00116315">
      <w:pPr>
        <w:pStyle w:val="Heading4"/>
      </w:pPr>
      <w:bookmarkStart w:id="192" w:name="_Toc107109476"/>
      <w:r>
        <w:t>3</w:t>
      </w:r>
      <w:r w:rsidR="00AF7597" w:rsidRPr="006A01E9">
        <w:t>.2.2.1</w:t>
      </w:r>
      <w:r w:rsidR="00AF7597" w:rsidRPr="006A01E9">
        <w:tab/>
        <w:t>Water management</w:t>
      </w:r>
      <w:bookmarkEnd w:id="192"/>
    </w:p>
    <w:p w:rsidR="000E2DC4" w:rsidRPr="000E5FF1" w:rsidRDefault="000E2DC4" w:rsidP="000E2DC4">
      <w:r w:rsidRPr="000E5FF1">
        <w:t xml:space="preserve">All water on site is managed in accordance with the Water Management Plan which is updated annually and subject to assessment by the MTC before approval. </w:t>
      </w:r>
      <w:proofErr w:type="gramStart"/>
      <w:r w:rsidRPr="000E5FF1">
        <w:t>The 2013–14 Water Management Plan</w:t>
      </w:r>
      <w:proofErr w:type="gramEnd"/>
      <w:r w:rsidRPr="000E5FF1">
        <w:t xml:space="preserve"> was submitted for approval by ERA on 11 October 2013. SSD endorsed the plan on 23 December 2013</w:t>
      </w:r>
      <w:r>
        <w:t>,</w:t>
      </w:r>
      <w:r w:rsidRPr="000E5FF1">
        <w:t xml:space="preserve"> and the document was formally approved by DME on 24 December 2013. The plan describes the systems for routine and contingency management of the three categories of water on site: process, pond and release water.</w:t>
      </w:r>
    </w:p>
    <w:p w:rsidR="000E2DC4" w:rsidRPr="000E5FF1" w:rsidRDefault="000E2DC4" w:rsidP="000E2DC4">
      <w:r w:rsidRPr="000E5FF1">
        <w:t xml:space="preserve">As shown in Figure 3.1, the 2013–14 wet season was an above average rainfall year with a total of 1 963 mm recorded at Jabiru Airport to 30 June 2014 (annual average 1 550 mm). Water </w:t>
      </w:r>
      <w:proofErr w:type="gramStart"/>
      <w:r w:rsidRPr="000E5FF1">
        <w:t>management, especially that</w:t>
      </w:r>
      <w:proofErr w:type="gramEnd"/>
      <w:r w:rsidRPr="000E5FF1">
        <w:t xml:space="preserve"> of process water, remains a critical issue at Ranger.</w:t>
      </w:r>
    </w:p>
    <w:p w:rsidR="000E5FF1" w:rsidRPr="000E5FF1" w:rsidRDefault="000E5FF1" w:rsidP="000E5FF1">
      <w:pPr>
        <w:spacing w:after="120" w:line="260" w:lineRule="atLeast"/>
        <w:jc w:val="center"/>
      </w:pPr>
      <w:r w:rsidRPr="000E5FF1">
        <w:rPr>
          <w:noProof/>
          <w:lang w:eastAsia="en-AU"/>
        </w:rPr>
        <w:drawing>
          <wp:inline distT="0" distB="0" distL="0" distR="0">
            <wp:extent cx="4727575" cy="2739728"/>
            <wp:effectExtent l="19050" t="0" r="0" b="0"/>
            <wp:docPr id="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3" cstate="screen"/>
                    <a:srcRect/>
                    <a:stretch>
                      <a:fillRect/>
                    </a:stretch>
                  </pic:blipFill>
                  <pic:spPr bwMode="auto">
                    <a:xfrm>
                      <a:off x="0" y="0"/>
                      <a:ext cx="4727575" cy="2739728"/>
                    </a:xfrm>
                    <a:prstGeom prst="rect">
                      <a:avLst/>
                    </a:prstGeom>
                    <a:noFill/>
                    <a:ln w="9525">
                      <a:noFill/>
                      <a:miter lim="800000"/>
                      <a:headEnd/>
                      <a:tailEnd/>
                    </a:ln>
                  </pic:spPr>
                </pic:pic>
              </a:graphicData>
            </a:graphic>
          </wp:inline>
        </w:drawing>
      </w:r>
    </w:p>
    <w:p w:rsidR="000E5FF1" w:rsidRPr="000E5FF1" w:rsidRDefault="000E5FF1" w:rsidP="000E5FF1">
      <w:pPr>
        <w:spacing w:after="240" w:line="220" w:lineRule="atLeast"/>
        <w:jc w:val="center"/>
        <w:rPr>
          <w:rFonts w:ascii="Arial" w:hAnsi="Arial"/>
          <w:bCs/>
          <w:noProof/>
          <w:sz w:val="16"/>
          <w:lang w:val="en-US"/>
        </w:rPr>
      </w:pPr>
      <w:bookmarkStart w:id="193" w:name="_Toc272855294"/>
      <w:r w:rsidRPr="000E5FF1">
        <w:rPr>
          <w:rFonts w:ascii="Arial" w:hAnsi="Arial"/>
          <w:b/>
          <w:bCs/>
          <w:noProof/>
          <w:sz w:val="16"/>
          <w:lang w:val="en-US"/>
        </w:rPr>
        <w:t>Figure 3.1</w:t>
      </w:r>
      <w:r w:rsidRPr="000E5FF1">
        <w:rPr>
          <w:rFonts w:ascii="Arial" w:hAnsi="Arial"/>
          <w:bCs/>
          <w:noProof/>
          <w:sz w:val="16"/>
          <w:lang w:val="en-US"/>
        </w:rPr>
        <w:t xml:space="preserve">  Annual rainfall Jabiru Airport 1971–72 to 2013–14 (data from Bureau of Meteorology)</w:t>
      </w:r>
      <w:bookmarkEnd w:id="193"/>
      <w:r w:rsidR="00630309">
        <w:rPr>
          <w:rFonts w:ascii="Arial" w:hAnsi="Arial"/>
          <w:bCs/>
          <w:noProof/>
          <w:sz w:val="16"/>
          <w:lang w:val="en-US"/>
        </w:rPr>
        <w:t>.</w:t>
      </w:r>
    </w:p>
    <w:p w:rsidR="00F05BAF" w:rsidRPr="00F05BAF" w:rsidRDefault="00F05BAF" w:rsidP="000E5FF1">
      <w:pPr>
        <w:pStyle w:val="Heading5"/>
      </w:pPr>
      <w:r w:rsidRPr="00F05BAF">
        <w:t>Process water system</w:t>
      </w:r>
    </w:p>
    <w:p w:rsidR="003A457F" w:rsidRDefault="003A457F" w:rsidP="003A457F">
      <w:r>
        <w:t xml:space="preserve">Under the Commonwealth Environmental Requirements, water that is in direct contact with uranium ore during processing (process water) must be maintained within a closed system. It may only be released by evaporation or after treatment in a manner and to a quality approved by the Supervising Scientist. Process water is currently stored in the TSF and in Pit 1. On 30 June 2014, the process water inventory was 10 419 ML, which was stored in the TSF. This represents an increase of 1 507 ML over the previous year’s total of 8 912 ML due in a large part to the above average </w:t>
      </w:r>
      <w:r w:rsidR="009C487C">
        <w:t xml:space="preserve">rainfall in the </w:t>
      </w:r>
      <w:r>
        <w:t xml:space="preserve">2013–14 wet season. Pit 1 is </w:t>
      </w:r>
      <w:r w:rsidR="009C487C">
        <w:t xml:space="preserve">almost </w:t>
      </w:r>
      <w:r>
        <w:t xml:space="preserve">dry with only a small (immeasurable) volume remaining. </w:t>
      </w:r>
    </w:p>
    <w:p w:rsidR="000E2DC4" w:rsidRPr="000E5FF1" w:rsidRDefault="000E2DC4" w:rsidP="000E2DC4">
      <w:r w:rsidRPr="000E5FF1">
        <w:t xml:space="preserve">There was a release of process water to </w:t>
      </w:r>
      <w:r w:rsidR="009C487C">
        <w:t>R</w:t>
      </w:r>
      <w:r w:rsidR="00290FBD">
        <w:t xml:space="preserve">etention </w:t>
      </w:r>
      <w:r w:rsidR="009C487C">
        <w:t>P</w:t>
      </w:r>
      <w:r w:rsidR="00290FBD">
        <w:t xml:space="preserve">ond 2 (RP2), which is part of the pond water </w:t>
      </w:r>
      <w:r w:rsidR="005661BE">
        <w:t>system</w:t>
      </w:r>
      <w:r w:rsidR="00290FBD">
        <w:t>, d</w:t>
      </w:r>
      <w:r w:rsidRPr="000E5FF1">
        <w:t>uring the reporting period. At 00:54 on 7 December 2013</w:t>
      </w:r>
      <w:r>
        <w:t>,</w:t>
      </w:r>
      <w:r w:rsidRPr="000E5FF1">
        <w:t xml:space="preserve"> Leach Tank No. 1 at the Energy Resources of Australia Ltd Ranger uranium mine collapsed, spilling approximately 1 400 m</w:t>
      </w:r>
      <w:r w:rsidRPr="00BC36A5">
        <w:rPr>
          <w:vertAlign w:val="superscript"/>
        </w:rPr>
        <w:t>3</w:t>
      </w:r>
      <w:r w:rsidRPr="000E5FF1">
        <w:t xml:space="preserve"> of slurry containing ground uranium ore, water and sulphuric acid into the processing area. (</w:t>
      </w:r>
      <w:proofErr w:type="gramStart"/>
      <w:r w:rsidRPr="000E5FF1">
        <w:t>section</w:t>
      </w:r>
      <w:proofErr w:type="gramEnd"/>
      <w:r w:rsidRPr="000E5FF1">
        <w:t xml:space="preserve"> 3.2.2.6). </w:t>
      </w:r>
    </w:p>
    <w:p w:rsidR="000E2DC4" w:rsidRPr="000E5FF1" w:rsidRDefault="000E2DC4" w:rsidP="000E2DC4">
      <w:r w:rsidRPr="000E5FF1">
        <w:t>During 2012–13</w:t>
      </w:r>
      <w:r>
        <w:t>,</w:t>
      </w:r>
      <w:r w:rsidRPr="000E5FF1">
        <w:t xml:space="preserve"> ERA constructed a brine concentrator</w:t>
      </w:r>
      <w:r>
        <w:t xml:space="preserve"> to treat process water</w:t>
      </w:r>
      <w:r w:rsidRPr="000E5FF1">
        <w:t xml:space="preserve">, which was commissioned in September 2013 (section 3.2.1). </w:t>
      </w:r>
    </w:p>
    <w:p w:rsidR="00F05BAF" w:rsidRPr="00F05BAF" w:rsidRDefault="00F05BAF" w:rsidP="000E5FF1">
      <w:pPr>
        <w:pStyle w:val="Heading5"/>
      </w:pPr>
      <w:r w:rsidRPr="00F05BAF">
        <w:t>Pond water system</w:t>
      </w:r>
    </w:p>
    <w:p w:rsidR="00BF4D4D" w:rsidRPr="000E5FF1" w:rsidRDefault="00BF4D4D" w:rsidP="00BF4D4D">
      <w:r w:rsidRPr="000E5FF1">
        <w:t>The pond water system contains water that has been in contact with stockpiled mineralised material and operational areas of the site other than those contained within the process water system. Water is managed within this system by quality. The pond water system consists primarily of Retention Pond 6 (RP6), RP2, Retention Pond 3 (RP3) and Pit 3. ERA has previously committed that pond water will not be released without prior treatment through wetland filtration or the on</w:t>
      </w:r>
      <w:r w:rsidR="000A218C">
        <w:t>-</w:t>
      </w:r>
      <w:r w:rsidRPr="000E5FF1">
        <w:t>site microfiltration/reverse osmosis treatment plants. At t</w:t>
      </w:r>
      <w:r w:rsidR="007375AD">
        <w:t xml:space="preserve">he end of the reporting period </w:t>
      </w:r>
      <w:r w:rsidRPr="000E5FF1">
        <w:t>2 431 ML was contained within the pond water system, representing an increase in the volume stored compared to the same time last year</w:t>
      </w:r>
      <w:r w:rsidR="009C487C">
        <w:t>, which was</w:t>
      </w:r>
      <w:r w:rsidRPr="000E5FF1">
        <w:t xml:space="preserve"> (1 718 ML). The increased pond water inventory is primarily due to the </w:t>
      </w:r>
      <w:r w:rsidR="009C487C">
        <w:t>wetter</w:t>
      </w:r>
      <w:r w:rsidR="009C487C" w:rsidRPr="000E5FF1">
        <w:t xml:space="preserve"> </w:t>
      </w:r>
      <w:r w:rsidRPr="000E5FF1">
        <w:t>than average wet season during 2013–14. Also</w:t>
      </w:r>
      <w:r w:rsidR="000E2DC4">
        <w:t>,</w:t>
      </w:r>
      <w:r w:rsidRPr="000E5FF1">
        <w:t xml:space="preserve"> some residual water was still retained in Pit 3 as pumping access is not easily attained during backfill operations.</w:t>
      </w:r>
    </w:p>
    <w:p w:rsidR="00BF4D4D" w:rsidRPr="000E5FF1" w:rsidRDefault="00BF4D4D" w:rsidP="00BF4D4D">
      <w:r w:rsidRPr="000E5FF1">
        <w:t>The first 200 mm of incident rainfall on sheeted stockpiles continues to be diverte</w:t>
      </w:r>
      <w:r>
        <w:t>d into the pond water system ea</w:t>
      </w:r>
      <w:r w:rsidRPr="000E5FF1">
        <w:t>ch year. This initial runoff generally contains higher levels of mine-derived solutes due to the leaching of solutes from rock that occurs in the early stages of the wet season. The runoff after the first 200 mm of rain is directed into the wetland filter system prior to discharge to the environment.</w:t>
      </w:r>
    </w:p>
    <w:p w:rsidR="00F05BAF" w:rsidRPr="00F05BAF" w:rsidRDefault="00F05BAF" w:rsidP="000E5FF1">
      <w:pPr>
        <w:pStyle w:val="Heading5"/>
      </w:pPr>
      <w:r w:rsidRPr="00F05BAF">
        <w:t>Methods of disposal of pond water</w:t>
      </w:r>
    </w:p>
    <w:p w:rsidR="006712D4" w:rsidRPr="006712D4" w:rsidRDefault="006712D4" w:rsidP="004D5B9B">
      <w:pPr>
        <w:pStyle w:val="Heading6"/>
      </w:pPr>
      <w:r w:rsidRPr="006712D4">
        <w:t>Passive release water</w:t>
      </w:r>
    </w:p>
    <w:p w:rsidR="00EA5AC1" w:rsidRPr="006712D4" w:rsidRDefault="00EA5AC1" w:rsidP="00EA5AC1">
      <w:r w:rsidRPr="006712D4">
        <w:t xml:space="preserve">Rainfall runoff discharges from the Ranger site during the wet season primarily via Corridor Creek and Coonjimba Creek with lesser amounts via Gulungul Creek, and minor amounts via overland flow direct to Magela Creek. RP1 and the Corridor Creek wetland filter act as sediment traps and solute </w:t>
      </w:r>
      <w:r>
        <w:t>‘</w:t>
      </w:r>
      <w:r w:rsidRPr="006712D4">
        <w:t>polishing</w:t>
      </w:r>
      <w:r>
        <w:t>’</w:t>
      </w:r>
      <w:r w:rsidRPr="006712D4">
        <w:t xml:space="preserve"> systems prior to outflow from the site. Due to reduced performance, ERA has ceased utilisation of the RP1 wetland filter to </w:t>
      </w:r>
      <w:r>
        <w:t>‘</w:t>
      </w:r>
      <w:r w:rsidRPr="006712D4">
        <w:t>polish</w:t>
      </w:r>
      <w:r>
        <w:t>’</w:t>
      </w:r>
      <w:r w:rsidRPr="006712D4">
        <w:t xml:space="preserve"> pond water. </w:t>
      </w:r>
    </w:p>
    <w:p w:rsidR="00EA5AC1" w:rsidRPr="006712D4" w:rsidRDefault="00EA5AC1" w:rsidP="00EA5AC1">
      <w:r w:rsidRPr="006712D4">
        <w:t xml:space="preserve">The Corridor Creek wetland filter receives runoff from specially prepared sheeted areas of low grade ore and waste rock stockpiles. The surfaces of these stockpile areas are compacted to reduce infiltration and hence minimise contribution of additional water to the pond water system. </w:t>
      </w:r>
    </w:p>
    <w:p w:rsidR="00BF4D4D" w:rsidRPr="006712D4" w:rsidRDefault="00BF4D4D" w:rsidP="00BF4D4D">
      <w:r w:rsidRPr="006712D4">
        <w:t>An interception trench was installed around the western and northern perimeter of the western stockpile in 2010 to capture poor quality seepage that was previously reporting to RP1, and to redirect stockpile runoff away from RP1. This measure, combined with input of pond water permeate into RP1, has resulted in a substantial improvement to water quality in RP1 over the past four years. Water is passively released from RP1 via a sluice gate when the water level in RP1 exceeds the height of the spillway.</w:t>
      </w:r>
    </w:p>
    <w:p w:rsidR="00BF4D4D" w:rsidRPr="006712D4" w:rsidRDefault="00BF4D4D" w:rsidP="00BF4D4D">
      <w:r w:rsidRPr="006712D4">
        <w:t xml:space="preserve">In Corridor Creek, passive release of waters originating from upstream of GC2 occurred throughout the 2013–14 wet </w:t>
      </w:r>
      <w:proofErr w:type="gramStart"/>
      <w:r w:rsidRPr="006712D4">
        <w:t>season</w:t>
      </w:r>
      <w:proofErr w:type="gramEnd"/>
      <w:r w:rsidRPr="006712D4">
        <w:t>.</w:t>
      </w:r>
    </w:p>
    <w:p w:rsidR="004D5B9B" w:rsidRPr="004D5B9B" w:rsidRDefault="004D5B9B" w:rsidP="004D5B9B">
      <w:pPr>
        <w:pStyle w:val="Heading6"/>
      </w:pPr>
      <w:r w:rsidRPr="004D5B9B">
        <w:t>Managed release water</w:t>
      </w:r>
    </w:p>
    <w:p w:rsidR="00BF4D4D" w:rsidRPr="004D5B9B" w:rsidRDefault="00BF4D4D" w:rsidP="00BF4D4D">
      <w:r w:rsidRPr="004D5B9B">
        <w:t xml:space="preserve">A total of 1.06 GL of RP1 water was discharged via the sluice gate/pumping over the weir on twenty occasions during the 2013–14 wet season, between December 2013 and May 2014, to reduce the overall pond water inventory during periods of higher flow in Magela Creek. </w:t>
      </w:r>
    </w:p>
    <w:p w:rsidR="00BF4D4D" w:rsidRPr="004D5B9B" w:rsidRDefault="00BF4D4D" w:rsidP="00BF4D4D">
      <w:r w:rsidRPr="004D5B9B">
        <w:t xml:space="preserve">ERA manually controls the discharge of runoff from areas adjacent to the Pit 3 rim via four sluice gates along the Ranger access road. Release from these gates occurred on seventeen occasions during the 2013–14 wet season, between December 2013 and May 2014. A total volume of approximately 14 ML of water was released via the Pit 3 sluice gates. </w:t>
      </w:r>
    </w:p>
    <w:p w:rsidR="00BF4D4D" w:rsidRPr="004D5B9B" w:rsidRDefault="00BF4D4D" w:rsidP="00BF4D4D">
      <w:r w:rsidRPr="004D5B9B">
        <w:t xml:space="preserve">ERA was again granted interim approval through the Water Management Plan for the discharge of RP1 water to Magela Creek from the MG001 site (see Map 2 for location) over the 2013–14 wet </w:t>
      </w:r>
      <w:proofErr w:type="gramStart"/>
      <w:r w:rsidRPr="004D5B9B">
        <w:t>season</w:t>
      </w:r>
      <w:proofErr w:type="gramEnd"/>
      <w:r w:rsidRPr="004D5B9B">
        <w:t xml:space="preserve">. Discharge is managed to ensure electrical conductivity within Magela Creek is maintained within the specified limits. Controlled discharge occurred on sixteen occasions between December 2013 and May 2014 during high flow conditions in Magela Creek. A total volume of approximately 600 ML of RP1 water was released via MG001. </w:t>
      </w:r>
    </w:p>
    <w:p w:rsidR="004D5B9B" w:rsidRPr="004D5B9B" w:rsidRDefault="004D5B9B" w:rsidP="004D5B9B">
      <w:pPr>
        <w:pStyle w:val="Heading6"/>
      </w:pPr>
      <w:r w:rsidRPr="004D5B9B">
        <w:t>Pond water treatment</w:t>
      </w:r>
    </w:p>
    <w:p w:rsidR="00BF4D4D" w:rsidRPr="004D5B9B" w:rsidRDefault="00BF4D4D" w:rsidP="00BF4D4D">
      <w:r w:rsidRPr="004D5B9B">
        <w:t xml:space="preserve">Pond water is treated via three microfiltration/reverse osmosis water treatment plants (WTP), with WTP1 and WTP2 each having a 7 ML/day capacity and WTP3 an 11 ML/day capacity. </w:t>
      </w:r>
    </w:p>
    <w:p w:rsidR="00BF4D4D" w:rsidRDefault="00BF4D4D" w:rsidP="00BF4D4D">
      <w:r w:rsidRPr="004D5B9B">
        <w:t>All three water treatment plants were in operation during the reporting period. Volumes of water treated and permeate produced are reported in Table 3.3.</w:t>
      </w:r>
      <w:r w:rsidR="005F77E9">
        <w:br/>
      </w:r>
    </w:p>
    <w:tbl>
      <w:tblPr>
        <w:tblW w:w="7513" w:type="dxa"/>
        <w:tblInd w:w="108" w:type="dxa"/>
        <w:tblLook w:val="01E0"/>
      </w:tblPr>
      <w:tblGrid>
        <w:gridCol w:w="1701"/>
        <w:gridCol w:w="1985"/>
        <w:gridCol w:w="3827"/>
      </w:tblGrid>
      <w:tr w:rsidR="004D5B9B" w:rsidRPr="004D5B9B" w:rsidTr="004D5B9B">
        <w:tc>
          <w:tcPr>
            <w:tcW w:w="7513" w:type="dxa"/>
            <w:gridSpan w:val="3"/>
            <w:shd w:val="clear" w:color="auto" w:fill="D9D9D9"/>
          </w:tcPr>
          <w:p w:rsidR="004D5B9B" w:rsidRPr="004D5B9B" w:rsidRDefault="004D5B9B" w:rsidP="004D5B9B">
            <w:pPr>
              <w:pStyle w:val="tablecaption"/>
            </w:pPr>
            <w:r w:rsidRPr="004D5B9B">
              <w:t>Table 3.3  Pond Water Treatment Plant (WTP) volumes</w:t>
            </w:r>
            <w:r w:rsidR="005661BE" w:rsidRPr="005661BE">
              <w:rPr>
                <w:rFonts w:cs="Times New Roman"/>
                <w:snapToGrid w:val="0"/>
                <w:color w:val="000000"/>
                <w:position w:val="4"/>
                <w:sz w:val="12"/>
                <w:szCs w:val="0"/>
                <w:u w:color="000000"/>
              </w:rPr>
              <w:t>1</w:t>
            </w:r>
          </w:p>
        </w:tc>
      </w:tr>
      <w:tr w:rsidR="004D5B9B" w:rsidRPr="004D5B9B" w:rsidTr="004D5B9B">
        <w:trPr>
          <w:trHeight w:val="302"/>
        </w:trPr>
        <w:tc>
          <w:tcPr>
            <w:tcW w:w="1701" w:type="dxa"/>
            <w:tcBorders>
              <w:bottom w:val="single" w:sz="8" w:space="0" w:color="BFBFBF" w:themeColor="background1" w:themeShade="BF"/>
            </w:tcBorders>
          </w:tcPr>
          <w:p w:rsidR="004D5B9B" w:rsidRPr="004D5B9B" w:rsidRDefault="004D5B9B" w:rsidP="004D5B9B">
            <w:pPr>
              <w:pStyle w:val="table1"/>
              <w:rPr>
                <w:b/>
              </w:rPr>
            </w:pPr>
            <w:r w:rsidRPr="004D5B9B">
              <w:rPr>
                <w:b/>
              </w:rPr>
              <w:t>WTP</w:t>
            </w:r>
          </w:p>
        </w:tc>
        <w:tc>
          <w:tcPr>
            <w:tcW w:w="1985" w:type="dxa"/>
            <w:tcBorders>
              <w:bottom w:val="single" w:sz="8" w:space="0" w:color="BFBFBF" w:themeColor="background1" w:themeShade="BF"/>
            </w:tcBorders>
          </w:tcPr>
          <w:p w:rsidR="004D5B9B" w:rsidRPr="004D5B9B" w:rsidRDefault="004D5B9B" w:rsidP="004D5B9B">
            <w:pPr>
              <w:pStyle w:val="table1"/>
              <w:rPr>
                <w:b/>
              </w:rPr>
            </w:pPr>
            <w:r w:rsidRPr="004D5B9B">
              <w:rPr>
                <w:b/>
              </w:rPr>
              <w:t>Volume treated (ML)</w:t>
            </w:r>
          </w:p>
        </w:tc>
        <w:tc>
          <w:tcPr>
            <w:tcW w:w="3827" w:type="dxa"/>
            <w:tcBorders>
              <w:bottom w:val="single" w:sz="8" w:space="0" w:color="BFBFBF" w:themeColor="background1" w:themeShade="BF"/>
            </w:tcBorders>
          </w:tcPr>
          <w:p w:rsidR="004D5B9B" w:rsidRPr="004D5B9B" w:rsidRDefault="004D5B9B" w:rsidP="004D5B9B">
            <w:pPr>
              <w:pStyle w:val="table1"/>
              <w:rPr>
                <w:b/>
              </w:rPr>
            </w:pPr>
            <w:r w:rsidRPr="004D5B9B">
              <w:rPr>
                <w:b/>
              </w:rPr>
              <w:t>Permeate produced (ML)</w:t>
            </w:r>
          </w:p>
        </w:tc>
      </w:tr>
      <w:tr w:rsidR="004D5B9B" w:rsidRPr="004D5B9B" w:rsidTr="004D5B9B">
        <w:trPr>
          <w:trHeight w:val="305"/>
        </w:trPr>
        <w:tc>
          <w:tcPr>
            <w:tcW w:w="1701" w:type="dxa"/>
            <w:tcBorders>
              <w:top w:val="single" w:sz="8" w:space="0" w:color="BFBFBF" w:themeColor="background1" w:themeShade="BF"/>
            </w:tcBorders>
          </w:tcPr>
          <w:p w:rsidR="004D5B9B" w:rsidRPr="004D5B9B" w:rsidRDefault="004D5B9B" w:rsidP="004D5B9B">
            <w:pPr>
              <w:pStyle w:val="table1"/>
              <w:jc w:val="center"/>
            </w:pPr>
            <w:r w:rsidRPr="004D5B9B">
              <w:t>1</w:t>
            </w:r>
          </w:p>
        </w:tc>
        <w:tc>
          <w:tcPr>
            <w:tcW w:w="1985" w:type="dxa"/>
            <w:tcBorders>
              <w:top w:val="single" w:sz="8" w:space="0" w:color="BFBFBF" w:themeColor="background1" w:themeShade="BF"/>
            </w:tcBorders>
            <w:shd w:val="clear" w:color="auto" w:fill="auto"/>
          </w:tcPr>
          <w:p w:rsidR="004D5B9B" w:rsidRPr="004D5B9B" w:rsidRDefault="004D5B9B" w:rsidP="004D5B9B">
            <w:pPr>
              <w:pStyle w:val="table1"/>
              <w:jc w:val="center"/>
            </w:pPr>
            <w:r w:rsidRPr="004D5B9B">
              <w:t>1609</w:t>
            </w:r>
          </w:p>
        </w:tc>
        <w:tc>
          <w:tcPr>
            <w:tcW w:w="3827" w:type="dxa"/>
            <w:tcBorders>
              <w:top w:val="single" w:sz="8" w:space="0" w:color="BFBFBF" w:themeColor="background1" w:themeShade="BF"/>
            </w:tcBorders>
            <w:shd w:val="clear" w:color="auto" w:fill="auto"/>
          </w:tcPr>
          <w:p w:rsidR="004D5B9B" w:rsidRPr="004D5B9B" w:rsidRDefault="004D5B9B" w:rsidP="004D5B9B">
            <w:pPr>
              <w:pStyle w:val="table1"/>
              <w:jc w:val="center"/>
            </w:pPr>
            <w:r w:rsidRPr="004D5B9B">
              <w:t>1073</w:t>
            </w:r>
          </w:p>
        </w:tc>
      </w:tr>
      <w:tr w:rsidR="004D5B9B" w:rsidRPr="004D5B9B" w:rsidTr="004D5B9B">
        <w:tc>
          <w:tcPr>
            <w:tcW w:w="1701" w:type="dxa"/>
          </w:tcPr>
          <w:p w:rsidR="004D5B9B" w:rsidRPr="004D5B9B" w:rsidRDefault="004D5B9B" w:rsidP="004D5B9B">
            <w:pPr>
              <w:pStyle w:val="table1"/>
              <w:jc w:val="center"/>
            </w:pPr>
            <w:r w:rsidRPr="004D5B9B">
              <w:t>2</w:t>
            </w:r>
          </w:p>
        </w:tc>
        <w:tc>
          <w:tcPr>
            <w:tcW w:w="1985" w:type="dxa"/>
            <w:shd w:val="clear" w:color="auto" w:fill="auto"/>
          </w:tcPr>
          <w:p w:rsidR="004D5B9B" w:rsidRPr="004D5B9B" w:rsidRDefault="004D5B9B" w:rsidP="004D5B9B">
            <w:pPr>
              <w:pStyle w:val="table1"/>
              <w:jc w:val="center"/>
            </w:pPr>
            <w:r w:rsidRPr="004D5B9B">
              <w:t>1641</w:t>
            </w:r>
          </w:p>
        </w:tc>
        <w:tc>
          <w:tcPr>
            <w:tcW w:w="3827" w:type="dxa"/>
            <w:shd w:val="clear" w:color="auto" w:fill="auto"/>
          </w:tcPr>
          <w:p w:rsidR="004D5B9B" w:rsidRPr="004D5B9B" w:rsidRDefault="004D5B9B" w:rsidP="004D5B9B">
            <w:pPr>
              <w:pStyle w:val="table1"/>
              <w:jc w:val="center"/>
            </w:pPr>
            <w:r w:rsidRPr="004D5B9B">
              <w:t>1200</w:t>
            </w:r>
          </w:p>
        </w:tc>
      </w:tr>
      <w:tr w:rsidR="004D5B9B" w:rsidRPr="004D5B9B" w:rsidTr="004D5B9B">
        <w:tc>
          <w:tcPr>
            <w:tcW w:w="1701" w:type="dxa"/>
            <w:tcBorders>
              <w:bottom w:val="single" w:sz="8" w:space="0" w:color="BFBFBF" w:themeColor="background1" w:themeShade="BF"/>
            </w:tcBorders>
          </w:tcPr>
          <w:p w:rsidR="004D5B9B" w:rsidRPr="004D5B9B" w:rsidRDefault="004D5B9B" w:rsidP="004D5B9B">
            <w:pPr>
              <w:pStyle w:val="table1"/>
              <w:jc w:val="center"/>
            </w:pPr>
            <w:r w:rsidRPr="004D5B9B">
              <w:t>3</w:t>
            </w:r>
          </w:p>
        </w:tc>
        <w:tc>
          <w:tcPr>
            <w:tcW w:w="1985" w:type="dxa"/>
            <w:tcBorders>
              <w:bottom w:val="single" w:sz="8" w:space="0" w:color="BFBFBF" w:themeColor="background1" w:themeShade="BF"/>
            </w:tcBorders>
            <w:shd w:val="clear" w:color="auto" w:fill="auto"/>
          </w:tcPr>
          <w:p w:rsidR="004D5B9B" w:rsidRPr="004D5B9B" w:rsidRDefault="004D5B9B" w:rsidP="004D5B9B">
            <w:pPr>
              <w:pStyle w:val="table1"/>
              <w:jc w:val="center"/>
            </w:pPr>
            <w:r w:rsidRPr="004D5B9B">
              <w:t>1532</w:t>
            </w:r>
          </w:p>
        </w:tc>
        <w:tc>
          <w:tcPr>
            <w:tcW w:w="3827" w:type="dxa"/>
            <w:tcBorders>
              <w:bottom w:val="single" w:sz="8" w:space="0" w:color="BFBFBF" w:themeColor="background1" w:themeShade="BF"/>
            </w:tcBorders>
            <w:shd w:val="clear" w:color="auto" w:fill="auto"/>
          </w:tcPr>
          <w:p w:rsidR="004D5B9B" w:rsidRPr="004D5B9B" w:rsidRDefault="004D5B9B" w:rsidP="004D5B9B">
            <w:pPr>
              <w:pStyle w:val="table1"/>
              <w:jc w:val="center"/>
            </w:pPr>
            <w:r w:rsidRPr="004D5B9B">
              <w:t>1038</w:t>
            </w:r>
          </w:p>
        </w:tc>
      </w:tr>
    </w:tbl>
    <w:p w:rsidR="005661BE" w:rsidRPr="005F77E9" w:rsidRDefault="005661BE" w:rsidP="00BF4D4D">
      <w:pPr>
        <w:rPr>
          <w:sz w:val="16"/>
          <w:szCs w:val="16"/>
        </w:rPr>
      </w:pPr>
      <w:r w:rsidRPr="005F77E9">
        <w:rPr>
          <w:snapToGrid w:val="0"/>
          <w:color w:val="000000"/>
          <w:position w:val="5"/>
          <w:sz w:val="16"/>
          <w:szCs w:val="16"/>
          <w:u w:color="000000"/>
        </w:rPr>
        <w:t>1</w:t>
      </w:r>
      <w:r w:rsidRPr="005F77E9">
        <w:rPr>
          <w:sz w:val="16"/>
          <w:szCs w:val="16"/>
        </w:rPr>
        <w:t>ERA data</w:t>
      </w:r>
    </w:p>
    <w:p w:rsidR="00BF4D4D" w:rsidRPr="004D5B9B" w:rsidRDefault="00BF4D4D" w:rsidP="00BF4D4D">
      <w:r w:rsidRPr="004D5B9B">
        <w:t>Treated permeate was discharged either to the Corridor Creek wetland filter or RP1 and from there passively released to Magela Creek during the wet season, or irrigated on land application areas during the dry season.</w:t>
      </w:r>
    </w:p>
    <w:p w:rsidR="004D5B9B" w:rsidRPr="004D5B9B" w:rsidRDefault="004D5B9B" w:rsidP="004D5B9B">
      <w:pPr>
        <w:pStyle w:val="Heading6"/>
      </w:pPr>
      <w:r w:rsidRPr="004D5B9B">
        <w:t>Land application areas</w:t>
      </w:r>
    </w:p>
    <w:p w:rsidR="004D5B9B" w:rsidRPr="004D5B9B" w:rsidRDefault="004D5B9B" w:rsidP="004D5B9B">
      <w:r w:rsidRPr="004D5B9B">
        <w:t xml:space="preserve">The locations of land application areas (or irrigation areas) at the Ranger mine are shown on Map 2. Direct irrigation of RP2 water ceased from 2009. All water disposed of via the land application areas is now treated or polished through a wetland filter prior to irrigation. </w:t>
      </w:r>
    </w:p>
    <w:p w:rsidR="004D5B9B" w:rsidRDefault="004D5B9B" w:rsidP="004D5B9B">
      <w:r w:rsidRPr="004D5B9B">
        <w:t xml:space="preserve">All land application areas, other than the Magela land application area which was taken out of service for rehabilitation trials, were utilised during the 2013 dry season with a total volume of 454.3 ML irrigated. </w:t>
      </w:r>
      <w:proofErr w:type="gramStart"/>
      <w:r w:rsidRPr="004D5B9B">
        <w:t>Irrigation for the 2014 dry season commenced on 11 June 2014.</w:t>
      </w:r>
      <w:proofErr w:type="gramEnd"/>
      <w:r w:rsidRPr="004D5B9B">
        <w:t xml:space="preserve"> Volumes of water disposed of to each irrigation area are shown in Table 3.4.</w:t>
      </w:r>
      <w:r w:rsidR="005F77E9">
        <w:br/>
      </w:r>
    </w:p>
    <w:tbl>
      <w:tblPr>
        <w:tblW w:w="7553" w:type="dxa"/>
        <w:tblInd w:w="108" w:type="dxa"/>
        <w:tblLook w:val="01E0"/>
      </w:tblPr>
      <w:tblGrid>
        <w:gridCol w:w="1510"/>
        <w:gridCol w:w="1511"/>
        <w:gridCol w:w="1510"/>
        <w:gridCol w:w="1511"/>
        <w:gridCol w:w="1511"/>
      </w:tblGrid>
      <w:tr w:rsidR="007867AA" w:rsidRPr="007867AA" w:rsidTr="000B23A2">
        <w:tc>
          <w:tcPr>
            <w:tcW w:w="7553" w:type="dxa"/>
            <w:gridSpan w:val="5"/>
            <w:shd w:val="clear" w:color="auto" w:fill="D9D9D9"/>
          </w:tcPr>
          <w:p w:rsidR="007867AA" w:rsidRPr="007867AA" w:rsidRDefault="007867AA" w:rsidP="007867AA">
            <w:pPr>
              <w:keepNext/>
              <w:spacing w:before="120" w:after="120" w:line="240" w:lineRule="atLeast"/>
              <w:jc w:val="center"/>
              <w:rPr>
                <w:rFonts w:cs="Arial"/>
                <w:b/>
                <w:caps/>
                <w:sz w:val="18"/>
              </w:rPr>
            </w:pPr>
            <w:r w:rsidRPr="007867AA">
              <w:rPr>
                <w:rFonts w:cs="Arial"/>
                <w:b/>
                <w:caps/>
                <w:sz w:val="18"/>
              </w:rPr>
              <w:t>Table 3.4  Irrigation volumes by location (ML)</w:t>
            </w:r>
            <w:r w:rsidR="001F253C" w:rsidRPr="001F253C">
              <w:rPr>
                <w:b/>
                <w:caps/>
                <w:snapToGrid w:val="0"/>
                <w:color w:val="000000"/>
                <w:position w:val="4"/>
                <w:sz w:val="12"/>
                <w:szCs w:val="0"/>
                <w:u w:color="000000"/>
              </w:rPr>
              <w:t>1</w:t>
            </w:r>
          </w:p>
        </w:tc>
      </w:tr>
      <w:tr w:rsidR="007867AA" w:rsidRPr="007867AA" w:rsidTr="000B23A2">
        <w:trPr>
          <w:trHeight w:val="302"/>
        </w:trPr>
        <w:tc>
          <w:tcPr>
            <w:tcW w:w="1510" w:type="dxa"/>
            <w:tcBorders>
              <w:bottom w:val="single" w:sz="8" w:space="0" w:color="BFBFBF" w:themeColor="background1" w:themeShade="BF"/>
            </w:tcBorders>
          </w:tcPr>
          <w:p w:rsidR="007867AA" w:rsidRPr="007867AA" w:rsidRDefault="007867AA" w:rsidP="007867AA">
            <w:pPr>
              <w:spacing w:before="60" w:after="60" w:line="220" w:lineRule="atLeast"/>
              <w:jc w:val="center"/>
              <w:rPr>
                <w:rFonts w:ascii="Arial" w:eastAsia="Arial Unicode MS" w:hAnsi="Arial"/>
                <w:b/>
                <w:sz w:val="16"/>
              </w:rPr>
            </w:pPr>
            <w:r w:rsidRPr="007867AA">
              <w:rPr>
                <w:rFonts w:ascii="Arial" w:eastAsia="Arial Unicode MS" w:hAnsi="Arial"/>
                <w:b/>
                <w:sz w:val="16"/>
              </w:rPr>
              <w:t>RP1 LAA</w:t>
            </w:r>
          </w:p>
        </w:tc>
        <w:tc>
          <w:tcPr>
            <w:tcW w:w="1511" w:type="dxa"/>
            <w:tcBorders>
              <w:bottom w:val="single" w:sz="8" w:space="0" w:color="BFBFBF" w:themeColor="background1" w:themeShade="BF"/>
            </w:tcBorders>
          </w:tcPr>
          <w:p w:rsidR="007867AA" w:rsidRPr="007867AA" w:rsidRDefault="007867AA" w:rsidP="007867AA">
            <w:pPr>
              <w:spacing w:before="60" w:after="60" w:line="220" w:lineRule="atLeast"/>
              <w:jc w:val="center"/>
              <w:rPr>
                <w:rFonts w:ascii="Arial" w:eastAsia="Arial Unicode MS" w:hAnsi="Arial"/>
                <w:b/>
                <w:sz w:val="16"/>
              </w:rPr>
            </w:pPr>
            <w:r w:rsidRPr="007867AA">
              <w:rPr>
                <w:rFonts w:ascii="Arial" w:eastAsia="Arial Unicode MS" w:hAnsi="Arial"/>
                <w:b/>
                <w:sz w:val="16"/>
              </w:rPr>
              <w:t>Djalkmarra LAA</w:t>
            </w:r>
          </w:p>
        </w:tc>
        <w:tc>
          <w:tcPr>
            <w:tcW w:w="1510" w:type="dxa"/>
            <w:tcBorders>
              <w:bottom w:val="single" w:sz="8" w:space="0" w:color="BFBFBF" w:themeColor="background1" w:themeShade="BF"/>
            </w:tcBorders>
          </w:tcPr>
          <w:p w:rsidR="007867AA" w:rsidRPr="007867AA" w:rsidRDefault="007867AA" w:rsidP="007867AA">
            <w:pPr>
              <w:spacing w:before="60" w:after="60" w:line="220" w:lineRule="atLeast"/>
              <w:jc w:val="center"/>
              <w:rPr>
                <w:rFonts w:ascii="Arial" w:eastAsia="Arial Unicode MS" w:hAnsi="Arial"/>
                <w:b/>
                <w:sz w:val="16"/>
              </w:rPr>
            </w:pPr>
            <w:r w:rsidRPr="007867AA">
              <w:rPr>
                <w:rFonts w:ascii="Arial" w:eastAsia="Arial Unicode MS" w:hAnsi="Arial"/>
                <w:b/>
                <w:sz w:val="16"/>
              </w:rPr>
              <w:t>Jabiru East LAA</w:t>
            </w:r>
          </w:p>
        </w:tc>
        <w:tc>
          <w:tcPr>
            <w:tcW w:w="1511" w:type="dxa"/>
            <w:tcBorders>
              <w:bottom w:val="single" w:sz="8" w:space="0" w:color="BFBFBF" w:themeColor="background1" w:themeShade="BF"/>
            </w:tcBorders>
          </w:tcPr>
          <w:p w:rsidR="007867AA" w:rsidRPr="007867AA" w:rsidRDefault="007867AA" w:rsidP="007867AA">
            <w:pPr>
              <w:spacing w:before="60" w:after="60" w:line="220" w:lineRule="atLeast"/>
              <w:jc w:val="center"/>
              <w:rPr>
                <w:rFonts w:ascii="Arial" w:eastAsia="Arial Unicode MS" w:hAnsi="Arial"/>
                <w:b/>
                <w:sz w:val="16"/>
              </w:rPr>
            </w:pPr>
            <w:r w:rsidRPr="007867AA">
              <w:rPr>
                <w:rFonts w:ascii="Arial" w:eastAsia="Arial Unicode MS" w:hAnsi="Arial"/>
                <w:b/>
                <w:sz w:val="16"/>
              </w:rPr>
              <w:t>RP1 Extension LAA</w:t>
            </w:r>
          </w:p>
        </w:tc>
        <w:tc>
          <w:tcPr>
            <w:tcW w:w="1511" w:type="dxa"/>
            <w:tcBorders>
              <w:bottom w:val="single" w:sz="8" w:space="0" w:color="BFBFBF" w:themeColor="background1" w:themeShade="BF"/>
            </w:tcBorders>
          </w:tcPr>
          <w:p w:rsidR="007867AA" w:rsidRPr="007867AA" w:rsidRDefault="007867AA" w:rsidP="007867AA">
            <w:pPr>
              <w:spacing w:before="60" w:after="60" w:line="220" w:lineRule="atLeast"/>
              <w:jc w:val="center"/>
              <w:rPr>
                <w:rFonts w:ascii="Arial" w:eastAsia="Arial Unicode MS" w:hAnsi="Arial"/>
                <w:b/>
                <w:sz w:val="16"/>
              </w:rPr>
            </w:pPr>
            <w:r w:rsidRPr="007867AA">
              <w:rPr>
                <w:rFonts w:ascii="Arial" w:eastAsia="Arial Unicode MS" w:hAnsi="Arial"/>
                <w:b/>
                <w:sz w:val="16"/>
              </w:rPr>
              <w:t>Corridor Creek LAA</w:t>
            </w:r>
          </w:p>
        </w:tc>
      </w:tr>
      <w:tr w:rsidR="007867AA" w:rsidRPr="007867AA" w:rsidTr="000B23A2">
        <w:trPr>
          <w:trHeight w:val="305"/>
        </w:trPr>
        <w:tc>
          <w:tcPr>
            <w:tcW w:w="1510" w:type="dxa"/>
            <w:tcBorders>
              <w:top w:val="single" w:sz="8" w:space="0" w:color="BFBFBF" w:themeColor="background1" w:themeShade="BF"/>
              <w:bottom w:val="single" w:sz="8" w:space="0" w:color="BFBFBF" w:themeColor="background1" w:themeShade="BF"/>
            </w:tcBorders>
            <w:shd w:val="clear" w:color="auto" w:fill="auto"/>
          </w:tcPr>
          <w:p w:rsidR="007867AA" w:rsidRPr="007867AA" w:rsidRDefault="007867AA" w:rsidP="007867AA">
            <w:pPr>
              <w:spacing w:before="60" w:after="60" w:line="220" w:lineRule="atLeast"/>
              <w:jc w:val="center"/>
              <w:rPr>
                <w:rFonts w:ascii="Arial" w:eastAsia="Arial Unicode MS" w:hAnsi="Arial"/>
                <w:sz w:val="16"/>
              </w:rPr>
            </w:pPr>
            <w:r w:rsidRPr="007867AA">
              <w:rPr>
                <w:rFonts w:ascii="Arial" w:eastAsia="Arial Unicode MS" w:hAnsi="Arial"/>
                <w:sz w:val="16"/>
              </w:rPr>
              <w:t>27.8</w:t>
            </w:r>
          </w:p>
        </w:tc>
        <w:tc>
          <w:tcPr>
            <w:tcW w:w="1511" w:type="dxa"/>
            <w:tcBorders>
              <w:top w:val="single" w:sz="8" w:space="0" w:color="BFBFBF" w:themeColor="background1" w:themeShade="BF"/>
              <w:bottom w:val="single" w:sz="8" w:space="0" w:color="BFBFBF" w:themeColor="background1" w:themeShade="BF"/>
            </w:tcBorders>
            <w:shd w:val="clear" w:color="auto" w:fill="auto"/>
          </w:tcPr>
          <w:p w:rsidR="007867AA" w:rsidRPr="007867AA" w:rsidRDefault="007867AA" w:rsidP="007867AA">
            <w:pPr>
              <w:keepLines/>
              <w:widowControl w:val="0"/>
              <w:autoSpaceDE w:val="0"/>
              <w:autoSpaceDN w:val="0"/>
              <w:adjustRightInd w:val="0"/>
              <w:spacing w:before="80" w:after="80" w:line="220" w:lineRule="atLeast"/>
              <w:jc w:val="center"/>
              <w:rPr>
                <w:rFonts w:ascii="Arial" w:eastAsia="Arial Unicode MS" w:hAnsi="Arial" w:cs="Arial"/>
                <w:spacing w:val="-2"/>
                <w:sz w:val="16"/>
                <w:szCs w:val="18"/>
              </w:rPr>
            </w:pPr>
            <w:r w:rsidRPr="007867AA">
              <w:rPr>
                <w:rFonts w:ascii="Arial" w:eastAsia="Arial Unicode MS" w:hAnsi="Arial" w:cs="Arial"/>
                <w:spacing w:val="-2"/>
                <w:sz w:val="16"/>
                <w:szCs w:val="18"/>
              </w:rPr>
              <w:t>38.9</w:t>
            </w:r>
          </w:p>
        </w:tc>
        <w:tc>
          <w:tcPr>
            <w:tcW w:w="1510" w:type="dxa"/>
            <w:tcBorders>
              <w:top w:val="single" w:sz="8" w:space="0" w:color="BFBFBF" w:themeColor="background1" w:themeShade="BF"/>
              <w:bottom w:val="single" w:sz="8" w:space="0" w:color="BFBFBF" w:themeColor="background1" w:themeShade="BF"/>
            </w:tcBorders>
            <w:shd w:val="clear" w:color="auto" w:fill="auto"/>
          </w:tcPr>
          <w:p w:rsidR="007867AA" w:rsidRPr="007867AA" w:rsidRDefault="007867AA" w:rsidP="007867AA">
            <w:pPr>
              <w:keepLines/>
              <w:widowControl w:val="0"/>
              <w:autoSpaceDE w:val="0"/>
              <w:autoSpaceDN w:val="0"/>
              <w:adjustRightInd w:val="0"/>
              <w:spacing w:before="80" w:after="80" w:line="220" w:lineRule="atLeast"/>
              <w:jc w:val="center"/>
              <w:rPr>
                <w:rFonts w:ascii="Arial" w:eastAsia="Arial Unicode MS" w:hAnsi="Arial" w:cs="Arial"/>
                <w:spacing w:val="-2"/>
                <w:sz w:val="16"/>
                <w:szCs w:val="18"/>
              </w:rPr>
            </w:pPr>
            <w:r w:rsidRPr="007867AA">
              <w:rPr>
                <w:rFonts w:ascii="Arial" w:eastAsia="Arial Unicode MS" w:hAnsi="Arial" w:cs="Arial"/>
                <w:spacing w:val="-2"/>
                <w:sz w:val="16"/>
                <w:szCs w:val="18"/>
              </w:rPr>
              <w:t>131.5</w:t>
            </w:r>
          </w:p>
        </w:tc>
        <w:tc>
          <w:tcPr>
            <w:tcW w:w="1511" w:type="dxa"/>
            <w:tcBorders>
              <w:top w:val="single" w:sz="8" w:space="0" w:color="BFBFBF" w:themeColor="background1" w:themeShade="BF"/>
              <w:bottom w:val="single" w:sz="8" w:space="0" w:color="BFBFBF" w:themeColor="background1" w:themeShade="BF"/>
            </w:tcBorders>
            <w:shd w:val="clear" w:color="auto" w:fill="auto"/>
          </w:tcPr>
          <w:p w:rsidR="007867AA" w:rsidRPr="007867AA" w:rsidRDefault="007867AA" w:rsidP="007867AA">
            <w:pPr>
              <w:keepLines/>
              <w:widowControl w:val="0"/>
              <w:autoSpaceDE w:val="0"/>
              <w:autoSpaceDN w:val="0"/>
              <w:adjustRightInd w:val="0"/>
              <w:spacing w:before="80" w:after="80" w:line="220" w:lineRule="atLeast"/>
              <w:jc w:val="center"/>
              <w:rPr>
                <w:rFonts w:ascii="Arial" w:eastAsia="Arial Unicode MS" w:hAnsi="Arial" w:cs="Arial"/>
                <w:spacing w:val="-2"/>
                <w:sz w:val="16"/>
                <w:szCs w:val="18"/>
              </w:rPr>
            </w:pPr>
            <w:r w:rsidRPr="007867AA">
              <w:rPr>
                <w:rFonts w:ascii="Arial" w:eastAsia="Arial Unicode MS" w:hAnsi="Arial" w:cs="Arial"/>
                <w:spacing w:val="-2"/>
                <w:sz w:val="16"/>
                <w:szCs w:val="18"/>
              </w:rPr>
              <w:t>25.8</w:t>
            </w:r>
          </w:p>
        </w:tc>
        <w:tc>
          <w:tcPr>
            <w:tcW w:w="1511" w:type="dxa"/>
            <w:tcBorders>
              <w:top w:val="single" w:sz="8" w:space="0" w:color="BFBFBF" w:themeColor="background1" w:themeShade="BF"/>
              <w:bottom w:val="single" w:sz="8" w:space="0" w:color="BFBFBF" w:themeColor="background1" w:themeShade="BF"/>
            </w:tcBorders>
            <w:shd w:val="clear" w:color="auto" w:fill="auto"/>
          </w:tcPr>
          <w:p w:rsidR="007867AA" w:rsidRPr="007867AA" w:rsidRDefault="007867AA" w:rsidP="007867AA">
            <w:pPr>
              <w:keepLines/>
              <w:widowControl w:val="0"/>
              <w:autoSpaceDE w:val="0"/>
              <w:autoSpaceDN w:val="0"/>
              <w:adjustRightInd w:val="0"/>
              <w:spacing w:before="80" w:after="80" w:line="220" w:lineRule="atLeast"/>
              <w:jc w:val="center"/>
              <w:rPr>
                <w:rFonts w:ascii="Arial" w:eastAsia="Arial Unicode MS" w:hAnsi="Arial" w:cs="Arial"/>
                <w:spacing w:val="-2"/>
                <w:sz w:val="16"/>
                <w:szCs w:val="18"/>
              </w:rPr>
            </w:pPr>
            <w:r w:rsidRPr="007867AA">
              <w:rPr>
                <w:rFonts w:ascii="Arial" w:eastAsia="Arial Unicode MS" w:hAnsi="Arial" w:cs="Arial"/>
                <w:spacing w:val="-2"/>
                <w:sz w:val="16"/>
                <w:szCs w:val="18"/>
              </w:rPr>
              <w:t>162.3</w:t>
            </w:r>
          </w:p>
        </w:tc>
      </w:tr>
    </w:tbl>
    <w:p w:rsidR="001F253C" w:rsidRPr="005F77E9" w:rsidRDefault="001F253C" w:rsidP="001F253C">
      <w:pPr>
        <w:rPr>
          <w:sz w:val="16"/>
          <w:szCs w:val="16"/>
        </w:rPr>
      </w:pPr>
      <w:r w:rsidRPr="005F77E9">
        <w:rPr>
          <w:snapToGrid w:val="0"/>
          <w:color w:val="000000"/>
          <w:position w:val="5"/>
          <w:sz w:val="16"/>
          <w:szCs w:val="16"/>
          <w:u w:color="000000"/>
        </w:rPr>
        <w:t>1</w:t>
      </w:r>
      <w:r w:rsidRPr="005F77E9">
        <w:rPr>
          <w:sz w:val="16"/>
          <w:szCs w:val="16"/>
        </w:rPr>
        <w:t>ERA data</w:t>
      </w:r>
    </w:p>
    <w:p w:rsidR="007867AA" w:rsidRPr="007867AA" w:rsidRDefault="007867AA" w:rsidP="007867AA">
      <w:pPr>
        <w:pStyle w:val="Heading4"/>
      </w:pPr>
      <w:r w:rsidRPr="007867AA">
        <w:t>3.2.2.2</w:t>
      </w:r>
      <w:r w:rsidRPr="007867AA">
        <w:tab/>
        <w:t>Tailings and waste management</w:t>
      </w:r>
    </w:p>
    <w:p w:rsidR="007867AA" w:rsidRPr="007867AA" w:rsidRDefault="007867AA" w:rsidP="007867AA">
      <w:pPr>
        <w:pStyle w:val="Heading5"/>
      </w:pPr>
      <w:r w:rsidRPr="007867AA">
        <w:t>Tailings</w:t>
      </w:r>
    </w:p>
    <w:p w:rsidR="009C487C" w:rsidRPr="007867AA" w:rsidRDefault="009C487C" w:rsidP="009C487C">
      <w:r w:rsidRPr="007867AA">
        <w:t xml:space="preserve">From August 1996 to December 2008 no process residue from the milling of ore was deposited into the TSF, with Pit 1 being the sole receptor. Over this period 20 </w:t>
      </w:r>
      <w:r>
        <w:t xml:space="preserve">million </w:t>
      </w:r>
      <w:r w:rsidRPr="007867AA">
        <w:t>m</w:t>
      </w:r>
      <w:r w:rsidRPr="00BC36A5">
        <w:rPr>
          <w:vertAlign w:val="superscript"/>
        </w:rPr>
        <w:t>3</w:t>
      </w:r>
      <w:r w:rsidRPr="007867AA">
        <w:t xml:space="preserve"> of tailings were deposited in Pit 1 including 1.8 </w:t>
      </w:r>
      <w:r>
        <w:t xml:space="preserve">million </w:t>
      </w:r>
      <w:r w:rsidRPr="007867AA">
        <w:t>m</w:t>
      </w:r>
      <w:r w:rsidRPr="00BC36A5">
        <w:rPr>
          <w:vertAlign w:val="superscript"/>
        </w:rPr>
        <w:t>3</w:t>
      </w:r>
      <w:r>
        <w:t xml:space="preserve"> transferred from the TSF by </w:t>
      </w:r>
      <w:r w:rsidRPr="007867AA">
        <w:t xml:space="preserve">dredging. Transfer of tailings into Pit 1 ceased in December 2008 when tailings reached the maximum permitted level of </w:t>
      </w:r>
      <w:r>
        <w:t>-</w:t>
      </w:r>
      <w:r w:rsidRPr="007867AA">
        <w:t xml:space="preserve">12 mRL, and deposition of tailings in the TSF resumed. Tailings are discharged to the TSF via a floating discharge pipe that is moved regularly to achieve an even deposition across the footprint of the dam. </w:t>
      </w:r>
    </w:p>
    <w:p w:rsidR="009C487C" w:rsidRPr="00101AAF" w:rsidRDefault="009C487C" w:rsidP="009C487C">
      <w:pPr>
        <w:rPr>
          <w:rFonts w:ascii="Arial" w:hAnsi="Arial" w:cs="Arial"/>
          <w:color w:val="000000"/>
          <w:sz w:val="16"/>
          <w:szCs w:val="16"/>
          <w:lang w:eastAsia="en-AU"/>
        </w:rPr>
      </w:pPr>
      <w:r w:rsidRPr="007867AA">
        <w:t>Processing was suspended between</w:t>
      </w:r>
      <w:r>
        <w:t xml:space="preserve"> 7</w:t>
      </w:r>
      <w:r w:rsidRPr="007867AA">
        <w:t xml:space="preserve"> December 2013 and 5 June 2014 following the leach tank incident (section 3.2.2.6).</w:t>
      </w:r>
      <w:r>
        <w:t xml:space="preserve"> </w:t>
      </w:r>
      <w:r w:rsidRPr="007867AA">
        <w:t>ERA continued to progress plans for the closure of Pit 1 during the 2013–14 reporting period</w:t>
      </w:r>
      <w:r>
        <w:t xml:space="preserve"> with pre-loading of the surface with coarse rock material completed to activate the installed dewatering wicks and assist in consolidation of the tailings </w:t>
      </w:r>
    </w:p>
    <w:p w:rsidR="009C487C" w:rsidRPr="007867AA" w:rsidRDefault="009C487C" w:rsidP="009C487C">
      <w:r w:rsidRPr="007867AA">
        <w:t>The average density of tailings in Pit 1 at June 2013 was 1.45 tm</w:t>
      </w:r>
      <w:r w:rsidRPr="00735363">
        <w:rPr>
          <w:snapToGrid w:val="0"/>
          <w:color w:val="000000"/>
          <w:position w:val="5"/>
          <w:sz w:val="13"/>
          <w:szCs w:val="0"/>
          <w:u w:color="000000"/>
        </w:rPr>
        <w:t>-</w:t>
      </w:r>
      <w:r w:rsidRPr="00BC36A5">
        <w:rPr>
          <w:vertAlign w:val="superscript"/>
        </w:rPr>
        <w:t>3</w:t>
      </w:r>
      <w:r w:rsidRPr="007867AA">
        <w:t xml:space="preserve">, which exceeds the minimum target density </w:t>
      </w:r>
      <w:proofErr w:type="gramStart"/>
      <w:r w:rsidRPr="007867AA">
        <w:t>of 1.2 tm</w:t>
      </w:r>
      <w:r w:rsidRPr="00735363">
        <w:rPr>
          <w:snapToGrid w:val="0"/>
          <w:color w:val="000000"/>
          <w:position w:val="5"/>
          <w:sz w:val="13"/>
          <w:szCs w:val="0"/>
          <w:u w:color="000000"/>
        </w:rPr>
        <w:t>-</w:t>
      </w:r>
      <w:r w:rsidRPr="00BC36A5">
        <w:rPr>
          <w:vertAlign w:val="superscript"/>
        </w:rPr>
        <w:t>3</w:t>
      </w:r>
      <w:proofErr w:type="gramEnd"/>
      <w:r w:rsidRPr="007867AA">
        <w:t xml:space="preserve">. The average density of tailings in the TSF at the end of reporting period was </w:t>
      </w:r>
      <w:proofErr w:type="gramStart"/>
      <w:r w:rsidRPr="007867AA">
        <w:t>1.05 tm</w:t>
      </w:r>
      <w:r w:rsidRPr="00735363">
        <w:rPr>
          <w:snapToGrid w:val="0"/>
          <w:color w:val="000000"/>
          <w:position w:val="5"/>
          <w:sz w:val="13"/>
          <w:szCs w:val="0"/>
          <w:u w:color="000000"/>
        </w:rPr>
        <w:t>-</w:t>
      </w:r>
      <w:r w:rsidRPr="00BC36A5">
        <w:rPr>
          <w:vertAlign w:val="superscript"/>
        </w:rPr>
        <w:t>3</w:t>
      </w:r>
      <w:proofErr w:type="gramEnd"/>
      <w:r w:rsidRPr="007867AA">
        <w:t>.</w:t>
      </w:r>
    </w:p>
    <w:p w:rsidR="007867AA" w:rsidRPr="007867AA" w:rsidRDefault="007867AA" w:rsidP="007867AA">
      <w:pPr>
        <w:pStyle w:val="Heading4"/>
      </w:pPr>
      <w:r w:rsidRPr="007867AA">
        <w:t>3.2.2.3</w:t>
      </w:r>
      <w:r w:rsidRPr="007867AA">
        <w:tab/>
        <w:t>Audit and Routine Periodic Inspections (RPIs)</w:t>
      </w:r>
    </w:p>
    <w:p w:rsidR="007867AA" w:rsidRPr="007867AA" w:rsidRDefault="007867AA" w:rsidP="007867AA">
      <w:r w:rsidRPr="007867AA">
        <w:t xml:space="preserve">Eleven inspections and one audit were undertaken at Ranger during the 2013–14 reporting period. The grading system used in the audit, shown in Table 3.5, is the same as that used by DME. Use of this ranking system ensures the outcomes of the Ranger auditing process are consistent with that for other mines in the Northern Territory. </w:t>
      </w:r>
    </w:p>
    <w:bookmarkEnd w:id="164"/>
    <w:tbl>
      <w:tblPr>
        <w:tblW w:w="7513" w:type="dxa"/>
        <w:tblInd w:w="108" w:type="dxa"/>
        <w:tblLook w:val="01E0"/>
      </w:tblPr>
      <w:tblGrid>
        <w:gridCol w:w="1843"/>
        <w:gridCol w:w="5670"/>
      </w:tblGrid>
      <w:tr w:rsidR="000B23A2" w:rsidRPr="000B23A2" w:rsidTr="000B23A2">
        <w:tc>
          <w:tcPr>
            <w:tcW w:w="7513" w:type="dxa"/>
            <w:gridSpan w:val="2"/>
            <w:shd w:val="clear" w:color="auto" w:fill="D9D9D9"/>
          </w:tcPr>
          <w:p w:rsidR="000B23A2" w:rsidRPr="000B23A2" w:rsidRDefault="000B23A2" w:rsidP="00453A3C">
            <w:pPr>
              <w:pStyle w:val="tablecaption"/>
            </w:pPr>
            <w:r w:rsidRPr="000B23A2">
              <w:br w:type="page"/>
            </w:r>
            <w:bookmarkStart w:id="194" w:name="_Toc272849718"/>
            <w:r w:rsidRPr="000B23A2">
              <w:t>Table 3.5  Grading System</w:t>
            </w:r>
            <w:bookmarkEnd w:id="194"/>
          </w:p>
        </w:tc>
      </w:tr>
      <w:tr w:rsidR="000B23A2" w:rsidRPr="000B23A2" w:rsidTr="000B23A2">
        <w:tc>
          <w:tcPr>
            <w:tcW w:w="1843" w:type="dxa"/>
          </w:tcPr>
          <w:p w:rsidR="000B23A2" w:rsidRPr="000B23A2" w:rsidRDefault="000B23A2" w:rsidP="00453A3C">
            <w:pPr>
              <w:pStyle w:val="table1"/>
              <w:rPr>
                <w:rFonts w:eastAsia="Arial Unicode MS"/>
              </w:rPr>
            </w:pPr>
            <w:r w:rsidRPr="000B23A2">
              <w:rPr>
                <w:rFonts w:eastAsia="Arial Unicode MS"/>
              </w:rPr>
              <w:t>Category 1 Non-Conformance (CAT 1)</w:t>
            </w:r>
          </w:p>
        </w:tc>
        <w:tc>
          <w:tcPr>
            <w:tcW w:w="5670" w:type="dxa"/>
          </w:tcPr>
          <w:p w:rsidR="000B23A2" w:rsidRPr="000B23A2" w:rsidRDefault="000B23A2" w:rsidP="00453A3C">
            <w:pPr>
              <w:pStyle w:val="table1"/>
              <w:rPr>
                <w:rFonts w:eastAsia="Arial Unicode MS" w:cs="Arial"/>
                <w:spacing w:val="-2"/>
                <w:szCs w:val="18"/>
              </w:rPr>
            </w:pPr>
            <w:r w:rsidRPr="000B23A2">
              <w:rPr>
                <w:rFonts w:eastAsia="Arial Unicode MS" w:cs="Arial"/>
                <w:spacing w:val="-2"/>
                <w:szCs w:val="18"/>
              </w:rPr>
              <w:t>A category 1 non-conformance refers to a situation where an identified activity is not in compliance with the Authorisation, approval document or applicable legislation and could result in a high risk or is a persistent Category 2 non-conformance.</w:t>
            </w:r>
          </w:p>
        </w:tc>
      </w:tr>
      <w:tr w:rsidR="000B23A2" w:rsidRPr="000B23A2" w:rsidTr="000B23A2">
        <w:tc>
          <w:tcPr>
            <w:tcW w:w="1843" w:type="dxa"/>
          </w:tcPr>
          <w:p w:rsidR="000B23A2" w:rsidRPr="000B23A2" w:rsidRDefault="000B23A2" w:rsidP="00453A3C">
            <w:pPr>
              <w:pStyle w:val="table1"/>
              <w:rPr>
                <w:rFonts w:eastAsia="Arial Unicode MS"/>
              </w:rPr>
            </w:pPr>
            <w:r w:rsidRPr="000B23A2">
              <w:rPr>
                <w:rFonts w:eastAsia="Arial Unicode MS"/>
              </w:rPr>
              <w:t>Category 2 Non-Conformance (CAT 2)</w:t>
            </w:r>
          </w:p>
        </w:tc>
        <w:tc>
          <w:tcPr>
            <w:tcW w:w="5670" w:type="dxa"/>
          </w:tcPr>
          <w:p w:rsidR="000B23A2" w:rsidRPr="000B23A2" w:rsidRDefault="000B23A2" w:rsidP="00453A3C">
            <w:pPr>
              <w:pStyle w:val="table1"/>
              <w:rPr>
                <w:rFonts w:eastAsia="Arial Unicode MS" w:cs="Arial"/>
                <w:spacing w:val="-2"/>
                <w:szCs w:val="18"/>
              </w:rPr>
            </w:pPr>
            <w:r w:rsidRPr="000B23A2">
              <w:rPr>
                <w:rFonts w:eastAsia="Arial Unicode MS" w:cs="Arial"/>
                <w:spacing w:val="-2"/>
                <w:szCs w:val="18"/>
              </w:rPr>
              <w:t>A category 2 non-conformance relates to an isolated lapse of control or an identified activity that is not in compliance with the Authorisation, approval document or applicable legislation that could result in a low or moderate risk.</w:t>
            </w:r>
          </w:p>
        </w:tc>
      </w:tr>
      <w:tr w:rsidR="000B23A2" w:rsidRPr="000B23A2" w:rsidTr="000B23A2">
        <w:tc>
          <w:tcPr>
            <w:tcW w:w="1843" w:type="dxa"/>
          </w:tcPr>
          <w:p w:rsidR="000B23A2" w:rsidRPr="000B23A2" w:rsidRDefault="000B23A2" w:rsidP="00453A3C">
            <w:pPr>
              <w:pStyle w:val="table1"/>
              <w:rPr>
                <w:rFonts w:eastAsia="Arial Unicode MS"/>
              </w:rPr>
            </w:pPr>
            <w:r w:rsidRPr="000B23A2">
              <w:rPr>
                <w:rFonts w:eastAsia="Arial Unicode MS"/>
              </w:rPr>
              <w:t>Conditional (C)</w:t>
            </w:r>
          </w:p>
        </w:tc>
        <w:tc>
          <w:tcPr>
            <w:tcW w:w="5670" w:type="dxa"/>
          </w:tcPr>
          <w:p w:rsidR="000B23A2" w:rsidRPr="000B23A2" w:rsidRDefault="000B23A2" w:rsidP="00DF3690">
            <w:pPr>
              <w:pStyle w:val="table1"/>
              <w:rPr>
                <w:rFonts w:eastAsia="Arial Unicode MS" w:cs="Arial"/>
                <w:spacing w:val="-2"/>
                <w:szCs w:val="18"/>
              </w:rPr>
            </w:pPr>
            <w:r w:rsidRPr="000B23A2">
              <w:rPr>
                <w:rFonts w:eastAsia="Arial Unicode MS" w:cs="Arial"/>
                <w:spacing w:val="-2"/>
                <w:szCs w:val="18"/>
              </w:rPr>
              <w:t xml:space="preserve">This includes items that have been identified during planning that meet the established criteria and have commenced but </w:t>
            </w:r>
            <w:r w:rsidR="00DF3690">
              <w:rPr>
                <w:rFonts w:eastAsia="Arial Unicode MS" w:cs="Arial"/>
                <w:spacing w:val="-2"/>
                <w:szCs w:val="18"/>
              </w:rPr>
              <w:t>are</w:t>
            </w:r>
            <w:r w:rsidR="00DF3690" w:rsidRPr="000B23A2">
              <w:rPr>
                <w:rFonts w:eastAsia="Arial Unicode MS" w:cs="Arial"/>
                <w:spacing w:val="-2"/>
                <w:szCs w:val="18"/>
              </w:rPr>
              <w:t xml:space="preserve"> </w:t>
            </w:r>
            <w:r w:rsidRPr="000B23A2">
              <w:rPr>
                <w:rFonts w:eastAsia="Arial Unicode MS" w:cs="Arial"/>
                <w:spacing w:val="-2"/>
                <w:szCs w:val="18"/>
              </w:rPr>
              <w:t xml:space="preserve">yet to be completed. </w:t>
            </w:r>
          </w:p>
        </w:tc>
      </w:tr>
      <w:tr w:rsidR="000B23A2" w:rsidRPr="000B23A2" w:rsidTr="000B23A2">
        <w:tc>
          <w:tcPr>
            <w:tcW w:w="1843" w:type="dxa"/>
          </w:tcPr>
          <w:p w:rsidR="000B23A2" w:rsidRPr="000B23A2" w:rsidRDefault="000B23A2" w:rsidP="00453A3C">
            <w:pPr>
              <w:pStyle w:val="table1"/>
              <w:rPr>
                <w:rFonts w:eastAsia="Arial Unicode MS"/>
              </w:rPr>
            </w:pPr>
            <w:r w:rsidRPr="000B23A2">
              <w:rPr>
                <w:rFonts w:eastAsia="Arial Unicode MS"/>
              </w:rPr>
              <w:t>Acceptable (A)</w:t>
            </w:r>
          </w:p>
        </w:tc>
        <w:tc>
          <w:tcPr>
            <w:tcW w:w="5670" w:type="dxa"/>
          </w:tcPr>
          <w:p w:rsidR="000B23A2" w:rsidRPr="000B23A2" w:rsidRDefault="000B23A2" w:rsidP="00453A3C">
            <w:pPr>
              <w:pStyle w:val="table1"/>
              <w:rPr>
                <w:rFonts w:eastAsia="Arial Unicode MS" w:cs="Arial"/>
                <w:spacing w:val="-2"/>
                <w:szCs w:val="18"/>
              </w:rPr>
            </w:pPr>
            <w:r w:rsidRPr="000B23A2">
              <w:rPr>
                <w:rFonts w:eastAsia="Arial Unicode MS" w:cs="Arial"/>
                <w:spacing w:val="-2"/>
                <w:szCs w:val="18"/>
              </w:rPr>
              <w:t xml:space="preserve">This includes items that have been identified during planning that meet the established criteria and have been completed. </w:t>
            </w:r>
          </w:p>
        </w:tc>
      </w:tr>
      <w:tr w:rsidR="000B23A2" w:rsidRPr="000B23A2" w:rsidTr="000B23A2">
        <w:tc>
          <w:tcPr>
            <w:tcW w:w="1843" w:type="dxa"/>
          </w:tcPr>
          <w:p w:rsidR="000B23A2" w:rsidRPr="000B23A2" w:rsidRDefault="000B23A2" w:rsidP="00453A3C">
            <w:pPr>
              <w:pStyle w:val="table1"/>
              <w:rPr>
                <w:rFonts w:eastAsia="Arial Unicode MS"/>
              </w:rPr>
            </w:pPr>
            <w:r w:rsidRPr="000B23A2">
              <w:rPr>
                <w:rFonts w:eastAsia="Arial Unicode MS"/>
              </w:rPr>
              <w:t>Not Verified (NV)</w:t>
            </w:r>
          </w:p>
        </w:tc>
        <w:tc>
          <w:tcPr>
            <w:tcW w:w="5670" w:type="dxa"/>
          </w:tcPr>
          <w:p w:rsidR="000B23A2" w:rsidRPr="000B23A2" w:rsidRDefault="000B23A2" w:rsidP="00453A3C">
            <w:pPr>
              <w:pStyle w:val="table1"/>
              <w:rPr>
                <w:rFonts w:eastAsia="Arial Unicode MS" w:cs="Arial"/>
                <w:spacing w:val="-4"/>
                <w:szCs w:val="18"/>
              </w:rPr>
            </w:pPr>
            <w:r w:rsidRPr="000B23A2">
              <w:rPr>
                <w:rFonts w:eastAsia="Arial Unicode MS" w:cs="Arial"/>
                <w:spacing w:val="-4"/>
                <w:szCs w:val="18"/>
              </w:rPr>
              <w:t>This is where compliance with the item has not been assessed. This may also include items that have been identified during planning but have yet to commence.</w:t>
            </w:r>
          </w:p>
        </w:tc>
      </w:tr>
      <w:tr w:rsidR="000B23A2" w:rsidRPr="000B23A2" w:rsidTr="000B23A2">
        <w:tc>
          <w:tcPr>
            <w:tcW w:w="1843" w:type="dxa"/>
            <w:tcBorders>
              <w:bottom w:val="single" w:sz="6" w:space="0" w:color="999999"/>
            </w:tcBorders>
          </w:tcPr>
          <w:p w:rsidR="000B23A2" w:rsidRPr="000B23A2" w:rsidRDefault="000B23A2" w:rsidP="00453A3C">
            <w:pPr>
              <w:pStyle w:val="table1"/>
              <w:rPr>
                <w:rFonts w:eastAsia="Arial Unicode MS"/>
              </w:rPr>
            </w:pPr>
            <w:r w:rsidRPr="000B23A2">
              <w:rPr>
                <w:rFonts w:eastAsia="Arial Unicode MS"/>
              </w:rPr>
              <w:t>Observation (O)</w:t>
            </w:r>
          </w:p>
        </w:tc>
        <w:tc>
          <w:tcPr>
            <w:tcW w:w="5670" w:type="dxa"/>
            <w:tcBorders>
              <w:bottom w:val="single" w:sz="6" w:space="0" w:color="999999"/>
            </w:tcBorders>
          </w:tcPr>
          <w:p w:rsidR="000B23A2" w:rsidRPr="000B23A2" w:rsidRDefault="000B23A2" w:rsidP="00453A3C">
            <w:pPr>
              <w:pStyle w:val="table1"/>
              <w:rPr>
                <w:rFonts w:eastAsia="Arial Unicode MS" w:cs="Arial"/>
                <w:spacing w:val="-2"/>
                <w:szCs w:val="18"/>
              </w:rPr>
            </w:pPr>
            <w:r w:rsidRPr="000B23A2">
              <w:rPr>
                <w:rFonts w:eastAsia="Arial Unicode MS" w:cs="Arial"/>
                <w:spacing w:val="-2"/>
                <w:szCs w:val="18"/>
              </w:rPr>
              <w:t>An area that has notably improved or has the potential to be improved, or is outside the scope of the audit but is notable.</w:t>
            </w:r>
          </w:p>
        </w:tc>
      </w:tr>
    </w:tbl>
    <w:p w:rsidR="000A1AFF" w:rsidRDefault="00453A3C" w:rsidP="00453A3C">
      <w:r w:rsidRPr="007867AA">
        <w:t>Findings from the May 2013 environmental audit were followed up through the RPI process over the 2013–14 reporting period. The 2014 environmental audit of the Ranger mine was undertaken in May 2014. RPIs were carried out for each month of the 2013–14 reporting year with the exception of May. Table 3.6 shows the focus areas for the audit and RPIs for the year.</w:t>
      </w:r>
    </w:p>
    <w:p w:rsidR="000A1AFF" w:rsidRPr="007867AA" w:rsidRDefault="000A1AFF" w:rsidP="00453A3C">
      <w:r w:rsidRPr="007867AA">
        <w:t xml:space="preserve"> </w:t>
      </w:r>
    </w:p>
    <w:tbl>
      <w:tblPr>
        <w:tblW w:w="7513" w:type="dxa"/>
        <w:tblInd w:w="108" w:type="dxa"/>
        <w:tblLook w:val="01E0"/>
      </w:tblPr>
      <w:tblGrid>
        <w:gridCol w:w="1701"/>
        <w:gridCol w:w="5812"/>
      </w:tblGrid>
      <w:tr w:rsidR="00453A3C" w:rsidRPr="00453A3C" w:rsidTr="00453A3C">
        <w:tc>
          <w:tcPr>
            <w:tcW w:w="7513" w:type="dxa"/>
            <w:gridSpan w:val="2"/>
            <w:shd w:val="clear" w:color="auto" w:fill="D9D9D9"/>
          </w:tcPr>
          <w:p w:rsidR="00453A3C" w:rsidRPr="00453A3C" w:rsidRDefault="00453A3C" w:rsidP="00453A3C">
            <w:pPr>
              <w:pStyle w:val="tablecaption"/>
              <w:rPr>
                <w:rFonts w:eastAsia="Arial Unicode MS"/>
              </w:rPr>
            </w:pPr>
            <w:bookmarkStart w:id="195" w:name="_Toc272849717"/>
            <w:r w:rsidRPr="00453A3C">
              <w:t>Table 3.6  Audit and RPI</w:t>
            </w:r>
            <w:bookmarkEnd w:id="195"/>
          </w:p>
        </w:tc>
      </w:tr>
      <w:tr w:rsidR="00453A3C" w:rsidRPr="00453A3C" w:rsidTr="00453A3C">
        <w:tc>
          <w:tcPr>
            <w:tcW w:w="1701" w:type="dxa"/>
            <w:tcBorders>
              <w:bottom w:val="single" w:sz="6" w:space="0" w:color="999999"/>
            </w:tcBorders>
          </w:tcPr>
          <w:p w:rsidR="00453A3C" w:rsidRPr="00453A3C" w:rsidRDefault="00453A3C" w:rsidP="00453A3C">
            <w:pPr>
              <w:keepLines/>
              <w:widowControl w:val="0"/>
              <w:autoSpaceDE w:val="0"/>
              <w:autoSpaceDN w:val="0"/>
              <w:adjustRightInd w:val="0"/>
              <w:spacing w:before="80" w:after="80" w:line="220" w:lineRule="atLeast"/>
              <w:ind w:left="34"/>
              <w:rPr>
                <w:rFonts w:ascii="Arial" w:eastAsia="Arial Unicode MS" w:hAnsi="Arial" w:cs="Arial"/>
                <w:b/>
                <w:spacing w:val="-2"/>
                <w:sz w:val="16"/>
                <w:szCs w:val="18"/>
              </w:rPr>
            </w:pPr>
            <w:r w:rsidRPr="00453A3C">
              <w:rPr>
                <w:rFonts w:ascii="Arial" w:eastAsia="Arial Unicode MS" w:hAnsi="Arial" w:cs="Arial"/>
                <w:b/>
                <w:spacing w:val="-2"/>
                <w:sz w:val="16"/>
                <w:szCs w:val="18"/>
              </w:rPr>
              <w:t>Date</w:t>
            </w:r>
          </w:p>
        </w:tc>
        <w:tc>
          <w:tcPr>
            <w:tcW w:w="5812" w:type="dxa"/>
            <w:tcBorders>
              <w:bottom w:val="single" w:sz="6" w:space="0" w:color="999999"/>
            </w:tcBorders>
          </w:tcPr>
          <w:p w:rsidR="00453A3C" w:rsidRPr="00453A3C" w:rsidRDefault="00453A3C" w:rsidP="00453A3C">
            <w:pPr>
              <w:keepLines/>
              <w:widowControl w:val="0"/>
              <w:autoSpaceDE w:val="0"/>
              <w:autoSpaceDN w:val="0"/>
              <w:adjustRightInd w:val="0"/>
              <w:spacing w:before="80" w:after="80" w:line="220" w:lineRule="atLeast"/>
              <w:rPr>
                <w:rFonts w:ascii="Arial" w:eastAsia="Arial Unicode MS" w:hAnsi="Arial" w:cs="Arial"/>
                <w:b/>
                <w:spacing w:val="-2"/>
                <w:sz w:val="16"/>
                <w:szCs w:val="18"/>
              </w:rPr>
            </w:pPr>
            <w:r w:rsidRPr="00453A3C">
              <w:rPr>
                <w:rFonts w:ascii="Arial" w:eastAsia="Arial Unicode MS" w:hAnsi="Arial" w:cs="Arial"/>
                <w:b/>
                <w:spacing w:val="-2"/>
                <w:sz w:val="16"/>
                <w:szCs w:val="18"/>
              </w:rPr>
              <w:t>Foci</w:t>
            </w:r>
          </w:p>
        </w:tc>
      </w:tr>
      <w:tr w:rsidR="00453A3C" w:rsidRPr="00453A3C" w:rsidTr="00453A3C">
        <w:tc>
          <w:tcPr>
            <w:tcW w:w="1701" w:type="dxa"/>
            <w:tcBorders>
              <w:top w:val="single" w:sz="6" w:space="0" w:color="999999"/>
            </w:tcBorders>
          </w:tcPr>
          <w:p w:rsidR="00453A3C" w:rsidRPr="00453A3C" w:rsidRDefault="00453A3C" w:rsidP="00453A3C">
            <w:pPr>
              <w:pStyle w:val="table1"/>
              <w:rPr>
                <w:rFonts w:eastAsia="Arial Unicode MS"/>
              </w:rPr>
            </w:pPr>
            <w:r w:rsidRPr="00453A3C">
              <w:rPr>
                <w:rFonts w:eastAsia="Arial Unicode MS"/>
              </w:rPr>
              <w:t>18 July 2013</w:t>
            </w:r>
          </w:p>
        </w:tc>
        <w:tc>
          <w:tcPr>
            <w:tcW w:w="5812" w:type="dxa"/>
            <w:tcBorders>
              <w:top w:val="single" w:sz="6" w:space="0" w:color="999999"/>
            </w:tcBorders>
          </w:tcPr>
          <w:p w:rsidR="00453A3C" w:rsidRPr="00453A3C" w:rsidRDefault="00453A3C" w:rsidP="00453A3C">
            <w:pPr>
              <w:pStyle w:val="table1"/>
              <w:rPr>
                <w:rFonts w:cs="Arial"/>
                <w:szCs w:val="16"/>
              </w:rPr>
            </w:pPr>
            <w:r w:rsidRPr="00453A3C">
              <w:rPr>
                <w:rFonts w:cs="Arial"/>
                <w:szCs w:val="16"/>
              </w:rPr>
              <w:t>Fine crushing circuit</w:t>
            </w:r>
            <w:r w:rsidR="008E1B18">
              <w:rPr>
                <w:rFonts w:cs="Arial"/>
                <w:szCs w:val="16"/>
              </w:rPr>
              <w:t>, bioremediation area, Pit 1 tip head, land application areas.</w:t>
            </w:r>
          </w:p>
        </w:tc>
      </w:tr>
      <w:tr w:rsidR="00453A3C" w:rsidRPr="00453A3C" w:rsidTr="00453A3C">
        <w:tc>
          <w:tcPr>
            <w:tcW w:w="1701" w:type="dxa"/>
          </w:tcPr>
          <w:p w:rsidR="00453A3C" w:rsidRPr="00453A3C" w:rsidRDefault="00453A3C" w:rsidP="00453A3C">
            <w:pPr>
              <w:pStyle w:val="table1"/>
              <w:rPr>
                <w:rFonts w:eastAsia="Arial Unicode MS"/>
              </w:rPr>
            </w:pPr>
            <w:r w:rsidRPr="00453A3C">
              <w:rPr>
                <w:rFonts w:eastAsia="Arial Unicode MS"/>
              </w:rPr>
              <w:t>15 August 2013</w:t>
            </w:r>
          </w:p>
        </w:tc>
        <w:tc>
          <w:tcPr>
            <w:tcW w:w="5812" w:type="dxa"/>
          </w:tcPr>
          <w:p w:rsidR="00453A3C" w:rsidRPr="00453A3C" w:rsidRDefault="008E1B18" w:rsidP="00453A3C">
            <w:pPr>
              <w:pStyle w:val="table1"/>
              <w:rPr>
                <w:rFonts w:cs="Arial"/>
                <w:szCs w:val="16"/>
              </w:rPr>
            </w:pPr>
            <w:r>
              <w:rPr>
                <w:rFonts w:cs="Arial"/>
                <w:szCs w:val="16"/>
              </w:rPr>
              <w:t>Brine concentrator, surface exploration area 19, western stockpiles.</w:t>
            </w:r>
          </w:p>
        </w:tc>
      </w:tr>
      <w:tr w:rsidR="00453A3C" w:rsidRPr="00453A3C" w:rsidTr="00453A3C">
        <w:tc>
          <w:tcPr>
            <w:tcW w:w="1701" w:type="dxa"/>
          </w:tcPr>
          <w:p w:rsidR="00453A3C" w:rsidRPr="00453A3C" w:rsidRDefault="00453A3C" w:rsidP="00453A3C">
            <w:pPr>
              <w:pStyle w:val="table1"/>
              <w:rPr>
                <w:rFonts w:eastAsia="Arial Unicode MS"/>
              </w:rPr>
            </w:pPr>
            <w:r w:rsidRPr="00453A3C">
              <w:rPr>
                <w:rFonts w:eastAsia="Arial Unicode MS"/>
              </w:rPr>
              <w:t>19 September 2013</w:t>
            </w:r>
          </w:p>
        </w:tc>
        <w:tc>
          <w:tcPr>
            <w:tcW w:w="5812" w:type="dxa"/>
          </w:tcPr>
          <w:p w:rsidR="00453A3C" w:rsidRPr="00453A3C" w:rsidRDefault="00453A3C" w:rsidP="00453A3C">
            <w:pPr>
              <w:pStyle w:val="table1"/>
              <w:rPr>
                <w:rFonts w:cs="Arial"/>
                <w:szCs w:val="16"/>
              </w:rPr>
            </w:pPr>
            <w:r w:rsidRPr="00453A3C">
              <w:rPr>
                <w:rFonts w:cs="Arial"/>
                <w:szCs w:val="16"/>
              </w:rPr>
              <w:t>R3 Deeps exploration decline</w:t>
            </w:r>
            <w:r w:rsidR="008E1B18">
              <w:rPr>
                <w:rFonts w:cs="Arial"/>
                <w:szCs w:val="16"/>
              </w:rPr>
              <w:t>, CCD corridor, Pit 1.</w:t>
            </w:r>
          </w:p>
        </w:tc>
      </w:tr>
      <w:tr w:rsidR="00453A3C" w:rsidRPr="00453A3C" w:rsidTr="00453A3C">
        <w:tc>
          <w:tcPr>
            <w:tcW w:w="1701" w:type="dxa"/>
          </w:tcPr>
          <w:p w:rsidR="00453A3C" w:rsidRPr="00453A3C" w:rsidRDefault="00453A3C" w:rsidP="00453A3C">
            <w:pPr>
              <w:pStyle w:val="table1"/>
              <w:rPr>
                <w:rFonts w:eastAsia="Arial Unicode MS"/>
              </w:rPr>
            </w:pPr>
            <w:r w:rsidRPr="00453A3C">
              <w:rPr>
                <w:rFonts w:eastAsia="Arial Unicode MS"/>
              </w:rPr>
              <w:t>17 October 2013</w:t>
            </w:r>
          </w:p>
        </w:tc>
        <w:tc>
          <w:tcPr>
            <w:tcW w:w="5812" w:type="dxa"/>
          </w:tcPr>
          <w:p w:rsidR="00453A3C" w:rsidRPr="00453A3C" w:rsidRDefault="00453A3C" w:rsidP="00453A3C">
            <w:pPr>
              <w:pStyle w:val="table1"/>
              <w:rPr>
                <w:rFonts w:cs="Arial"/>
                <w:szCs w:val="16"/>
              </w:rPr>
            </w:pPr>
            <w:r w:rsidRPr="00453A3C">
              <w:rPr>
                <w:rFonts w:cs="Arial"/>
                <w:szCs w:val="16"/>
              </w:rPr>
              <w:t>TSF contingency transfer system</w:t>
            </w:r>
            <w:r w:rsidR="000A4F40">
              <w:rPr>
                <w:rFonts w:cs="Arial"/>
                <w:szCs w:val="16"/>
              </w:rPr>
              <w:t>, Pit 1 backfill, GCBR, fine grinding, RP2</w:t>
            </w:r>
            <w:r w:rsidRPr="00453A3C">
              <w:rPr>
                <w:rFonts w:cs="Arial"/>
                <w:szCs w:val="16"/>
              </w:rPr>
              <w:t>.</w:t>
            </w:r>
          </w:p>
        </w:tc>
      </w:tr>
      <w:tr w:rsidR="00453A3C" w:rsidRPr="00453A3C" w:rsidTr="00453A3C">
        <w:tc>
          <w:tcPr>
            <w:tcW w:w="1701" w:type="dxa"/>
          </w:tcPr>
          <w:p w:rsidR="00453A3C" w:rsidRPr="00453A3C" w:rsidRDefault="00453A3C" w:rsidP="00453A3C">
            <w:pPr>
              <w:pStyle w:val="table1"/>
              <w:rPr>
                <w:rFonts w:eastAsia="Arial Unicode MS"/>
              </w:rPr>
            </w:pPr>
            <w:r w:rsidRPr="00453A3C">
              <w:rPr>
                <w:rFonts w:eastAsia="Arial Unicode MS"/>
              </w:rPr>
              <w:t>14 November 2013</w:t>
            </w:r>
          </w:p>
        </w:tc>
        <w:tc>
          <w:tcPr>
            <w:tcW w:w="5812" w:type="dxa"/>
          </w:tcPr>
          <w:p w:rsidR="00453A3C" w:rsidRPr="00453A3C" w:rsidRDefault="000A4F40" w:rsidP="00453A3C">
            <w:pPr>
              <w:pStyle w:val="table1"/>
              <w:rPr>
                <w:rFonts w:cs="Arial"/>
                <w:szCs w:val="16"/>
              </w:rPr>
            </w:pPr>
            <w:r>
              <w:rPr>
                <w:rFonts w:cs="Arial"/>
                <w:szCs w:val="16"/>
              </w:rPr>
              <w:t xml:space="preserve">Pit 3 levee, surface exploration, brine concentrator, </w:t>
            </w:r>
            <w:r>
              <w:rPr>
                <w:rFonts w:eastAsia="Arial Unicode MS" w:cs="Arial"/>
                <w:spacing w:val="-2"/>
                <w:szCs w:val="18"/>
              </w:rPr>
              <w:t>t</w:t>
            </w:r>
            <w:r w:rsidRPr="00453A3C">
              <w:rPr>
                <w:rFonts w:eastAsia="Arial Unicode MS" w:cs="Arial"/>
                <w:spacing w:val="-2"/>
                <w:szCs w:val="18"/>
              </w:rPr>
              <w:t>ailings storage facility</w:t>
            </w:r>
            <w:r>
              <w:rPr>
                <w:rFonts w:cs="Arial"/>
                <w:szCs w:val="16"/>
              </w:rPr>
              <w:t xml:space="preserve"> (TSF) contingency pumping, Pit 1 backfill, GCBR/CCWLF status</w:t>
            </w:r>
            <w:r w:rsidR="00DF3690">
              <w:rPr>
                <w:rFonts w:cs="Arial"/>
                <w:szCs w:val="16"/>
              </w:rPr>
              <w:t>.</w:t>
            </w:r>
          </w:p>
        </w:tc>
      </w:tr>
      <w:tr w:rsidR="00453A3C" w:rsidRPr="00453A3C" w:rsidTr="00453A3C">
        <w:tc>
          <w:tcPr>
            <w:tcW w:w="1701" w:type="dxa"/>
          </w:tcPr>
          <w:p w:rsidR="00453A3C" w:rsidRPr="00453A3C" w:rsidRDefault="00453A3C" w:rsidP="00453A3C">
            <w:pPr>
              <w:pStyle w:val="table1"/>
              <w:rPr>
                <w:rFonts w:eastAsia="Arial Unicode MS"/>
              </w:rPr>
            </w:pPr>
            <w:r w:rsidRPr="00453A3C">
              <w:rPr>
                <w:rFonts w:eastAsia="Arial Unicode MS"/>
              </w:rPr>
              <w:t>12 December 2013</w:t>
            </w:r>
          </w:p>
        </w:tc>
        <w:tc>
          <w:tcPr>
            <w:tcW w:w="5812" w:type="dxa"/>
          </w:tcPr>
          <w:p w:rsidR="00453A3C" w:rsidRPr="00453A3C" w:rsidRDefault="00453A3C" w:rsidP="00453A3C">
            <w:pPr>
              <w:pStyle w:val="table1"/>
              <w:rPr>
                <w:rFonts w:cs="Arial"/>
                <w:szCs w:val="16"/>
              </w:rPr>
            </w:pPr>
            <w:r w:rsidRPr="00453A3C">
              <w:rPr>
                <w:rFonts w:cs="Arial"/>
                <w:szCs w:val="16"/>
              </w:rPr>
              <w:t>Leach tank incident area.</w:t>
            </w:r>
          </w:p>
        </w:tc>
      </w:tr>
      <w:tr w:rsidR="00453A3C" w:rsidRPr="00453A3C" w:rsidTr="00453A3C">
        <w:tc>
          <w:tcPr>
            <w:tcW w:w="1701" w:type="dxa"/>
          </w:tcPr>
          <w:p w:rsidR="00453A3C" w:rsidRPr="00453A3C" w:rsidRDefault="00453A3C" w:rsidP="00453A3C">
            <w:pPr>
              <w:pStyle w:val="table1"/>
              <w:rPr>
                <w:rFonts w:eastAsia="Arial Unicode MS"/>
              </w:rPr>
            </w:pPr>
            <w:r w:rsidRPr="00453A3C">
              <w:rPr>
                <w:rFonts w:eastAsia="Arial Unicode MS"/>
              </w:rPr>
              <w:t>16 January 2014</w:t>
            </w:r>
          </w:p>
        </w:tc>
        <w:tc>
          <w:tcPr>
            <w:tcW w:w="5812" w:type="dxa"/>
          </w:tcPr>
          <w:p w:rsidR="00453A3C" w:rsidRPr="00453A3C" w:rsidRDefault="008E1B18" w:rsidP="00453A3C">
            <w:pPr>
              <w:pStyle w:val="table1"/>
              <w:rPr>
                <w:rFonts w:eastAsia="Arial Unicode MS" w:cs="Arial"/>
                <w:spacing w:val="-2"/>
                <w:szCs w:val="16"/>
              </w:rPr>
            </w:pPr>
            <w:r>
              <w:rPr>
                <w:rFonts w:eastAsia="Arial Unicode MS" w:cs="Arial"/>
                <w:spacing w:val="-2"/>
                <w:szCs w:val="16"/>
              </w:rPr>
              <w:t>Leach tank incident cleanup, s</w:t>
            </w:r>
            <w:r w:rsidR="00453A3C" w:rsidRPr="00453A3C">
              <w:rPr>
                <w:rFonts w:eastAsia="Arial Unicode MS" w:cs="Arial"/>
                <w:spacing w:val="-2"/>
                <w:szCs w:val="16"/>
              </w:rPr>
              <w:t>outhern stockpile drainage, GC2 doppler installation, TSF contingency pump system, Pit 3 backfill, Pit 3 levee, bulk diesel unloading facility.</w:t>
            </w:r>
          </w:p>
        </w:tc>
      </w:tr>
      <w:tr w:rsidR="00453A3C" w:rsidRPr="00453A3C" w:rsidTr="00453A3C">
        <w:tc>
          <w:tcPr>
            <w:tcW w:w="1701" w:type="dxa"/>
          </w:tcPr>
          <w:p w:rsidR="00453A3C" w:rsidRPr="00453A3C" w:rsidRDefault="00453A3C" w:rsidP="00453A3C">
            <w:pPr>
              <w:pStyle w:val="table1"/>
              <w:rPr>
                <w:rFonts w:eastAsia="Arial Unicode MS"/>
              </w:rPr>
            </w:pPr>
            <w:r w:rsidRPr="00453A3C">
              <w:rPr>
                <w:rFonts w:eastAsia="Arial Unicode MS"/>
              </w:rPr>
              <w:t>20 February 2014</w:t>
            </w:r>
          </w:p>
        </w:tc>
        <w:tc>
          <w:tcPr>
            <w:tcW w:w="5812" w:type="dxa"/>
          </w:tcPr>
          <w:p w:rsidR="00453A3C" w:rsidRPr="00453A3C" w:rsidRDefault="00453A3C" w:rsidP="00453A3C">
            <w:pPr>
              <w:pStyle w:val="table1"/>
              <w:rPr>
                <w:rFonts w:eastAsia="Arial Unicode MS" w:cs="Arial"/>
                <w:iCs/>
                <w:spacing w:val="-2"/>
                <w:szCs w:val="18"/>
              </w:rPr>
            </w:pPr>
            <w:r w:rsidRPr="00453A3C">
              <w:rPr>
                <w:rFonts w:eastAsia="Arial Unicode MS" w:cs="Arial"/>
                <w:iCs/>
                <w:spacing w:val="-2"/>
                <w:szCs w:val="18"/>
              </w:rPr>
              <w:t>Leach tank incident cleanup, levee borrow pit pumping, GCMBL/GCBR, TWWS sump, GCT2 area, Pit 1.</w:t>
            </w:r>
          </w:p>
        </w:tc>
      </w:tr>
      <w:tr w:rsidR="00453A3C" w:rsidRPr="00453A3C" w:rsidTr="00453A3C">
        <w:tc>
          <w:tcPr>
            <w:tcW w:w="1701" w:type="dxa"/>
          </w:tcPr>
          <w:p w:rsidR="00453A3C" w:rsidRPr="00453A3C" w:rsidRDefault="00453A3C" w:rsidP="00453A3C">
            <w:pPr>
              <w:pStyle w:val="table1"/>
              <w:rPr>
                <w:rFonts w:eastAsia="Arial Unicode MS"/>
              </w:rPr>
            </w:pPr>
            <w:r w:rsidRPr="00453A3C">
              <w:rPr>
                <w:rFonts w:eastAsia="Arial Unicode MS"/>
              </w:rPr>
              <w:t>20 March 2014</w:t>
            </w:r>
          </w:p>
        </w:tc>
        <w:tc>
          <w:tcPr>
            <w:tcW w:w="5812" w:type="dxa"/>
          </w:tcPr>
          <w:p w:rsidR="00453A3C" w:rsidRPr="00453A3C" w:rsidRDefault="00453A3C" w:rsidP="00453A3C">
            <w:pPr>
              <w:pStyle w:val="table1"/>
              <w:rPr>
                <w:rFonts w:eastAsia="Arial Unicode MS" w:cs="Arial"/>
                <w:spacing w:val="-2"/>
                <w:szCs w:val="18"/>
              </w:rPr>
            </w:pPr>
            <w:r w:rsidRPr="00453A3C">
              <w:rPr>
                <w:rFonts w:eastAsia="Arial Unicode MS" w:cs="Arial"/>
                <w:spacing w:val="-2"/>
                <w:szCs w:val="18"/>
              </w:rPr>
              <w:t>Leach tank incident, exploration decline, brine concentrator.</w:t>
            </w:r>
          </w:p>
        </w:tc>
      </w:tr>
      <w:tr w:rsidR="00453A3C" w:rsidRPr="00453A3C" w:rsidTr="00453A3C">
        <w:tc>
          <w:tcPr>
            <w:tcW w:w="1701" w:type="dxa"/>
          </w:tcPr>
          <w:p w:rsidR="00453A3C" w:rsidRPr="00453A3C" w:rsidRDefault="00453A3C" w:rsidP="00453A3C">
            <w:pPr>
              <w:pStyle w:val="table1"/>
              <w:rPr>
                <w:rFonts w:eastAsia="Arial Unicode MS"/>
              </w:rPr>
            </w:pPr>
            <w:r w:rsidRPr="00453A3C">
              <w:rPr>
                <w:rFonts w:eastAsia="Arial Unicode MS"/>
              </w:rPr>
              <w:t>10 April 2014</w:t>
            </w:r>
          </w:p>
        </w:tc>
        <w:tc>
          <w:tcPr>
            <w:tcW w:w="5812" w:type="dxa"/>
          </w:tcPr>
          <w:p w:rsidR="00453A3C" w:rsidRPr="00453A3C" w:rsidRDefault="000A4F40" w:rsidP="00453A3C">
            <w:pPr>
              <w:pStyle w:val="table1"/>
              <w:rPr>
                <w:rFonts w:eastAsia="Arial Unicode MS" w:cs="Arial"/>
                <w:spacing w:val="-2"/>
                <w:szCs w:val="18"/>
              </w:rPr>
            </w:pPr>
            <w:r>
              <w:rPr>
                <w:rFonts w:eastAsia="Arial Unicode MS" w:cs="Arial"/>
                <w:spacing w:val="-2"/>
                <w:szCs w:val="18"/>
              </w:rPr>
              <w:t>TSF</w:t>
            </w:r>
            <w:r w:rsidR="00453A3C" w:rsidRPr="00453A3C">
              <w:rPr>
                <w:rFonts w:eastAsia="Arial Unicode MS" w:cs="Arial"/>
                <w:spacing w:val="-2"/>
                <w:szCs w:val="18"/>
              </w:rPr>
              <w:t>, GCT2 ar</w:t>
            </w:r>
            <w:r>
              <w:rPr>
                <w:rFonts w:eastAsia="Arial Unicode MS" w:cs="Arial"/>
                <w:spacing w:val="-2"/>
                <w:szCs w:val="18"/>
              </w:rPr>
              <w:t>ea water management, Pit 3 back</w:t>
            </w:r>
            <w:r w:rsidR="00453A3C" w:rsidRPr="00453A3C">
              <w:rPr>
                <w:rFonts w:eastAsia="Arial Unicode MS" w:cs="Arial"/>
                <w:spacing w:val="-2"/>
                <w:szCs w:val="18"/>
              </w:rPr>
              <w:t>fill, Simon Carves yard.</w:t>
            </w:r>
          </w:p>
        </w:tc>
      </w:tr>
      <w:tr w:rsidR="00453A3C" w:rsidRPr="00453A3C" w:rsidTr="00453A3C">
        <w:tc>
          <w:tcPr>
            <w:tcW w:w="1701" w:type="dxa"/>
          </w:tcPr>
          <w:p w:rsidR="00453A3C" w:rsidRPr="00453A3C" w:rsidRDefault="00453A3C" w:rsidP="00453A3C">
            <w:pPr>
              <w:pStyle w:val="table1"/>
              <w:rPr>
                <w:rFonts w:eastAsia="Arial Unicode MS"/>
              </w:rPr>
            </w:pPr>
            <w:r w:rsidRPr="00453A3C">
              <w:rPr>
                <w:rFonts w:eastAsia="Arial Unicode MS"/>
              </w:rPr>
              <w:t>12–15 May 2014</w:t>
            </w:r>
          </w:p>
        </w:tc>
        <w:tc>
          <w:tcPr>
            <w:tcW w:w="5812" w:type="dxa"/>
            <w:shd w:val="clear" w:color="auto" w:fill="auto"/>
          </w:tcPr>
          <w:p w:rsidR="00453A3C" w:rsidRPr="00453A3C" w:rsidRDefault="00453A3C" w:rsidP="00453A3C">
            <w:pPr>
              <w:pStyle w:val="table1"/>
              <w:rPr>
                <w:rFonts w:eastAsia="Arial Unicode MS" w:cs="Arial"/>
                <w:spacing w:val="-2"/>
                <w:szCs w:val="18"/>
              </w:rPr>
            </w:pPr>
            <w:r w:rsidRPr="00453A3C">
              <w:rPr>
                <w:rFonts w:eastAsia="Arial Unicode MS" w:cs="Arial"/>
                <w:spacing w:val="-2"/>
                <w:szCs w:val="18"/>
              </w:rPr>
              <w:t>Audit: 2014 Ranger Radiation Protection Program, actions arising from the Light Vehicle Incident 03 November 2013, 2013 Surface Exploration Program, 2013 1 Year Weed Management Plan.</w:t>
            </w:r>
          </w:p>
        </w:tc>
      </w:tr>
      <w:tr w:rsidR="00453A3C" w:rsidRPr="00453A3C" w:rsidTr="00453A3C">
        <w:tc>
          <w:tcPr>
            <w:tcW w:w="1701" w:type="dxa"/>
            <w:tcBorders>
              <w:bottom w:val="single" w:sz="8" w:space="0" w:color="BFBFBF" w:themeColor="background1" w:themeShade="BF"/>
            </w:tcBorders>
          </w:tcPr>
          <w:p w:rsidR="00453A3C" w:rsidRPr="00453A3C" w:rsidRDefault="00453A3C" w:rsidP="00453A3C">
            <w:pPr>
              <w:pStyle w:val="table1"/>
              <w:rPr>
                <w:rFonts w:eastAsia="Arial Unicode MS"/>
              </w:rPr>
            </w:pPr>
            <w:r w:rsidRPr="00453A3C">
              <w:rPr>
                <w:rFonts w:eastAsia="Arial Unicode MS"/>
              </w:rPr>
              <w:t>19 June 2014</w:t>
            </w:r>
          </w:p>
        </w:tc>
        <w:tc>
          <w:tcPr>
            <w:tcW w:w="5812" w:type="dxa"/>
            <w:tcBorders>
              <w:bottom w:val="single" w:sz="8" w:space="0" w:color="BFBFBF" w:themeColor="background1" w:themeShade="BF"/>
            </w:tcBorders>
            <w:shd w:val="clear" w:color="auto" w:fill="auto"/>
          </w:tcPr>
          <w:p w:rsidR="00453A3C" w:rsidRPr="00453A3C" w:rsidRDefault="00453A3C" w:rsidP="00453A3C">
            <w:pPr>
              <w:pStyle w:val="table1"/>
              <w:rPr>
                <w:rFonts w:eastAsia="Arial Unicode MS" w:cs="Arial"/>
                <w:spacing w:val="-2"/>
                <w:szCs w:val="18"/>
              </w:rPr>
            </w:pPr>
            <w:r w:rsidRPr="00453A3C">
              <w:rPr>
                <w:rFonts w:eastAsia="Arial Unicode MS" w:cs="Arial"/>
                <w:spacing w:val="-2"/>
                <w:szCs w:val="18"/>
              </w:rPr>
              <w:t>TSF dredge ramp, Pit 3 levee, vent rise, Pit 3 backfill.</w:t>
            </w:r>
          </w:p>
        </w:tc>
      </w:tr>
    </w:tbl>
    <w:p w:rsidR="00453A3C" w:rsidRPr="00453A3C" w:rsidRDefault="00453A3C" w:rsidP="00453A3C">
      <w:pPr>
        <w:pStyle w:val="Heading5"/>
      </w:pPr>
      <w:r w:rsidRPr="00453A3C">
        <w:t>Audit outcomes</w:t>
      </w:r>
    </w:p>
    <w:p w:rsidR="00453A3C" w:rsidRPr="00453A3C" w:rsidRDefault="00453A3C" w:rsidP="00926038">
      <w:pPr>
        <w:pStyle w:val="Heading6"/>
      </w:pPr>
      <w:r w:rsidRPr="00453A3C">
        <w:t>Closeout of findings from the May 2013 environmental audit</w:t>
      </w:r>
    </w:p>
    <w:p w:rsidR="00453A3C" w:rsidRPr="00453A3C" w:rsidRDefault="00453A3C" w:rsidP="00453A3C">
      <w:r w:rsidRPr="00453A3C">
        <w:t xml:space="preserve">The May 2013 annual environmental audit delivered </w:t>
      </w:r>
      <w:r w:rsidR="00DF3690">
        <w:t>one</w:t>
      </w:r>
      <w:r w:rsidRPr="00453A3C">
        <w:t xml:space="preserve"> category </w:t>
      </w:r>
      <w:r w:rsidR="00DF3690">
        <w:t>two</w:t>
      </w:r>
      <w:r w:rsidRPr="00453A3C">
        <w:t xml:space="preserve"> </w:t>
      </w:r>
      <w:r w:rsidR="00DF3690">
        <w:t>N</w:t>
      </w:r>
      <w:r w:rsidRPr="00453A3C">
        <w:t>on-</w:t>
      </w:r>
      <w:r w:rsidR="00DF3690">
        <w:t>C</w:t>
      </w:r>
      <w:r w:rsidRPr="00453A3C">
        <w:t>onformance (see Table 3.5 for definitions). This was followed up via the monthly RPI process and closed out prior to the 2014 annual audit.</w:t>
      </w:r>
    </w:p>
    <w:p w:rsidR="00453A3C" w:rsidRPr="00453A3C" w:rsidRDefault="00453A3C" w:rsidP="00926038">
      <w:pPr>
        <w:pStyle w:val="Heading5"/>
      </w:pPr>
      <w:r w:rsidRPr="00453A3C">
        <w:t>May 2014 environmental audit</w:t>
      </w:r>
    </w:p>
    <w:p w:rsidR="00453A3C" w:rsidRPr="00453A3C" w:rsidRDefault="00453A3C" w:rsidP="00453A3C">
      <w:r w:rsidRPr="00453A3C">
        <w:t>The 2014 environmental audi</w:t>
      </w:r>
      <w:r w:rsidR="00926038">
        <w:t>t of Ranger mine was held on 12–</w:t>
      </w:r>
      <w:r w:rsidRPr="00453A3C">
        <w:t>15 May 2014. The audit team was made up of representatives from the NLC, DME, GAC and SSD. The following documents were the subject of the 2014 audit:</w:t>
      </w:r>
    </w:p>
    <w:p w:rsidR="00453A3C" w:rsidRPr="00453A3C" w:rsidRDefault="00453A3C" w:rsidP="00453A3C">
      <w:pPr>
        <w:pStyle w:val="bulletlist1"/>
      </w:pPr>
      <w:r w:rsidRPr="00453A3C">
        <w:t>2014 Ranger Radiation Protection Program</w:t>
      </w:r>
    </w:p>
    <w:p w:rsidR="00453A3C" w:rsidRPr="00453A3C" w:rsidRDefault="00453A3C" w:rsidP="00453A3C">
      <w:pPr>
        <w:pStyle w:val="bulletlist1"/>
      </w:pPr>
      <w:r w:rsidRPr="00453A3C">
        <w:t>Actions arising from the Light Vehicle Incident 03 November 2013 comprising</w:t>
      </w:r>
      <w:r w:rsidR="00DF3690">
        <w:t>:</w:t>
      </w:r>
    </w:p>
    <w:p w:rsidR="00453A3C" w:rsidRPr="00CE14D3" w:rsidRDefault="00453A3C" w:rsidP="00CE14D3">
      <w:pPr>
        <w:pStyle w:val="bulletlist2"/>
      </w:pPr>
      <w:r w:rsidRPr="00CE14D3">
        <w:t>ERA’s list of improvements submitted to DME on 24 December 2013</w:t>
      </w:r>
    </w:p>
    <w:p w:rsidR="00453A3C" w:rsidRPr="00CE14D3" w:rsidRDefault="00453A3C" w:rsidP="00CE14D3">
      <w:pPr>
        <w:pStyle w:val="bulletlist2"/>
      </w:pPr>
      <w:r w:rsidRPr="00CE14D3">
        <w:t>DME’s letter to ERA sent 11 March 2014</w:t>
      </w:r>
    </w:p>
    <w:p w:rsidR="00453A3C" w:rsidRPr="00453A3C" w:rsidRDefault="00453A3C" w:rsidP="00453A3C">
      <w:pPr>
        <w:pStyle w:val="bulletlist1"/>
      </w:pPr>
      <w:r w:rsidRPr="00453A3C">
        <w:t>2013 Surface Exploration Program</w:t>
      </w:r>
    </w:p>
    <w:p w:rsidR="00453A3C" w:rsidRPr="00453A3C" w:rsidRDefault="00453A3C" w:rsidP="00453A3C">
      <w:pPr>
        <w:pStyle w:val="bulletlist1"/>
      </w:pPr>
      <w:r w:rsidRPr="00453A3C">
        <w:t xml:space="preserve">2013 </w:t>
      </w:r>
      <w:r>
        <w:t>One Y</w:t>
      </w:r>
      <w:r w:rsidRPr="00453A3C">
        <w:t>ear Weed Management Plan</w:t>
      </w:r>
    </w:p>
    <w:p w:rsidR="00453A3C" w:rsidRPr="00453A3C" w:rsidRDefault="007A154E" w:rsidP="00453A3C">
      <w:r>
        <w:t>One hundred and thirty one</w:t>
      </w:r>
      <w:r w:rsidR="00453A3C" w:rsidRPr="00453A3C">
        <w:t xml:space="preserve"> commitments taken from the above documents and communications were audited against the grading system shown in Table 2.5. The following significant findings were determined:  </w:t>
      </w:r>
    </w:p>
    <w:p w:rsidR="00453A3C" w:rsidRPr="00453A3C" w:rsidRDefault="007E026F" w:rsidP="00453A3C">
      <w:pPr>
        <w:pStyle w:val="bulletlist1"/>
      </w:pPr>
      <w:r>
        <w:t>Four</w:t>
      </w:r>
      <w:r w:rsidR="00453A3C" w:rsidRPr="00453A3C">
        <w:t xml:space="preserve"> </w:t>
      </w:r>
      <w:r w:rsidR="00DF3690">
        <w:t>C</w:t>
      </w:r>
      <w:r w:rsidR="00453A3C" w:rsidRPr="00453A3C">
        <w:t>ategory</w:t>
      </w:r>
      <w:r w:rsidR="00DF3690">
        <w:t>2</w:t>
      </w:r>
      <w:r w:rsidR="00453A3C" w:rsidRPr="00453A3C">
        <w:t xml:space="preserve"> </w:t>
      </w:r>
      <w:r w:rsidR="00DF3690">
        <w:t>N</w:t>
      </w:r>
      <w:r w:rsidR="00453A3C" w:rsidRPr="00453A3C">
        <w:t>on-</w:t>
      </w:r>
      <w:r w:rsidR="00DF3690">
        <w:t>C</w:t>
      </w:r>
      <w:r w:rsidR="00453A3C" w:rsidRPr="00453A3C">
        <w:t>onformances</w:t>
      </w:r>
    </w:p>
    <w:p w:rsidR="00453A3C" w:rsidRPr="00CE14D3" w:rsidRDefault="00453A3C" w:rsidP="00CE14D3">
      <w:pPr>
        <w:pStyle w:val="bulletlist2"/>
      </w:pPr>
      <w:r w:rsidRPr="00CE14D3">
        <w:t>a non-exempt radioactive source omitted from the source inventory</w:t>
      </w:r>
    </w:p>
    <w:p w:rsidR="00453A3C" w:rsidRPr="00CE14D3" w:rsidRDefault="00453A3C" w:rsidP="00CE14D3">
      <w:pPr>
        <w:pStyle w:val="bulletlist2"/>
      </w:pPr>
      <w:r w:rsidRPr="00CE14D3">
        <w:t>no formal process for recording random radiation checks</w:t>
      </w:r>
    </w:p>
    <w:p w:rsidR="00453A3C" w:rsidRPr="00CE14D3" w:rsidRDefault="00453A3C" w:rsidP="00CE14D3">
      <w:pPr>
        <w:pStyle w:val="bulletlist2"/>
      </w:pPr>
      <w:r w:rsidRPr="00CE14D3">
        <w:t>no signage on laboratory radioactive source store room</w:t>
      </w:r>
    </w:p>
    <w:p w:rsidR="00453A3C" w:rsidRPr="00CE14D3" w:rsidRDefault="00453A3C" w:rsidP="00CE14D3">
      <w:pPr>
        <w:pStyle w:val="bulletlist2"/>
      </w:pPr>
      <w:proofErr w:type="gramStart"/>
      <w:r w:rsidRPr="00CE14D3">
        <w:t>no</w:t>
      </w:r>
      <w:proofErr w:type="gramEnd"/>
      <w:r w:rsidRPr="00CE14D3">
        <w:t xml:space="preserve"> surface radiation management of exploration drill sites.</w:t>
      </w:r>
    </w:p>
    <w:p w:rsidR="00453A3C" w:rsidRPr="00453A3C" w:rsidRDefault="00453A3C" w:rsidP="00CE14D3">
      <w:pPr>
        <w:pStyle w:val="bulletlist1"/>
      </w:pPr>
      <w:r w:rsidRPr="00453A3C">
        <w:t>Twenty</w:t>
      </w:r>
      <w:r w:rsidR="007E026F">
        <w:t xml:space="preserve"> two</w:t>
      </w:r>
      <w:r w:rsidRPr="00453A3C">
        <w:t xml:space="preserve"> conditional findings</w:t>
      </w:r>
    </w:p>
    <w:p w:rsidR="00453A3C" w:rsidRDefault="00453A3C" w:rsidP="00453A3C">
      <w:r w:rsidRPr="00453A3C">
        <w:t>The audit team provided a further 3</w:t>
      </w:r>
      <w:r w:rsidR="007E026F">
        <w:t>7</w:t>
      </w:r>
      <w:r w:rsidRPr="00453A3C">
        <w:t xml:space="preserve"> observations throughout the audit and reported to ERA in the closing meeting and via an audit report. All other findings were ranked as acceptable or not verified. SSD will continue to follow up on all identified issues and ensure the close-out of corrective actions through the RPI process.</w:t>
      </w:r>
    </w:p>
    <w:p w:rsidR="00070899" w:rsidRPr="00070899" w:rsidRDefault="00070899" w:rsidP="00070899">
      <w:pPr>
        <w:pStyle w:val="Heading4"/>
      </w:pPr>
      <w:bookmarkStart w:id="196" w:name="_Toc107109480"/>
      <w:r w:rsidRPr="00070899">
        <w:t>3.2.2.4</w:t>
      </w:r>
      <w:r w:rsidRPr="00070899">
        <w:tab/>
        <w:t>Minesite Technical Committee</w:t>
      </w:r>
      <w:bookmarkEnd w:id="196"/>
    </w:p>
    <w:p w:rsidR="00726AEE" w:rsidRDefault="00070899" w:rsidP="00726AEE">
      <w:r w:rsidRPr="00070899">
        <w:t xml:space="preserve">The Ranger MTC met six times during 2013–14. Dates of meetings and issues discussed are shown in Table 3.7. </w:t>
      </w:r>
      <w:r w:rsidR="00726AEE" w:rsidRPr="00AC5A83">
        <w:t xml:space="preserve">Significant agenda items discussed at MTCs included updates from ERA on site activities including water management and inventories, exploration decline and brine concentrator projects, TSF to Pit 3 tailings dredging, updates from the Ranger Closure Criteria Working Group, the findings of the Independent Surface Water Working Group, Pit 3 levee, Pit 3 backfill and Pit 1 preload. The Ranger MTC meeting of 13 December 2013 was specially convened to discuss the Leach Tank incident of 7 December 2013. </w:t>
      </w:r>
    </w:p>
    <w:p w:rsidR="00726AEE" w:rsidRPr="00BE0FF4" w:rsidRDefault="00726AEE" w:rsidP="00726AEE">
      <w:pPr>
        <w:pStyle w:val="Heading4"/>
      </w:pPr>
      <w:r w:rsidRPr="00BE0FF4">
        <w:t>3.2.2.5</w:t>
      </w:r>
      <w:r w:rsidRPr="00BE0FF4">
        <w:tab/>
        <w:t>Authorisations and approvals</w:t>
      </w:r>
    </w:p>
    <w:p w:rsidR="00726AEE" w:rsidRPr="00BE0FF4" w:rsidRDefault="00726AEE" w:rsidP="00726AEE">
      <w:r w:rsidRPr="00BE0FF4">
        <w:t>There were no changes to the Ranger Authorisation during the reporting period.</w:t>
      </w:r>
    </w:p>
    <w:p w:rsidR="00726AEE" w:rsidRPr="00BE0FF4" w:rsidRDefault="00726AEE" w:rsidP="00726AEE">
      <w:r w:rsidRPr="00BE0FF4">
        <w:t>The following applications were approved by the MTC during the reporting period:</w:t>
      </w:r>
    </w:p>
    <w:p w:rsidR="00726AEE" w:rsidRPr="00BE0FF4" w:rsidRDefault="00726AEE" w:rsidP="00726AEE">
      <w:pPr>
        <w:pStyle w:val="bulletlist1"/>
      </w:pPr>
      <w:r w:rsidRPr="00BE0FF4">
        <w:t>Pit 1 pre-load stage 2 (July 2013)</w:t>
      </w:r>
    </w:p>
    <w:p w:rsidR="00726AEE" w:rsidRPr="00BE0FF4" w:rsidRDefault="00726AEE" w:rsidP="00726AEE">
      <w:pPr>
        <w:pStyle w:val="bulletlist1"/>
      </w:pPr>
      <w:r w:rsidRPr="00BE0FF4">
        <w:t>Approval to discharge brine concentrator distillate</w:t>
      </w:r>
    </w:p>
    <w:p w:rsidR="00726AEE" w:rsidRPr="00BE0FF4" w:rsidRDefault="00726AEE" w:rsidP="00726AEE">
      <w:pPr>
        <w:pStyle w:val="bulletlist2"/>
      </w:pPr>
      <w:r w:rsidRPr="00BE0FF4">
        <w:t>to RP2 (September 2013)</w:t>
      </w:r>
    </w:p>
    <w:p w:rsidR="00726AEE" w:rsidRPr="00BE0FF4" w:rsidRDefault="00726AEE" w:rsidP="00726AEE">
      <w:pPr>
        <w:pStyle w:val="bulletlist2"/>
      </w:pPr>
      <w:r w:rsidRPr="00BE0FF4">
        <w:t xml:space="preserve">to </w:t>
      </w:r>
      <w:r w:rsidR="00B67D7B" w:rsidRPr="009C7C2D">
        <w:t>Corridor Creek Wetland Filter</w:t>
      </w:r>
      <w:r w:rsidR="00B67D7B" w:rsidRPr="00BE0FF4">
        <w:t xml:space="preserve"> </w:t>
      </w:r>
      <w:r w:rsidR="00B67D7B">
        <w:t>(</w:t>
      </w:r>
      <w:r w:rsidRPr="00BE0FF4">
        <w:t>CCWLF</w:t>
      </w:r>
      <w:r w:rsidR="00B67D7B">
        <w:t>)</w:t>
      </w:r>
      <w:r w:rsidRPr="00BE0FF4">
        <w:t xml:space="preserve"> (November 2013)</w:t>
      </w:r>
    </w:p>
    <w:p w:rsidR="00726AEE" w:rsidRPr="00BE0FF4" w:rsidRDefault="00726AEE" w:rsidP="00726AEE">
      <w:pPr>
        <w:pStyle w:val="bulletlist2"/>
      </w:pPr>
      <w:r w:rsidRPr="00BE0FF4">
        <w:t>to RP1 and CCWLF (January 2014)</w:t>
      </w:r>
    </w:p>
    <w:p w:rsidR="00726AEE" w:rsidRPr="00BE0FF4" w:rsidRDefault="00726AEE" w:rsidP="00726AEE">
      <w:pPr>
        <w:pStyle w:val="bulletlist1"/>
      </w:pPr>
      <w:r w:rsidRPr="00BE0FF4">
        <w:t>Surface exploration additional drilling (October 2013)</w:t>
      </w:r>
    </w:p>
    <w:p w:rsidR="00726AEE" w:rsidRPr="00BE0FF4" w:rsidRDefault="00726AEE" w:rsidP="00726AEE">
      <w:pPr>
        <w:pStyle w:val="bulletlist1"/>
      </w:pPr>
      <w:r w:rsidRPr="00BE0FF4">
        <w:t>Application to increase the wet season TSF MOL (December 2013)</w:t>
      </w:r>
    </w:p>
    <w:p w:rsidR="00726AEE" w:rsidRPr="00BE0FF4" w:rsidRDefault="000A4F40" w:rsidP="00726AEE">
      <w:pPr>
        <w:pStyle w:val="bulletlist1"/>
      </w:pPr>
      <w:r>
        <w:t>Exploration decline p</w:t>
      </w:r>
      <w:r w:rsidR="00726AEE" w:rsidRPr="00BE0FF4">
        <w:t>hase 2 design realignment (March 2014)</w:t>
      </w:r>
    </w:p>
    <w:p w:rsidR="00726AEE" w:rsidRPr="00BE0FF4" w:rsidRDefault="00726AEE" w:rsidP="00726AEE">
      <w:pPr>
        <w:pStyle w:val="bulletlist1"/>
      </w:pPr>
      <w:r w:rsidRPr="00BE0FF4">
        <w:t>TSF dredge ramp pre-load (May 2014)</w:t>
      </w:r>
      <w:r w:rsidR="00010832">
        <w:br/>
      </w:r>
    </w:p>
    <w:tbl>
      <w:tblPr>
        <w:tblW w:w="7371" w:type="dxa"/>
        <w:tblLayout w:type="fixed"/>
        <w:tblCellMar>
          <w:left w:w="0" w:type="dxa"/>
          <w:right w:w="0" w:type="dxa"/>
        </w:tblCellMar>
        <w:tblLook w:val="0000"/>
      </w:tblPr>
      <w:tblGrid>
        <w:gridCol w:w="1843"/>
        <w:gridCol w:w="5528"/>
      </w:tblGrid>
      <w:tr w:rsidR="00070899" w:rsidRPr="00070899" w:rsidTr="00EE6247">
        <w:trPr>
          <w:trHeight w:val="303"/>
        </w:trPr>
        <w:tc>
          <w:tcPr>
            <w:tcW w:w="7371" w:type="dxa"/>
            <w:gridSpan w:val="2"/>
            <w:shd w:val="clear" w:color="auto" w:fill="D9D9D9"/>
          </w:tcPr>
          <w:p w:rsidR="00070899" w:rsidRPr="00070899" w:rsidRDefault="00070899" w:rsidP="00070899">
            <w:pPr>
              <w:pStyle w:val="tablecaption"/>
            </w:pPr>
            <w:bookmarkStart w:id="197" w:name="_Toc272849719"/>
            <w:r w:rsidRPr="00070899">
              <w:rPr>
                <w:bCs/>
              </w:rPr>
              <w:t xml:space="preserve">Table 3.7  </w:t>
            </w:r>
            <w:r w:rsidRPr="00070899">
              <w:t>Ranger Minesite Technical Committee meetings</w:t>
            </w:r>
            <w:bookmarkEnd w:id="197"/>
          </w:p>
        </w:tc>
      </w:tr>
      <w:tr w:rsidR="00070899" w:rsidRPr="00070899" w:rsidTr="00D87A8F">
        <w:tc>
          <w:tcPr>
            <w:tcW w:w="1843" w:type="dxa"/>
            <w:tcBorders>
              <w:bottom w:val="single" w:sz="8" w:space="0" w:color="BFBFBF" w:themeColor="background1" w:themeShade="BF"/>
            </w:tcBorders>
          </w:tcPr>
          <w:p w:rsidR="00070899" w:rsidRPr="00070899" w:rsidRDefault="00070899" w:rsidP="00070899">
            <w:pPr>
              <w:pStyle w:val="table1"/>
              <w:rPr>
                <w:b/>
              </w:rPr>
            </w:pPr>
            <w:r w:rsidRPr="00070899">
              <w:rPr>
                <w:b/>
              </w:rPr>
              <w:t>Date</w:t>
            </w:r>
          </w:p>
        </w:tc>
        <w:tc>
          <w:tcPr>
            <w:tcW w:w="5528" w:type="dxa"/>
            <w:tcBorders>
              <w:bottom w:val="single" w:sz="8" w:space="0" w:color="BFBFBF" w:themeColor="background1" w:themeShade="BF"/>
            </w:tcBorders>
          </w:tcPr>
          <w:p w:rsidR="00070899" w:rsidRPr="00070899" w:rsidRDefault="00070899" w:rsidP="00070899">
            <w:pPr>
              <w:pStyle w:val="table1"/>
              <w:rPr>
                <w:b/>
              </w:rPr>
            </w:pPr>
            <w:r w:rsidRPr="00070899">
              <w:rPr>
                <w:b/>
              </w:rPr>
              <w:t>Significant agenda items in addition to standing items</w:t>
            </w:r>
          </w:p>
        </w:tc>
      </w:tr>
      <w:tr w:rsidR="00070899" w:rsidRPr="00070899" w:rsidTr="00D87A8F">
        <w:tc>
          <w:tcPr>
            <w:tcW w:w="1843" w:type="dxa"/>
            <w:shd w:val="clear" w:color="auto" w:fill="auto"/>
          </w:tcPr>
          <w:p w:rsidR="00070899" w:rsidRPr="00070899" w:rsidRDefault="00070899" w:rsidP="00070899">
            <w:pPr>
              <w:pStyle w:val="table1"/>
            </w:pPr>
            <w:r w:rsidRPr="00070899">
              <w:t>6 September 2013</w:t>
            </w:r>
          </w:p>
        </w:tc>
        <w:tc>
          <w:tcPr>
            <w:tcW w:w="5528" w:type="dxa"/>
            <w:shd w:val="clear" w:color="auto" w:fill="auto"/>
          </w:tcPr>
          <w:p w:rsidR="00070899" w:rsidRPr="00070899" w:rsidRDefault="00070899" w:rsidP="00070899">
            <w:pPr>
              <w:pStyle w:val="table1"/>
            </w:pPr>
            <w:r w:rsidRPr="00070899">
              <w:t>ISWWG recommendations and outcomes, brine concentrator, pond water brine treatment, contingency pumping.</w:t>
            </w:r>
          </w:p>
        </w:tc>
      </w:tr>
      <w:tr w:rsidR="00070899" w:rsidRPr="00070899" w:rsidTr="00D87A8F">
        <w:tc>
          <w:tcPr>
            <w:tcW w:w="1843" w:type="dxa"/>
          </w:tcPr>
          <w:p w:rsidR="00070899" w:rsidRPr="00070899" w:rsidRDefault="00070899" w:rsidP="00070899">
            <w:pPr>
              <w:pStyle w:val="table1"/>
            </w:pPr>
            <w:r w:rsidRPr="00070899">
              <w:t>15 November 2013</w:t>
            </w:r>
          </w:p>
        </w:tc>
        <w:tc>
          <w:tcPr>
            <w:tcW w:w="5528" w:type="dxa"/>
          </w:tcPr>
          <w:p w:rsidR="00070899" w:rsidRPr="00070899" w:rsidRDefault="00070899" w:rsidP="000A4F40">
            <w:pPr>
              <w:pStyle w:val="table1"/>
            </w:pPr>
            <w:r w:rsidRPr="00070899">
              <w:t xml:space="preserve">Brine concentrator distillate release, contingency pumping system, </w:t>
            </w:r>
            <w:r w:rsidR="000A4F40">
              <w:t xml:space="preserve">exploration decline </w:t>
            </w:r>
            <w:r w:rsidRPr="00070899">
              <w:t>ventilation shaft modifications, surface exploration programme.</w:t>
            </w:r>
          </w:p>
        </w:tc>
      </w:tr>
      <w:tr w:rsidR="00070899" w:rsidRPr="00070899" w:rsidTr="00D87A8F">
        <w:tc>
          <w:tcPr>
            <w:tcW w:w="1843" w:type="dxa"/>
          </w:tcPr>
          <w:p w:rsidR="00070899" w:rsidRPr="00070899" w:rsidRDefault="00070899" w:rsidP="00070899">
            <w:pPr>
              <w:pStyle w:val="table1"/>
            </w:pPr>
            <w:r w:rsidRPr="00070899">
              <w:t>13 December 2013</w:t>
            </w:r>
          </w:p>
        </w:tc>
        <w:tc>
          <w:tcPr>
            <w:tcW w:w="5528" w:type="dxa"/>
          </w:tcPr>
          <w:p w:rsidR="00070899" w:rsidRPr="00070899" w:rsidRDefault="00070899" w:rsidP="00070899">
            <w:pPr>
              <w:pStyle w:val="table1"/>
            </w:pPr>
            <w:r w:rsidRPr="00070899">
              <w:t>MTC update on leach tank incident.</w:t>
            </w:r>
          </w:p>
        </w:tc>
      </w:tr>
      <w:tr w:rsidR="00361AC7" w:rsidRPr="00070899" w:rsidTr="00D87A8F">
        <w:tc>
          <w:tcPr>
            <w:tcW w:w="1843" w:type="dxa"/>
          </w:tcPr>
          <w:p w:rsidR="00361AC7" w:rsidRPr="00070899" w:rsidRDefault="00361AC7" w:rsidP="00361AC7">
            <w:pPr>
              <w:pStyle w:val="table1"/>
            </w:pPr>
            <w:r w:rsidRPr="00070899">
              <w:t>17 February 2014</w:t>
            </w:r>
          </w:p>
        </w:tc>
        <w:tc>
          <w:tcPr>
            <w:tcW w:w="5528" w:type="dxa"/>
          </w:tcPr>
          <w:p w:rsidR="00361AC7" w:rsidRPr="00070899" w:rsidRDefault="00361AC7" w:rsidP="000A4F40">
            <w:pPr>
              <w:pStyle w:val="table1"/>
            </w:pPr>
            <w:r w:rsidRPr="00070899">
              <w:t xml:space="preserve">ISWWG recommendations and outcomes, Pit 1 settlement, dredge access to TSF, Gulungul </w:t>
            </w:r>
            <w:r>
              <w:t xml:space="preserve">Creek </w:t>
            </w:r>
            <w:r w:rsidRPr="00070899">
              <w:t xml:space="preserve">EC spikes, Ranger Water Quality Objectives, </w:t>
            </w:r>
            <w:r w:rsidR="000A4F40">
              <w:t>exploration decline</w:t>
            </w:r>
            <w:r w:rsidRPr="00070899">
              <w:t xml:space="preserve"> update and phase 2 footwall </w:t>
            </w:r>
            <w:proofErr w:type="gramStart"/>
            <w:r w:rsidRPr="00070899">
              <w:t>access</w:t>
            </w:r>
            <w:proofErr w:type="gramEnd"/>
            <w:r w:rsidRPr="00070899">
              <w:t>.</w:t>
            </w:r>
          </w:p>
        </w:tc>
      </w:tr>
      <w:tr w:rsidR="00361AC7" w:rsidRPr="00070899" w:rsidTr="00D87A8F">
        <w:tc>
          <w:tcPr>
            <w:tcW w:w="1843" w:type="dxa"/>
          </w:tcPr>
          <w:p w:rsidR="00361AC7" w:rsidRPr="00070899" w:rsidRDefault="00361AC7" w:rsidP="00361AC7">
            <w:pPr>
              <w:pStyle w:val="table1"/>
            </w:pPr>
            <w:r w:rsidRPr="00070899">
              <w:t>28 March 2014</w:t>
            </w:r>
          </w:p>
        </w:tc>
        <w:tc>
          <w:tcPr>
            <w:tcW w:w="5528" w:type="dxa"/>
            <w:shd w:val="clear" w:color="auto" w:fill="auto"/>
          </w:tcPr>
          <w:p w:rsidR="00361AC7" w:rsidRPr="00070899" w:rsidDel="0056791E" w:rsidRDefault="00361AC7" w:rsidP="00361AC7">
            <w:pPr>
              <w:pStyle w:val="table1"/>
            </w:pPr>
            <w:r w:rsidRPr="00070899">
              <w:t xml:space="preserve">ISWWG recommendations and outcomes, dredge access to TSF, Gulungul </w:t>
            </w:r>
            <w:r>
              <w:t xml:space="preserve">Creek </w:t>
            </w:r>
            <w:r w:rsidRPr="00070899">
              <w:t>EC spikes.</w:t>
            </w:r>
          </w:p>
        </w:tc>
      </w:tr>
      <w:tr w:rsidR="00361AC7" w:rsidRPr="00070899" w:rsidTr="00D87A8F">
        <w:tc>
          <w:tcPr>
            <w:tcW w:w="1843" w:type="dxa"/>
            <w:tcBorders>
              <w:bottom w:val="single" w:sz="8" w:space="0" w:color="BFBFBF" w:themeColor="background1" w:themeShade="BF"/>
            </w:tcBorders>
          </w:tcPr>
          <w:p w:rsidR="00361AC7" w:rsidRPr="00070899" w:rsidRDefault="00361AC7" w:rsidP="00361AC7">
            <w:pPr>
              <w:pStyle w:val="table1"/>
            </w:pPr>
            <w:r w:rsidRPr="00070899">
              <w:t>9 May 2014</w:t>
            </w:r>
          </w:p>
        </w:tc>
        <w:tc>
          <w:tcPr>
            <w:tcW w:w="5528" w:type="dxa"/>
            <w:tcBorders>
              <w:bottom w:val="single" w:sz="8" w:space="0" w:color="BFBFBF" w:themeColor="background1" w:themeShade="BF"/>
            </w:tcBorders>
            <w:shd w:val="clear" w:color="auto" w:fill="auto"/>
          </w:tcPr>
          <w:p w:rsidR="00361AC7" w:rsidRPr="00070899" w:rsidDel="0056791E" w:rsidRDefault="000A4F40" w:rsidP="000A4F40">
            <w:pPr>
              <w:pStyle w:val="table1"/>
            </w:pPr>
            <w:r>
              <w:t>Exploration decline</w:t>
            </w:r>
            <w:r w:rsidR="00361AC7" w:rsidRPr="00070899">
              <w:t>, 2014 surface exploration program</w:t>
            </w:r>
            <w:r w:rsidR="00661485">
              <w:t>me</w:t>
            </w:r>
            <w:r w:rsidR="00361AC7" w:rsidRPr="00070899">
              <w:t>, CCWLF vegetation.</w:t>
            </w:r>
          </w:p>
        </w:tc>
      </w:tr>
    </w:tbl>
    <w:p w:rsidR="00BE0FF4" w:rsidRPr="00BE0FF4" w:rsidRDefault="00BE0FF4" w:rsidP="00BE0FF4">
      <w:pPr>
        <w:pStyle w:val="Heading4"/>
      </w:pPr>
      <w:r w:rsidRPr="00BE0FF4">
        <w:t>3.2.2.6</w:t>
      </w:r>
      <w:r w:rsidRPr="00BE0FF4">
        <w:tab/>
        <w:t>Incidents</w:t>
      </w:r>
    </w:p>
    <w:p w:rsidR="00BE0FF4" w:rsidRPr="00BE0FF4" w:rsidRDefault="00BE0FF4" w:rsidP="00BE0FF4">
      <w:pPr>
        <w:pStyle w:val="Heading5"/>
      </w:pPr>
      <w:r w:rsidRPr="00BE0FF4">
        <w:t>Background to incident investigation</w:t>
      </w:r>
    </w:p>
    <w:p w:rsidR="00D87A8F" w:rsidRDefault="00BE0FF4" w:rsidP="00D87A8F">
      <w:r w:rsidRPr="00BE0FF4">
        <w:t>Since 2000, ERA has undertaken to provide stakeholders with a comprehensive list of environmental incidents reported at its Ranger and Jabiluka operations on a regular basis. The regular monthly environmental incident report is additional to reports made to meet the statutory requirements for incident reporting. This regime of reporting all recorded environmental incidents is undertaken voluntarily by ERA in response to concerns expressed by stakeholders about the establishment of suitable thresholds of incident severity for reporting.</w:t>
      </w:r>
      <w:r w:rsidR="00D87A8F" w:rsidRPr="00D87A8F">
        <w:t xml:space="preserve"> </w:t>
      </w:r>
    </w:p>
    <w:p w:rsidR="00D87A8F" w:rsidRPr="00D87A8F" w:rsidRDefault="00D87A8F" w:rsidP="00D87A8F">
      <w:r w:rsidRPr="00D87A8F">
        <w:t>During the 2013–14 reporting period</w:t>
      </w:r>
      <w:r w:rsidR="00361AC7">
        <w:t>,</w:t>
      </w:r>
      <w:r w:rsidRPr="00D87A8F">
        <w:t xml:space="preserve"> a total of 41 environmental incidents </w:t>
      </w:r>
      <w:r w:rsidR="00B0079B" w:rsidRPr="00D87A8F">
        <w:t>were</w:t>
      </w:r>
      <w:r w:rsidRPr="00D87A8F">
        <w:t xml:space="preserve"> reported to SSD.</w:t>
      </w:r>
    </w:p>
    <w:p w:rsidR="00D87A8F" w:rsidRPr="00D87A8F" w:rsidRDefault="00D87A8F" w:rsidP="00D87A8F">
      <w:r w:rsidRPr="00D87A8F">
        <w:t>Immediately upon receipt of notification of any incident, SSD assesses the circumstances of the situation and a senior officer makes a decision on the appropriate level of response. Dependent on the assessment, this response will range from implementation of an immediate independent investigation, through to seeking further information from the mine operator before making such a decision. In those cases where immediate action is not considered to be required, the situation is again reviewed on receipt of a formal incident investigation report from the operator.</w:t>
      </w:r>
    </w:p>
    <w:p w:rsidR="00D87A8F" w:rsidRPr="00D87A8F" w:rsidRDefault="00D87A8F" w:rsidP="00D87A8F">
      <w:r w:rsidRPr="00D87A8F">
        <w:t>Prior to each RPI (see section 3.2.2.3), the inspection team reviews the previous month’s environmental incident report summary (EIRS) and any open issues. Where an incident is considered to have any potential environmental significance or represents a repetition of a class of occurrences, an on-site review of the circumstances is scheduled as a part of the routine inspection agenda.</w:t>
      </w:r>
    </w:p>
    <w:p w:rsidR="00D87A8F" w:rsidRPr="00D87A8F" w:rsidRDefault="00D87A8F" w:rsidP="00D87A8F">
      <w:r w:rsidRPr="00D87A8F">
        <w:t>SSD determined that the following incidents that occurred during the reporting period were of a serious enough nature to warrant a separate independent investigation.</w:t>
      </w:r>
    </w:p>
    <w:p w:rsidR="00B0079B" w:rsidRPr="00B0079B" w:rsidRDefault="00B0079B" w:rsidP="00B0079B">
      <w:pPr>
        <w:pStyle w:val="Heading5"/>
      </w:pPr>
      <w:r w:rsidRPr="00B0079B">
        <w:t>Light Vehicle Incident</w:t>
      </w:r>
    </w:p>
    <w:p w:rsidR="00361AC7" w:rsidRPr="00B0079B" w:rsidRDefault="00361AC7" w:rsidP="00361AC7">
      <w:r w:rsidRPr="00B0079B">
        <w:t>On the night of 3 November 2013</w:t>
      </w:r>
      <w:r>
        <w:t>,</w:t>
      </w:r>
      <w:r w:rsidRPr="00B0079B">
        <w:t xml:space="preserve"> a controlled vehicle was taken from the Ranger mine without authorisation through a gap in the tailings dam fence. The vehicle was clean and presented no risk to the environment or human health. The incident was investigated independently by SSD including conducting a site visit, collecting documentary evidence and interviewing key staff.</w:t>
      </w:r>
    </w:p>
    <w:p w:rsidR="00361AC7" w:rsidRPr="00B0079B" w:rsidRDefault="00361AC7" w:rsidP="00361AC7">
      <w:r w:rsidRPr="00B0079B">
        <w:t>It was determined that the staff members in question had received adequate training, were aware that they were breaking company procedure and actively sought to avoid detection. Notwithstanding, the report ma</w:t>
      </w:r>
      <w:r>
        <w:t>de</w:t>
      </w:r>
      <w:r w:rsidRPr="00B0079B">
        <w:t xml:space="preserve"> several recommendations which may assist in the prevention </w:t>
      </w:r>
      <w:r w:rsidR="000A218C">
        <w:t xml:space="preserve">of </w:t>
      </w:r>
      <w:r w:rsidRPr="00B0079B">
        <w:t>a similar incident occurring in the future.</w:t>
      </w:r>
    </w:p>
    <w:p w:rsidR="00B0079B" w:rsidRPr="00B0079B" w:rsidRDefault="00B0079B" w:rsidP="00B0079B">
      <w:pPr>
        <w:pStyle w:val="Heading5"/>
      </w:pPr>
      <w:r w:rsidRPr="00B0079B">
        <w:t>Product Drum Incident</w:t>
      </w:r>
    </w:p>
    <w:p w:rsidR="00361AC7" w:rsidRPr="00B0079B" w:rsidRDefault="00361AC7" w:rsidP="00361AC7">
      <w:r w:rsidRPr="00B0079B">
        <w:t>On 18 November 2013, SSD received notification from ERA that four suspected Ranger uranium mine product drums had been found in bushland off Malachite Road in Noonamah</w:t>
      </w:r>
      <w:r>
        <w:t xml:space="preserve">, approximately </w:t>
      </w:r>
      <w:r w:rsidR="004D160B">
        <w:t>40</w:t>
      </w:r>
      <w:r>
        <w:t xml:space="preserve"> km south east of Darwin</w:t>
      </w:r>
      <w:r w:rsidRPr="00B0079B">
        <w:t xml:space="preserve">. </w:t>
      </w:r>
    </w:p>
    <w:p w:rsidR="00361AC7" w:rsidRPr="00B0079B" w:rsidRDefault="00361AC7" w:rsidP="00361AC7">
      <w:r>
        <w:t>The</w:t>
      </w:r>
      <w:r w:rsidRPr="00B0079B">
        <w:t xml:space="preserve"> independent investigation </w:t>
      </w:r>
      <w:r>
        <w:t xml:space="preserve">by SSD </w:t>
      </w:r>
      <w:r w:rsidRPr="00B0079B">
        <w:t xml:space="preserve">determined that the drums originated from Ranger, </w:t>
      </w:r>
      <w:r>
        <w:t>but</w:t>
      </w:r>
      <w:r w:rsidRPr="00B0079B">
        <w:t xml:space="preserve"> had not been used for storage of uranium. The drums had been cleared prior to release from site in accordance with site clearance procedures and taken off site by an individual in October 2005 and subsequently discarded, at the location they were found, in 2010. Analysis by SSD of soil and drum contents </w:t>
      </w:r>
      <w:r w:rsidR="00DB4673">
        <w:t xml:space="preserve">for radionuclides and metals </w:t>
      </w:r>
      <w:r w:rsidRPr="00B0079B">
        <w:t>did not detect any evidence of anomalous radioactive material.</w:t>
      </w:r>
    </w:p>
    <w:p w:rsidR="00B0079B" w:rsidRPr="00B0079B" w:rsidRDefault="00B0079B" w:rsidP="00B0079B">
      <w:pPr>
        <w:pStyle w:val="Heading5"/>
      </w:pPr>
      <w:r w:rsidRPr="00B0079B">
        <w:t>Leach Tank Incident</w:t>
      </w:r>
    </w:p>
    <w:p w:rsidR="00361AC7" w:rsidRPr="00B0079B" w:rsidRDefault="00361AC7" w:rsidP="00361AC7">
      <w:r w:rsidRPr="00B0079B">
        <w:t>At 00:54 on 7 December 2013</w:t>
      </w:r>
      <w:r>
        <w:t>,</w:t>
      </w:r>
      <w:r w:rsidRPr="00B0079B">
        <w:t xml:space="preserve"> Leach Tank No. 1 at Ranger mine collapsed, spilling approximately 1 400 m</w:t>
      </w:r>
      <w:r w:rsidRPr="00BC36A5">
        <w:rPr>
          <w:vertAlign w:val="superscript"/>
        </w:rPr>
        <w:t>3</w:t>
      </w:r>
      <w:r w:rsidRPr="00B0079B">
        <w:t xml:space="preserve"> of slurry containing ground uranium ore, water and sulphuric acid into the processing area. The Supervising Scientist was advised of the incident at 06:20 on 7 December 2013, with SSD staff on</w:t>
      </w:r>
      <w:r w:rsidR="000A218C">
        <w:t>-</w:t>
      </w:r>
      <w:r w:rsidRPr="00B0079B">
        <w:t xml:space="preserve">site that morning to assess the scale of the incident and begin </w:t>
      </w:r>
      <w:r w:rsidR="00B67D7B" w:rsidRPr="00B0079B">
        <w:t>analy</w:t>
      </w:r>
      <w:r w:rsidR="00B67D7B">
        <w:t>ses</w:t>
      </w:r>
      <w:r w:rsidR="00B67D7B" w:rsidRPr="00B0079B">
        <w:t xml:space="preserve"> </w:t>
      </w:r>
      <w:r w:rsidRPr="00B0079B">
        <w:t>of potential environmental impacts.</w:t>
      </w:r>
    </w:p>
    <w:p w:rsidR="00361AC7" w:rsidRPr="00B0079B" w:rsidRDefault="00361AC7" w:rsidP="00361AC7">
      <w:r w:rsidRPr="00B0079B">
        <w:t>No one was injured as a result of the incident and the spill remained within the processing area with an unknown quantity of slurry reporting to RP2.</w:t>
      </w:r>
    </w:p>
    <w:p w:rsidR="00361AC7" w:rsidRPr="00B0079B" w:rsidRDefault="00361AC7" w:rsidP="00361AC7">
      <w:r w:rsidRPr="00B0079B">
        <w:t>A joint Commonwealth/NT Government Taskforce, with representation from the SSD, the Australian Government Department of Industry, DME, Northern Territory WorkSafe, NLC and GAC, was established to coordinate the various incident investigations.</w:t>
      </w:r>
      <w:r w:rsidR="001F253C">
        <w:t xml:space="preserve"> </w:t>
      </w:r>
    </w:p>
    <w:p w:rsidR="00361AC7" w:rsidRPr="00B0079B" w:rsidRDefault="00361AC7" w:rsidP="00361AC7">
      <w:r w:rsidRPr="00B0079B">
        <w:t xml:space="preserve">The SSD investigation </w:t>
      </w:r>
      <w:r>
        <w:t>wa</w:t>
      </w:r>
      <w:r w:rsidRPr="00B0079B">
        <w:t>s confined to the assessment of the potential impacts on human health and the off</w:t>
      </w:r>
      <w:r w:rsidR="000A218C">
        <w:t>-</w:t>
      </w:r>
      <w:r w:rsidRPr="00B0079B">
        <w:t>site environment, including Kakadu National Park, as a result of the incident. The SSD investigation d</w:t>
      </w:r>
      <w:r>
        <w:t>id</w:t>
      </w:r>
      <w:r w:rsidRPr="00B0079B">
        <w:t xml:space="preserve"> not consider the cause of the leach tank failure, nor d</w:t>
      </w:r>
      <w:r>
        <w:t>id</w:t>
      </w:r>
      <w:r w:rsidRPr="00B0079B">
        <w:t xml:space="preserve"> it consider issues related to the condition of the Ranger uranium mine processing facility, as </w:t>
      </w:r>
      <w:r>
        <w:t>these were</w:t>
      </w:r>
      <w:r w:rsidRPr="00B0079B">
        <w:t xml:space="preserve"> the subject of ongoing investigations by DME and Northern Territory WorkSafe.</w:t>
      </w:r>
    </w:p>
    <w:p w:rsidR="00361AC7" w:rsidRPr="00B0079B" w:rsidRDefault="00361AC7" w:rsidP="00361AC7">
      <w:r w:rsidRPr="00B0079B">
        <w:t xml:space="preserve">In assessing the environmental impacts from this incident, SSD undertook a comprehensive array of monitoring activities </w:t>
      </w:r>
      <w:r>
        <w:t>that</w:t>
      </w:r>
      <w:r w:rsidRPr="00B0079B">
        <w:t xml:space="preserve"> included both on</w:t>
      </w:r>
      <w:r w:rsidR="000A218C">
        <w:t>-</w:t>
      </w:r>
      <w:r w:rsidRPr="00B0079B">
        <w:t>site and off</w:t>
      </w:r>
      <w:r w:rsidR="000A218C">
        <w:t>-</w:t>
      </w:r>
      <w:r w:rsidRPr="00B0079B">
        <w:t xml:space="preserve">site sampling and </w:t>
      </w:r>
      <w:r w:rsidR="00B67D7B" w:rsidRPr="00B0079B">
        <w:t>analys</w:t>
      </w:r>
      <w:r w:rsidR="00B67D7B">
        <w:t>es</w:t>
      </w:r>
      <w:r w:rsidR="00B67D7B" w:rsidRPr="00B0079B">
        <w:t xml:space="preserve"> </w:t>
      </w:r>
      <w:r w:rsidRPr="00B0079B">
        <w:t>of surface water, groundwater, radiation and soils. In addition</w:t>
      </w:r>
      <w:r>
        <w:t>,</w:t>
      </w:r>
      <w:r w:rsidRPr="00B0079B">
        <w:t xml:space="preserve"> Geoscience Australia was commissioned by SSD to investigate the potential impacts to </w:t>
      </w:r>
      <w:proofErr w:type="gramStart"/>
      <w:r w:rsidRPr="00B0079B">
        <w:t xml:space="preserve">groundwater </w:t>
      </w:r>
      <w:r w:rsidR="001F253C" w:rsidRPr="001F253C">
        <w:t xml:space="preserve"> </w:t>
      </w:r>
      <w:r w:rsidR="001F253C">
        <w:t>and</w:t>
      </w:r>
      <w:proofErr w:type="gramEnd"/>
      <w:r w:rsidR="001F253C">
        <w:t xml:space="preserve"> </w:t>
      </w:r>
      <w:r w:rsidR="001F253C" w:rsidRPr="001F253C">
        <w:t xml:space="preserve">to the off-site environment via </w:t>
      </w:r>
      <w:r w:rsidR="00B67D7B">
        <w:t xml:space="preserve">the </w:t>
      </w:r>
      <w:r w:rsidR="001F253C" w:rsidRPr="001F253C">
        <w:t xml:space="preserve">groundwater </w:t>
      </w:r>
      <w:r w:rsidR="00B67D7B">
        <w:t xml:space="preserve">pathway </w:t>
      </w:r>
      <w:r w:rsidRPr="00B0079B">
        <w:t>as a result of the spill.</w:t>
      </w:r>
    </w:p>
    <w:p w:rsidR="00775262" w:rsidRPr="00B0079B" w:rsidRDefault="00775262" w:rsidP="00775262">
      <w:bookmarkStart w:id="198" w:name="_Toc363824149"/>
      <w:r>
        <w:t>Based on the results of the investigation, i</w:t>
      </w:r>
      <w:r w:rsidRPr="00B0079B">
        <w:t xml:space="preserve">t </w:t>
      </w:r>
      <w:r>
        <w:t>wa</w:t>
      </w:r>
      <w:r w:rsidRPr="00B0079B">
        <w:t xml:space="preserve">s the conclusion of the Supervising Scientist that the leach tank failure </w:t>
      </w:r>
      <w:r>
        <w:t>did</w:t>
      </w:r>
      <w:r w:rsidRPr="00B0079B">
        <w:t xml:space="preserve"> not result in any adverse impacts to human health or the surrounding environment, including Kakadu National Park.</w:t>
      </w:r>
    </w:p>
    <w:p w:rsidR="00775262" w:rsidRPr="00B0079B" w:rsidRDefault="00775262" w:rsidP="00775262">
      <w:r w:rsidRPr="00B0079B">
        <w:t>Dose to workers involved in the cleanup activities was low and of no consequence to human health. No increase in airborne radionuclide concentrations as a result of the incident was detected at the SSD monitoring stations in Jabiru town or at Jabiru East, indicating no impact to residents in the surrounding area.</w:t>
      </w:r>
    </w:p>
    <w:p w:rsidR="00B67D7B" w:rsidRDefault="00B67D7B" w:rsidP="00B67D7B">
      <w:r w:rsidRPr="00B0079B">
        <w:t>Chemical and biological monitoring by SSD in Magela Creek did not detect any effects related to the incident. Limited groundwater data available in the area of the spill, and the six week timeframe for ERA to commence the requested groundwater monitoring program</w:t>
      </w:r>
      <w:r>
        <w:t>me</w:t>
      </w:r>
      <w:r w:rsidRPr="00B0079B">
        <w:t xml:space="preserve">, restricted the level of groundwater analysis </w:t>
      </w:r>
      <w:r>
        <w:t>that</w:t>
      </w:r>
      <w:r w:rsidRPr="00B0079B">
        <w:t xml:space="preserve"> could be undertaken. </w:t>
      </w:r>
      <w:r>
        <w:t>H</w:t>
      </w:r>
      <w:r w:rsidRPr="00B0079B">
        <w:t xml:space="preserve">owever </w:t>
      </w:r>
      <w:r>
        <w:t>s</w:t>
      </w:r>
      <w:r w:rsidRPr="00B0079B">
        <w:t>ufficient information was available</w:t>
      </w:r>
      <w:r>
        <w:t xml:space="preserve"> </w:t>
      </w:r>
      <w:r w:rsidRPr="00B0079B">
        <w:t>to conclude that only a small volume of contaminants may have entered the groundwater due to the generally compacted nature of soils in the plant area</w:t>
      </w:r>
      <w:r>
        <w:t>. Therefore, infiltration of leachate</w:t>
      </w:r>
      <w:r w:rsidRPr="00B0079B">
        <w:t xml:space="preserve"> would not have </w:t>
      </w:r>
      <w:r>
        <w:t xml:space="preserve">had </w:t>
      </w:r>
      <w:r w:rsidRPr="00B0079B">
        <w:t>any significant impact on groundwater quality in the off</w:t>
      </w:r>
      <w:r w:rsidR="000A218C">
        <w:t>-</w:t>
      </w:r>
      <w:r w:rsidRPr="00B0079B">
        <w:t>site environment.</w:t>
      </w:r>
    </w:p>
    <w:p w:rsidR="00B67D7B" w:rsidRPr="00662CB7" w:rsidRDefault="00B67D7B" w:rsidP="00B67D7B">
      <w:r w:rsidRPr="000956B5">
        <w:t xml:space="preserve">The report included </w:t>
      </w:r>
      <w:r>
        <w:t>t</w:t>
      </w:r>
      <w:r w:rsidRPr="000956B5">
        <w:t>wo recommendations</w:t>
      </w:r>
      <w:r>
        <w:t>:</w:t>
      </w:r>
      <w:r w:rsidRPr="000956B5">
        <w:t xml:space="preserve"> one from Geoscience Australia’s groundwater assessment</w:t>
      </w:r>
      <w:r>
        <w:t>;</w:t>
      </w:r>
      <w:r w:rsidRPr="000956B5">
        <w:t xml:space="preserve"> and one from the Supervising Scientist</w:t>
      </w:r>
      <w:r>
        <w:t>’s</w:t>
      </w:r>
      <w:r w:rsidRPr="000956B5">
        <w:t xml:space="preserve"> soil contamination investigation works. The report also notes that the release of a substantial volume of process material is not in accordance with the </w:t>
      </w:r>
      <w:r w:rsidRPr="000956B5">
        <w:rPr>
          <w:i/>
        </w:rPr>
        <w:t>Environmental Requirements of the Commonwealth of Australia for the operation of the Ranger Uranium Mine.</w:t>
      </w:r>
    </w:p>
    <w:p w:rsidR="00775262" w:rsidRPr="00B0079B" w:rsidRDefault="00775262" w:rsidP="00775262">
      <w:r w:rsidRPr="00B0079B">
        <w:t>The Su</w:t>
      </w:r>
      <w:r w:rsidR="00901399">
        <w:t>pervising Scientist published a</w:t>
      </w:r>
      <w:r w:rsidRPr="00B0079B">
        <w:t xml:space="preserve"> report</w:t>
      </w:r>
      <w:r>
        <w:t>,</w:t>
      </w:r>
      <w:r w:rsidRPr="00B0079B">
        <w:t xml:space="preserve"> </w:t>
      </w:r>
      <w:r w:rsidR="00B60A24">
        <w:t>Su</w:t>
      </w:r>
      <w:r w:rsidR="00901399">
        <w:t>pervising Scientist’s Report 207</w:t>
      </w:r>
      <w:r w:rsidR="00B60A24">
        <w:t xml:space="preserve"> (</w:t>
      </w:r>
      <w:r w:rsidR="00901399">
        <w:t>SSR207</w:t>
      </w:r>
      <w:r w:rsidR="00B60A24">
        <w:t>)</w:t>
      </w:r>
      <w:r>
        <w:t>,</w:t>
      </w:r>
      <w:r w:rsidRPr="00B0079B">
        <w:t xml:space="preserve"> on </w:t>
      </w:r>
      <w:r w:rsidR="00901399">
        <w:t>2</w:t>
      </w:r>
      <w:r w:rsidRPr="00B0079B">
        <w:t xml:space="preserve">8 </w:t>
      </w:r>
      <w:r w:rsidR="00901399">
        <w:t>August</w:t>
      </w:r>
      <w:r w:rsidRPr="00B0079B">
        <w:t xml:space="preserve"> 2014</w:t>
      </w:r>
      <w:r w:rsidR="00901399">
        <w:t>.</w:t>
      </w:r>
    </w:p>
    <w:p w:rsidR="00B0079B" w:rsidRPr="00B0079B" w:rsidRDefault="00B0079B" w:rsidP="00B0079B">
      <w:pPr>
        <w:pStyle w:val="Heading3"/>
      </w:pPr>
      <w:r w:rsidRPr="00B0079B">
        <w:t>3.2.3</w:t>
      </w:r>
      <w:r w:rsidRPr="00B0079B">
        <w:tab/>
      </w:r>
      <w:r w:rsidR="00D54978">
        <w:tab/>
      </w:r>
      <w:r w:rsidRPr="00B0079B">
        <w:t>Off-site environmental protection</w:t>
      </w:r>
      <w:bookmarkEnd w:id="198"/>
    </w:p>
    <w:p w:rsidR="00B0079B" w:rsidRPr="00B0079B" w:rsidRDefault="00B0079B" w:rsidP="00B0079B">
      <w:pPr>
        <w:pStyle w:val="Heading4"/>
      </w:pPr>
      <w:r w:rsidRPr="00B0079B">
        <w:t>3.2.3.1</w:t>
      </w:r>
      <w:r w:rsidRPr="00B0079B">
        <w:tab/>
        <w:t>Surface water quality</w:t>
      </w:r>
    </w:p>
    <w:p w:rsidR="00775262" w:rsidRPr="00B0079B" w:rsidRDefault="00775262" w:rsidP="00775262">
      <w:r w:rsidRPr="00B0079B">
        <w:t xml:space="preserve">Under the Authorisation, ERA is required to monitor and report on water quality in Magela and Gulungul </w:t>
      </w:r>
      <w:r>
        <w:t>c</w:t>
      </w:r>
      <w:r w:rsidRPr="00B0079B">
        <w:t xml:space="preserve">reeks adjacent to the Ranger mine. Specific water quality objectives must be achieved in Magela Creek. </w:t>
      </w:r>
    </w:p>
    <w:p w:rsidR="00792811" w:rsidRPr="00B0079B" w:rsidRDefault="00792811" w:rsidP="00792811">
      <w:r w:rsidRPr="00B0079B">
        <w:t>The Authorisation specifies the sites, frequency of sampling and the analytes to be reported. Each week during the wet season</w:t>
      </w:r>
      <w:r>
        <w:t>,</w:t>
      </w:r>
      <w:r w:rsidRPr="00B0079B">
        <w:t xml:space="preserve"> ERA reports the water quality to the major stakeholders (SSD, DME, NLC and GAC)</w:t>
      </w:r>
      <w:r>
        <w:t xml:space="preserve"> </w:t>
      </w:r>
      <w:r w:rsidRPr="00B0079B">
        <w:t>at key sites, including Magela and Gulungul Creeks upstream and downstream of the mine. A detailed interpretation of water quality across the site is provided at the end of each wet season in the ERA Ranger Annual Wet Season Report.</w:t>
      </w:r>
    </w:p>
    <w:p w:rsidR="00792811" w:rsidRPr="00B0079B" w:rsidRDefault="00792811" w:rsidP="00792811">
      <w:r w:rsidRPr="00025EE8">
        <w:t>In addition to ERA’s monitoring program</w:t>
      </w:r>
      <w:r>
        <w:t>me</w:t>
      </w:r>
      <w:r w:rsidRPr="00025EE8">
        <w:t>, SSD conducts an independent surface water quality monitoring program</w:t>
      </w:r>
      <w:r w:rsidR="00936D05">
        <w:t>me</w:t>
      </w:r>
      <w:r w:rsidRPr="00025EE8">
        <w:t xml:space="preserve"> that includes measurement of chemical and physical variables and biological monitoring in Magela and Gulungul </w:t>
      </w:r>
      <w:r>
        <w:t>c</w:t>
      </w:r>
      <w:r w:rsidRPr="00025EE8">
        <w:t>reeks</w:t>
      </w:r>
      <w:r>
        <w:t>,</w:t>
      </w:r>
      <w:r w:rsidRPr="00025EE8">
        <w:t xml:space="preserve"> as well as other reference creeks and waterbodies in the region. Key results are presented in time-series charts throughout the wet season on the internet at www.environment.gov.au/ssd/</w:t>
      </w:r>
      <w:r w:rsidR="00B0168D">
        <w:br/>
      </w:r>
      <w:r w:rsidRPr="00025EE8">
        <w:t xml:space="preserve">monitoring/index.html. The highlights of the monitoring results from the 2013–14 wet </w:t>
      </w:r>
      <w:proofErr w:type="gramStart"/>
      <w:r w:rsidRPr="00025EE8">
        <w:t>season</w:t>
      </w:r>
      <w:proofErr w:type="gramEnd"/>
      <w:r w:rsidRPr="00025EE8">
        <w:t xml:space="preserve"> are summarised below.</w:t>
      </w:r>
    </w:p>
    <w:p w:rsidR="00792811" w:rsidRPr="00B0079B" w:rsidRDefault="00792811" w:rsidP="00792811">
      <w:pPr>
        <w:pStyle w:val="Heading5"/>
      </w:pPr>
      <w:r w:rsidRPr="00B0079B">
        <w:t>Chemical and physical monitoring of Magela Creek</w:t>
      </w:r>
    </w:p>
    <w:p w:rsidR="00792811" w:rsidRPr="00B0079B" w:rsidRDefault="00792811" w:rsidP="00792811">
      <w:r w:rsidRPr="00B0079B">
        <w:t xml:space="preserve">Since the 2010–11 wet </w:t>
      </w:r>
      <w:proofErr w:type="gramStart"/>
      <w:r w:rsidRPr="00B0079B">
        <w:t>season</w:t>
      </w:r>
      <w:proofErr w:type="gramEnd"/>
      <w:r>
        <w:t>,</w:t>
      </w:r>
      <w:r w:rsidRPr="00B0079B">
        <w:t xml:space="preserve"> SSD has used continuous monitoring of EC, turbidity and water temperature coupled with event-based automatic sampling as their primary water quality monitoring method. In comparison to the </w:t>
      </w:r>
      <w:r w:rsidR="00981D55">
        <w:t xml:space="preserve">less effective </w:t>
      </w:r>
      <w:r w:rsidRPr="00B0079B">
        <w:t xml:space="preserve">weekly grab sampling method, the continuous monitoring method has substantially enhanced SSD’s ability to independently detect changes in water quality through time. Manual grab samples are still collected during routine site visits for the purposes of quality control and </w:t>
      </w:r>
      <w:r>
        <w:t xml:space="preserve">to analyse </w:t>
      </w:r>
      <w:r w:rsidRPr="00B0079B">
        <w:t xml:space="preserve">radium. Map 2 shows the location of the </w:t>
      </w:r>
      <w:r w:rsidRPr="00775262">
        <w:t>upstream (MCUGT) and</w:t>
      </w:r>
      <w:r w:rsidRPr="00B0079B">
        <w:t xml:space="preserve"> downstream (MCDW) monitoring sites and key Ranger mine features.</w:t>
      </w:r>
    </w:p>
    <w:p w:rsidR="00775262" w:rsidRDefault="00775262" w:rsidP="00775262">
      <w:r w:rsidRPr="00B0079B">
        <w:t xml:space="preserve">Flow was first recorded at the Magela Creek upstream and downstream monitoring stations on 28 November 2013, which is also when the water quality sensors at the downstream site were </w:t>
      </w:r>
      <w:proofErr w:type="gramStart"/>
      <w:r>
        <w:t>first</w:t>
      </w:r>
      <w:proofErr w:type="gramEnd"/>
      <w:r>
        <w:t xml:space="preserve"> </w:t>
      </w:r>
      <w:r w:rsidRPr="00B0079B">
        <w:t>submerged. Only the turbidity sensors at the upstream site were submerged on 28 November 2013 (Figure 3.2), with the EC and pH sensors, which are located above the turbidity sensors, becoming submerged on 2 Decemb</w:t>
      </w:r>
      <w:r>
        <w:t>er 2013 (Figures 3.3 and 3.4).</w:t>
      </w:r>
    </w:p>
    <w:p w:rsidR="00F70BB3" w:rsidRPr="00F70BB3" w:rsidRDefault="00555AED" w:rsidP="00F70BB3">
      <w:pPr>
        <w:spacing w:after="120" w:line="260" w:lineRule="atLeast"/>
        <w:jc w:val="center"/>
      </w:pPr>
      <w:r w:rsidRPr="00555AED">
        <w:rPr>
          <w:noProof/>
          <w:lang w:eastAsia="en-AU"/>
        </w:rPr>
        <w:drawing>
          <wp:inline distT="0" distB="0" distL="0" distR="0">
            <wp:extent cx="4727575" cy="2859312"/>
            <wp:effectExtent l="19050" t="0" r="0" b="0"/>
            <wp:docPr id="2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54" cstate="screen"/>
                    <a:srcRect/>
                    <a:stretch>
                      <a:fillRect/>
                    </a:stretch>
                  </pic:blipFill>
                  <pic:spPr bwMode="auto">
                    <a:xfrm>
                      <a:off x="0" y="0"/>
                      <a:ext cx="4727575" cy="2859312"/>
                    </a:xfrm>
                    <a:prstGeom prst="rect">
                      <a:avLst/>
                    </a:prstGeom>
                    <a:noFill/>
                    <a:ln w="9525">
                      <a:noFill/>
                      <a:miter lim="800000"/>
                      <a:headEnd/>
                      <a:tailEnd/>
                    </a:ln>
                  </pic:spPr>
                </pic:pic>
              </a:graphicData>
            </a:graphic>
          </wp:inline>
        </w:drawing>
      </w:r>
    </w:p>
    <w:p w:rsidR="00F70BB3" w:rsidRDefault="00F70BB3" w:rsidP="00F70BB3">
      <w:pPr>
        <w:spacing w:after="120" w:line="260" w:lineRule="atLeast"/>
        <w:jc w:val="center"/>
        <w:rPr>
          <w:rFonts w:ascii="Arial" w:hAnsi="Arial"/>
          <w:bCs/>
          <w:noProof/>
          <w:sz w:val="16"/>
          <w:lang w:val="en-US"/>
        </w:rPr>
      </w:pPr>
      <w:r w:rsidRPr="00F70BB3">
        <w:rPr>
          <w:rFonts w:ascii="Arial" w:hAnsi="Arial"/>
          <w:b/>
          <w:bCs/>
          <w:noProof/>
          <w:sz w:val="16"/>
          <w:lang w:val="en-US"/>
        </w:rPr>
        <w:t>Figure 3.2</w:t>
      </w:r>
      <w:r w:rsidRPr="00F70BB3">
        <w:rPr>
          <w:rFonts w:ascii="Arial" w:hAnsi="Arial"/>
          <w:bCs/>
          <w:noProof/>
          <w:sz w:val="16"/>
          <w:lang w:val="en-US"/>
        </w:rPr>
        <w:t xml:space="preserve"> Continuous monitoring of turbidity and water discharge in Magela Creek </w:t>
      </w:r>
      <w:r w:rsidRPr="00F70BB3">
        <w:rPr>
          <w:rFonts w:ascii="Arial" w:hAnsi="Arial"/>
          <w:bCs/>
          <w:noProof/>
          <w:sz w:val="16"/>
          <w:lang w:val="en-US"/>
        </w:rPr>
        <w:br/>
        <w:t>during the 2013–14 wet season.</w:t>
      </w:r>
    </w:p>
    <w:p w:rsidR="00981D55" w:rsidRDefault="00981D55" w:rsidP="00F70BB3">
      <w:pPr>
        <w:spacing w:after="120" w:line="260" w:lineRule="atLeast"/>
        <w:jc w:val="center"/>
        <w:rPr>
          <w:noProof/>
          <w:lang w:eastAsia="en-AU"/>
        </w:rPr>
      </w:pPr>
    </w:p>
    <w:p w:rsidR="00F70BB3" w:rsidRPr="00F70BB3" w:rsidRDefault="00555AED" w:rsidP="00F70BB3">
      <w:pPr>
        <w:spacing w:after="120" w:line="260" w:lineRule="atLeast"/>
        <w:jc w:val="center"/>
      </w:pPr>
      <w:r w:rsidRPr="00555AED">
        <w:rPr>
          <w:noProof/>
          <w:lang w:eastAsia="en-AU"/>
        </w:rPr>
        <w:drawing>
          <wp:inline distT="0" distB="0" distL="0" distR="0">
            <wp:extent cx="4583746" cy="2770281"/>
            <wp:effectExtent l="19050" t="0" r="7304" b="0"/>
            <wp:docPr id="2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55" cstate="screen"/>
                    <a:srcRect/>
                    <a:stretch>
                      <a:fillRect/>
                    </a:stretch>
                  </pic:blipFill>
                  <pic:spPr bwMode="auto">
                    <a:xfrm>
                      <a:off x="0" y="0"/>
                      <a:ext cx="4583746" cy="2770281"/>
                    </a:xfrm>
                    <a:prstGeom prst="rect">
                      <a:avLst/>
                    </a:prstGeom>
                    <a:noFill/>
                    <a:ln w="9525">
                      <a:noFill/>
                      <a:miter lim="800000"/>
                      <a:headEnd/>
                      <a:tailEnd/>
                    </a:ln>
                  </pic:spPr>
                </pic:pic>
              </a:graphicData>
            </a:graphic>
          </wp:inline>
        </w:drawing>
      </w:r>
    </w:p>
    <w:p w:rsidR="00F70BB3" w:rsidRPr="00F70BB3" w:rsidRDefault="00F70BB3" w:rsidP="00F70BB3">
      <w:pPr>
        <w:spacing w:after="240" w:line="220" w:lineRule="atLeast"/>
        <w:jc w:val="center"/>
        <w:rPr>
          <w:rFonts w:ascii="Arial" w:hAnsi="Arial"/>
          <w:bCs/>
          <w:noProof/>
          <w:sz w:val="16"/>
          <w:lang w:val="en-US"/>
        </w:rPr>
      </w:pPr>
      <w:r w:rsidRPr="00F70BB3">
        <w:rPr>
          <w:rFonts w:ascii="Arial" w:hAnsi="Arial"/>
          <w:b/>
          <w:bCs/>
          <w:noProof/>
          <w:sz w:val="16"/>
          <w:lang w:val="en-US"/>
        </w:rPr>
        <w:t>Figure 3.3</w:t>
      </w:r>
      <w:r w:rsidRPr="00F70BB3">
        <w:rPr>
          <w:rFonts w:ascii="Arial" w:hAnsi="Arial"/>
          <w:bCs/>
          <w:noProof/>
          <w:sz w:val="16"/>
          <w:lang w:val="en-US"/>
        </w:rPr>
        <w:t xml:space="preserve"> </w:t>
      </w:r>
      <w:r w:rsidR="00775262" w:rsidRPr="00F70BB3">
        <w:rPr>
          <w:rFonts w:ascii="Arial" w:hAnsi="Arial"/>
          <w:bCs/>
          <w:noProof/>
          <w:sz w:val="16"/>
          <w:lang w:val="en-US"/>
        </w:rPr>
        <w:t xml:space="preserve">Continuous monitoring of </w:t>
      </w:r>
      <w:r w:rsidR="00775262">
        <w:rPr>
          <w:rFonts w:ascii="Arial" w:hAnsi="Arial"/>
          <w:bCs/>
          <w:noProof/>
          <w:sz w:val="16"/>
          <w:lang w:val="en-US"/>
        </w:rPr>
        <w:t>electrical conductivity (</w:t>
      </w:r>
      <w:r w:rsidR="00775262" w:rsidRPr="00F70BB3">
        <w:rPr>
          <w:rFonts w:ascii="Arial" w:hAnsi="Arial"/>
          <w:bCs/>
          <w:noProof/>
          <w:sz w:val="16"/>
          <w:lang w:val="en-US"/>
        </w:rPr>
        <w:t>EC</w:t>
      </w:r>
      <w:r w:rsidR="00775262">
        <w:rPr>
          <w:rFonts w:ascii="Arial" w:hAnsi="Arial"/>
          <w:bCs/>
          <w:noProof/>
          <w:sz w:val="16"/>
          <w:lang w:val="en-US"/>
        </w:rPr>
        <w:t>)</w:t>
      </w:r>
      <w:r w:rsidR="00775262" w:rsidRPr="00F70BB3">
        <w:rPr>
          <w:rFonts w:ascii="Arial" w:hAnsi="Arial"/>
          <w:bCs/>
          <w:noProof/>
          <w:sz w:val="16"/>
          <w:lang w:val="en-US"/>
        </w:rPr>
        <w:t xml:space="preserve"> and water discharge in Magela Creek during the 2013–14 wet season.</w:t>
      </w:r>
    </w:p>
    <w:p w:rsidR="00F70BB3" w:rsidRPr="00F70BB3" w:rsidRDefault="00BD1CAD" w:rsidP="00BD1CAD">
      <w:pPr>
        <w:spacing w:after="120" w:line="260" w:lineRule="atLeast"/>
        <w:jc w:val="center"/>
      </w:pPr>
      <w:r w:rsidRPr="00BD1CAD">
        <w:rPr>
          <w:noProof/>
          <w:lang w:eastAsia="en-AU"/>
        </w:rPr>
        <w:drawing>
          <wp:inline distT="0" distB="0" distL="0" distR="0">
            <wp:extent cx="4583746" cy="2770281"/>
            <wp:effectExtent l="19050" t="0" r="7304" b="0"/>
            <wp:docPr id="10085"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56" cstate="screen"/>
                    <a:srcRect/>
                    <a:stretch>
                      <a:fillRect/>
                    </a:stretch>
                  </pic:blipFill>
                  <pic:spPr bwMode="auto">
                    <a:xfrm>
                      <a:off x="0" y="0"/>
                      <a:ext cx="4583746" cy="2770281"/>
                    </a:xfrm>
                    <a:prstGeom prst="rect">
                      <a:avLst/>
                    </a:prstGeom>
                    <a:noFill/>
                    <a:ln w="9525">
                      <a:noFill/>
                      <a:miter lim="800000"/>
                      <a:headEnd/>
                      <a:tailEnd/>
                    </a:ln>
                  </pic:spPr>
                </pic:pic>
              </a:graphicData>
            </a:graphic>
          </wp:inline>
        </w:drawing>
      </w:r>
    </w:p>
    <w:p w:rsidR="00F70BB3" w:rsidRPr="00F70BB3" w:rsidRDefault="00F70BB3" w:rsidP="00F70BB3">
      <w:pPr>
        <w:spacing w:after="240" w:line="220" w:lineRule="atLeast"/>
        <w:jc w:val="center"/>
        <w:rPr>
          <w:rFonts w:ascii="Arial" w:hAnsi="Arial"/>
          <w:bCs/>
          <w:noProof/>
          <w:sz w:val="16"/>
          <w:lang w:val="en-US"/>
        </w:rPr>
      </w:pPr>
      <w:r w:rsidRPr="00F70BB3">
        <w:rPr>
          <w:rFonts w:ascii="Arial" w:hAnsi="Arial"/>
          <w:b/>
          <w:bCs/>
          <w:noProof/>
          <w:sz w:val="16"/>
          <w:lang w:val="en-US"/>
        </w:rPr>
        <w:t>Figure 3.4</w:t>
      </w:r>
      <w:r w:rsidRPr="00F70BB3">
        <w:rPr>
          <w:rFonts w:ascii="Arial" w:hAnsi="Arial"/>
          <w:bCs/>
          <w:noProof/>
          <w:sz w:val="16"/>
          <w:lang w:val="en-US"/>
        </w:rPr>
        <w:t xml:space="preserve"> Continuous monitoring of pH and water discharge in Magela Creek </w:t>
      </w:r>
      <w:r w:rsidR="00070337">
        <w:rPr>
          <w:rFonts w:ascii="Arial" w:hAnsi="Arial"/>
          <w:bCs/>
          <w:noProof/>
          <w:sz w:val="16"/>
          <w:lang w:val="en-US"/>
        </w:rPr>
        <w:br/>
      </w:r>
      <w:r w:rsidRPr="00F70BB3">
        <w:rPr>
          <w:rFonts w:ascii="Arial" w:hAnsi="Arial"/>
          <w:bCs/>
          <w:noProof/>
          <w:sz w:val="16"/>
          <w:lang w:val="en-US"/>
        </w:rPr>
        <w:t>during the 2013–14 wet season.</w:t>
      </w:r>
    </w:p>
    <w:p w:rsidR="00775262" w:rsidRPr="00B0079B" w:rsidRDefault="00775262" w:rsidP="00775262">
      <w:r w:rsidRPr="00B0079B">
        <w:t xml:space="preserve">In response to </w:t>
      </w:r>
      <w:r>
        <w:t>the leach tank failure at Ranger mine on 7 December 2013 (section 3.2.2.6)</w:t>
      </w:r>
      <w:proofErr w:type="gramStart"/>
      <w:r>
        <w:t>,</w:t>
      </w:r>
      <w:proofErr w:type="gramEnd"/>
      <w:r>
        <w:t xml:space="preserve"> </w:t>
      </w:r>
      <w:r w:rsidRPr="00B0079B">
        <w:t>SSD increased the monitoring frequency within Magela Creek</w:t>
      </w:r>
      <w:r w:rsidR="00792811">
        <w:t xml:space="preserve">. This </w:t>
      </w:r>
      <w:proofErr w:type="gramStart"/>
      <w:r w:rsidR="00792811">
        <w:t xml:space="preserve">was </w:t>
      </w:r>
      <w:r w:rsidRPr="00B0079B">
        <w:t xml:space="preserve"> part</w:t>
      </w:r>
      <w:proofErr w:type="gramEnd"/>
      <w:r w:rsidRPr="00B0079B">
        <w:t xml:space="preserve"> of </w:t>
      </w:r>
      <w:r w:rsidR="00792811">
        <w:t xml:space="preserve">the incident </w:t>
      </w:r>
      <w:r w:rsidRPr="00B0079B">
        <w:t>investigation to confirm that there was no impact on the external environment or human health, and that the surrounding environment, including Kakadu National Park, remained protected. Results received show</w:t>
      </w:r>
      <w:r>
        <w:t>ed</w:t>
      </w:r>
      <w:r w:rsidRPr="00B0079B">
        <w:t xml:space="preserve"> that concentrations of uranium, manganese and magnesium remained significantly below the ecotoxicologically</w:t>
      </w:r>
      <w:r>
        <w:t>-</w:t>
      </w:r>
      <w:r w:rsidRPr="00B0079B">
        <w:t>derived water quality objectives.</w:t>
      </w:r>
    </w:p>
    <w:p w:rsidR="00775262" w:rsidRDefault="00775262" w:rsidP="00775262">
      <w:r w:rsidRPr="00F70BB3">
        <w:t>On 22 December 2013</w:t>
      </w:r>
      <w:r>
        <w:t>,</w:t>
      </w:r>
      <w:r w:rsidRPr="00F70BB3">
        <w:t xml:space="preserve"> an isolated heavy rainfall event occurred in the Georgetown Creek catchment with 64 mm recorded by ERA at GC2 compared to only 22 mm at the Jabiru Airport. This resulted in an influx of surface water down the Georgetown system, with an EC of around 130 </w:t>
      </w:r>
      <w:r>
        <w:t xml:space="preserve">µS </w:t>
      </w:r>
      <w:r w:rsidRPr="00F70BB3">
        <w:t>cm</w:t>
      </w:r>
      <w:r w:rsidRPr="000213A8">
        <w:rPr>
          <w:vertAlign w:val="superscript"/>
        </w:rPr>
        <w:t>-1</w:t>
      </w:r>
      <w:r w:rsidRPr="00F70BB3">
        <w:t xml:space="preserve"> at ERA’</w:t>
      </w:r>
      <w:r>
        <w:t xml:space="preserve">s monitoring site GC2 and 94 µS </w:t>
      </w:r>
      <w:r w:rsidRPr="00F70BB3">
        <w:t>cm</w:t>
      </w:r>
      <w:r w:rsidRPr="000213A8">
        <w:rPr>
          <w:vertAlign w:val="superscript"/>
        </w:rPr>
        <w:t>-1</w:t>
      </w:r>
      <w:r w:rsidRPr="00F70BB3">
        <w:t xml:space="preserve"> in Georgetown Billabong. The flow in Magela Creek was less than 5 cumecs and the pulse of surface water from Georgetown Billabong was observed at the downstream site where the EC peaked at 31 </w:t>
      </w:r>
      <w:r>
        <w:t xml:space="preserve">µS </w:t>
      </w:r>
      <w:r w:rsidRPr="00F70BB3">
        <w:t>cm</w:t>
      </w:r>
      <w:r w:rsidRPr="000213A8">
        <w:rPr>
          <w:vertAlign w:val="superscript"/>
        </w:rPr>
        <w:t>-1</w:t>
      </w:r>
      <w:r w:rsidRPr="00F70BB3">
        <w:t xml:space="preserve"> (Figure 3.3). The corresponding EC measured at the upstream si</w:t>
      </w:r>
      <w:r>
        <w:t xml:space="preserve">te during this period was 16 µS </w:t>
      </w:r>
      <w:r w:rsidRPr="00F70BB3">
        <w:t>cm</w:t>
      </w:r>
      <w:r w:rsidRPr="000213A8">
        <w:rPr>
          <w:vertAlign w:val="superscript"/>
        </w:rPr>
        <w:t>-1</w:t>
      </w:r>
      <w:r w:rsidR="00BD6B4A">
        <w:t xml:space="preserve">. </w:t>
      </w:r>
      <w:r w:rsidRPr="00F70BB3">
        <w:t>During this EC event an automatic sample was triggered at MCDW, which had elevated magnesium (1.7 mg</w:t>
      </w:r>
      <w:r>
        <w:t xml:space="preserve"> L</w:t>
      </w:r>
      <w:r w:rsidRPr="00DF296E">
        <w:rPr>
          <w:vertAlign w:val="superscript"/>
        </w:rPr>
        <w:t>-1</w:t>
      </w:r>
      <w:r w:rsidRPr="00F70BB3">
        <w:t>) and sulfate (3.0 mg</w:t>
      </w:r>
      <w:r>
        <w:t xml:space="preserve"> L</w:t>
      </w:r>
      <w:r w:rsidRPr="00DF296E">
        <w:rPr>
          <w:vertAlign w:val="superscript"/>
        </w:rPr>
        <w:t>-1</w:t>
      </w:r>
      <w:r w:rsidRPr="00F70BB3">
        <w:t>) concentrations. The event remained below the chronic exposure limit for magnesium of 3.0 mg</w:t>
      </w:r>
      <w:r>
        <w:t xml:space="preserve"> L</w:t>
      </w:r>
      <w:r w:rsidRPr="00DF296E">
        <w:rPr>
          <w:vertAlign w:val="superscript"/>
        </w:rPr>
        <w:t>-1</w:t>
      </w:r>
      <w:r w:rsidRPr="00F70BB3">
        <w:t>. Uranium concentration was low at 0.19 µg</w:t>
      </w:r>
      <w:r>
        <w:t xml:space="preserve"> </w:t>
      </w:r>
      <w:r w:rsidRPr="00F70BB3">
        <w:t>L</w:t>
      </w:r>
      <w:r w:rsidRPr="00DF296E">
        <w:rPr>
          <w:vertAlign w:val="superscript"/>
        </w:rPr>
        <w:t>-1</w:t>
      </w:r>
      <w:r w:rsidRPr="00F70BB3">
        <w:t>, which is approximately 3% of the ecotoxicologically</w:t>
      </w:r>
      <w:r>
        <w:t>-</w:t>
      </w:r>
      <w:r w:rsidRPr="00F70BB3">
        <w:t>derived limit of 6 µg</w:t>
      </w:r>
      <w:r>
        <w:t xml:space="preserve"> </w:t>
      </w:r>
      <w:r w:rsidRPr="00F70BB3">
        <w:t>L</w:t>
      </w:r>
      <w:r w:rsidRPr="00DF296E">
        <w:rPr>
          <w:vertAlign w:val="superscript"/>
        </w:rPr>
        <w:t>-1</w:t>
      </w:r>
      <w:r w:rsidRPr="00F70BB3">
        <w:t xml:space="preserve"> (Figure 3.5). </w:t>
      </w:r>
    </w:p>
    <w:p w:rsidR="00F70BB3" w:rsidRPr="00F70BB3" w:rsidRDefault="00555AED" w:rsidP="00F70BB3">
      <w:pPr>
        <w:spacing w:after="120" w:line="260" w:lineRule="atLeast"/>
        <w:jc w:val="center"/>
      </w:pPr>
      <w:r w:rsidRPr="00555AED">
        <w:rPr>
          <w:noProof/>
          <w:lang w:eastAsia="en-AU"/>
        </w:rPr>
        <w:drawing>
          <wp:inline distT="0" distB="0" distL="0" distR="0">
            <wp:extent cx="4314114" cy="2607323"/>
            <wp:effectExtent l="19050" t="0" r="0" b="0"/>
            <wp:docPr id="1008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cstate="screen"/>
                    <a:srcRect/>
                    <a:stretch>
                      <a:fillRect/>
                    </a:stretch>
                  </pic:blipFill>
                  <pic:spPr bwMode="auto">
                    <a:xfrm>
                      <a:off x="0" y="0"/>
                      <a:ext cx="4314114" cy="2607323"/>
                    </a:xfrm>
                    <a:prstGeom prst="rect">
                      <a:avLst/>
                    </a:prstGeom>
                    <a:noFill/>
                    <a:ln w="9525">
                      <a:noFill/>
                      <a:miter lim="800000"/>
                      <a:headEnd/>
                      <a:tailEnd/>
                    </a:ln>
                  </pic:spPr>
                </pic:pic>
              </a:graphicData>
            </a:graphic>
          </wp:inline>
        </w:drawing>
      </w:r>
    </w:p>
    <w:p w:rsidR="00F70BB3" w:rsidRDefault="00F70BB3" w:rsidP="00F70BB3">
      <w:pPr>
        <w:spacing w:after="240" w:line="220" w:lineRule="atLeast"/>
        <w:jc w:val="center"/>
        <w:rPr>
          <w:rFonts w:ascii="Arial" w:hAnsi="Arial"/>
          <w:bCs/>
          <w:noProof/>
          <w:sz w:val="16"/>
          <w:lang w:val="en-US"/>
        </w:rPr>
      </w:pPr>
      <w:r w:rsidRPr="00F70BB3">
        <w:rPr>
          <w:rFonts w:ascii="Arial" w:hAnsi="Arial"/>
          <w:b/>
          <w:bCs/>
          <w:noProof/>
          <w:sz w:val="16"/>
          <w:lang w:val="en-US"/>
        </w:rPr>
        <w:t>Figure 3.5</w:t>
      </w:r>
      <w:r w:rsidRPr="00F70BB3">
        <w:rPr>
          <w:rFonts w:ascii="Arial" w:hAnsi="Arial"/>
          <w:bCs/>
          <w:noProof/>
          <w:sz w:val="16"/>
          <w:lang w:val="en-US"/>
        </w:rPr>
        <w:t xml:space="preserve"> Continuous EC and total uranium concentrations in Magela Creek </w:t>
      </w:r>
      <w:r w:rsidRPr="00F70BB3">
        <w:rPr>
          <w:rFonts w:ascii="Arial" w:hAnsi="Arial"/>
          <w:bCs/>
          <w:noProof/>
          <w:sz w:val="16"/>
          <w:lang w:val="en-US"/>
        </w:rPr>
        <w:br/>
        <w:t>during the 2013–14 wet season.</w:t>
      </w:r>
    </w:p>
    <w:p w:rsidR="00F515D5" w:rsidRDefault="00F515D5" w:rsidP="00F515D5">
      <w:r w:rsidRPr="00F70BB3">
        <w:t>Manganese concentrations were also below the ecotoxicologically</w:t>
      </w:r>
      <w:r>
        <w:t>-</w:t>
      </w:r>
      <w:r w:rsidRPr="00F70BB3">
        <w:t>derived trigger values (Figure 3.6)</w:t>
      </w:r>
      <w:r>
        <w:t>.</w:t>
      </w:r>
      <w:r w:rsidRPr="00F515D5">
        <w:t xml:space="preserve"> </w:t>
      </w:r>
    </w:p>
    <w:p w:rsidR="00C43193" w:rsidRDefault="00C43193" w:rsidP="00F515D5"/>
    <w:p w:rsidR="00C43193" w:rsidRPr="00F70BB3" w:rsidRDefault="00C43193" w:rsidP="00C43193">
      <w:pPr>
        <w:spacing w:after="120" w:line="260" w:lineRule="atLeast"/>
        <w:jc w:val="center"/>
      </w:pPr>
      <w:r w:rsidRPr="00BD1CAD">
        <w:rPr>
          <w:noProof/>
          <w:lang w:eastAsia="en-AU"/>
        </w:rPr>
        <w:drawing>
          <wp:inline distT="0" distB="0" distL="0" distR="0">
            <wp:extent cx="4314411" cy="2607503"/>
            <wp:effectExtent l="19050" t="0" r="0" b="0"/>
            <wp:docPr id="47"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58" cstate="screen"/>
                    <a:srcRect/>
                    <a:stretch>
                      <a:fillRect/>
                    </a:stretch>
                  </pic:blipFill>
                  <pic:spPr bwMode="auto">
                    <a:xfrm>
                      <a:off x="0" y="0"/>
                      <a:ext cx="4315308" cy="2608045"/>
                    </a:xfrm>
                    <a:prstGeom prst="rect">
                      <a:avLst/>
                    </a:prstGeom>
                    <a:noFill/>
                    <a:ln w="9525">
                      <a:noFill/>
                      <a:miter lim="800000"/>
                      <a:headEnd/>
                      <a:tailEnd/>
                    </a:ln>
                  </pic:spPr>
                </pic:pic>
              </a:graphicData>
            </a:graphic>
          </wp:inline>
        </w:drawing>
      </w:r>
    </w:p>
    <w:p w:rsidR="00C43193" w:rsidRPr="00F70BB3" w:rsidRDefault="00C43193" w:rsidP="00C43193">
      <w:pPr>
        <w:spacing w:after="240" w:line="220" w:lineRule="atLeast"/>
        <w:jc w:val="center"/>
        <w:rPr>
          <w:rFonts w:ascii="Arial" w:hAnsi="Arial"/>
          <w:bCs/>
          <w:noProof/>
          <w:sz w:val="16"/>
          <w:lang w:val="en-US"/>
        </w:rPr>
      </w:pPr>
      <w:r w:rsidRPr="00F70BB3">
        <w:rPr>
          <w:rFonts w:ascii="Arial" w:hAnsi="Arial"/>
          <w:b/>
          <w:bCs/>
          <w:noProof/>
          <w:sz w:val="16"/>
          <w:lang w:val="en-US"/>
        </w:rPr>
        <w:t>Figure 3.6</w:t>
      </w:r>
      <w:r w:rsidRPr="00F70BB3">
        <w:rPr>
          <w:rFonts w:ascii="Arial" w:hAnsi="Arial"/>
          <w:bCs/>
          <w:noProof/>
          <w:sz w:val="16"/>
          <w:lang w:val="en-US"/>
        </w:rPr>
        <w:t xml:space="preserve"> Continuous EC and total manganese concentrations in Magela Creek </w:t>
      </w:r>
      <w:r w:rsidRPr="00F70BB3">
        <w:rPr>
          <w:rFonts w:ascii="Arial" w:hAnsi="Arial"/>
          <w:bCs/>
          <w:noProof/>
          <w:sz w:val="16"/>
          <w:lang w:val="en-US"/>
        </w:rPr>
        <w:br/>
        <w:t>during the 2013–14 wet season.</w:t>
      </w:r>
    </w:p>
    <w:p w:rsidR="00F515D5" w:rsidRPr="00F70BB3" w:rsidRDefault="00F515D5" w:rsidP="00F515D5">
      <w:r w:rsidRPr="00F70BB3">
        <w:t>On 29 December 2013</w:t>
      </w:r>
      <w:r>
        <w:t>,</w:t>
      </w:r>
      <w:r w:rsidRPr="00F70BB3">
        <w:t xml:space="preserve"> elevated EC was observed at the downstream site, with EC peaking at 36 </w:t>
      </w:r>
      <w:r>
        <w:t xml:space="preserve">µS </w:t>
      </w:r>
      <w:r w:rsidRPr="00F70BB3">
        <w:t>cm</w:t>
      </w:r>
      <w:r w:rsidRPr="000213A8">
        <w:rPr>
          <w:vertAlign w:val="superscript"/>
        </w:rPr>
        <w:t xml:space="preserve">-1 </w:t>
      </w:r>
      <w:r w:rsidRPr="00F70BB3">
        <w:t>with a cor</w:t>
      </w:r>
      <w:r>
        <w:t xml:space="preserve">responding upstream EC of 12 µS </w:t>
      </w:r>
      <w:r w:rsidRPr="00F70BB3">
        <w:t>cm</w:t>
      </w:r>
      <w:r w:rsidRPr="000213A8">
        <w:rPr>
          <w:vertAlign w:val="superscript"/>
        </w:rPr>
        <w:t xml:space="preserve">-1 </w:t>
      </w:r>
      <w:r w:rsidRPr="00F70BB3">
        <w:t xml:space="preserve">(Figure 3.3). This increase in EC downstream of the mine was also observed by ERA, </w:t>
      </w:r>
      <w:r>
        <w:t>at its</w:t>
      </w:r>
      <w:r w:rsidRPr="00F70BB3">
        <w:t xml:space="preserve"> continuous monitoring sites located in all three channels of Magela Creek</w:t>
      </w:r>
      <w:r>
        <w:t xml:space="preserve"> (MG009E, MG009C, </w:t>
      </w:r>
      <w:proofErr w:type="gramStart"/>
      <w:r>
        <w:t>MG009W</w:t>
      </w:r>
      <w:proofErr w:type="gramEnd"/>
      <w:r>
        <w:t>)</w:t>
      </w:r>
      <w:r w:rsidRPr="00F70BB3">
        <w:t xml:space="preserve">. The fact that the EC signal occurred prior to managed release of RP1 waters and was </w:t>
      </w:r>
      <w:r w:rsidR="00792811">
        <w:t>observed in</w:t>
      </w:r>
      <w:r w:rsidR="00792811" w:rsidRPr="00F70BB3">
        <w:t xml:space="preserve"> </w:t>
      </w:r>
      <w:r w:rsidRPr="00F70BB3">
        <w:t xml:space="preserve">all three channels downstream of the mine (indicating mixing), suggests that the likely source </w:t>
      </w:r>
      <w:r w:rsidR="00792811">
        <w:t xml:space="preserve">was </w:t>
      </w:r>
      <w:r w:rsidRPr="00F70BB3">
        <w:t xml:space="preserve">surface water from Georgetown Billabong which at the time, had an EC of around </w:t>
      </w:r>
      <w:r w:rsidR="00AA4E01">
        <w:br/>
      </w:r>
      <w:r w:rsidRPr="00F70BB3">
        <w:t>95</w:t>
      </w:r>
      <w:r w:rsidRPr="000213A8">
        <w:t xml:space="preserve"> </w:t>
      </w:r>
      <w:r>
        <w:t xml:space="preserve">µS </w:t>
      </w:r>
      <w:r w:rsidRPr="00F70BB3">
        <w:t>cm</w:t>
      </w:r>
      <w:r w:rsidRPr="000213A8">
        <w:rPr>
          <w:vertAlign w:val="superscript"/>
        </w:rPr>
        <w:t>-1</w:t>
      </w:r>
      <w:r w:rsidRPr="00F70BB3">
        <w:t>.</w:t>
      </w:r>
    </w:p>
    <w:p w:rsidR="00792811" w:rsidRDefault="00792811" w:rsidP="00792811">
      <w:pPr>
        <w:rPr>
          <w:lang w:val="en-US"/>
        </w:rPr>
      </w:pPr>
      <w:r w:rsidRPr="00236E83">
        <w:rPr>
          <w:lang w:val="en-US"/>
        </w:rPr>
        <w:t>Sampl</w:t>
      </w:r>
      <w:r>
        <w:rPr>
          <w:lang w:val="en-US"/>
        </w:rPr>
        <w:t>ing</w:t>
      </w:r>
      <w:r w:rsidRPr="00236E83">
        <w:rPr>
          <w:lang w:val="en-US"/>
        </w:rPr>
        <w:t xml:space="preserve"> </w:t>
      </w:r>
      <w:r>
        <w:rPr>
          <w:lang w:val="en-US"/>
        </w:rPr>
        <w:t xml:space="preserve">was automatically </w:t>
      </w:r>
      <w:r w:rsidRPr="00236E83">
        <w:rPr>
          <w:lang w:val="en-US"/>
        </w:rPr>
        <w:t>triggered</w:t>
      </w:r>
      <w:r>
        <w:rPr>
          <w:lang w:val="en-US"/>
        </w:rPr>
        <w:t xml:space="preserve"> by a timer, with two samples collected,</w:t>
      </w:r>
      <w:r w:rsidRPr="00236E83">
        <w:rPr>
          <w:lang w:val="en-US"/>
        </w:rPr>
        <w:t xml:space="preserve"> over the Christmas period on 29 December 2013, as shown in Figure 3.7. The upstream sample was triggered at 03</w:t>
      </w:r>
      <w:r>
        <w:rPr>
          <w:lang w:val="en-US"/>
        </w:rPr>
        <w:t>.</w:t>
      </w:r>
      <w:r w:rsidRPr="00236E83">
        <w:rPr>
          <w:lang w:val="en-US"/>
        </w:rPr>
        <w:t>33 am and the downstream sample was triggered at 09</w:t>
      </w:r>
      <w:r>
        <w:rPr>
          <w:lang w:val="en-US"/>
        </w:rPr>
        <w:t>.</w:t>
      </w:r>
      <w:r w:rsidRPr="00236E83">
        <w:rPr>
          <w:lang w:val="en-US"/>
        </w:rPr>
        <w:t>15 am. The magnesium and sulfate concentrations were higher in the downstream sample as would be expected with the higher EC at the time. The uranium concentration downstream w</w:t>
      </w:r>
      <w:r>
        <w:rPr>
          <w:lang w:val="en-US"/>
        </w:rPr>
        <w:t xml:space="preserve">as marginally higher at 0.28 µg </w:t>
      </w:r>
      <w:r w:rsidRPr="00236E83">
        <w:rPr>
          <w:lang w:val="en-US"/>
        </w:rPr>
        <w:t>L</w:t>
      </w:r>
      <w:r w:rsidRPr="000213A8">
        <w:rPr>
          <w:vertAlign w:val="superscript"/>
          <w:lang w:val="en-US"/>
        </w:rPr>
        <w:t>-1</w:t>
      </w:r>
      <w:r w:rsidRPr="00236E83">
        <w:rPr>
          <w:lang w:val="en-US"/>
        </w:rPr>
        <w:t xml:space="preserve"> however this is still low at approximately 5% of the ecotoxicologically derived limit.</w:t>
      </w:r>
    </w:p>
    <w:p w:rsidR="00C43193" w:rsidRPr="00236E83" w:rsidRDefault="00C43193" w:rsidP="00792811">
      <w:pPr>
        <w:rPr>
          <w:lang w:val="en-US"/>
        </w:rPr>
      </w:pPr>
    </w:p>
    <w:p w:rsidR="00AA0A99" w:rsidRDefault="00F84668" w:rsidP="00236E83">
      <w:pPr>
        <w:spacing w:after="240" w:line="220" w:lineRule="atLeast"/>
        <w:jc w:val="center"/>
        <w:rPr>
          <w:rFonts w:ascii="Arial" w:hAnsi="Arial"/>
          <w:b/>
          <w:bCs/>
          <w:noProof/>
          <w:sz w:val="16"/>
          <w:highlight w:val="yellow"/>
          <w:lang w:val="en-US"/>
        </w:rPr>
      </w:pPr>
      <w:r w:rsidRPr="00F84668">
        <w:rPr>
          <w:noProof/>
          <w:lang w:eastAsia="en-AU"/>
        </w:rPr>
        <w:drawing>
          <wp:inline distT="0" distB="0" distL="0" distR="0">
            <wp:extent cx="4206586" cy="2624753"/>
            <wp:effectExtent l="19050" t="0" r="3464" b="0"/>
            <wp:docPr id="13"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59" cstate="screen"/>
                    <a:srcRect/>
                    <a:stretch>
                      <a:fillRect/>
                    </a:stretch>
                  </pic:blipFill>
                  <pic:spPr bwMode="auto">
                    <a:xfrm>
                      <a:off x="0" y="0"/>
                      <a:ext cx="4218520" cy="2632199"/>
                    </a:xfrm>
                    <a:prstGeom prst="rect">
                      <a:avLst/>
                    </a:prstGeom>
                    <a:noFill/>
                    <a:ln w="9525">
                      <a:noFill/>
                      <a:miter lim="800000"/>
                      <a:headEnd/>
                      <a:tailEnd/>
                    </a:ln>
                  </pic:spPr>
                </pic:pic>
              </a:graphicData>
            </a:graphic>
          </wp:inline>
        </w:drawing>
      </w:r>
    </w:p>
    <w:p w:rsidR="00236E83" w:rsidRDefault="00236E83" w:rsidP="00236E83">
      <w:pPr>
        <w:spacing w:after="240" w:line="220" w:lineRule="atLeast"/>
        <w:jc w:val="center"/>
        <w:rPr>
          <w:rFonts w:ascii="Arial" w:hAnsi="Arial"/>
          <w:bCs/>
          <w:noProof/>
          <w:sz w:val="16"/>
          <w:lang w:val="en-US"/>
        </w:rPr>
      </w:pPr>
      <w:r w:rsidRPr="00AA0A99">
        <w:rPr>
          <w:rFonts w:ascii="Arial" w:hAnsi="Arial"/>
          <w:b/>
          <w:bCs/>
          <w:noProof/>
          <w:sz w:val="16"/>
          <w:lang w:val="en-US"/>
        </w:rPr>
        <w:t>Figure 3.7</w:t>
      </w:r>
      <w:r w:rsidRPr="00AA0A99">
        <w:rPr>
          <w:rFonts w:ascii="Arial" w:hAnsi="Arial"/>
          <w:bCs/>
          <w:noProof/>
          <w:sz w:val="16"/>
          <w:lang w:val="en-US"/>
        </w:rPr>
        <w:t xml:space="preserve"> Magela Creek continuous monitoring data showing a peak in EC at the downstream monitoring site (MCDW) during late December 2014.</w:t>
      </w:r>
    </w:p>
    <w:p w:rsidR="00775262" w:rsidRPr="00C71DED" w:rsidRDefault="00775262" w:rsidP="00775262">
      <w:r>
        <w:t xml:space="preserve">From </w:t>
      </w:r>
      <w:r w:rsidRPr="00C71DED">
        <w:t>late December 2013</w:t>
      </w:r>
      <w:r>
        <w:t>,</w:t>
      </w:r>
      <w:r w:rsidRPr="00C71DED">
        <w:t xml:space="preserve"> the EC downstream of the mine diverged from the background EC</w:t>
      </w:r>
      <w:r>
        <w:t xml:space="preserve"> </w:t>
      </w:r>
      <w:r w:rsidRPr="00C71DED">
        <w:t>measured upstream of the mine</w:t>
      </w:r>
      <w:r>
        <w:t>, which occurs e</w:t>
      </w:r>
      <w:r w:rsidRPr="00C71DED">
        <w:t xml:space="preserve">ach wet season once flows from Coonjimba and Georgetown billabongs into Magela Creek </w:t>
      </w:r>
      <w:r w:rsidR="00792811">
        <w:t>are</w:t>
      </w:r>
      <w:r w:rsidR="00792811" w:rsidRPr="00C71DED">
        <w:t xml:space="preserve"> </w:t>
      </w:r>
      <w:r w:rsidRPr="00C71DED">
        <w:t>established</w:t>
      </w:r>
      <w:r>
        <w:t>.</w:t>
      </w:r>
      <w:r w:rsidRPr="00C71DED">
        <w:t xml:space="preserve"> </w:t>
      </w:r>
    </w:p>
    <w:p w:rsidR="00775262" w:rsidRDefault="00775262" w:rsidP="00775262">
      <w:r w:rsidRPr="00C71DED">
        <w:t>On 27 January 201</w:t>
      </w:r>
      <w:r>
        <w:t xml:space="preserve">4, there was an EC peak of 34 µS </w:t>
      </w:r>
      <w:r w:rsidRPr="00C71DED">
        <w:t>cm</w:t>
      </w:r>
      <w:r w:rsidRPr="00D07B07">
        <w:rPr>
          <w:vertAlign w:val="superscript"/>
        </w:rPr>
        <w:t>-1</w:t>
      </w:r>
      <w:r w:rsidRPr="00C71DED">
        <w:t xml:space="preserve"> at the downstream monitoring site (Figure </w:t>
      </w:r>
      <w:r>
        <w:t>3.8</w:t>
      </w:r>
      <w:r w:rsidRPr="00C71DED">
        <w:t xml:space="preserve">). The peak occurred during a decrease in Magela Creek water level and is likely to be due to Coonjimba Billabong inflow to Magela Creek. At the time, the EC of Coonjimba Billabong was around 150 </w:t>
      </w:r>
      <w:r>
        <w:t xml:space="preserve">µS </w:t>
      </w:r>
      <w:r w:rsidRPr="00C71DED">
        <w:t>cm</w:t>
      </w:r>
      <w:r w:rsidRPr="00D07B07">
        <w:rPr>
          <w:vertAlign w:val="superscript"/>
        </w:rPr>
        <w:t>-1</w:t>
      </w:r>
      <w:r w:rsidRPr="00C71DED">
        <w:t xml:space="preserve"> and the EC of RP1 was around 270 </w:t>
      </w:r>
      <w:r>
        <w:t xml:space="preserve">µS </w:t>
      </w:r>
      <w:r w:rsidRPr="00C71DED">
        <w:t>cm</w:t>
      </w:r>
      <w:r w:rsidRPr="00D07B07">
        <w:rPr>
          <w:vertAlign w:val="superscript"/>
        </w:rPr>
        <w:t>-1</w:t>
      </w:r>
      <w:r w:rsidRPr="00C71DED">
        <w:t xml:space="preserve"> (ERA monitoring data). As the EC peaks were below the auto</w:t>
      </w:r>
      <w:r>
        <w:t>-</w:t>
      </w:r>
      <w:r w:rsidRPr="00C71DED">
        <w:t>sampler activation trigger</w:t>
      </w:r>
      <w:r>
        <w:t xml:space="preserve"> of 42 µS </w:t>
      </w:r>
      <w:r w:rsidRPr="00C71DED">
        <w:t>cm</w:t>
      </w:r>
      <w:r w:rsidRPr="00D07B07">
        <w:rPr>
          <w:vertAlign w:val="superscript"/>
        </w:rPr>
        <w:t>-1</w:t>
      </w:r>
      <w:r w:rsidRPr="00C71DED">
        <w:t xml:space="preserve"> no samples were collected.</w:t>
      </w:r>
    </w:p>
    <w:p w:rsidR="00236E83" w:rsidRPr="00236E83" w:rsidRDefault="00746152" w:rsidP="00236E83">
      <w:pPr>
        <w:spacing w:after="120" w:line="260" w:lineRule="atLeast"/>
        <w:jc w:val="center"/>
      </w:pPr>
      <w:r w:rsidRPr="00746152">
        <w:rPr>
          <w:noProof/>
          <w:lang w:eastAsia="en-AU"/>
        </w:rPr>
        <w:drawing>
          <wp:inline distT="0" distB="0" distL="0" distR="0">
            <wp:extent cx="4727575" cy="2873886"/>
            <wp:effectExtent l="19050" t="0" r="0" b="0"/>
            <wp:docPr id="1009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0" cstate="screen"/>
                    <a:srcRect/>
                    <a:stretch>
                      <a:fillRect/>
                    </a:stretch>
                  </pic:blipFill>
                  <pic:spPr bwMode="auto">
                    <a:xfrm>
                      <a:off x="0" y="0"/>
                      <a:ext cx="4727575" cy="2873886"/>
                    </a:xfrm>
                    <a:prstGeom prst="rect">
                      <a:avLst/>
                    </a:prstGeom>
                    <a:noFill/>
                    <a:ln w="9525">
                      <a:noFill/>
                      <a:miter lim="800000"/>
                      <a:headEnd/>
                      <a:tailEnd/>
                    </a:ln>
                  </pic:spPr>
                </pic:pic>
              </a:graphicData>
            </a:graphic>
          </wp:inline>
        </w:drawing>
      </w:r>
    </w:p>
    <w:p w:rsidR="00236E83" w:rsidRPr="00236E83" w:rsidRDefault="00236E83" w:rsidP="00236E83">
      <w:pPr>
        <w:spacing w:after="240" w:line="220" w:lineRule="atLeast"/>
        <w:jc w:val="center"/>
        <w:rPr>
          <w:rFonts w:ascii="Arial" w:hAnsi="Arial"/>
          <w:bCs/>
          <w:noProof/>
          <w:sz w:val="16"/>
          <w:lang w:val="en-US"/>
        </w:rPr>
      </w:pPr>
      <w:r w:rsidRPr="00236E83">
        <w:rPr>
          <w:rFonts w:ascii="Arial" w:hAnsi="Arial"/>
          <w:b/>
          <w:bCs/>
          <w:noProof/>
          <w:sz w:val="16"/>
          <w:lang w:val="en-US"/>
        </w:rPr>
        <w:t>Figure 3.8</w:t>
      </w:r>
      <w:r w:rsidRPr="00236E83">
        <w:rPr>
          <w:rFonts w:ascii="Arial" w:hAnsi="Arial"/>
          <w:bCs/>
          <w:noProof/>
          <w:sz w:val="16"/>
          <w:lang w:val="en-US"/>
        </w:rPr>
        <w:t xml:space="preserve"> Magela Creek continuous monitoring data showing peaks in electrical conductivity at the downstream monitoring site (MCDW) during late January 2014.</w:t>
      </w:r>
    </w:p>
    <w:p w:rsidR="00775262" w:rsidRDefault="00775262" w:rsidP="00775262">
      <w:r w:rsidRPr="00236E83">
        <w:t>High turbidity levels are common in Magela Creek during the early wet season due to first flush effects. Historically, the mine site does not contribute substantial amounts of suspended sediment to Magela Creek and</w:t>
      </w:r>
      <w:r>
        <w:t>,</w:t>
      </w:r>
      <w:r w:rsidRPr="00236E83">
        <w:t xml:space="preserve"> therefore</w:t>
      </w:r>
      <w:r>
        <w:t>,</w:t>
      </w:r>
      <w:r w:rsidRPr="00236E83">
        <w:t xml:space="preserve"> has little influence on the turbidity at the downstream site. Occasionally</w:t>
      </w:r>
      <w:r>
        <w:t>,</w:t>
      </w:r>
      <w:r w:rsidRPr="00236E83">
        <w:t xml:space="preserve"> turbidity spikes are observed at the downstream site without an accompanying spike at the upstream site, indicating that the source of suspended sediment lies</w:t>
      </w:r>
      <w:r>
        <w:t xml:space="preserve"> between the two sites. From 23–</w:t>
      </w:r>
      <w:r w:rsidRPr="00236E83">
        <w:t>28 January 2014</w:t>
      </w:r>
      <w:r>
        <w:t>,</w:t>
      </w:r>
      <w:r w:rsidRPr="00236E83">
        <w:t xml:space="preserve"> there were three turbidity peaks which occurred at MCDW</w:t>
      </w:r>
      <w:r>
        <w:t>,</w:t>
      </w:r>
      <w:r w:rsidRPr="00236E83">
        <w:t xml:space="preserve"> but </w:t>
      </w:r>
      <w:r>
        <w:t xml:space="preserve">which </w:t>
      </w:r>
      <w:r w:rsidRPr="00236E83">
        <w:t>were not detected upstream at MCUGT (Figure 3.9). These coincided with intermittent rainfall events associated with the monsoonal trough over northern Australia during late January</w:t>
      </w:r>
      <w:r>
        <w:t>,</w:t>
      </w:r>
      <w:r w:rsidRPr="00236E83">
        <w:t xml:space="preserve"> and </w:t>
      </w:r>
      <w:r>
        <w:t>we</w:t>
      </w:r>
      <w:r w:rsidRPr="00236E83">
        <w:t>re due to surface run-off from localised rainfall. Water quality objectives are currently being developed for continuously monitored turbidity.</w:t>
      </w:r>
    </w:p>
    <w:p w:rsidR="00C43193" w:rsidRPr="00311617" w:rsidRDefault="00C43193" w:rsidP="00C43193">
      <w:r w:rsidRPr="00311617">
        <w:t>There was little rainfall over the first two weeks of February 2014</w:t>
      </w:r>
      <w:r>
        <w:t>,</w:t>
      </w:r>
      <w:r w:rsidRPr="00311617">
        <w:t xml:space="preserve"> and the decrease in stream discharge led to increased pH levels. The inverse relationship between pH and water level in the creek is explained by the slightly acidic nature of the incident rainfall in the region (Noller et al</w:t>
      </w:r>
      <w:r>
        <w:t>.</w:t>
      </w:r>
      <w:r w:rsidRPr="00311617">
        <w:t xml:space="preserve"> 1990</w:t>
      </w:r>
      <w:r w:rsidRPr="00311617">
        <w:rPr>
          <w:vertAlign w:val="superscript"/>
        </w:rPr>
        <w:footnoteReference w:id="1"/>
      </w:r>
      <w:r w:rsidRPr="00311617">
        <w:t>). Water quality objectives are currently being developed for continuously</w:t>
      </w:r>
      <w:r>
        <w:t>-</w:t>
      </w:r>
      <w:r w:rsidRPr="00311617">
        <w:t>monitored pH.</w:t>
      </w:r>
    </w:p>
    <w:p w:rsidR="00C43193" w:rsidRPr="00236E83" w:rsidRDefault="00C43193" w:rsidP="00775262"/>
    <w:p w:rsidR="00236E83" w:rsidRPr="00236E83" w:rsidRDefault="00746152" w:rsidP="00236E83">
      <w:pPr>
        <w:spacing w:after="120" w:line="260" w:lineRule="atLeast"/>
        <w:jc w:val="center"/>
      </w:pPr>
      <w:r w:rsidRPr="00746152">
        <w:rPr>
          <w:noProof/>
          <w:lang w:eastAsia="en-AU"/>
        </w:rPr>
        <w:drawing>
          <wp:inline distT="0" distB="0" distL="0" distR="0">
            <wp:extent cx="4448175" cy="2697764"/>
            <wp:effectExtent l="19050" t="0" r="9525" b="0"/>
            <wp:docPr id="1009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1" cstate="screen"/>
                    <a:srcRect/>
                    <a:stretch>
                      <a:fillRect/>
                    </a:stretch>
                  </pic:blipFill>
                  <pic:spPr bwMode="auto">
                    <a:xfrm>
                      <a:off x="0" y="0"/>
                      <a:ext cx="4448175" cy="2697764"/>
                    </a:xfrm>
                    <a:prstGeom prst="rect">
                      <a:avLst/>
                    </a:prstGeom>
                    <a:noFill/>
                    <a:ln w="9525">
                      <a:noFill/>
                      <a:miter lim="800000"/>
                      <a:headEnd/>
                      <a:tailEnd/>
                    </a:ln>
                  </pic:spPr>
                </pic:pic>
              </a:graphicData>
            </a:graphic>
          </wp:inline>
        </w:drawing>
      </w:r>
    </w:p>
    <w:p w:rsidR="00236E83" w:rsidRPr="00236E83" w:rsidRDefault="00236E83" w:rsidP="00630309">
      <w:pPr>
        <w:pStyle w:val="figurecaption"/>
      </w:pPr>
      <w:r w:rsidRPr="00236E83">
        <w:rPr>
          <w:b/>
        </w:rPr>
        <w:t>Figure 3.9</w:t>
      </w:r>
      <w:r w:rsidRPr="00236E83">
        <w:t xml:space="preserve"> Magela Creek continuous monitoring data showing peaks in turbidity at the downstream monitoring site (MCDW) during late January 2014.</w:t>
      </w:r>
    </w:p>
    <w:p w:rsidR="007E3BAA" w:rsidRPr="00236E83" w:rsidRDefault="007E3BAA" w:rsidP="007E3BAA">
      <w:r w:rsidRPr="00236E83">
        <w:t xml:space="preserve">Uranium concentrations recorded within Magela Creek were all below the Focus trigger value of 0.3 </w:t>
      </w:r>
      <w:r>
        <w:t xml:space="preserve">µg </w:t>
      </w:r>
      <w:r w:rsidRPr="00236E83">
        <w:t>L</w:t>
      </w:r>
      <w:r w:rsidRPr="00D07B07">
        <w:rPr>
          <w:vertAlign w:val="superscript"/>
        </w:rPr>
        <w:t>-1</w:t>
      </w:r>
      <w:r w:rsidRPr="00236E83">
        <w:t xml:space="preserve"> with the exceptio</w:t>
      </w:r>
      <w:r>
        <w:t>n of two samples collected on 6–</w:t>
      </w:r>
      <w:r w:rsidRPr="00236E83">
        <w:t xml:space="preserve">7 April 2014, which </w:t>
      </w:r>
      <w:r>
        <w:t xml:space="preserve">contained 0.35 µg </w:t>
      </w:r>
      <w:r w:rsidRPr="00236E83">
        <w:t>L</w:t>
      </w:r>
      <w:r w:rsidRPr="00D07B07">
        <w:rPr>
          <w:vertAlign w:val="superscript"/>
        </w:rPr>
        <w:t>-1</w:t>
      </w:r>
      <w:r w:rsidRPr="00236E83">
        <w:t xml:space="preserve"> </w:t>
      </w:r>
      <w:r>
        <w:t xml:space="preserve">and 0.31 µg </w:t>
      </w:r>
      <w:r w:rsidRPr="00236E83">
        <w:t>L</w:t>
      </w:r>
      <w:r w:rsidRPr="00D07B07">
        <w:rPr>
          <w:vertAlign w:val="superscript"/>
        </w:rPr>
        <w:t>-1</w:t>
      </w:r>
      <w:r>
        <w:t xml:space="preserve">, </w:t>
      </w:r>
      <w:r w:rsidRPr="00236E83">
        <w:t>respectively (Figure 3.5). This is approximately 6% of the ecotoxicologically</w:t>
      </w:r>
      <w:r>
        <w:t>-</w:t>
      </w:r>
      <w:r w:rsidRPr="00236E83">
        <w:t xml:space="preserve">derived limit. </w:t>
      </w:r>
    </w:p>
    <w:p w:rsidR="007E3BAA" w:rsidRPr="00236E83" w:rsidRDefault="007E3BAA" w:rsidP="007E3BAA">
      <w:r w:rsidRPr="00236E83">
        <w:t>Manganese concentrations</w:t>
      </w:r>
      <w:r>
        <w:t xml:space="preserve"> </w:t>
      </w:r>
      <w:r w:rsidRPr="00236E83">
        <w:t xml:space="preserve">were also very low (Figure 3.6). Only two samples at MCDW were recorded above the Focus trigger value of 35 </w:t>
      </w:r>
      <w:r>
        <w:t xml:space="preserve">µg </w:t>
      </w:r>
      <w:r w:rsidRPr="00236E83">
        <w:t>L</w:t>
      </w:r>
      <w:r w:rsidRPr="00D07B07">
        <w:rPr>
          <w:vertAlign w:val="superscript"/>
        </w:rPr>
        <w:t>-1</w:t>
      </w:r>
      <w:r w:rsidRPr="00236E83">
        <w:t xml:space="preserve"> with concentrations of 44 </w:t>
      </w:r>
      <w:r>
        <w:t xml:space="preserve">µg </w:t>
      </w:r>
      <w:r w:rsidRPr="00236E83">
        <w:t>L</w:t>
      </w:r>
      <w:r w:rsidRPr="00D07B07">
        <w:rPr>
          <w:vertAlign w:val="superscript"/>
        </w:rPr>
        <w:t>-1</w:t>
      </w:r>
      <w:r w:rsidRPr="00236E83">
        <w:t xml:space="preserve"> on 28 November 2013 and 36 </w:t>
      </w:r>
      <w:r>
        <w:t xml:space="preserve">µg </w:t>
      </w:r>
      <w:r w:rsidRPr="00236E83">
        <w:t>L</w:t>
      </w:r>
      <w:r w:rsidRPr="00D07B07">
        <w:rPr>
          <w:vertAlign w:val="superscript"/>
        </w:rPr>
        <w:t>-1</w:t>
      </w:r>
      <w:r w:rsidRPr="00236E83">
        <w:t xml:space="preserve"> on 6 April 2014. The manganese trigger values only apply when creek flow is above 5 cumecs. At the time of sample collection</w:t>
      </w:r>
      <w:r>
        <w:t>,</w:t>
      </w:r>
      <w:r w:rsidRPr="00236E83">
        <w:t xml:space="preserve"> on both occasions creek</w:t>
      </w:r>
      <w:r>
        <w:t>,</w:t>
      </w:r>
      <w:r w:rsidRPr="00236E83">
        <w:t xml:space="preserve"> flow was </w:t>
      </w:r>
      <w:r>
        <w:t xml:space="preserve">below </w:t>
      </w:r>
      <w:r w:rsidRPr="00236E83">
        <w:t>3.5 cumecs and</w:t>
      </w:r>
      <w:r>
        <w:t>,</w:t>
      </w:r>
      <w:r w:rsidRPr="00236E83">
        <w:t xml:space="preserve"> thus</w:t>
      </w:r>
      <w:r>
        <w:t>,</w:t>
      </w:r>
      <w:r w:rsidRPr="00236E83">
        <w:t xml:space="preserve"> the trigger values are not relevant.</w:t>
      </w:r>
    </w:p>
    <w:p w:rsidR="007E3BAA" w:rsidRPr="00236E83" w:rsidRDefault="007E3BAA" w:rsidP="007E3BAA">
      <w:r w:rsidRPr="00236E83">
        <w:t>During late February and March</w:t>
      </w:r>
      <w:r>
        <w:t>,</w:t>
      </w:r>
      <w:r w:rsidRPr="00236E83">
        <w:t xml:space="preserve"> the water level in Magela Creek had decreased leading to increased EC levels, generally fluctuating with each rainfall event. Automatic samples were triggered during two EC events in April and May 2014. </w:t>
      </w:r>
    </w:p>
    <w:p w:rsidR="00345B28" w:rsidRPr="00236E83" w:rsidRDefault="00345B28" w:rsidP="00345B28">
      <w:r w:rsidRPr="00236E83">
        <w:t>During late February and March</w:t>
      </w:r>
      <w:r>
        <w:t>,</w:t>
      </w:r>
      <w:r w:rsidRPr="00236E83">
        <w:t xml:space="preserve"> the water level in Magela Creek had decreased leading to increased EC levels, generally fluctuating with each rainfall event. Automatic samples were triggered during two EC events in April and May 2014. </w:t>
      </w:r>
    </w:p>
    <w:p w:rsidR="00345B28" w:rsidRPr="00236E83" w:rsidRDefault="00345B28" w:rsidP="00345B28">
      <w:r>
        <w:t xml:space="preserve">EC peaked at 37 µS </w:t>
      </w:r>
      <w:r w:rsidRPr="00236E83">
        <w:t>cm</w:t>
      </w:r>
      <w:r w:rsidRPr="00B41300">
        <w:rPr>
          <w:vertAlign w:val="superscript"/>
        </w:rPr>
        <w:t xml:space="preserve">-1 </w:t>
      </w:r>
      <w:r w:rsidRPr="00236E83">
        <w:t xml:space="preserve">(above the Action trigger value) at 00:40 hours on 7 April 2014 in response </w:t>
      </w:r>
      <w:r>
        <w:t xml:space="preserve">to </w:t>
      </w:r>
      <w:r w:rsidRPr="00236E83">
        <w:t>surface water run-off from a rainfall event flushing solutes into the creek. A total of 41 mm of rainfall was recorded at Jabiru Airport. Despite the EC peak remaining below the chronic (&gt;72 hour) Limit</w:t>
      </w:r>
      <w:r>
        <w:t>,</w:t>
      </w:r>
      <w:r w:rsidRPr="00236E83">
        <w:t xml:space="preserve"> four samples were collected based on the rate of rise of</w:t>
      </w:r>
      <w:r w:rsidR="007E3BAA">
        <w:t xml:space="preserve"> the</w:t>
      </w:r>
      <w:r w:rsidRPr="00236E83">
        <w:t xml:space="preserve"> EC sample trigger. These samples contained magnesium concentrations above the Action trigger </w:t>
      </w:r>
      <w:r w:rsidR="007E3BAA">
        <w:t xml:space="preserve">value </w:t>
      </w:r>
      <w:r w:rsidRPr="00236E83">
        <w:t>of 2 mg</w:t>
      </w:r>
      <w:r w:rsidR="00735363">
        <w:t xml:space="preserve"> </w:t>
      </w:r>
      <w:r w:rsidRPr="00236E83">
        <w:t>L</w:t>
      </w:r>
      <w:r w:rsidR="00735363" w:rsidRPr="00735363">
        <w:rPr>
          <w:snapToGrid w:val="0"/>
          <w:color w:val="000000"/>
          <w:position w:val="5"/>
          <w:sz w:val="13"/>
          <w:szCs w:val="0"/>
          <w:u w:color="000000"/>
        </w:rPr>
        <w:t>-1</w:t>
      </w:r>
      <w:r w:rsidRPr="00236E83">
        <w:t xml:space="preserve">, with a maximum magnesium concentration of 2.4 </w:t>
      </w:r>
      <w:r w:rsidR="00735363" w:rsidRPr="00236E83">
        <w:t>mg</w:t>
      </w:r>
      <w:r w:rsidR="00735363">
        <w:t xml:space="preserve"> </w:t>
      </w:r>
      <w:r w:rsidR="00735363" w:rsidRPr="00236E83">
        <w:t>L</w:t>
      </w:r>
      <w:r w:rsidR="00735363" w:rsidRPr="00735363">
        <w:rPr>
          <w:snapToGrid w:val="0"/>
          <w:color w:val="000000"/>
          <w:position w:val="5"/>
          <w:sz w:val="13"/>
          <w:szCs w:val="0"/>
          <w:u w:color="000000"/>
        </w:rPr>
        <w:t>-1</w:t>
      </w:r>
      <w:r w:rsidRPr="00236E83">
        <w:t xml:space="preserve">. </w:t>
      </w:r>
    </w:p>
    <w:p w:rsidR="00AB6F82" w:rsidRPr="00236E83" w:rsidRDefault="00345B28" w:rsidP="00345B28">
      <w:r w:rsidRPr="00236E83">
        <w:t>A localised rainfall event occurred during the night of 15 May 2014</w:t>
      </w:r>
      <w:r>
        <w:t>,</w:t>
      </w:r>
      <w:r w:rsidRPr="00236E83">
        <w:t xml:space="preserve"> with 76 mm of rainfall recorded at the Jabiru Airport. This rainfall flushed higher conductivity water from Georgetown </w:t>
      </w:r>
      <w:r>
        <w:t xml:space="preserve">and Coonjimba Billabongs (95 µS </w:t>
      </w:r>
      <w:r w:rsidRPr="00236E83">
        <w:t>cm</w:t>
      </w:r>
      <w:r w:rsidRPr="00B41300">
        <w:rPr>
          <w:vertAlign w:val="superscript"/>
        </w:rPr>
        <w:t>-1</w:t>
      </w:r>
      <w:r w:rsidRPr="00236E83">
        <w:t xml:space="preserve"> and 182 </w:t>
      </w:r>
      <w:r>
        <w:t xml:space="preserve">µS </w:t>
      </w:r>
      <w:r w:rsidRPr="00236E83">
        <w:t>cm</w:t>
      </w:r>
      <w:r w:rsidRPr="00B41300">
        <w:rPr>
          <w:vertAlign w:val="superscript"/>
        </w:rPr>
        <w:t>-1</w:t>
      </w:r>
      <w:r w:rsidRPr="00236E83">
        <w:t xml:space="preserve"> respectively, as sampled on 12 May 2014)</w:t>
      </w:r>
      <w:r>
        <w:t>,</w:t>
      </w:r>
      <w:r w:rsidRPr="00236E83">
        <w:t xml:space="preserve"> resulting in an increase of EC at the Magela Creek downstream site. The EC event lasted for 5 hours and peaked at 45 </w:t>
      </w:r>
      <w:r>
        <w:t xml:space="preserve">µS </w:t>
      </w:r>
      <w:r w:rsidRPr="00236E83">
        <w:t>cm</w:t>
      </w:r>
      <w:r w:rsidRPr="00B41300">
        <w:rPr>
          <w:vertAlign w:val="superscript"/>
        </w:rPr>
        <w:t>-1</w:t>
      </w:r>
      <w:r w:rsidRPr="00236E83">
        <w:t xml:space="preserve">. Given the EC toxicity limit for an event of 5 hours is 580 </w:t>
      </w:r>
      <w:r>
        <w:t xml:space="preserve">µS </w:t>
      </w:r>
      <w:r w:rsidRPr="00236E83">
        <w:t>cm</w:t>
      </w:r>
      <w:r w:rsidRPr="00B41300">
        <w:rPr>
          <w:vertAlign w:val="superscript"/>
        </w:rPr>
        <w:t>-1</w:t>
      </w:r>
      <w:r>
        <w:t xml:space="preserve">, </w:t>
      </w:r>
      <w:r w:rsidRPr="00236E83">
        <w:t xml:space="preserve">it is unlikely this event was of environmental significance. Five samples were </w:t>
      </w:r>
      <w:r w:rsidR="007E3BAA">
        <w:t xml:space="preserve">collected due to an automatic </w:t>
      </w:r>
      <w:r w:rsidR="007E3BAA" w:rsidRPr="00236E83">
        <w:t>trigge</w:t>
      </w:r>
      <w:r w:rsidR="007E3BAA">
        <w:t xml:space="preserve">ring caused </w:t>
      </w:r>
      <w:r w:rsidRPr="00236E83">
        <w:t xml:space="preserve">by the EC event, two of which contained magnesium concentrations equal to or above the Chronic Limit trigger </w:t>
      </w:r>
      <w:r w:rsidR="007E3BAA">
        <w:t xml:space="preserve">value </w:t>
      </w:r>
      <w:r w:rsidRPr="00236E83">
        <w:t xml:space="preserve">of 3 </w:t>
      </w:r>
      <w:r>
        <w:t xml:space="preserve">mg </w:t>
      </w:r>
      <w:r w:rsidRPr="00236E83">
        <w:t>L</w:t>
      </w:r>
      <w:r w:rsidRPr="00B41300">
        <w:rPr>
          <w:vertAlign w:val="superscript"/>
        </w:rPr>
        <w:t>-1</w:t>
      </w:r>
      <w:r>
        <w:t xml:space="preserve">, </w:t>
      </w:r>
      <w:r w:rsidRPr="00236E83">
        <w:t>with a maximum ma</w:t>
      </w:r>
      <w:r>
        <w:t xml:space="preserve">gnesium concentration of 3.1 mg </w:t>
      </w:r>
      <w:r w:rsidRPr="00236E83">
        <w:t>L</w:t>
      </w:r>
      <w:r w:rsidRPr="00B41300">
        <w:rPr>
          <w:vertAlign w:val="superscript"/>
        </w:rPr>
        <w:t>-1</w:t>
      </w:r>
      <w:r w:rsidRPr="00236E83">
        <w:t xml:space="preserve"> (Figure 3.10).</w:t>
      </w:r>
      <w:r w:rsidR="004819F1">
        <w:t xml:space="preserve"> The corresponding results for sulphate are shown in Figure 3.11.</w:t>
      </w:r>
    </w:p>
    <w:p w:rsidR="00236E83" w:rsidRPr="00236E83" w:rsidRDefault="00AE3E11" w:rsidP="00236E83">
      <w:pPr>
        <w:spacing w:after="120" w:line="260" w:lineRule="atLeast"/>
        <w:jc w:val="center"/>
      </w:pPr>
      <w:r w:rsidRPr="00AE3E11">
        <w:rPr>
          <w:noProof/>
          <w:lang w:eastAsia="en-AU"/>
        </w:rPr>
        <w:drawing>
          <wp:inline distT="0" distB="0" distL="0" distR="0">
            <wp:extent cx="4224692" cy="2562225"/>
            <wp:effectExtent l="19050" t="0" r="4408" b="0"/>
            <wp:docPr id="1008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62" cstate="screen"/>
                    <a:srcRect/>
                    <a:stretch>
                      <a:fillRect/>
                    </a:stretch>
                  </pic:blipFill>
                  <pic:spPr bwMode="auto">
                    <a:xfrm>
                      <a:off x="0" y="0"/>
                      <a:ext cx="4231989" cy="2566651"/>
                    </a:xfrm>
                    <a:prstGeom prst="rect">
                      <a:avLst/>
                    </a:prstGeom>
                    <a:noFill/>
                    <a:ln w="9525">
                      <a:noFill/>
                      <a:miter lim="800000"/>
                      <a:headEnd/>
                      <a:tailEnd/>
                    </a:ln>
                  </pic:spPr>
                </pic:pic>
              </a:graphicData>
            </a:graphic>
          </wp:inline>
        </w:drawing>
      </w:r>
    </w:p>
    <w:p w:rsidR="00236E83" w:rsidRPr="00236E83" w:rsidRDefault="00236E83" w:rsidP="00630309">
      <w:pPr>
        <w:pStyle w:val="figurecaption"/>
      </w:pPr>
      <w:r w:rsidRPr="00236E83">
        <w:rPr>
          <w:b/>
        </w:rPr>
        <w:t>Figure 3.10</w:t>
      </w:r>
      <w:r w:rsidRPr="00236E83">
        <w:t xml:space="preserve"> Continuous EC and total magnesium concentrations i</w:t>
      </w:r>
      <w:r w:rsidR="00825CF5">
        <w:t xml:space="preserve">n Magela Creek </w:t>
      </w:r>
      <w:r w:rsidR="00825CF5">
        <w:br/>
        <w:t>during the 2013–</w:t>
      </w:r>
      <w:r w:rsidRPr="00236E83">
        <w:t>14 wet season.</w:t>
      </w:r>
    </w:p>
    <w:p w:rsidR="00236E83" w:rsidRPr="00236E83" w:rsidRDefault="00AE3E11" w:rsidP="00236E83">
      <w:pPr>
        <w:spacing w:after="120" w:line="260" w:lineRule="atLeast"/>
        <w:jc w:val="center"/>
      </w:pPr>
      <w:r w:rsidRPr="00AE3E11">
        <w:rPr>
          <w:noProof/>
          <w:lang w:eastAsia="en-AU"/>
        </w:rPr>
        <w:drawing>
          <wp:inline distT="0" distB="0" distL="0" distR="0">
            <wp:extent cx="4295775" cy="2609430"/>
            <wp:effectExtent l="19050" t="0" r="9525" b="0"/>
            <wp:docPr id="10088"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3" cstate="screen"/>
                    <a:srcRect/>
                    <a:stretch>
                      <a:fillRect/>
                    </a:stretch>
                  </pic:blipFill>
                  <pic:spPr bwMode="auto">
                    <a:xfrm>
                      <a:off x="0" y="0"/>
                      <a:ext cx="4295775" cy="2609430"/>
                    </a:xfrm>
                    <a:prstGeom prst="rect">
                      <a:avLst/>
                    </a:prstGeom>
                    <a:noFill/>
                    <a:ln w="9525">
                      <a:noFill/>
                      <a:miter lim="800000"/>
                      <a:headEnd/>
                      <a:tailEnd/>
                    </a:ln>
                  </pic:spPr>
                </pic:pic>
              </a:graphicData>
            </a:graphic>
          </wp:inline>
        </w:drawing>
      </w:r>
    </w:p>
    <w:p w:rsidR="00236E83" w:rsidRPr="00236E83" w:rsidRDefault="00236E83" w:rsidP="00236E83">
      <w:pPr>
        <w:spacing w:after="240" w:line="220" w:lineRule="atLeast"/>
        <w:jc w:val="center"/>
        <w:rPr>
          <w:rFonts w:ascii="Arial" w:hAnsi="Arial"/>
          <w:bCs/>
          <w:noProof/>
          <w:sz w:val="16"/>
          <w:lang w:val="en-US"/>
        </w:rPr>
      </w:pPr>
      <w:r w:rsidRPr="00236E83">
        <w:rPr>
          <w:rFonts w:ascii="Arial" w:hAnsi="Arial"/>
          <w:b/>
          <w:bCs/>
          <w:noProof/>
          <w:sz w:val="16"/>
          <w:lang w:val="en-US"/>
        </w:rPr>
        <w:t>Figure 3.11</w:t>
      </w:r>
      <w:r w:rsidRPr="00236E83">
        <w:rPr>
          <w:rFonts w:ascii="Arial" w:hAnsi="Arial"/>
          <w:bCs/>
          <w:noProof/>
          <w:sz w:val="16"/>
          <w:lang w:val="en-US"/>
        </w:rPr>
        <w:t xml:space="preserve"> Continuous EC and total sulfate concentrations i</w:t>
      </w:r>
      <w:r w:rsidR="00825CF5">
        <w:rPr>
          <w:rFonts w:ascii="Arial" w:hAnsi="Arial"/>
          <w:bCs/>
          <w:noProof/>
          <w:sz w:val="16"/>
          <w:lang w:val="en-US"/>
        </w:rPr>
        <w:t xml:space="preserve">n Magela Creek </w:t>
      </w:r>
      <w:r w:rsidR="00825CF5">
        <w:rPr>
          <w:rFonts w:ascii="Arial" w:hAnsi="Arial"/>
          <w:bCs/>
          <w:noProof/>
          <w:sz w:val="16"/>
          <w:lang w:val="en-US"/>
        </w:rPr>
        <w:br/>
        <w:t>during the 2013–</w:t>
      </w:r>
      <w:r w:rsidRPr="00236E83">
        <w:rPr>
          <w:rFonts w:ascii="Arial" w:hAnsi="Arial"/>
          <w:bCs/>
          <w:noProof/>
          <w:sz w:val="16"/>
          <w:lang w:val="en-US"/>
        </w:rPr>
        <w:t>14 wet season.</w:t>
      </w:r>
    </w:p>
    <w:p w:rsidR="00345B28" w:rsidRDefault="00345B28" w:rsidP="00345B28">
      <w:r w:rsidRPr="00236E83">
        <w:t>In December 2013</w:t>
      </w:r>
      <w:r>
        <w:t>,</w:t>
      </w:r>
      <w:r w:rsidRPr="00236E83">
        <w:t xml:space="preserve"> ecotoxicologically</w:t>
      </w:r>
      <w:r>
        <w:t>-</w:t>
      </w:r>
      <w:r w:rsidRPr="00236E83">
        <w:t>derived water quality objectives for total ammonia nitrogen (TAN) were formally adopted for Magela Creek as part of the regulatory approval for brine concentrator distillate release. Results received to date have shown that levels of TAN in Magela Creek are very low with a highest rec</w:t>
      </w:r>
      <w:r>
        <w:t xml:space="preserve">orded concentration of 0.016 mg </w:t>
      </w:r>
      <w:r w:rsidRPr="00236E83">
        <w:t>L</w:t>
      </w:r>
      <w:r w:rsidRPr="00B41300">
        <w:rPr>
          <w:vertAlign w:val="superscript"/>
        </w:rPr>
        <w:t>-1</w:t>
      </w:r>
      <w:r w:rsidRPr="00236E83">
        <w:t xml:space="preserve"> at MCDW on 12 December 2013, which is approximately 2% of the 0.7 </w:t>
      </w:r>
      <w:r>
        <w:t xml:space="preserve">mg </w:t>
      </w:r>
      <w:r w:rsidRPr="00236E83">
        <w:t>L</w:t>
      </w:r>
      <w:r w:rsidRPr="00B41300">
        <w:rPr>
          <w:vertAlign w:val="superscript"/>
        </w:rPr>
        <w:t>-1</w:t>
      </w:r>
      <w:r w:rsidRPr="00236E83">
        <w:t xml:space="preserve"> Guideline trigger value (Figure 3.12).</w:t>
      </w:r>
    </w:p>
    <w:p w:rsidR="00646FD3" w:rsidRPr="00236E83" w:rsidRDefault="00646FD3" w:rsidP="00345B28"/>
    <w:p w:rsidR="00236E83" w:rsidRPr="00236E83" w:rsidRDefault="00AE3E11" w:rsidP="00236E83">
      <w:pPr>
        <w:spacing w:after="120" w:line="260" w:lineRule="atLeast"/>
        <w:jc w:val="center"/>
      </w:pPr>
      <w:r w:rsidRPr="00AE3E11">
        <w:rPr>
          <w:noProof/>
          <w:lang w:eastAsia="en-AU"/>
        </w:rPr>
        <w:drawing>
          <wp:inline distT="0" distB="0" distL="0" distR="0">
            <wp:extent cx="4499941" cy="2733449"/>
            <wp:effectExtent l="19050" t="0" r="0" b="0"/>
            <wp:docPr id="1008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64" cstate="screen"/>
                    <a:srcRect/>
                    <a:stretch>
                      <a:fillRect/>
                    </a:stretch>
                  </pic:blipFill>
                  <pic:spPr bwMode="auto">
                    <a:xfrm>
                      <a:off x="0" y="0"/>
                      <a:ext cx="4503452" cy="2735582"/>
                    </a:xfrm>
                    <a:prstGeom prst="rect">
                      <a:avLst/>
                    </a:prstGeom>
                    <a:noFill/>
                    <a:ln w="9525">
                      <a:noFill/>
                      <a:miter lim="800000"/>
                      <a:headEnd/>
                      <a:tailEnd/>
                    </a:ln>
                  </pic:spPr>
                </pic:pic>
              </a:graphicData>
            </a:graphic>
          </wp:inline>
        </w:drawing>
      </w:r>
    </w:p>
    <w:p w:rsidR="00236E83" w:rsidRPr="00236E83" w:rsidRDefault="00236E83" w:rsidP="00630309">
      <w:pPr>
        <w:pStyle w:val="figurecaption"/>
      </w:pPr>
      <w:r w:rsidRPr="00236E83">
        <w:rPr>
          <w:b/>
        </w:rPr>
        <w:t>Figure 3.12</w:t>
      </w:r>
      <w:r w:rsidRPr="00236E83">
        <w:t xml:space="preserve"> Continuous EC and total ammonia nitrogen concentrations i</w:t>
      </w:r>
      <w:r w:rsidR="00825CF5">
        <w:t xml:space="preserve">n Magela Creek </w:t>
      </w:r>
      <w:r w:rsidR="00825CF5">
        <w:br/>
        <w:t>during the 2013–</w:t>
      </w:r>
      <w:r w:rsidRPr="00236E83">
        <w:t>14 wet season.</w:t>
      </w:r>
    </w:p>
    <w:p w:rsidR="00AE349A" w:rsidRDefault="00AE349A" w:rsidP="00AE349A">
      <w:pPr>
        <w:rPr>
          <w:rFonts w:ascii="Arial" w:hAnsi="Arial" w:cs="Arial"/>
          <w:color w:val="1F497D"/>
        </w:rPr>
      </w:pPr>
      <w:proofErr w:type="gramStart"/>
      <w:r>
        <w:t>Recessional flow conditions commenced in late May.</w:t>
      </w:r>
      <w:proofErr w:type="gramEnd"/>
      <w:r>
        <w:t xml:space="preserve"> Historically recessional flow has resulted in a gradual convergence of EC at MCUGT and MCDW. It was noted on 10 June 2014 that EC at the downstream site was still diverging from the upstream site. The higher EC at MCDW and ongoing divergence with MCUGT was caused by low flow in Magela Creek coupled with water entering from Georgetown Billabong.  This late flow from Georgetown Billabong resulted from WTP system permeate</w:t>
      </w:r>
      <w:r w:rsidR="00201266">
        <w:t xml:space="preserve"> being released to the CCWLF.  </w:t>
      </w:r>
      <w:r w:rsidR="00201266" w:rsidRPr="00201266">
        <w:t>Following a query from the Supervising Scientist</w:t>
      </w:r>
      <w:r w:rsidR="00201266">
        <w:rPr>
          <w:color w:val="FF0000"/>
        </w:rPr>
        <w:t xml:space="preserve"> </w:t>
      </w:r>
      <w:r w:rsidR="00201266">
        <w:t xml:space="preserve">ERA ceased the release of WTP permeate on 10 June 2014 resulting in the almost immediate convergence of EC at MCUGT and MCDW. </w:t>
      </w:r>
      <w:r>
        <w:t xml:space="preserve"> </w:t>
      </w:r>
    </w:p>
    <w:p w:rsidR="00345B28" w:rsidRPr="00552621" w:rsidRDefault="00345B28" w:rsidP="00345B28">
      <w:pPr>
        <w:rPr>
          <w:rFonts w:ascii="Arial" w:hAnsi="Arial" w:cs="Arial"/>
          <w:color w:val="1F497D"/>
        </w:rPr>
      </w:pPr>
      <w:r w:rsidRPr="001B5C5B">
        <w:t>Continuous monitoring continued until cease to flow was agreed by stakeholders on 21 July 2014.</w:t>
      </w:r>
    </w:p>
    <w:p w:rsidR="00345B28" w:rsidRDefault="00345B28" w:rsidP="00345B28">
      <w:r w:rsidRPr="001B5C5B">
        <w:t xml:space="preserve">Overall, the water quality measured in Magela Creek for the 2013–14 wet </w:t>
      </w:r>
      <w:proofErr w:type="gramStart"/>
      <w:r w:rsidRPr="001B5C5B">
        <w:t>season</w:t>
      </w:r>
      <w:proofErr w:type="gramEnd"/>
      <w:r w:rsidRPr="001B5C5B">
        <w:t xml:space="preserve"> showed higher EC at the downstream monitoring site compared to 2012–13</w:t>
      </w:r>
      <w:r w:rsidR="00B400E1">
        <w:t>. This is not su</w:t>
      </w:r>
      <w:r w:rsidR="00B01CBA">
        <w:t>r</w:t>
      </w:r>
      <w:r w:rsidR="00B400E1">
        <w:t xml:space="preserve">prising as the 2012–13 wet </w:t>
      </w:r>
      <w:proofErr w:type="gramStart"/>
      <w:r w:rsidR="00B400E1">
        <w:t>season</w:t>
      </w:r>
      <w:proofErr w:type="gramEnd"/>
      <w:r w:rsidR="00B400E1">
        <w:t xml:space="preserve"> </w:t>
      </w:r>
      <w:r w:rsidR="00B01CBA">
        <w:t>featured</w:t>
      </w:r>
      <w:r w:rsidR="00B400E1">
        <w:t xml:space="preserve"> below average rainfall</w:t>
      </w:r>
      <w:r w:rsidR="00B01CBA">
        <w:t xml:space="preserve"> and a low volume of water discharged from the mine site</w:t>
      </w:r>
      <w:r w:rsidR="004D160B">
        <w:t xml:space="preserve"> </w:t>
      </w:r>
      <w:r w:rsidR="00AE349A">
        <w:t xml:space="preserve">(185 ML </w:t>
      </w:r>
      <w:r w:rsidR="004D160B">
        <w:t>compared to 1670 ML in 2013–14)</w:t>
      </w:r>
      <w:r w:rsidR="00B01CBA">
        <w:t xml:space="preserve">. </w:t>
      </w:r>
      <w:proofErr w:type="gramStart"/>
      <w:r w:rsidR="00C43D76">
        <w:t>However t</w:t>
      </w:r>
      <w:r w:rsidR="00C43D76" w:rsidRPr="001B5C5B">
        <w:t xml:space="preserve">he </w:t>
      </w:r>
      <w:r w:rsidR="00B01CBA">
        <w:t>observed EC</w:t>
      </w:r>
      <w:r w:rsidRPr="001B5C5B">
        <w:t xml:space="preserve"> was</w:t>
      </w:r>
      <w:r w:rsidR="00C43D76">
        <w:t xml:space="preserve"> </w:t>
      </w:r>
      <w:r w:rsidRPr="001B5C5B">
        <w:t>within ranges observed in previous wet seasons</w:t>
      </w:r>
      <w:r w:rsidR="00B01CBA">
        <w:t xml:space="preserve"> of average </w:t>
      </w:r>
      <w:r w:rsidR="004D160B">
        <w:t xml:space="preserve">(and above average) </w:t>
      </w:r>
      <w:r w:rsidR="00B01CBA">
        <w:t>rainfall</w:t>
      </w:r>
      <w:r w:rsidRPr="001B5C5B">
        <w:t>.</w:t>
      </w:r>
      <w:proofErr w:type="gramEnd"/>
      <w:r w:rsidRPr="001B5C5B">
        <w:t xml:space="preserve"> Analysis of the current and historic EC peaks at the downstream monitoring site show that the EC peaks are substantially below the Limit for EC pulses &lt; 72 hours, which indicates that the aquatic environment in the creek has remained protected from mining activities (Figure 3.13).</w:t>
      </w:r>
    </w:p>
    <w:p w:rsidR="00453C1E" w:rsidRPr="001B5C5B" w:rsidRDefault="00453C1E" w:rsidP="00345B28"/>
    <w:p w:rsidR="00345B28" w:rsidRDefault="00B31A1D" w:rsidP="007C016D">
      <w:pPr>
        <w:spacing w:after="120" w:line="260" w:lineRule="atLeast"/>
        <w:jc w:val="center"/>
        <w:rPr>
          <w:rFonts w:ascii="Arial" w:hAnsi="Arial"/>
          <w:b/>
          <w:bCs/>
          <w:noProof/>
          <w:sz w:val="16"/>
          <w:lang w:val="en-US"/>
        </w:rPr>
      </w:pPr>
      <w:r w:rsidRPr="00B31A1D">
        <w:rPr>
          <w:noProof/>
          <w:lang w:eastAsia="en-AU"/>
        </w:rPr>
        <w:drawing>
          <wp:inline distT="0" distB="0" distL="0" distR="0">
            <wp:extent cx="4727575" cy="2909789"/>
            <wp:effectExtent l="19050" t="0" r="0" b="0"/>
            <wp:docPr id="12"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65" cstate="screen"/>
                    <a:srcRect/>
                    <a:stretch>
                      <a:fillRect/>
                    </a:stretch>
                  </pic:blipFill>
                  <pic:spPr bwMode="auto">
                    <a:xfrm>
                      <a:off x="0" y="0"/>
                      <a:ext cx="4727575" cy="2909789"/>
                    </a:xfrm>
                    <a:prstGeom prst="rect">
                      <a:avLst/>
                    </a:prstGeom>
                    <a:noFill/>
                    <a:ln w="9525">
                      <a:noFill/>
                      <a:miter lim="800000"/>
                      <a:headEnd/>
                      <a:tailEnd/>
                    </a:ln>
                  </pic:spPr>
                </pic:pic>
              </a:graphicData>
            </a:graphic>
          </wp:inline>
        </w:drawing>
      </w:r>
    </w:p>
    <w:p w:rsidR="001B5C5B" w:rsidRPr="001B5C5B" w:rsidRDefault="001B5C5B" w:rsidP="00630309">
      <w:pPr>
        <w:pStyle w:val="figurecaption"/>
      </w:pPr>
      <w:r w:rsidRPr="00B31A1D">
        <w:rPr>
          <w:b/>
        </w:rPr>
        <w:t>Figure 3.13</w:t>
      </w:r>
      <w:r w:rsidRPr="00B31A1D">
        <w:t xml:space="preserve"> Continuous electrical conductivity and discharge in Magela Creek </w:t>
      </w:r>
      <w:r w:rsidRPr="00B31A1D">
        <w:br/>
        <w:t xml:space="preserve">for each wet season between September 2010 and June 2014 </w:t>
      </w:r>
      <w:r w:rsidRPr="00B31A1D">
        <w:br/>
        <w:t>(values averaged over a 90 minute period of measurement)</w:t>
      </w:r>
      <w:r w:rsidR="00630309">
        <w:t>.</w:t>
      </w:r>
    </w:p>
    <w:p w:rsidR="001B5C5B" w:rsidRPr="00AF256B" w:rsidRDefault="001B5C5B" w:rsidP="001B5C5B">
      <w:pPr>
        <w:pStyle w:val="Heading5"/>
      </w:pPr>
      <w:r w:rsidRPr="00AF256B">
        <w:t>Radium in Magela Creek</w:t>
      </w:r>
    </w:p>
    <w:p w:rsidR="00AF256B" w:rsidRDefault="00AF256B" w:rsidP="00AF256B">
      <w:bookmarkStart w:id="199" w:name="_Toc272855300"/>
      <w:r>
        <w:t>Surface water samples are collected fortnightly from Magela Creek upstream and downstream of the Ranger mine. The fortnightly samples are combined to give monthly composite samples for each site. Total radium-226 (</w:t>
      </w:r>
      <w:r w:rsidRPr="0039408E">
        <w:rPr>
          <w:snapToGrid w:val="0"/>
          <w:color w:val="000000"/>
          <w:position w:val="5"/>
          <w:sz w:val="15"/>
          <w:szCs w:val="0"/>
          <w:u w:color="000000"/>
        </w:rPr>
        <w:t>226</w:t>
      </w:r>
      <w:r>
        <w:t xml:space="preserve">Ra) is measured in these samples and results for the 2013–14 wet </w:t>
      </w:r>
      <w:proofErr w:type="gramStart"/>
      <w:r>
        <w:t>season</w:t>
      </w:r>
      <w:proofErr w:type="gramEnd"/>
      <w:r>
        <w:t xml:space="preserve"> are compared with previous data ranging back to the 2001–02 wet season in Figure 3.14. The sample results for 2013–14 were within the historic range observed in Magela Creek since 2001.</w:t>
      </w:r>
    </w:p>
    <w:p w:rsidR="00646FD3" w:rsidRDefault="00646FD3" w:rsidP="00646FD3">
      <w:pPr>
        <w:spacing w:after="120" w:line="260" w:lineRule="atLeast"/>
      </w:pPr>
      <w:r>
        <w:t>During 7–</w:t>
      </w:r>
      <w:r w:rsidRPr="004B4DF1">
        <w:t>13 December 2013</w:t>
      </w:r>
      <w:r>
        <w:t>,</w:t>
      </w:r>
      <w:r w:rsidRPr="004B4DF1">
        <w:t xml:space="preserve"> </w:t>
      </w:r>
      <w:r w:rsidRPr="00BC36A5">
        <w:rPr>
          <w:vertAlign w:val="superscript"/>
        </w:rPr>
        <w:t>226</w:t>
      </w:r>
      <w:r w:rsidRPr="004B4DF1">
        <w:t>Ra samples were collected in response to the leach tank incident and analysed individually. A routine composite sample was not obtained during this time. Consequently</w:t>
      </w:r>
      <w:r>
        <w:t>,</w:t>
      </w:r>
      <w:r w:rsidRPr="004B4DF1">
        <w:t xml:space="preserve"> the average </w:t>
      </w:r>
      <w:r w:rsidRPr="00BC36A5">
        <w:rPr>
          <w:vertAlign w:val="superscript"/>
        </w:rPr>
        <w:t>226</w:t>
      </w:r>
      <w:r w:rsidRPr="004B4DF1">
        <w:t>Ra activity concentration of these samples has been included as a proxy composite sample for December 2014 and used in the calculation of the 2013–14 wet season median difference.</w:t>
      </w:r>
    </w:p>
    <w:p w:rsidR="00646FD3" w:rsidRDefault="00646FD3" w:rsidP="00646FD3">
      <w:pPr>
        <w:spacing w:after="120" w:line="260" w:lineRule="atLeast"/>
      </w:pPr>
      <w:r w:rsidRPr="004B4DF1">
        <w:t xml:space="preserve">Since 2010, </w:t>
      </w:r>
      <w:r w:rsidRPr="00BC36A5">
        <w:rPr>
          <w:vertAlign w:val="superscript"/>
        </w:rPr>
        <w:t>226</w:t>
      </w:r>
      <w:r w:rsidRPr="004B4DF1">
        <w:t>Ra analyses on composited event-based samples (collected during EC-triggered events) have also been performed. A single composite sample, comprising five samples col</w:t>
      </w:r>
      <w:r>
        <w:t>lected during an EC event on 15–</w:t>
      </w:r>
      <w:r w:rsidRPr="004B4DF1">
        <w:t xml:space="preserve">16 May 2014, was </w:t>
      </w:r>
      <w:r>
        <w:t>analysed during the 2013–</w:t>
      </w:r>
      <w:r w:rsidRPr="004B4DF1">
        <w:t xml:space="preserve">14 wet season. The result is shown in Figure 3.14, together with the results from the incident sampling and routine radium analyses. The EC-triggered event data are not included in the calculation of the wet season median difference, because these EC events are short-lived and their impact on seasonal </w:t>
      </w:r>
      <w:r w:rsidRPr="00BC36A5">
        <w:rPr>
          <w:vertAlign w:val="superscript"/>
        </w:rPr>
        <w:t>226</w:t>
      </w:r>
      <w:r w:rsidRPr="004B4DF1">
        <w:t>Ra loads is very small.</w:t>
      </w:r>
    </w:p>
    <w:bookmarkEnd w:id="199"/>
    <w:p w:rsidR="00AF256B" w:rsidRPr="00AF256B" w:rsidRDefault="00AD2041" w:rsidP="00AF256B">
      <w:pPr>
        <w:spacing w:after="120" w:line="260" w:lineRule="atLeast"/>
        <w:jc w:val="center"/>
      </w:pPr>
      <w:r w:rsidRPr="00AD2041">
        <w:rPr>
          <w:noProof/>
          <w:lang w:eastAsia="en-AU"/>
        </w:rPr>
        <w:drawing>
          <wp:inline distT="0" distB="0" distL="0" distR="0">
            <wp:extent cx="4727575" cy="4576158"/>
            <wp:effectExtent l="19050" t="0" r="0" b="0"/>
            <wp:docPr id="10092"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6" cstate="screen"/>
                    <a:srcRect/>
                    <a:stretch>
                      <a:fillRect/>
                    </a:stretch>
                  </pic:blipFill>
                  <pic:spPr bwMode="auto">
                    <a:xfrm>
                      <a:off x="0" y="0"/>
                      <a:ext cx="4727575" cy="4576158"/>
                    </a:xfrm>
                    <a:prstGeom prst="rect">
                      <a:avLst/>
                    </a:prstGeom>
                    <a:noFill/>
                    <a:ln w="9525">
                      <a:noFill/>
                      <a:miter lim="800000"/>
                      <a:headEnd/>
                      <a:tailEnd/>
                    </a:ln>
                  </pic:spPr>
                </pic:pic>
              </a:graphicData>
            </a:graphic>
          </wp:inline>
        </w:drawing>
      </w:r>
    </w:p>
    <w:p w:rsidR="00AF256B" w:rsidRPr="00AF256B" w:rsidRDefault="00AF256B" w:rsidP="00630309">
      <w:pPr>
        <w:pStyle w:val="figurecaption"/>
      </w:pPr>
      <w:r w:rsidRPr="00AF256B">
        <w:rPr>
          <w:b/>
        </w:rPr>
        <w:t>Figure 3.14</w:t>
      </w:r>
      <w:r w:rsidRPr="00AF256B">
        <w:t xml:space="preserve"> </w:t>
      </w:r>
      <w:r w:rsidRPr="00AF256B">
        <w:rPr>
          <w:snapToGrid w:val="0"/>
          <w:color w:val="000000"/>
          <w:position w:val="4"/>
          <w:sz w:val="11"/>
          <w:szCs w:val="0"/>
          <w:u w:color="000000"/>
        </w:rPr>
        <w:t>226</w:t>
      </w:r>
      <w:r w:rsidRPr="00AF256B">
        <w:t>Ra in Magela Creek 2001–2014.</w:t>
      </w:r>
    </w:p>
    <w:p w:rsidR="00C77563" w:rsidRPr="00AF256B" w:rsidRDefault="00C77563" w:rsidP="00C77563">
      <w:pPr>
        <w:spacing w:after="120" w:line="260" w:lineRule="atLeast"/>
      </w:pPr>
      <w:r w:rsidRPr="00AF256B">
        <w:t xml:space="preserve">The data from monthly sample composites show that the levels of </w:t>
      </w:r>
      <w:r w:rsidRPr="00AF256B">
        <w:rPr>
          <w:snapToGrid w:val="0"/>
          <w:color w:val="000000"/>
          <w:position w:val="5"/>
          <w:sz w:val="15"/>
          <w:szCs w:val="0"/>
          <w:u w:color="000000"/>
        </w:rPr>
        <w:t>226</w:t>
      </w:r>
      <w:r w:rsidRPr="00AF256B">
        <w:t xml:space="preserve">Ra are very low in Magela Creek, both upstream and downstream of the Ranger mine. An anomalous </w:t>
      </w:r>
      <w:r w:rsidRPr="00AF256B">
        <w:rPr>
          <w:snapToGrid w:val="0"/>
          <w:color w:val="000000"/>
          <w:position w:val="5"/>
          <w:sz w:val="15"/>
          <w:szCs w:val="0"/>
          <w:u w:color="000000"/>
        </w:rPr>
        <w:t>226</w:t>
      </w:r>
      <w:r w:rsidRPr="00AF256B">
        <w:t>Ra ac</w:t>
      </w:r>
      <w:r w:rsidR="000669F2">
        <w:t xml:space="preserve">tivity concentration of 8.8 mBq </w:t>
      </w:r>
      <w:r w:rsidRPr="00AF256B">
        <w:t>L</w:t>
      </w:r>
      <w:r w:rsidR="000669F2" w:rsidRPr="000669F2">
        <w:rPr>
          <w:vertAlign w:val="superscript"/>
        </w:rPr>
        <w:t>-1</w:t>
      </w:r>
      <w:r w:rsidRPr="00AF256B">
        <w:t xml:space="preserve"> measured in a sample collected from the control site upstream of Ranger in 2005 was probably due to a higher contribution of </w:t>
      </w:r>
      <w:r w:rsidRPr="00AF256B">
        <w:rPr>
          <w:snapToGrid w:val="0"/>
          <w:color w:val="000000"/>
          <w:position w:val="5"/>
          <w:sz w:val="15"/>
          <w:szCs w:val="0"/>
          <w:u w:color="000000"/>
        </w:rPr>
        <w:t>226</w:t>
      </w:r>
      <w:r w:rsidRPr="00AF256B">
        <w:t xml:space="preserve">Ra-rich soil or finer sediments that are present naturally in Magela Creek. This has previously been discussed in </w:t>
      </w:r>
      <w:proofErr w:type="gramStart"/>
      <w:r w:rsidRPr="00AF256B">
        <w:t>the 2</w:t>
      </w:r>
      <w:r w:rsidR="00DB5D66">
        <w:t>004–05 Supervising Scientist’s</w:t>
      </w:r>
      <w:proofErr w:type="gramEnd"/>
      <w:r w:rsidR="00DB5D66">
        <w:t xml:space="preserve"> Annual R</w:t>
      </w:r>
      <w:r w:rsidRPr="00AF256B">
        <w:t xml:space="preserve">eport. </w:t>
      </w:r>
    </w:p>
    <w:p w:rsidR="00C77563" w:rsidRPr="00AF256B" w:rsidRDefault="00C77563" w:rsidP="00C77563">
      <w:pPr>
        <w:spacing w:after="120" w:line="260" w:lineRule="atLeast"/>
      </w:pPr>
      <w:r w:rsidRPr="00AF256B">
        <w:t xml:space="preserve">The limit value for total </w:t>
      </w:r>
      <w:r w:rsidRPr="00AF256B">
        <w:rPr>
          <w:snapToGrid w:val="0"/>
          <w:color w:val="000000"/>
          <w:position w:val="5"/>
          <w:sz w:val="15"/>
          <w:szCs w:val="0"/>
          <w:u w:color="000000"/>
        </w:rPr>
        <w:t>226</w:t>
      </w:r>
      <w:r w:rsidRPr="00AF256B">
        <w:t xml:space="preserve">Ra activity concentrations in Magela Creek has been defined for human radiological protection purposes, and is based on the median difference between upstream and downstream </w:t>
      </w:r>
      <w:r w:rsidRPr="00AF256B">
        <w:rPr>
          <w:snapToGrid w:val="0"/>
          <w:color w:val="000000"/>
          <w:position w:val="5"/>
          <w:sz w:val="15"/>
          <w:szCs w:val="0"/>
          <w:u w:color="000000"/>
        </w:rPr>
        <w:t>226</w:t>
      </w:r>
      <w:r w:rsidRPr="00AF256B">
        <w:t xml:space="preserve">Ra activity concentrations over one entire wet season. The median of the upstream </w:t>
      </w:r>
      <w:r w:rsidRPr="00AF256B">
        <w:rPr>
          <w:snapToGrid w:val="0"/>
          <w:color w:val="000000"/>
          <w:position w:val="5"/>
          <w:sz w:val="15"/>
          <w:szCs w:val="0"/>
          <w:u w:color="000000"/>
        </w:rPr>
        <w:t>226</w:t>
      </w:r>
      <w:r w:rsidRPr="00AF256B">
        <w:t xml:space="preserve">Ra data collected over the current wet season is subtracted from the median of the downstream data. This difference value, called the wet season median difference, quantifies any increase at the downstream site, and should not exceed </w:t>
      </w:r>
      <w:r w:rsidR="000669F2">
        <w:br/>
      </w:r>
      <w:r w:rsidRPr="00AF256B">
        <w:t xml:space="preserve">10 </w:t>
      </w:r>
      <w:r w:rsidR="000669F2">
        <w:t xml:space="preserve">mBq </w:t>
      </w:r>
      <w:r w:rsidRPr="00AF256B">
        <w:t>L</w:t>
      </w:r>
      <w:r w:rsidR="000669F2" w:rsidRPr="00646FD3">
        <w:rPr>
          <w:vertAlign w:val="superscript"/>
        </w:rPr>
        <w:t>-1</w:t>
      </w:r>
      <w:r w:rsidRPr="00AF256B">
        <w:t>.</w:t>
      </w:r>
    </w:p>
    <w:p w:rsidR="00C77563" w:rsidRPr="00AF256B" w:rsidRDefault="00C77563" w:rsidP="00C77563">
      <w:pPr>
        <w:spacing w:after="120" w:line="260" w:lineRule="atLeast"/>
      </w:pPr>
      <w:proofErr w:type="gramStart"/>
      <w:r w:rsidRPr="00AF256B">
        <w:t xml:space="preserve">A wet season median difference of 10 </w:t>
      </w:r>
      <w:r w:rsidR="000669F2">
        <w:t xml:space="preserve">mBq </w:t>
      </w:r>
      <w:r w:rsidR="000669F2" w:rsidRPr="00AF256B">
        <w:t>L</w:t>
      </w:r>
      <w:r w:rsidR="000669F2" w:rsidRPr="00646FD3">
        <w:rPr>
          <w:vertAlign w:val="superscript"/>
        </w:rPr>
        <w:t>-1</w:t>
      </w:r>
      <w:r w:rsidRPr="00AF256B">
        <w:t xml:space="preserve">would result in a mine origin ingestion dose from </w:t>
      </w:r>
      <w:r w:rsidRPr="00AF256B">
        <w:rPr>
          <w:snapToGrid w:val="0"/>
          <w:color w:val="000000"/>
          <w:position w:val="5"/>
          <w:sz w:val="15"/>
          <w:szCs w:val="0"/>
          <w:u w:color="000000"/>
        </w:rPr>
        <w:t>226</w:t>
      </w:r>
      <w:r w:rsidRPr="00AF256B">
        <w:t>Ra bioaccumulated in mussels of about 0.3 mSv, if 2 kg of mussels were ingested by a 10 year old child.</w:t>
      </w:r>
      <w:proofErr w:type="gramEnd"/>
      <w:r w:rsidRPr="00AF256B">
        <w:t xml:space="preserve"> Wet season median differences (shown by the horizontal lines in Figure 3.14) from 2001 to 2014 are close to zero, indicating that the great majority of </w:t>
      </w:r>
      <w:r w:rsidRPr="00AF256B">
        <w:rPr>
          <w:snapToGrid w:val="0"/>
          <w:color w:val="000000"/>
          <w:position w:val="5"/>
          <w:sz w:val="15"/>
          <w:szCs w:val="0"/>
          <w:u w:color="000000"/>
        </w:rPr>
        <w:t>226</w:t>
      </w:r>
      <w:r w:rsidRPr="00AF256B">
        <w:t xml:space="preserve">Ra is coming from natural sources of </w:t>
      </w:r>
      <w:r w:rsidRPr="00AF256B">
        <w:rPr>
          <w:snapToGrid w:val="0"/>
          <w:color w:val="000000"/>
          <w:position w:val="5"/>
          <w:sz w:val="15"/>
          <w:szCs w:val="0"/>
          <w:u w:color="000000"/>
        </w:rPr>
        <w:t>226</w:t>
      </w:r>
      <w:r w:rsidRPr="00AF256B">
        <w:t>Ra located in the catchment upstream of the mine. The wet season median difference for the entire historical monitor</w:t>
      </w:r>
      <w:r w:rsidR="000669F2">
        <w:t xml:space="preserve">ing period (2001–14) is </w:t>
      </w:r>
      <w:r w:rsidR="00070337">
        <w:br/>
      </w:r>
      <w:r w:rsidR="000669F2">
        <w:t xml:space="preserve">0.1 mBq </w:t>
      </w:r>
      <w:r w:rsidRPr="00AF256B">
        <w:t>L</w:t>
      </w:r>
      <w:r w:rsidR="000669F2" w:rsidRPr="000669F2">
        <w:rPr>
          <w:vertAlign w:val="superscript"/>
        </w:rPr>
        <w:t>-1</w:t>
      </w:r>
      <w:r w:rsidRPr="00AF256B">
        <w:t xml:space="preserve">. </w:t>
      </w:r>
    </w:p>
    <w:p w:rsidR="00B567F0" w:rsidRPr="00AF256B" w:rsidRDefault="00B567F0" w:rsidP="00B567F0">
      <w:pPr>
        <w:spacing w:after="120" w:line="260" w:lineRule="atLeast"/>
      </w:pPr>
      <w:r w:rsidRPr="00AF256B">
        <w:t xml:space="preserve">The wet season median difference for the 2013–14 wet </w:t>
      </w:r>
      <w:proofErr w:type="gramStart"/>
      <w:r w:rsidRPr="00AF256B">
        <w:t>season</w:t>
      </w:r>
      <w:proofErr w:type="gramEnd"/>
      <w:r w:rsidRPr="00AF256B">
        <w:t xml:space="preserve"> is 0.5 </w:t>
      </w:r>
      <w:r>
        <w:t xml:space="preserve">mBq </w:t>
      </w:r>
      <w:r w:rsidRPr="00AF256B">
        <w:t>L</w:t>
      </w:r>
      <w:r w:rsidRPr="000669F2">
        <w:rPr>
          <w:vertAlign w:val="superscript"/>
        </w:rPr>
        <w:t>-1</w:t>
      </w:r>
      <w:r w:rsidRPr="00AF256B">
        <w:t xml:space="preserve">, indicating a slightly higher median </w:t>
      </w:r>
      <w:r w:rsidRPr="00AF256B">
        <w:rPr>
          <w:snapToGrid w:val="0"/>
          <w:color w:val="000000"/>
          <w:position w:val="5"/>
          <w:sz w:val="15"/>
          <w:szCs w:val="0"/>
          <w:u w:color="000000"/>
        </w:rPr>
        <w:t>226</w:t>
      </w:r>
      <w:r w:rsidRPr="00AF256B">
        <w:t xml:space="preserve">Ra value for the downstream monitoring site than for the upstream monitoring site. This result is approximately 5% of the 10 </w:t>
      </w:r>
      <w:r>
        <w:t xml:space="preserve">mBq </w:t>
      </w:r>
      <w:r w:rsidRPr="00AF256B">
        <w:t>L</w:t>
      </w:r>
      <w:r w:rsidRPr="000669F2">
        <w:rPr>
          <w:vertAlign w:val="superscript"/>
        </w:rPr>
        <w:t>-1</w:t>
      </w:r>
      <w:r w:rsidRPr="00AF256B">
        <w:t>Limit. Whilst being the greatest wet season median difference since 2001</w:t>
      </w:r>
      <w:r>
        <w:t>,</w:t>
      </w:r>
      <w:r w:rsidRPr="00AF256B">
        <w:t xml:space="preserve"> the result was only marginally increased compared to the range of variation observed in previous years and the individual sample results for 2013–14 were well within the historic range. </w:t>
      </w:r>
    </w:p>
    <w:p w:rsidR="00AF256B" w:rsidRPr="00AF256B" w:rsidRDefault="00AF256B" w:rsidP="00C77563">
      <w:pPr>
        <w:spacing w:after="120" w:line="260" w:lineRule="atLeast"/>
        <w:rPr>
          <w:rFonts w:ascii="Arial" w:hAnsi="Arial"/>
          <w:i/>
        </w:rPr>
      </w:pPr>
      <w:r w:rsidRPr="00AF256B">
        <w:rPr>
          <w:rFonts w:ascii="Arial" w:hAnsi="Arial"/>
          <w:i/>
        </w:rPr>
        <w:t>Chemical and physical monitoring of Gulungul Creek</w:t>
      </w:r>
    </w:p>
    <w:p w:rsidR="00453C1E" w:rsidRDefault="00B567F0" w:rsidP="00B567F0">
      <w:pPr>
        <w:spacing w:after="120" w:line="260" w:lineRule="atLeast"/>
      </w:pPr>
      <w:r w:rsidRPr="00AF256B">
        <w:t>Flow was first recorded at the Gulungul Creek upstream monitoring site (GCUS) on 28 November 2013. Flow was not recorded at the downstream monitoring site (GCDS) until 4 December 2013. The multi-probes at GCDS were only partially submerged in mid-December, which resulted in gaps in the continuous EC data (Figure 3.15).</w:t>
      </w:r>
      <w:r w:rsidR="00453C1E" w:rsidRPr="00453C1E">
        <w:t xml:space="preserve"> </w:t>
      </w:r>
    </w:p>
    <w:p w:rsidR="00453C1E" w:rsidRDefault="00453C1E" w:rsidP="00453C1E">
      <w:pPr>
        <w:spacing w:after="120" w:line="260" w:lineRule="atLeast"/>
      </w:pPr>
      <w:r>
        <w:t>During 21–</w:t>
      </w:r>
      <w:r w:rsidRPr="00AF256B">
        <w:t>23 December 2013</w:t>
      </w:r>
      <w:r>
        <w:t>,</w:t>
      </w:r>
      <w:r w:rsidRPr="00AF256B">
        <w:t xml:space="preserve"> Jabiru Airport received 22.4 mm of rain. This resulted in increased surface run-off with EC and turbidity peaks recorded at both GCUS and GCDS.</w:t>
      </w:r>
      <w:r w:rsidRPr="00453C1E">
        <w:t xml:space="preserve"> </w:t>
      </w:r>
      <w:r w:rsidRPr="00AF256B">
        <w:t>This is typical of first flush effects observed early in the wet season</w:t>
      </w:r>
      <w:r>
        <w:t>,</w:t>
      </w:r>
      <w:r w:rsidRPr="00AF256B">
        <w:t xml:space="preserve"> and the increased water level submerged all water quality sensors at GCDS. The EC peaked at</w:t>
      </w:r>
      <w:r>
        <w:t xml:space="preserve"> 46.5 µS cm</w:t>
      </w:r>
      <w:r w:rsidRPr="000669F2">
        <w:rPr>
          <w:vertAlign w:val="superscript"/>
        </w:rPr>
        <w:t>-1</w:t>
      </w:r>
      <w:r>
        <w:t xml:space="preserve"> at GCUS and 34.8 µS </w:t>
      </w:r>
      <w:r w:rsidRPr="00AF256B">
        <w:t>cm</w:t>
      </w:r>
      <w:r w:rsidRPr="000669F2">
        <w:rPr>
          <w:vertAlign w:val="superscript"/>
        </w:rPr>
        <w:t>-1</w:t>
      </w:r>
      <w:r w:rsidRPr="00AF256B">
        <w:t xml:space="preserve"> at GCDS. Turbidity fluctuated</w:t>
      </w:r>
      <w:r>
        <w:t>,</w:t>
      </w:r>
      <w:r w:rsidRPr="00AF256B">
        <w:t xml:space="preserve"> reaching 11.3 NTU at GCUS and 6.1 NTU at GCDS (Figure 3.16).</w:t>
      </w:r>
      <w:r w:rsidRPr="00453C1E">
        <w:t xml:space="preserve"> </w:t>
      </w:r>
      <w:r w:rsidRPr="00AF256B">
        <w:t>A number of event-based samples were triggered at the upstream site and the analysis results show corresponding peaks in magnesium and manganese concentrations</w:t>
      </w:r>
      <w:r>
        <w:t>,</w:t>
      </w:r>
      <w:r w:rsidRPr="00AF256B">
        <w:t xml:space="preserve"> but little change in uranium and sulfate concentrations. In distinction from the dominant mine site signature of magnesium sulfate, the major ions (anions and cations) of the upstream Gulungul catchment are dominated by magnesium hydrogen carbonate [or magnesium bicarbonate - </w:t>
      </w:r>
      <w:proofErr w:type="gramStart"/>
      <w:r w:rsidRPr="00AF256B">
        <w:t>Mg(</w:t>
      </w:r>
      <w:proofErr w:type="gramEnd"/>
      <w:r w:rsidRPr="00AF256B">
        <w:t>HCO</w:t>
      </w:r>
      <w:r w:rsidRPr="00AF256B">
        <w:rPr>
          <w:snapToGrid w:val="0"/>
          <w:color w:val="000000"/>
          <w:position w:val="-5"/>
          <w:sz w:val="15"/>
          <w:szCs w:val="0"/>
          <w:u w:color="000000"/>
        </w:rPr>
        <w:t>3</w:t>
      </w:r>
      <w:r w:rsidRPr="00AF256B">
        <w:t>)</w:t>
      </w:r>
      <w:r w:rsidRPr="00AF256B">
        <w:rPr>
          <w:snapToGrid w:val="0"/>
          <w:color w:val="000000"/>
          <w:position w:val="-5"/>
          <w:sz w:val="15"/>
          <w:szCs w:val="0"/>
          <w:u w:color="000000"/>
        </w:rPr>
        <w:t>2</w:t>
      </w:r>
      <w:r w:rsidRPr="00AF256B">
        <w:t>]</w:t>
      </w:r>
      <w:r>
        <w:t>.</w:t>
      </w:r>
      <w:r w:rsidRPr="00453C1E">
        <w:t xml:space="preserve"> </w:t>
      </w:r>
      <w:r>
        <w:t>H</w:t>
      </w:r>
      <w:r w:rsidRPr="00AF256B">
        <w:t>ence</w:t>
      </w:r>
      <w:r>
        <w:t>,</w:t>
      </w:r>
      <w:r w:rsidRPr="00AF256B">
        <w:t xml:space="preserve"> the lack of change in the sulfate concentrations during this event indicates a natural catchment influence rather than a mine site input.</w:t>
      </w:r>
    </w:p>
    <w:p w:rsidR="00981D55" w:rsidRPr="00AF256B" w:rsidRDefault="00981D55" w:rsidP="00453C1E">
      <w:pPr>
        <w:spacing w:after="120" w:line="260" w:lineRule="atLeast"/>
      </w:pPr>
    </w:p>
    <w:p w:rsidR="00AF256B" w:rsidRPr="00AF256B" w:rsidRDefault="003D645F" w:rsidP="00AF256B">
      <w:pPr>
        <w:spacing w:after="120" w:line="260" w:lineRule="atLeast"/>
        <w:jc w:val="center"/>
      </w:pPr>
      <w:r w:rsidRPr="003D645F">
        <w:rPr>
          <w:noProof/>
          <w:lang w:eastAsia="en-AU"/>
        </w:rPr>
        <w:drawing>
          <wp:inline distT="0" distB="0" distL="0" distR="0">
            <wp:extent cx="4727575" cy="2792034"/>
            <wp:effectExtent l="19050" t="0" r="0" b="0"/>
            <wp:docPr id="15"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67" cstate="screen"/>
                    <a:srcRect/>
                    <a:stretch>
                      <a:fillRect/>
                    </a:stretch>
                  </pic:blipFill>
                  <pic:spPr bwMode="auto">
                    <a:xfrm>
                      <a:off x="0" y="0"/>
                      <a:ext cx="4727575" cy="2792034"/>
                    </a:xfrm>
                    <a:prstGeom prst="rect">
                      <a:avLst/>
                    </a:prstGeom>
                    <a:noFill/>
                    <a:ln w="9525">
                      <a:noFill/>
                      <a:miter lim="800000"/>
                      <a:headEnd/>
                      <a:tailEnd/>
                    </a:ln>
                  </pic:spPr>
                </pic:pic>
              </a:graphicData>
            </a:graphic>
          </wp:inline>
        </w:drawing>
      </w:r>
    </w:p>
    <w:p w:rsidR="00AF256B" w:rsidRPr="00AF256B" w:rsidRDefault="00AF256B" w:rsidP="00AF256B">
      <w:pPr>
        <w:spacing w:after="240" w:line="220" w:lineRule="atLeast"/>
        <w:jc w:val="center"/>
        <w:rPr>
          <w:rFonts w:ascii="Arial" w:hAnsi="Arial"/>
          <w:bCs/>
          <w:noProof/>
          <w:sz w:val="16"/>
          <w:lang w:val="en-US"/>
        </w:rPr>
      </w:pPr>
      <w:r w:rsidRPr="003D645F">
        <w:rPr>
          <w:rFonts w:ascii="Arial" w:hAnsi="Arial"/>
          <w:b/>
          <w:bCs/>
          <w:noProof/>
          <w:sz w:val="16"/>
          <w:lang w:val="en-US"/>
        </w:rPr>
        <w:t>Figure 3.15</w:t>
      </w:r>
      <w:r w:rsidRPr="003D645F">
        <w:rPr>
          <w:rFonts w:ascii="Arial" w:hAnsi="Arial"/>
          <w:bCs/>
          <w:noProof/>
          <w:sz w:val="16"/>
          <w:lang w:val="en-US"/>
        </w:rPr>
        <w:t xml:space="preserve"> Continuous monitoring of EC and water level in Gulungul Creek </w:t>
      </w:r>
      <w:r w:rsidRPr="003D645F">
        <w:rPr>
          <w:rFonts w:ascii="Arial" w:hAnsi="Arial"/>
          <w:bCs/>
          <w:noProof/>
          <w:sz w:val="16"/>
          <w:lang w:val="en-US"/>
        </w:rPr>
        <w:br/>
        <w:t>during the 2013–14 wet season</w:t>
      </w:r>
      <w:r w:rsidR="00630309">
        <w:rPr>
          <w:rFonts w:ascii="Arial" w:hAnsi="Arial"/>
          <w:bCs/>
          <w:noProof/>
          <w:sz w:val="16"/>
          <w:lang w:val="en-US"/>
        </w:rPr>
        <w:t>.</w:t>
      </w:r>
    </w:p>
    <w:p w:rsidR="00AF256B" w:rsidRPr="00AF256B" w:rsidRDefault="00AF256B" w:rsidP="00AF256B">
      <w:pPr>
        <w:spacing w:after="120" w:line="260" w:lineRule="atLeast"/>
        <w:jc w:val="center"/>
      </w:pPr>
      <w:r w:rsidRPr="00AF256B">
        <w:rPr>
          <w:noProof/>
          <w:lang w:eastAsia="en-AU"/>
        </w:rPr>
        <w:drawing>
          <wp:inline distT="0" distB="0" distL="0" distR="0">
            <wp:extent cx="4551330" cy="2686136"/>
            <wp:effectExtent l="19050" t="0" r="1620" b="0"/>
            <wp:docPr id="14"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68" cstate="screen"/>
                    <a:srcRect/>
                    <a:stretch>
                      <a:fillRect/>
                    </a:stretch>
                  </pic:blipFill>
                  <pic:spPr bwMode="auto">
                    <a:xfrm>
                      <a:off x="0" y="0"/>
                      <a:ext cx="4551330" cy="2686136"/>
                    </a:xfrm>
                    <a:prstGeom prst="rect">
                      <a:avLst/>
                    </a:prstGeom>
                    <a:noFill/>
                    <a:ln w="9525">
                      <a:noFill/>
                      <a:miter lim="800000"/>
                      <a:headEnd/>
                      <a:tailEnd/>
                    </a:ln>
                  </pic:spPr>
                </pic:pic>
              </a:graphicData>
            </a:graphic>
          </wp:inline>
        </w:drawing>
      </w:r>
    </w:p>
    <w:p w:rsidR="00AF256B" w:rsidRPr="00AF256B" w:rsidRDefault="00AF256B" w:rsidP="00AF256B">
      <w:pPr>
        <w:spacing w:after="240" w:line="220" w:lineRule="atLeast"/>
        <w:jc w:val="center"/>
        <w:rPr>
          <w:rFonts w:ascii="Arial" w:hAnsi="Arial"/>
          <w:bCs/>
          <w:noProof/>
          <w:sz w:val="16"/>
          <w:lang w:val="en-US"/>
        </w:rPr>
      </w:pPr>
      <w:r w:rsidRPr="00AF256B">
        <w:rPr>
          <w:rFonts w:ascii="Arial" w:hAnsi="Arial"/>
          <w:b/>
          <w:bCs/>
          <w:noProof/>
          <w:sz w:val="16"/>
          <w:lang w:val="en-US"/>
        </w:rPr>
        <w:t>Figure 3.16</w:t>
      </w:r>
      <w:r w:rsidRPr="00AF256B">
        <w:rPr>
          <w:rFonts w:ascii="Arial" w:hAnsi="Arial"/>
          <w:bCs/>
          <w:noProof/>
          <w:sz w:val="16"/>
          <w:lang w:val="en-US"/>
        </w:rPr>
        <w:t xml:space="preserve"> Continuous monitoring of turbidity and water level in Gulungul Creek </w:t>
      </w:r>
      <w:r w:rsidRPr="00AF256B">
        <w:rPr>
          <w:rFonts w:ascii="Arial" w:hAnsi="Arial"/>
          <w:bCs/>
          <w:noProof/>
          <w:sz w:val="16"/>
          <w:lang w:val="en-US"/>
        </w:rPr>
        <w:br/>
        <w:t>during the 2013–14 wet season.</w:t>
      </w:r>
    </w:p>
    <w:p w:rsidR="00B567F0" w:rsidRDefault="00B567F0" w:rsidP="00B567F0">
      <w:r>
        <w:t>An EC event was measured at GCDS on 18 January 2014, with a peak of 41.1 µS cm</w:t>
      </w:r>
      <w:r w:rsidRPr="000669F2">
        <w:rPr>
          <w:vertAlign w:val="superscript"/>
        </w:rPr>
        <w:t>-1</w:t>
      </w:r>
      <w:r>
        <w:t>. The event-based samples collected showed a maximum uranium concentration of 0.22 µ</w:t>
      </w:r>
      <w:r w:rsidR="00735363" w:rsidRPr="00236E83">
        <w:t>g</w:t>
      </w:r>
      <w:r w:rsidR="00735363">
        <w:t xml:space="preserve"> </w:t>
      </w:r>
      <w:r w:rsidR="00735363" w:rsidRPr="00236E83">
        <w:t>L</w:t>
      </w:r>
      <w:r w:rsidR="00735363" w:rsidRPr="00735363">
        <w:rPr>
          <w:snapToGrid w:val="0"/>
          <w:color w:val="000000"/>
          <w:position w:val="5"/>
          <w:sz w:val="13"/>
          <w:szCs w:val="0"/>
          <w:u w:color="000000"/>
        </w:rPr>
        <w:t>-1</w:t>
      </w:r>
      <w:r>
        <w:t>, which is approximately 4% of the ecotoxicologically-derived limit. Further EC peaks &gt;</w:t>
      </w:r>
      <w:r w:rsidR="00735363">
        <w:t> </w:t>
      </w:r>
      <w:r>
        <w:t>30</w:t>
      </w:r>
      <w:r w:rsidR="00735363">
        <w:t> </w:t>
      </w:r>
      <w:r>
        <w:t>µS cm</w:t>
      </w:r>
      <w:r w:rsidRPr="000669F2">
        <w:rPr>
          <w:vertAlign w:val="superscript"/>
        </w:rPr>
        <w:t>-1</w:t>
      </w:r>
      <w:r>
        <w:t xml:space="preserve"> </w:t>
      </w:r>
      <w:proofErr w:type="gramStart"/>
      <w:r>
        <w:t>were</w:t>
      </w:r>
      <w:proofErr w:type="gramEnd"/>
      <w:r>
        <w:t xml:space="preserve"> observed at GCDS from 20–28 January 2014 (Figure 3.18) and 12–14 February 2014 (Figure 3.19). On 19 January 2014, the ERA continuous monitoring at Gulungul Creek left bank (GCLB) recorded a 3 hour EC event that peaked at 184.2 µS cm</w:t>
      </w:r>
      <w:r w:rsidRPr="000669F2">
        <w:rPr>
          <w:vertAlign w:val="superscript"/>
        </w:rPr>
        <w:t>-1</w:t>
      </w:r>
      <w:r>
        <w:t xml:space="preserve"> (Figure 3.17). However, the ecotoxicologically-derived framework for EC pulses provides an EC limit of 1040 µS cm</w:t>
      </w:r>
      <w:r w:rsidRPr="000669F2">
        <w:rPr>
          <w:vertAlign w:val="superscript"/>
        </w:rPr>
        <w:t>-1</w:t>
      </w:r>
      <w:r>
        <w:t xml:space="preserve"> for a 3 hour EC event, indicating that the environment is unlikely to have been impacted. Nevertheless, such EC events are of some concern and, hence, prompted additional investigations by SSD, as detailed below.</w:t>
      </w:r>
    </w:p>
    <w:p w:rsidR="00B567F0" w:rsidRDefault="00B567F0" w:rsidP="00B567F0">
      <w:r>
        <w:t>The SSD continuous monitoring station GCDS, which is located approximately 1 km downstream of the ERA station, GCLB, typically detects all EC events that are detected at GCLB (Figure 3.17). However, the peak of 184.2 µS cm</w:t>
      </w:r>
      <w:r w:rsidRPr="000669F2">
        <w:rPr>
          <w:vertAlign w:val="superscript"/>
        </w:rPr>
        <w:t>-1</w:t>
      </w:r>
      <w:r>
        <w:t xml:space="preserve"> observed at GCLB on 19 January 2014 was not detected at GCDS, which recorded an EC of &lt;</w:t>
      </w:r>
      <w:r w:rsidR="0061567C">
        <w:t xml:space="preserve"> </w:t>
      </w:r>
      <w:r>
        <w:t>25 µS cm</w:t>
      </w:r>
      <w:r w:rsidRPr="00297033">
        <w:rPr>
          <w:vertAlign w:val="superscript"/>
        </w:rPr>
        <w:t xml:space="preserve">-1 </w:t>
      </w:r>
      <w:r>
        <w:t xml:space="preserve">throughout the duration of the event. This indicates poor mixing of Gulungul Creek waters, as SSD's monitoring station is located on the western bank of the creek and GCLB is located on the eastern bank. It also indicates that the source of the high EC waters is from the mine side of the creek and, after entering the creek, the water may have flowed downstream close to the eastern bank, hence, not being detected at GCDS. The poor mixing in the creek may have been exacerbated by incoming flows from the left bank tributary located upstream of GCDS (Figure 3.17). </w:t>
      </w:r>
    </w:p>
    <w:p w:rsidR="007C5058" w:rsidRPr="007C5058" w:rsidRDefault="007C5058" w:rsidP="007C5058">
      <w:pPr>
        <w:spacing w:after="120" w:line="260" w:lineRule="atLeast"/>
        <w:jc w:val="center"/>
      </w:pPr>
      <w:r w:rsidRPr="007C5058">
        <w:rPr>
          <w:noProof/>
          <w:lang w:eastAsia="en-AU"/>
        </w:rPr>
        <w:drawing>
          <wp:inline distT="0" distB="0" distL="0" distR="0">
            <wp:extent cx="4460185" cy="3336427"/>
            <wp:effectExtent l="19050" t="0" r="0" b="0"/>
            <wp:docPr id="21" name="Picture 4" descr="Figure 4  Gulungul Creek continuous monitoring station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Figure 4  Gulungul Creek continuous monitoring stations"/>
                    <pic:cNvPicPr>
                      <a:picLocks noChangeAspect="1" noChangeArrowheads="1"/>
                    </pic:cNvPicPr>
                  </pic:nvPicPr>
                  <pic:blipFill>
                    <a:blip r:embed="rId69" cstate="screen">
                      <a:grayscl/>
                      <a:lum bright="10000"/>
                    </a:blip>
                    <a:srcRect/>
                    <a:stretch>
                      <a:fillRect/>
                    </a:stretch>
                  </pic:blipFill>
                  <pic:spPr bwMode="auto">
                    <a:xfrm>
                      <a:off x="0" y="0"/>
                      <a:ext cx="4462400" cy="3338084"/>
                    </a:xfrm>
                    <a:prstGeom prst="rect">
                      <a:avLst/>
                    </a:prstGeom>
                    <a:noFill/>
                    <a:ln w="9525">
                      <a:noFill/>
                      <a:miter lim="800000"/>
                      <a:headEnd/>
                      <a:tailEnd/>
                    </a:ln>
                  </pic:spPr>
                </pic:pic>
              </a:graphicData>
            </a:graphic>
          </wp:inline>
        </w:drawing>
      </w:r>
    </w:p>
    <w:p w:rsidR="007C5058" w:rsidRPr="007C5058" w:rsidRDefault="007C5058" w:rsidP="007C5058">
      <w:pPr>
        <w:spacing w:after="240" w:line="220" w:lineRule="atLeast"/>
        <w:jc w:val="center"/>
        <w:rPr>
          <w:rFonts w:ascii="Arial" w:hAnsi="Arial"/>
          <w:bCs/>
          <w:noProof/>
          <w:sz w:val="16"/>
          <w:lang w:val="en-US"/>
        </w:rPr>
      </w:pPr>
      <w:r w:rsidRPr="007C5058">
        <w:rPr>
          <w:rFonts w:ascii="Arial" w:hAnsi="Arial"/>
          <w:b/>
          <w:bCs/>
          <w:noProof/>
          <w:sz w:val="16"/>
          <w:lang w:val="en-US"/>
        </w:rPr>
        <w:t>Figure 3.17</w:t>
      </w:r>
      <w:r w:rsidRPr="007C5058">
        <w:rPr>
          <w:rFonts w:ascii="Arial" w:hAnsi="Arial"/>
          <w:bCs/>
          <w:noProof/>
          <w:sz w:val="16"/>
          <w:lang w:val="en-US"/>
        </w:rPr>
        <w:t xml:space="preserve"> Gulungul Creek continuous monitoring stations.</w:t>
      </w:r>
    </w:p>
    <w:p w:rsidR="00B567F0" w:rsidRPr="005C03E5" w:rsidRDefault="00B567F0" w:rsidP="00B567F0">
      <w:pPr>
        <w:spacing w:after="120" w:line="260" w:lineRule="atLeast"/>
      </w:pPr>
      <w:r w:rsidRPr="005C03E5">
        <w:t>SSD is undertaking a number of investigations to determine the source of the solutes causing the EC peaks at the downstream sites and to better understand the extent and nature of the cross channel variation in EC at GCDS. To inform these investigations</w:t>
      </w:r>
      <w:r>
        <w:t>,</w:t>
      </w:r>
      <w:r w:rsidRPr="005C03E5">
        <w:t xml:space="preserve"> a number of small data loggers, measuring conductivity, temperature and depth (CTD), were deployed at key sites in the Gulungul catchment during the 2013–14 wet </w:t>
      </w:r>
      <w:proofErr w:type="gramStart"/>
      <w:r w:rsidRPr="005C03E5">
        <w:t>season</w:t>
      </w:r>
      <w:proofErr w:type="gramEnd"/>
      <w:r w:rsidRPr="005C03E5">
        <w:t xml:space="preserve">. </w:t>
      </w:r>
    </w:p>
    <w:p w:rsidR="00B567F0" w:rsidRPr="005C03E5" w:rsidRDefault="00B567F0" w:rsidP="00B567F0">
      <w:pPr>
        <w:spacing w:after="120" w:line="260" w:lineRule="atLeast"/>
      </w:pPr>
      <w:r w:rsidRPr="005C03E5">
        <w:t>The first CTD logger was installed on the eastern bank, opposite the GCDS monitoring station (GCDS East Bank) on 23 January 2014. The recorded data showed that Gulungul Creek water is generally well mixed, with similar EC measured at both banks. However, occasionally the east bank EC was up</w:t>
      </w:r>
      <w:r w:rsidR="00735363">
        <w:t xml:space="preserve"> to 15 µS </w:t>
      </w:r>
      <w:r w:rsidRPr="005C03E5">
        <w:t>cm</w:t>
      </w:r>
      <w:r w:rsidR="00735363" w:rsidRPr="00735363">
        <w:rPr>
          <w:snapToGrid w:val="0"/>
          <w:color w:val="000000"/>
          <w:position w:val="5"/>
          <w:sz w:val="13"/>
          <w:szCs w:val="0"/>
          <w:u w:color="000000"/>
        </w:rPr>
        <w:t>-1</w:t>
      </w:r>
      <w:r w:rsidRPr="005C03E5">
        <w:t xml:space="preserve"> greater than the west bank EC (Figures 3.18 and 3.19). This indicates that the source of solutes is likely to be from the eastern bank</w:t>
      </w:r>
      <w:r>
        <w:t>, being the mine side,</w:t>
      </w:r>
      <w:r w:rsidRPr="005C03E5">
        <w:t xml:space="preserve"> of the creek. </w:t>
      </w:r>
    </w:p>
    <w:p w:rsidR="008B359B" w:rsidRPr="008B359B" w:rsidRDefault="003D645F" w:rsidP="008B359B">
      <w:pPr>
        <w:spacing w:after="240" w:line="220" w:lineRule="atLeast"/>
        <w:jc w:val="center"/>
        <w:rPr>
          <w:rFonts w:ascii="Arial" w:hAnsi="Arial"/>
          <w:bCs/>
          <w:noProof/>
          <w:sz w:val="16"/>
        </w:rPr>
      </w:pPr>
      <w:r w:rsidRPr="003D645F">
        <w:rPr>
          <w:noProof/>
          <w:lang w:eastAsia="en-AU"/>
        </w:rPr>
        <w:drawing>
          <wp:inline distT="0" distB="0" distL="0" distR="0">
            <wp:extent cx="4367420" cy="2579332"/>
            <wp:effectExtent l="19050" t="0" r="0" b="0"/>
            <wp:docPr id="16"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70" cstate="screen"/>
                    <a:srcRect/>
                    <a:stretch>
                      <a:fillRect/>
                    </a:stretch>
                  </pic:blipFill>
                  <pic:spPr bwMode="auto">
                    <a:xfrm>
                      <a:off x="0" y="0"/>
                      <a:ext cx="4369589" cy="2580613"/>
                    </a:xfrm>
                    <a:prstGeom prst="rect">
                      <a:avLst/>
                    </a:prstGeom>
                    <a:noFill/>
                    <a:ln w="9525">
                      <a:noFill/>
                      <a:miter lim="800000"/>
                      <a:headEnd/>
                      <a:tailEnd/>
                    </a:ln>
                  </pic:spPr>
                </pic:pic>
              </a:graphicData>
            </a:graphic>
          </wp:inline>
        </w:drawing>
      </w:r>
    </w:p>
    <w:p w:rsidR="008B359B" w:rsidRDefault="008B359B" w:rsidP="008B359B">
      <w:pPr>
        <w:spacing w:after="240" w:line="220" w:lineRule="atLeast"/>
        <w:jc w:val="center"/>
        <w:rPr>
          <w:rFonts w:ascii="Arial" w:hAnsi="Arial"/>
          <w:bCs/>
          <w:noProof/>
          <w:sz w:val="16"/>
          <w:lang w:val="en-US"/>
        </w:rPr>
      </w:pPr>
      <w:r w:rsidRPr="003D645F">
        <w:rPr>
          <w:rFonts w:ascii="Arial" w:hAnsi="Arial"/>
          <w:b/>
          <w:bCs/>
          <w:noProof/>
          <w:sz w:val="16"/>
          <w:lang w:val="en-US"/>
        </w:rPr>
        <w:t>Figure 3.18</w:t>
      </w:r>
      <w:r w:rsidRPr="003D645F">
        <w:rPr>
          <w:rFonts w:ascii="Arial" w:hAnsi="Arial"/>
          <w:bCs/>
          <w:noProof/>
          <w:sz w:val="16"/>
          <w:lang w:val="en-US"/>
        </w:rPr>
        <w:t xml:space="preserve"> Gulungul Creek continuous monitoring data showing peaks in electrical conductivity at GCDS and GCDS East Ba</w:t>
      </w:r>
      <w:r w:rsidR="003D645F" w:rsidRPr="003D645F">
        <w:rPr>
          <w:rFonts w:ascii="Arial" w:hAnsi="Arial"/>
          <w:bCs/>
          <w:noProof/>
          <w:sz w:val="16"/>
          <w:lang w:val="en-US"/>
        </w:rPr>
        <w:t>nk during mid-late January 2014</w:t>
      </w:r>
      <w:r w:rsidR="00630309">
        <w:rPr>
          <w:rFonts w:ascii="Arial" w:hAnsi="Arial"/>
          <w:bCs/>
          <w:noProof/>
          <w:sz w:val="16"/>
          <w:lang w:val="en-US"/>
        </w:rPr>
        <w:t>.</w:t>
      </w:r>
    </w:p>
    <w:p w:rsidR="008B359B" w:rsidRPr="008B359B" w:rsidRDefault="003D645F" w:rsidP="008B359B">
      <w:pPr>
        <w:spacing w:after="240" w:line="220" w:lineRule="atLeast"/>
        <w:jc w:val="center"/>
        <w:rPr>
          <w:rFonts w:ascii="Arial" w:hAnsi="Arial"/>
          <w:bCs/>
          <w:noProof/>
          <w:sz w:val="16"/>
        </w:rPr>
      </w:pPr>
      <w:r w:rsidRPr="003D645F">
        <w:rPr>
          <w:noProof/>
          <w:lang w:eastAsia="en-AU"/>
        </w:rPr>
        <w:drawing>
          <wp:inline distT="0" distB="0" distL="0" distR="0">
            <wp:extent cx="4499941" cy="2657597"/>
            <wp:effectExtent l="19050" t="0" r="0" b="0"/>
            <wp:docPr id="18"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71" cstate="screen"/>
                    <a:srcRect/>
                    <a:stretch>
                      <a:fillRect/>
                    </a:stretch>
                  </pic:blipFill>
                  <pic:spPr bwMode="auto">
                    <a:xfrm>
                      <a:off x="0" y="0"/>
                      <a:ext cx="4502176" cy="2658917"/>
                    </a:xfrm>
                    <a:prstGeom prst="rect">
                      <a:avLst/>
                    </a:prstGeom>
                    <a:noFill/>
                    <a:ln w="9525">
                      <a:noFill/>
                      <a:miter lim="800000"/>
                      <a:headEnd/>
                      <a:tailEnd/>
                    </a:ln>
                  </pic:spPr>
                </pic:pic>
              </a:graphicData>
            </a:graphic>
          </wp:inline>
        </w:drawing>
      </w:r>
    </w:p>
    <w:p w:rsidR="008B359B" w:rsidRPr="008B359B" w:rsidRDefault="008B359B" w:rsidP="008B359B">
      <w:pPr>
        <w:spacing w:after="240" w:line="220" w:lineRule="atLeast"/>
        <w:jc w:val="center"/>
        <w:rPr>
          <w:rFonts w:ascii="Arial" w:hAnsi="Arial"/>
          <w:bCs/>
          <w:noProof/>
          <w:sz w:val="16"/>
          <w:lang w:val="en-US"/>
        </w:rPr>
      </w:pPr>
      <w:r w:rsidRPr="003D645F">
        <w:rPr>
          <w:rFonts w:ascii="Arial" w:hAnsi="Arial"/>
          <w:b/>
          <w:bCs/>
          <w:noProof/>
          <w:sz w:val="16"/>
          <w:lang w:val="en-US"/>
        </w:rPr>
        <w:t>Figure 3.19</w:t>
      </w:r>
      <w:r w:rsidRPr="003D645F">
        <w:rPr>
          <w:rFonts w:ascii="Arial" w:hAnsi="Arial"/>
          <w:bCs/>
          <w:noProof/>
          <w:sz w:val="16"/>
          <w:lang w:val="en-US"/>
        </w:rPr>
        <w:t xml:space="preserve"> Gulungul Creek continuous monitoring data showing peaks in electrical conductivity at GCDS and GCDS East </w:t>
      </w:r>
      <w:r w:rsidR="003D645F" w:rsidRPr="003D645F">
        <w:rPr>
          <w:rFonts w:ascii="Arial" w:hAnsi="Arial"/>
          <w:bCs/>
          <w:noProof/>
          <w:sz w:val="16"/>
          <w:lang w:val="en-US"/>
        </w:rPr>
        <w:t>Bank during early February 2014</w:t>
      </w:r>
      <w:r w:rsidR="00630309">
        <w:rPr>
          <w:rFonts w:ascii="Arial" w:hAnsi="Arial"/>
          <w:bCs/>
          <w:noProof/>
          <w:sz w:val="16"/>
          <w:lang w:val="en-US"/>
        </w:rPr>
        <w:t>.</w:t>
      </w:r>
    </w:p>
    <w:p w:rsidR="00B567F0" w:rsidRDefault="00B567F0" w:rsidP="00B567F0">
      <w:r>
        <w:t xml:space="preserve">On Monday 3 March 2014, SSD staff </w:t>
      </w:r>
      <w:r w:rsidR="00C43D76">
        <w:t>visited</w:t>
      </w:r>
      <w:r>
        <w:t xml:space="preserve"> the Gulungul Creek area to the west of the Ranger TSF to investigate the source of recent EC events noted at the ERA downstream site. </w:t>
      </w:r>
    </w:p>
    <w:p w:rsidR="00DD139E" w:rsidRPr="005C03E5" w:rsidRDefault="00DD139E" w:rsidP="00DD139E">
      <w:pPr>
        <w:spacing w:after="120" w:line="260" w:lineRule="atLeast"/>
      </w:pPr>
      <w:r w:rsidRPr="005C03E5">
        <w:t>EC readings were taken at a number of locations in the standing water along the Radon Sp</w:t>
      </w:r>
      <w:r w:rsidR="00954A6B">
        <w:t>rings track, with a range of 15–</w:t>
      </w:r>
      <w:r w:rsidR="00297033">
        <w:t xml:space="preserve">25 µS </w:t>
      </w:r>
      <w:r w:rsidRPr="005C03E5">
        <w:t>cm</w:t>
      </w:r>
      <w:r w:rsidR="00297033" w:rsidRPr="00297033">
        <w:rPr>
          <w:vertAlign w:val="superscript"/>
        </w:rPr>
        <w:t>-1</w:t>
      </w:r>
      <w:r w:rsidRPr="005C03E5">
        <w:t xml:space="preserve"> observed. </w:t>
      </w:r>
      <w:r w:rsidR="00C43D76">
        <w:t>L</w:t>
      </w:r>
      <w:r w:rsidRPr="005C03E5">
        <w:t xml:space="preserve">ocation 1 in Figure </w:t>
      </w:r>
      <w:proofErr w:type="gramStart"/>
      <w:r w:rsidRPr="005C03E5">
        <w:t>3.20,</w:t>
      </w:r>
      <w:proofErr w:type="gramEnd"/>
      <w:r w:rsidRPr="005C03E5">
        <w:t xml:space="preserve"> </w:t>
      </w:r>
      <w:r w:rsidR="00C43D76">
        <w:t>is</w:t>
      </w:r>
      <w:r w:rsidR="00C43D76" w:rsidRPr="005C03E5">
        <w:t xml:space="preserve"> </w:t>
      </w:r>
      <w:r w:rsidRPr="005C03E5">
        <w:t>the intersection point of the Gulungul Creek Tributary Site 2 (GCT2) drainage line and the Radon Springs</w:t>
      </w:r>
      <w:r w:rsidR="00954A6B">
        <w:t xml:space="preserve"> track</w:t>
      </w:r>
      <w:r w:rsidR="00C43D76">
        <w:t>. Recorded</w:t>
      </w:r>
      <w:r w:rsidR="00954A6B">
        <w:t xml:space="preserve"> EC in the </w:t>
      </w:r>
      <w:r w:rsidR="00C43D76">
        <w:t xml:space="preserve">small flowing stream at location 1 was in the </w:t>
      </w:r>
      <w:r w:rsidR="00954A6B">
        <w:t>range of 1250–</w:t>
      </w:r>
      <w:r w:rsidR="00297033">
        <w:t xml:space="preserve">1300 µS </w:t>
      </w:r>
      <w:r w:rsidRPr="005C03E5">
        <w:t>cm</w:t>
      </w:r>
      <w:r w:rsidR="00297033" w:rsidRPr="00297033">
        <w:rPr>
          <w:vertAlign w:val="superscript"/>
        </w:rPr>
        <w:t>-1</w:t>
      </w:r>
      <w:r w:rsidRPr="005C03E5">
        <w:t xml:space="preserve">. This stream was tracked to its confluence with Gulungul Creek (location 2, Figure 3.20) and an EC reading of approximately 500 </w:t>
      </w:r>
      <w:r w:rsidR="00297033">
        <w:t xml:space="preserve">µS </w:t>
      </w:r>
      <w:r w:rsidR="00297033" w:rsidRPr="005C03E5">
        <w:t>cm</w:t>
      </w:r>
      <w:r w:rsidR="00297033" w:rsidRPr="00297033">
        <w:rPr>
          <w:vertAlign w:val="superscript"/>
        </w:rPr>
        <w:t>-1</w:t>
      </w:r>
      <w:r w:rsidR="00297033" w:rsidRPr="005C03E5">
        <w:t xml:space="preserve"> </w:t>
      </w:r>
      <w:r w:rsidRPr="005C03E5">
        <w:t>was obtained at that location</w:t>
      </w:r>
      <w:r>
        <w:t xml:space="preserve">. </w:t>
      </w:r>
      <w:r w:rsidRPr="005C03E5">
        <w:t>The low volume of in-flow from the high EC tributary was quickly diluted once it entered the main Gulungul Creek channel. SSD collected water samples and deployed a CTD logger at locations 1 and 2.</w:t>
      </w:r>
    </w:p>
    <w:p w:rsidR="00B567F0" w:rsidRPr="005C03E5" w:rsidRDefault="00B567F0" w:rsidP="00B567F0">
      <w:pPr>
        <w:spacing w:after="120" w:line="260" w:lineRule="atLeast"/>
      </w:pPr>
      <w:r w:rsidRPr="005C03E5">
        <w:t>The data collected during these investigations are currently being analysed and will be reported in the near future. To ensure that the surface water chemistry monitoring program</w:t>
      </w:r>
      <w:r w:rsidR="00661485">
        <w:t>me</w:t>
      </w:r>
      <w:r w:rsidRPr="005C03E5">
        <w:t xml:space="preserve"> carried out by SSD detects and samples all EC events occurring downstream of the mine, a new continuous monitoring station </w:t>
      </w:r>
      <w:r>
        <w:t>will</w:t>
      </w:r>
      <w:r w:rsidRPr="005C03E5">
        <w:t xml:space="preserve"> be installed on the eastern bank of the creek, just downstream of GCLB</w:t>
      </w:r>
      <w:r w:rsidR="001471F1">
        <w:t>, prior to the 2014–</w:t>
      </w:r>
      <w:r>
        <w:t>15 wet season</w:t>
      </w:r>
      <w:r w:rsidRPr="005C03E5">
        <w:t xml:space="preserve">. This station will be equipped with duplicate EC sensors and an auto-sampler. </w:t>
      </w:r>
    </w:p>
    <w:p w:rsidR="00F73493" w:rsidRPr="00F73493" w:rsidRDefault="00F73493" w:rsidP="00F73493">
      <w:pPr>
        <w:spacing w:after="120" w:line="260" w:lineRule="atLeast"/>
        <w:jc w:val="center"/>
      </w:pPr>
      <w:r w:rsidRPr="00F73493">
        <w:rPr>
          <w:noProof/>
          <w:lang w:eastAsia="en-AU"/>
        </w:rPr>
        <w:drawing>
          <wp:inline distT="0" distB="0" distL="0" distR="0">
            <wp:extent cx="3881806" cy="3598793"/>
            <wp:effectExtent l="19050" t="19050" r="23444" b="20707"/>
            <wp:docPr id="10099"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pic:cNvPicPr>
                      <a:picLocks noChangeAspect="1" noChangeArrowheads="1"/>
                    </pic:cNvPicPr>
                  </pic:nvPicPr>
                  <pic:blipFill>
                    <a:blip r:embed="rId72" cstate="screen">
                      <a:grayscl/>
                      <a:lum bright="13000"/>
                    </a:blip>
                    <a:srcRect t="23834" r="17558"/>
                    <a:stretch>
                      <a:fillRect/>
                    </a:stretch>
                  </pic:blipFill>
                  <pic:spPr bwMode="auto">
                    <a:xfrm>
                      <a:off x="0" y="0"/>
                      <a:ext cx="3879276" cy="3596447"/>
                    </a:xfrm>
                    <a:prstGeom prst="rect">
                      <a:avLst/>
                    </a:prstGeom>
                    <a:noFill/>
                    <a:ln w="9525">
                      <a:solidFill>
                        <a:sysClr val="windowText" lastClr="000000"/>
                      </a:solidFill>
                      <a:miter lim="800000"/>
                      <a:headEnd/>
                      <a:tailEnd/>
                    </a:ln>
                  </pic:spPr>
                </pic:pic>
              </a:graphicData>
            </a:graphic>
          </wp:inline>
        </w:drawing>
      </w:r>
    </w:p>
    <w:p w:rsidR="00F73493" w:rsidRPr="00F73493" w:rsidRDefault="00F73493" w:rsidP="00F73493">
      <w:pPr>
        <w:spacing w:after="240" w:line="220" w:lineRule="atLeast"/>
        <w:jc w:val="center"/>
        <w:rPr>
          <w:rFonts w:ascii="Arial" w:hAnsi="Arial"/>
          <w:bCs/>
          <w:noProof/>
          <w:sz w:val="16"/>
          <w:lang w:val="en-US"/>
        </w:rPr>
      </w:pPr>
      <w:r w:rsidRPr="00F73493">
        <w:rPr>
          <w:rFonts w:ascii="Arial" w:hAnsi="Arial"/>
          <w:b/>
          <w:bCs/>
          <w:noProof/>
          <w:sz w:val="16"/>
          <w:lang w:val="en-US"/>
        </w:rPr>
        <w:t>Figure 3.20</w:t>
      </w:r>
      <w:r w:rsidRPr="00F73493">
        <w:rPr>
          <w:rFonts w:ascii="Arial" w:hAnsi="Arial"/>
          <w:bCs/>
          <w:noProof/>
          <w:sz w:val="16"/>
          <w:lang w:val="en-US"/>
        </w:rPr>
        <w:t xml:space="preserve"> Location of SSD EC loggers installed on 3 March 2014 to investigate the water </w:t>
      </w:r>
      <w:r w:rsidR="00DB5AD9">
        <w:rPr>
          <w:rFonts w:ascii="Arial" w:hAnsi="Arial"/>
          <w:bCs/>
          <w:noProof/>
          <w:sz w:val="16"/>
          <w:lang w:val="en-US"/>
        </w:rPr>
        <w:br/>
      </w:r>
      <w:r w:rsidRPr="00F73493">
        <w:rPr>
          <w:rFonts w:ascii="Arial" w:hAnsi="Arial"/>
          <w:bCs/>
          <w:noProof/>
          <w:sz w:val="16"/>
          <w:lang w:val="en-US"/>
        </w:rPr>
        <w:t>quality of GCT2.</w:t>
      </w:r>
    </w:p>
    <w:p w:rsidR="00DD139E" w:rsidRPr="005C03E5" w:rsidRDefault="00B567F0" w:rsidP="00DD139E">
      <w:pPr>
        <w:spacing w:after="120" w:line="260" w:lineRule="atLeast"/>
      </w:pPr>
      <w:r w:rsidRPr="005C03E5">
        <w:t>On 26 January 2014</w:t>
      </w:r>
      <w:r>
        <w:t>,</w:t>
      </w:r>
      <w:r w:rsidRPr="005C03E5">
        <w:t xml:space="preserve"> a large turbidity event occurred at the upstream monitoring site GCUS in response to a rainfall event, with 68 mm recorded at GCUS, and subsequent rising creek flow. The magnitude of the turbidity peak at GCUS was 211 NTU occurring at 20:40 hours (Figure 3.21). This is the sixth time that a turbidity peak &gt;150 NTU has been recorded at GCUS since continuous monitoring of turbidity began in the 2003–04 wet season. At 02:20 hours on 27 January 2014</w:t>
      </w:r>
      <w:r>
        <w:t>,</w:t>
      </w:r>
      <w:r w:rsidRPr="005C03E5">
        <w:t xml:space="preserve"> the turbidity signal from the event reached GCDS and was substantially diluted, with a maximum turbidity of 49 NTU. The SSD </w:t>
      </w:r>
      <w:r>
        <w:t>is</w:t>
      </w:r>
      <w:r w:rsidRPr="005C03E5">
        <w:t xml:space="preserve"> currently undertaking a geomorphological assessment to identify the source of the turbidity.</w:t>
      </w:r>
    </w:p>
    <w:p w:rsidR="00A67974" w:rsidRPr="00A67974" w:rsidRDefault="00A67974" w:rsidP="00A67974">
      <w:pPr>
        <w:spacing w:after="240" w:line="220" w:lineRule="atLeast"/>
        <w:jc w:val="center"/>
        <w:rPr>
          <w:rFonts w:ascii="Arial" w:hAnsi="Arial"/>
          <w:bCs/>
          <w:noProof/>
          <w:sz w:val="16"/>
        </w:rPr>
      </w:pPr>
      <w:r w:rsidRPr="00A67974">
        <w:rPr>
          <w:rFonts w:ascii="Arial" w:hAnsi="Arial"/>
          <w:bCs/>
          <w:noProof/>
          <w:sz w:val="16"/>
          <w:lang w:eastAsia="en-AU"/>
        </w:rPr>
        <w:drawing>
          <wp:inline distT="0" distB="0" distL="0" distR="0">
            <wp:extent cx="4551330" cy="2686136"/>
            <wp:effectExtent l="19050" t="0" r="1620" b="0"/>
            <wp:docPr id="1010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73" cstate="screen"/>
                    <a:srcRect/>
                    <a:stretch>
                      <a:fillRect/>
                    </a:stretch>
                  </pic:blipFill>
                  <pic:spPr bwMode="auto">
                    <a:xfrm>
                      <a:off x="0" y="0"/>
                      <a:ext cx="4551330" cy="2686136"/>
                    </a:xfrm>
                    <a:prstGeom prst="rect">
                      <a:avLst/>
                    </a:prstGeom>
                    <a:noFill/>
                    <a:ln w="9525">
                      <a:noFill/>
                      <a:miter lim="800000"/>
                      <a:headEnd/>
                      <a:tailEnd/>
                    </a:ln>
                  </pic:spPr>
                </pic:pic>
              </a:graphicData>
            </a:graphic>
          </wp:inline>
        </w:drawing>
      </w:r>
    </w:p>
    <w:p w:rsidR="00A67974" w:rsidRPr="00A67974" w:rsidRDefault="00A67974" w:rsidP="00A67974">
      <w:pPr>
        <w:spacing w:after="240" w:line="220" w:lineRule="atLeast"/>
        <w:jc w:val="center"/>
        <w:rPr>
          <w:rFonts w:ascii="Arial" w:hAnsi="Arial"/>
          <w:bCs/>
          <w:noProof/>
          <w:sz w:val="16"/>
          <w:lang w:val="en-US"/>
        </w:rPr>
      </w:pPr>
      <w:r w:rsidRPr="00A67974">
        <w:rPr>
          <w:rFonts w:ascii="Arial" w:hAnsi="Arial"/>
          <w:b/>
          <w:bCs/>
          <w:noProof/>
          <w:sz w:val="16"/>
          <w:lang w:val="en-US"/>
        </w:rPr>
        <w:t>Figure 3.21</w:t>
      </w:r>
      <w:r w:rsidRPr="00A67974">
        <w:rPr>
          <w:rFonts w:ascii="Arial" w:hAnsi="Arial"/>
          <w:bCs/>
          <w:noProof/>
          <w:sz w:val="16"/>
          <w:lang w:val="en-US"/>
        </w:rPr>
        <w:t xml:space="preserve"> Gulungul Creek continuous monitoring data showing a peak in turbidity at the upstream monitoring site (GCUS) on 26 January 2014.</w:t>
      </w:r>
    </w:p>
    <w:p w:rsidR="00B567F0" w:rsidRDefault="00B567F0" w:rsidP="00B567F0">
      <w:r>
        <w:t>Uranium concentrations recorded within Gulungul Creek were all below the Focus trigger value of 0.3 µg L</w:t>
      </w:r>
      <w:r w:rsidRPr="00297033">
        <w:rPr>
          <w:vertAlign w:val="superscript"/>
        </w:rPr>
        <w:t>-1</w:t>
      </w:r>
      <w:r>
        <w:t xml:space="preserve"> (Figure 3.22). The maximum uranium concentration was 0.29 µg L</w:t>
      </w:r>
      <w:r w:rsidRPr="00297033">
        <w:rPr>
          <w:vertAlign w:val="superscript"/>
        </w:rPr>
        <w:t>-1</w:t>
      </w:r>
      <w:r>
        <w:t xml:space="preserve"> recorded at GCUS on 21 December 2013 at 20:25 hours. This is approximately 5% of the ecotoxicologically-derived Limit. </w:t>
      </w:r>
    </w:p>
    <w:p w:rsidR="00B567F0" w:rsidRDefault="00B567F0" w:rsidP="00B567F0">
      <w:r>
        <w:t>Manganese concentrations were also very low in Gulungul Creek, with all samples recording concentrations below the Focus trigger value of 35 µg L</w:t>
      </w:r>
      <w:r w:rsidRPr="00297033">
        <w:rPr>
          <w:vertAlign w:val="superscript"/>
        </w:rPr>
        <w:t>-1</w:t>
      </w:r>
      <w:r>
        <w:t xml:space="preserve"> (Figure 3.23). The maximum manganese concentration was 12 µg L</w:t>
      </w:r>
      <w:r w:rsidRPr="00297033">
        <w:rPr>
          <w:vertAlign w:val="superscript"/>
        </w:rPr>
        <w:t>-1</w:t>
      </w:r>
      <w:r>
        <w:t xml:space="preserve"> recorded at GCDS on 12 December 2013 at 10:48 hours. This is 16% of the ecotoxicologically-derived limit.</w:t>
      </w:r>
    </w:p>
    <w:p w:rsidR="00A67974" w:rsidRDefault="00DD139E" w:rsidP="00DD139E">
      <w:r>
        <w:t>Magnesium concentrations measured during 2013–14 were generally low with the exception of automatic samples triggered for an EC peak at GCDS on 18 April 2014. The GCDS EC event had two samples with magnesium concentrations above the chronic (&gt;72 ho</w:t>
      </w:r>
      <w:r w:rsidR="00297033">
        <w:t xml:space="preserve">ur) Limit trigger value of 3 mg </w:t>
      </w:r>
      <w:r>
        <w:t>L</w:t>
      </w:r>
      <w:r w:rsidR="00297033" w:rsidRPr="00297033">
        <w:rPr>
          <w:vertAlign w:val="superscript"/>
        </w:rPr>
        <w:t>-1</w:t>
      </w:r>
      <w:r>
        <w:t>. The maximum magnes</w:t>
      </w:r>
      <w:r w:rsidR="00297033">
        <w:t xml:space="preserve">ium concentration was 4.0 mg </w:t>
      </w:r>
      <w:r>
        <w:t>L</w:t>
      </w:r>
      <w:r w:rsidR="00297033" w:rsidRPr="00297033">
        <w:rPr>
          <w:vertAlign w:val="superscript"/>
        </w:rPr>
        <w:t>-1</w:t>
      </w:r>
      <w:r>
        <w:t xml:space="preserve"> at 20:30 hours (Figure 3.24). The corresponding sulfate concentration was 12 </w:t>
      </w:r>
      <w:r w:rsidR="00297033">
        <w:t>mg L</w:t>
      </w:r>
      <w:r w:rsidR="00297033" w:rsidRPr="00297033">
        <w:rPr>
          <w:vertAlign w:val="superscript"/>
        </w:rPr>
        <w:t>-1</w:t>
      </w:r>
      <w:r w:rsidR="00297033">
        <w:t xml:space="preserve"> </w:t>
      </w:r>
      <w:r>
        <w:t>(Figure 3.25). EC remained above the ch</w:t>
      </w:r>
      <w:r w:rsidR="00297033">
        <w:t xml:space="preserve">ronic (&gt;72 hour) Limit of 42 µS </w:t>
      </w:r>
      <w:r>
        <w:t>cm</w:t>
      </w:r>
      <w:r w:rsidR="00297033" w:rsidRPr="00297033">
        <w:rPr>
          <w:vertAlign w:val="superscript"/>
        </w:rPr>
        <w:t>-1</w:t>
      </w:r>
      <w:r>
        <w:t xml:space="preserve"> for 3 hours duration. The ecotox</w:t>
      </w:r>
      <w:r w:rsidR="007A073D">
        <w:t xml:space="preserve">icologically </w:t>
      </w:r>
      <w:r>
        <w:t xml:space="preserve">derived framework for EC pulses provides a magnesium limit of </w:t>
      </w:r>
      <w:r w:rsidR="00154A02">
        <w:br/>
      </w:r>
      <w:r>
        <w:t xml:space="preserve">94 </w:t>
      </w:r>
      <w:r w:rsidR="00297033">
        <w:t>mg L</w:t>
      </w:r>
      <w:r w:rsidR="00297033" w:rsidRPr="00297033">
        <w:rPr>
          <w:vertAlign w:val="superscript"/>
        </w:rPr>
        <w:t>-1</w:t>
      </w:r>
      <w:r w:rsidR="00297033">
        <w:rPr>
          <w:vertAlign w:val="superscript"/>
        </w:rPr>
        <w:t xml:space="preserve"> </w:t>
      </w:r>
      <w:r>
        <w:t xml:space="preserve">for pulses under 4 hours duration </w:t>
      </w:r>
      <w:r w:rsidR="00A67974">
        <w:t xml:space="preserve">so this magnesium concentration of 4.0 </w:t>
      </w:r>
      <w:r w:rsidR="00735363" w:rsidRPr="00236E83">
        <w:t>mg</w:t>
      </w:r>
      <w:r w:rsidR="00735363">
        <w:t xml:space="preserve"> </w:t>
      </w:r>
      <w:r w:rsidR="00735363" w:rsidRPr="00236E83">
        <w:t>L</w:t>
      </w:r>
      <w:r w:rsidR="00735363" w:rsidRPr="00735363">
        <w:rPr>
          <w:snapToGrid w:val="0"/>
          <w:color w:val="000000"/>
          <w:position w:val="5"/>
          <w:sz w:val="13"/>
          <w:szCs w:val="0"/>
          <w:u w:color="000000"/>
        </w:rPr>
        <w:t>-1</w:t>
      </w:r>
      <w:r w:rsidR="00735363">
        <w:rPr>
          <w:snapToGrid w:val="0"/>
          <w:color w:val="000000"/>
          <w:position w:val="5"/>
          <w:sz w:val="13"/>
          <w:szCs w:val="0"/>
          <w:u w:color="000000"/>
        </w:rPr>
        <w:t xml:space="preserve"> </w:t>
      </w:r>
      <w:r w:rsidR="00A67974">
        <w:t>is unlikely to have impacted the environment.</w:t>
      </w:r>
    </w:p>
    <w:p w:rsidR="00A67974" w:rsidRPr="003D645F" w:rsidRDefault="003D645F" w:rsidP="00A67974">
      <w:pPr>
        <w:spacing w:after="120" w:line="260" w:lineRule="atLeast"/>
        <w:jc w:val="center"/>
      </w:pPr>
      <w:r w:rsidRPr="003D645F">
        <w:rPr>
          <w:noProof/>
          <w:lang w:eastAsia="en-AU"/>
        </w:rPr>
        <w:drawing>
          <wp:inline distT="0" distB="0" distL="0" distR="0">
            <wp:extent cx="4727575" cy="2785290"/>
            <wp:effectExtent l="19050" t="0" r="0" b="0"/>
            <wp:docPr id="2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74" cstate="screen"/>
                    <a:srcRect/>
                    <a:stretch>
                      <a:fillRect/>
                    </a:stretch>
                  </pic:blipFill>
                  <pic:spPr bwMode="auto">
                    <a:xfrm>
                      <a:off x="0" y="0"/>
                      <a:ext cx="4727575" cy="2785290"/>
                    </a:xfrm>
                    <a:prstGeom prst="rect">
                      <a:avLst/>
                    </a:prstGeom>
                    <a:noFill/>
                    <a:ln w="9525">
                      <a:noFill/>
                      <a:miter lim="800000"/>
                      <a:headEnd/>
                      <a:tailEnd/>
                    </a:ln>
                  </pic:spPr>
                </pic:pic>
              </a:graphicData>
            </a:graphic>
          </wp:inline>
        </w:drawing>
      </w:r>
    </w:p>
    <w:p w:rsidR="00A67974" w:rsidRPr="00A67974" w:rsidRDefault="00A67974" w:rsidP="00A67974">
      <w:pPr>
        <w:spacing w:after="240" w:line="220" w:lineRule="atLeast"/>
        <w:jc w:val="center"/>
        <w:rPr>
          <w:rFonts w:ascii="Arial" w:hAnsi="Arial"/>
          <w:bCs/>
          <w:noProof/>
          <w:sz w:val="16"/>
          <w:lang w:val="en-US"/>
        </w:rPr>
      </w:pPr>
      <w:r w:rsidRPr="003D645F">
        <w:rPr>
          <w:rFonts w:ascii="Arial" w:hAnsi="Arial"/>
          <w:b/>
          <w:bCs/>
          <w:noProof/>
          <w:sz w:val="16"/>
          <w:lang w:val="en-US"/>
        </w:rPr>
        <w:t>Figure 3.22</w:t>
      </w:r>
      <w:r w:rsidRPr="003D645F">
        <w:rPr>
          <w:rFonts w:ascii="Arial" w:hAnsi="Arial"/>
          <w:bCs/>
          <w:noProof/>
          <w:sz w:val="16"/>
          <w:lang w:val="en-US"/>
        </w:rPr>
        <w:t xml:space="preserve"> Uranium concentration and continuous monitoring of EC in Gulungul Creek</w:t>
      </w:r>
      <w:r w:rsidR="003D645F" w:rsidRPr="003D645F">
        <w:rPr>
          <w:rFonts w:ascii="Arial" w:hAnsi="Arial"/>
          <w:bCs/>
          <w:noProof/>
          <w:sz w:val="16"/>
          <w:lang w:val="en-US"/>
        </w:rPr>
        <w:t xml:space="preserve"> </w:t>
      </w:r>
      <w:r w:rsidR="003D645F" w:rsidRPr="003D645F">
        <w:rPr>
          <w:rFonts w:ascii="Arial" w:hAnsi="Arial"/>
          <w:bCs/>
          <w:noProof/>
          <w:sz w:val="16"/>
          <w:lang w:val="en-US"/>
        </w:rPr>
        <w:br/>
        <w:t>during the 2013–14 wet season</w:t>
      </w:r>
      <w:r w:rsidR="00630309">
        <w:rPr>
          <w:rFonts w:ascii="Arial" w:hAnsi="Arial"/>
          <w:bCs/>
          <w:noProof/>
          <w:sz w:val="16"/>
          <w:lang w:val="en-US"/>
        </w:rPr>
        <w:t>.</w:t>
      </w:r>
    </w:p>
    <w:p w:rsidR="00A67974" w:rsidRPr="00A67974" w:rsidRDefault="003D645F" w:rsidP="00A67974">
      <w:pPr>
        <w:spacing w:after="120" w:line="260" w:lineRule="atLeast"/>
        <w:jc w:val="center"/>
      </w:pPr>
      <w:r w:rsidRPr="003D645F">
        <w:rPr>
          <w:noProof/>
          <w:lang w:eastAsia="en-AU"/>
        </w:rPr>
        <w:drawing>
          <wp:inline distT="0" distB="0" distL="0" distR="0">
            <wp:extent cx="4727575" cy="2792034"/>
            <wp:effectExtent l="19050" t="0" r="0" b="0"/>
            <wp:docPr id="26"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75" cstate="screen"/>
                    <a:srcRect/>
                    <a:stretch>
                      <a:fillRect/>
                    </a:stretch>
                  </pic:blipFill>
                  <pic:spPr bwMode="auto">
                    <a:xfrm>
                      <a:off x="0" y="0"/>
                      <a:ext cx="4727575" cy="2792034"/>
                    </a:xfrm>
                    <a:prstGeom prst="rect">
                      <a:avLst/>
                    </a:prstGeom>
                    <a:noFill/>
                    <a:ln w="9525">
                      <a:noFill/>
                      <a:miter lim="800000"/>
                      <a:headEnd/>
                      <a:tailEnd/>
                    </a:ln>
                  </pic:spPr>
                </pic:pic>
              </a:graphicData>
            </a:graphic>
          </wp:inline>
        </w:drawing>
      </w:r>
    </w:p>
    <w:p w:rsidR="00A67974" w:rsidRPr="00A67974" w:rsidRDefault="00A67974" w:rsidP="00A67974">
      <w:pPr>
        <w:spacing w:after="240" w:line="220" w:lineRule="atLeast"/>
        <w:jc w:val="center"/>
        <w:rPr>
          <w:rFonts w:ascii="Arial" w:hAnsi="Arial"/>
          <w:bCs/>
          <w:noProof/>
          <w:sz w:val="16"/>
          <w:lang w:val="en-US"/>
        </w:rPr>
      </w:pPr>
      <w:r w:rsidRPr="003D645F">
        <w:rPr>
          <w:rFonts w:ascii="Arial" w:hAnsi="Arial"/>
          <w:b/>
          <w:bCs/>
          <w:noProof/>
          <w:sz w:val="16"/>
          <w:lang w:val="en-US"/>
        </w:rPr>
        <w:t>Figure 3.23</w:t>
      </w:r>
      <w:r w:rsidRPr="003D645F">
        <w:rPr>
          <w:rFonts w:ascii="Arial" w:hAnsi="Arial"/>
          <w:bCs/>
          <w:noProof/>
          <w:sz w:val="16"/>
          <w:lang w:val="en-US"/>
        </w:rPr>
        <w:t xml:space="preserve"> Manganese concentration and continuous monitoring of EC in Gulungul Creek</w:t>
      </w:r>
      <w:r w:rsidR="003D645F" w:rsidRPr="003D645F">
        <w:rPr>
          <w:rFonts w:ascii="Arial" w:hAnsi="Arial"/>
          <w:bCs/>
          <w:noProof/>
          <w:sz w:val="16"/>
          <w:lang w:val="en-US"/>
        </w:rPr>
        <w:t xml:space="preserve"> </w:t>
      </w:r>
      <w:r w:rsidR="003D645F" w:rsidRPr="003D645F">
        <w:rPr>
          <w:rFonts w:ascii="Arial" w:hAnsi="Arial"/>
          <w:bCs/>
          <w:noProof/>
          <w:sz w:val="16"/>
          <w:lang w:val="en-US"/>
        </w:rPr>
        <w:br/>
        <w:t>during the 2013–14 wet season</w:t>
      </w:r>
      <w:r w:rsidR="00630309">
        <w:rPr>
          <w:rFonts w:ascii="Arial" w:hAnsi="Arial"/>
          <w:bCs/>
          <w:noProof/>
          <w:sz w:val="16"/>
          <w:lang w:val="en-US"/>
        </w:rPr>
        <w:t>.</w:t>
      </w:r>
    </w:p>
    <w:p w:rsidR="00A67974" w:rsidRPr="00A67974" w:rsidRDefault="00AD4402" w:rsidP="00A67974">
      <w:pPr>
        <w:spacing w:after="120" w:line="260" w:lineRule="atLeast"/>
        <w:jc w:val="center"/>
      </w:pPr>
      <w:r w:rsidRPr="00AD4402">
        <w:rPr>
          <w:noProof/>
          <w:lang w:eastAsia="en-AU"/>
        </w:rPr>
        <w:drawing>
          <wp:inline distT="0" distB="0" distL="0" distR="0">
            <wp:extent cx="4727575" cy="2792034"/>
            <wp:effectExtent l="19050" t="0" r="0" b="0"/>
            <wp:docPr id="29"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76" cstate="screen"/>
                    <a:srcRect/>
                    <a:stretch>
                      <a:fillRect/>
                    </a:stretch>
                  </pic:blipFill>
                  <pic:spPr bwMode="auto">
                    <a:xfrm>
                      <a:off x="0" y="0"/>
                      <a:ext cx="4727575" cy="2792034"/>
                    </a:xfrm>
                    <a:prstGeom prst="rect">
                      <a:avLst/>
                    </a:prstGeom>
                    <a:noFill/>
                    <a:ln w="9525">
                      <a:noFill/>
                      <a:miter lim="800000"/>
                      <a:headEnd/>
                      <a:tailEnd/>
                    </a:ln>
                  </pic:spPr>
                </pic:pic>
              </a:graphicData>
            </a:graphic>
          </wp:inline>
        </w:drawing>
      </w:r>
    </w:p>
    <w:p w:rsidR="00A67974" w:rsidRPr="00A67974" w:rsidRDefault="00A67974" w:rsidP="00A67974">
      <w:pPr>
        <w:spacing w:after="240" w:line="220" w:lineRule="atLeast"/>
        <w:jc w:val="center"/>
        <w:rPr>
          <w:rFonts w:ascii="Arial" w:hAnsi="Arial"/>
          <w:bCs/>
          <w:noProof/>
          <w:sz w:val="16"/>
          <w:lang w:val="en-US"/>
        </w:rPr>
      </w:pPr>
      <w:r w:rsidRPr="00AD4402">
        <w:rPr>
          <w:rFonts w:ascii="Arial" w:hAnsi="Arial"/>
          <w:b/>
          <w:bCs/>
          <w:noProof/>
          <w:sz w:val="16"/>
          <w:lang w:val="en-US"/>
        </w:rPr>
        <w:t>Figure 3.24</w:t>
      </w:r>
      <w:r w:rsidRPr="00AD4402">
        <w:rPr>
          <w:rFonts w:ascii="Arial" w:hAnsi="Arial"/>
          <w:bCs/>
          <w:noProof/>
          <w:sz w:val="16"/>
          <w:lang w:val="en-US"/>
        </w:rPr>
        <w:t xml:space="preserve"> Magnesium concentration and continuous monitoring of EC in Gulungul Creek</w:t>
      </w:r>
      <w:r w:rsidR="00AD4402" w:rsidRPr="00AD4402">
        <w:rPr>
          <w:rFonts w:ascii="Arial" w:hAnsi="Arial"/>
          <w:bCs/>
          <w:noProof/>
          <w:sz w:val="16"/>
          <w:lang w:val="en-US"/>
        </w:rPr>
        <w:t xml:space="preserve"> </w:t>
      </w:r>
      <w:r w:rsidR="00AD4402" w:rsidRPr="00AD4402">
        <w:rPr>
          <w:rFonts w:ascii="Arial" w:hAnsi="Arial"/>
          <w:bCs/>
          <w:noProof/>
          <w:sz w:val="16"/>
          <w:lang w:val="en-US"/>
        </w:rPr>
        <w:br/>
        <w:t>during the 2013–14 wet season</w:t>
      </w:r>
      <w:r w:rsidR="00630309">
        <w:rPr>
          <w:rFonts w:ascii="Arial" w:hAnsi="Arial"/>
          <w:bCs/>
          <w:noProof/>
          <w:sz w:val="16"/>
          <w:lang w:val="en-US"/>
        </w:rPr>
        <w:t>.</w:t>
      </w:r>
    </w:p>
    <w:p w:rsidR="00A67974" w:rsidRPr="00A67974" w:rsidRDefault="00AD4402" w:rsidP="00A67974">
      <w:pPr>
        <w:spacing w:after="120" w:line="260" w:lineRule="atLeast"/>
        <w:jc w:val="center"/>
      </w:pPr>
      <w:r w:rsidRPr="00AD4402">
        <w:rPr>
          <w:noProof/>
          <w:lang w:eastAsia="en-AU"/>
        </w:rPr>
        <w:drawing>
          <wp:inline distT="0" distB="0" distL="0" distR="0">
            <wp:extent cx="4727575" cy="2792034"/>
            <wp:effectExtent l="19050" t="0" r="0" b="0"/>
            <wp:docPr id="30"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77" cstate="screen"/>
                    <a:srcRect/>
                    <a:stretch>
                      <a:fillRect/>
                    </a:stretch>
                  </pic:blipFill>
                  <pic:spPr bwMode="auto">
                    <a:xfrm>
                      <a:off x="0" y="0"/>
                      <a:ext cx="4727575" cy="2792034"/>
                    </a:xfrm>
                    <a:prstGeom prst="rect">
                      <a:avLst/>
                    </a:prstGeom>
                    <a:noFill/>
                    <a:ln w="9525">
                      <a:noFill/>
                      <a:miter lim="800000"/>
                      <a:headEnd/>
                      <a:tailEnd/>
                    </a:ln>
                  </pic:spPr>
                </pic:pic>
              </a:graphicData>
            </a:graphic>
          </wp:inline>
        </w:drawing>
      </w:r>
    </w:p>
    <w:p w:rsidR="00A67974" w:rsidRPr="00A67974" w:rsidRDefault="00A67974" w:rsidP="00A67974">
      <w:pPr>
        <w:spacing w:after="240" w:line="220" w:lineRule="atLeast"/>
        <w:jc w:val="center"/>
        <w:rPr>
          <w:rFonts w:ascii="Arial" w:hAnsi="Arial"/>
          <w:bCs/>
          <w:noProof/>
          <w:sz w:val="16"/>
          <w:lang w:val="en-US"/>
        </w:rPr>
      </w:pPr>
      <w:r w:rsidRPr="00AD4402">
        <w:rPr>
          <w:rFonts w:ascii="Arial" w:hAnsi="Arial"/>
          <w:b/>
          <w:bCs/>
          <w:noProof/>
          <w:sz w:val="16"/>
          <w:lang w:val="en-US"/>
        </w:rPr>
        <w:t>Figure 3.25</w:t>
      </w:r>
      <w:r w:rsidRPr="00AD4402">
        <w:rPr>
          <w:rFonts w:ascii="Arial" w:hAnsi="Arial"/>
          <w:bCs/>
          <w:noProof/>
          <w:sz w:val="16"/>
          <w:lang w:val="en-US"/>
        </w:rPr>
        <w:t xml:space="preserve"> Sulfate concentration and continuous monitoring of EC in Gulungul Creek</w:t>
      </w:r>
      <w:r w:rsidR="00AD4402" w:rsidRPr="00AD4402">
        <w:rPr>
          <w:rFonts w:ascii="Arial" w:hAnsi="Arial"/>
          <w:bCs/>
          <w:noProof/>
          <w:sz w:val="16"/>
          <w:lang w:val="en-US"/>
        </w:rPr>
        <w:t xml:space="preserve"> </w:t>
      </w:r>
      <w:r w:rsidR="00AD4402" w:rsidRPr="00AD4402">
        <w:rPr>
          <w:rFonts w:ascii="Arial" w:hAnsi="Arial"/>
          <w:bCs/>
          <w:noProof/>
          <w:sz w:val="16"/>
          <w:lang w:val="en-US"/>
        </w:rPr>
        <w:br/>
        <w:t>during the 2013–14 wet season</w:t>
      </w:r>
      <w:r w:rsidR="00630309">
        <w:rPr>
          <w:rFonts w:ascii="Arial" w:hAnsi="Arial"/>
          <w:bCs/>
          <w:noProof/>
          <w:sz w:val="16"/>
          <w:lang w:val="en-US"/>
        </w:rPr>
        <w:t>.</w:t>
      </w:r>
    </w:p>
    <w:p w:rsidR="00B567F0" w:rsidRPr="00A67974" w:rsidRDefault="00B567F0" w:rsidP="00B567F0">
      <w:r w:rsidRPr="00A67974">
        <w:t>During late February and March</w:t>
      </w:r>
      <w:r>
        <w:t>,</w:t>
      </w:r>
      <w:r w:rsidRPr="00A67974">
        <w:t xml:space="preserve"> the water levels within Gulungul Creek decreased</w:t>
      </w:r>
      <w:r>
        <w:t>,</w:t>
      </w:r>
      <w:r w:rsidRPr="00A67974">
        <w:t xml:space="preserve"> leading to gradually increasing EC levels, fluctuating with each rainfall event. </w:t>
      </w:r>
    </w:p>
    <w:p w:rsidR="00B567F0" w:rsidRPr="00A67974" w:rsidRDefault="00B567F0" w:rsidP="00B567F0">
      <w:r>
        <w:t xml:space="preserve">EC peaked at 51 µS </w:t>
      </w:r>
      <w:r w:rsidRPr="00A67974">
        <w:t>cm</w:t>
      </w:r>
      <w:r w:rsidRPr="00297033">
        <w:rPr>
          <w:vertAlign w:val="superscript"/>
        </w:rPr>
        <w:t>-1</w:t>
      </w:r>
      <w:r w:rsidRPr="00A67974">
        <w:t xml:space="preserve"> at 03:30 hours on 25 March 2014 and at 55 </w:t>
      </w:r>
      <w:r>
        <w:t xml:space="preserve">µS </w:t>
      </w:r>
      <w:r w:rsidRPr="00A67974">
        <w:t>cm</w:t>
      </w:r>
      <w:r w:rsidRPr="00297033">
        <w:rPr>
          <w:vertAlign w:val="superscript"/>
        </w:rPr>
        <w:t>-1</w:t>
      </w:r>
      <w:r w:rsidRPr="00A67974">
        <w:t xml:space="preserve"> at 02:00 hours on 7 April 2014 in response to rainfall events flushing solutes into the creek. The total rainfall recorded at Jabiru Airport for these events was 20 mm and 41 mm</w:t>
      </w:r>
      <w:r>
        <w:t>,</w:t>
      </w:r>
      <w:r w:rsidRPr="00A67974">
        <w:t xml:space="preserve"> respectively. During late March and early April</w:t>
      </w:r>
      <w:r>
        <w:t>,</w:t>
      </w:r>
      <w:r w:rsidRPr="00A67974">
        <w:t xml:space="preserve"> hardware malfunctions occurred in the </w:t>
      </w:r>
      <w:r w:rsidR="00AE349A">
        <w:t>auto</w:t>
      </w:r>
      <w:r w:rsidR="00AE349A" w:rsidRPr="00A67974">
        <w:t xml:space="preserve"> sampl</w:t>
      </w:r>
      <w:r w:rsidR="00AE349A">
        <w:t>er</w:t>
      </w:r>
      <w:r w:rsidRPr="00A67974">
        <w:t xml:space="preserve"> trigger mechanism and then the turbidity probe, which meant that no water samples were collected during these EC events. SSD is looking to increase the capacity of the autosampling equipment at GCDS by installing an additional sampler for the 2014–15 wet </w:t>
      </w:r>
      <w:proofErr w:type="gramStart"/>
      <w:r w:rsidRPr="00A67974">
        <w:t>season</w:t>
      </w:r>
      <w:proofErr w:type="gramEnd"/>
      <w:r w:rsidRPr="00A67974">
        <w:t xml:space="preserve"> so there are dedicated EC and turbidity samplers, as used in Magela Creek downstream.</w:t>
      </w:r>
    </w:p>
    <w:p w:rsidR="00B567F0" w:rsidRPr="00A67974" w:rsidRDefault="00B567F0" w:rsidP="00B567F0">
      <w:r w:rsidRPr="00A67974">
        <w:t xml:space="preserve">The duration of the EC peaks above the chronic (&gt;72 hour) Limit of 42 </w:t>
      </w:r>
      <w:r>
        <w:t xml:space="preserve">µS </w:t>
      </w:r>
      <w:r w:rsidRPr="00A67974">
        <w:t>cm</w:t>
      </w:r>
      <w:r w:rsidRPr="00297033">
        <w:rPr>
          <w:vertAlign w:val="superscript"/>
        </w:rPr>
        <w:t>-1</w:t>
      </w:r>
      <w:r w:rsidRPr="00A67974">
        <w:t xml:space="preserve"> was 4 hours 10 minutes on 25 March 2014 and 3 hours 15 minutes on 7 April 2014. The ecotoxicologically-derived framework for EC pulses provides EC limits of 1040 </w:t>
      </w:r>
      <w:r>
        <w:t xml:space="preserve">µS </w:t>
      </w:r>
      <w:r w:rsidRPr="00A67974">
        <w:t>cm</w:t>
      </w:r>
      <w:r w:rsidRPr="00297033">
        <w:rPr>
          <w:vertAlign w:val="superscript"/>
        </w:rPr>
        <w:t>-1</w:t>
      </w:r>
      <w:r w:rsidRPr="00A67974">
        <w:t xml:space="preserve"> for pulses under 4 hours EC peak duration and for the 4 hour 10 minute duration the derived Limit is 1010 </w:t>
      </w:r>
      <w:r>
        <w:t xml:space="preserve">µS </w:t>
      </w:r>
      <w:r w:rsidRPr="00A67974">
        <w:t>cm</w:t>
      </w:r>
      <w:r w:rsidRPr="00297033">
        <w:rPr>
          <w:vertAlign w:val="superscript"/>
        </w:rPr>
        <w:t>-1</w:t>
      </w:r>
      <w:r w:rsidRPr="00A67974">
        <w:t xml:space="preserve">. Thus, with recorded EC peaks of 51 </w:t>
      </w:r>
      <w:r>
        <w:t xml:space="preserve">µS </w:t>
      </w:r>
      <w:r w:rsidRPr="00A67974">
        <w:t>cm</w:t>
      </w:r>
      <w:r w:rsidRPr="00297033">
        <w:rPr>
          <w:vertAlign w:val="superscript"/>
        </w:rPr>
        <w:t>-1</w:t>
      </w:r>
      <w:r w:rsidRPr="00A67974">
        <w:t xml:space="preserve"> and 55 </w:t>
      </w:r>
      <w:r>
        <w:t xml:space="preserve">µS </w:t>
      </w:r>
      <w:r w:rsidRPr="00A67974">
        <w:t>cm</w:t>
      </w:r>
      <w:r w:rsidRPr="00297033">
        <w:rPr>
          <w:vertAlign w:val="superscript"/>
        </w:rPr>
        <w:t>-1</w:t>
      </w:r>
      <w:r w:rsidRPr="00A67974">
        <w:t xml:space="preserve"> respectively, the environment is unlikely to have been impacted. </w:t>
      </w:r>
    </w:p>
    <w:p w:rsidR="00B567F0" w:rsidRPr="00A67974" w:rsidRDefault="00B567F0" w:rsidP="00B567F0">
      <w:r w:rsidRPr="00A67974">
        <w:t>On 18 April 2014 at 21:00 hours</w:t>
      </w:r>
      <w:r>
        <w:t>,</w:t>
      </w:r>
      <w:r w:rsidRPr="00A67974">
        <w:t xml:space="preserve"> EC peaked at the downstream monitoring site (GCDS) at 65 </w:t>
      </w:r>
      <w:r>
        <w:t xml:space="preserve">µS </w:t>
      </w:r>
      <w:r w:rsidRPr="00A67974">
        <w:t>cm</w:t>
      </w:r>
      <w:r w:rsidRPr="00297033">
        <w:rPr>
          <w:vertAlign w:val="superscript"/>
        </w:rPr>
        <w:t>-1</w:t>
      </w:r>
      <w:r w:rsidRPr="00A67974">
        <w:t xml:space="preserve"> and remained above the chronic (&gt;72 hour) Limit of 42 </w:t>
      </w:r>
      <w:r>
        <w:t xml:space="preserve">µS </w:t>
      </w:r>
      <w:r w:rsidRPr="00A67974">
        <w:t>cm</w:t>
      </w:r>
      <w:r w:rsidRPr="00297033">
        <w:rPr>
          <w:vertAlign w:val="superscript"/>
        </w:rPr>
        <w:t>-1</w:t>
      </w:r>
      <w:r w:rsidRPr="00A67974">
        <w:t xml:space="preserve"> for 3 hours duration (Figure 3.26). The ecotoxicologically-derived framework for EC pulses provides EC limits of 1040 </w:t>
      </w:r>
      <w:r>
        <w:t xml:space="preserve">µS </w:t>
      </w:r>
      <w:r w:rsidRPr="00A67974">
        <w:t>cm</w:t>
      </w:r>
      <w:r w:rsidRPr="00297033">
        <w:rPr>
          <w:vertAlign w:val="superscript"/>
        </w:rPr>
        <w:t>-1</w:t>
      </w:r>
      <w:r w:rsidRPr="00A67974">
        <w:t xml:space="preserve"> for pulses under 4 hours EC peak duration so this EC peak of </w:t>
      </w:r>
      <w:r w:rsidR="00154A02">
        <w:br/>
      </w:r>
      <w:r w:rsidRPr="00A67974">
        <w:t xml:space="preserve">65 </w:t>
      </w:r>
      <w:r>
        <w:t xml:space="preserve">µS </w:t>
      </w:r>
      <w:r w:rsidRPr="00A67974">
        <w:t>cm</w:t>
      </w:r>
      <w:r w:rsidRPr="00297033">
        <w:rPr>
          <w:vertAlign w:val="superscript"/>
        </w:rPr>
        <w:t>-1</w:t>
      </w:r>
      <w:r w:rsidRPr="00A67974">
        <w:t xml:space="preserve"> is unlikely to have impacted the environment. The source of these EC events is likely to be rainfall flushing solutes from the GCT2 drainage line as discussed above.</w:t>
      </w:r>
    </w:p>
    <w:p w:rsidR="00A67974" w:rsidRPr="00A67974" w:rsidRDefault="00AD4402" w:rsidP="00A67974">
      <w:pPr>
        <w:spacing w:after="120" w:line="260" w:lineRule="atLeast"/>
        <w:jc w:val="center"/>
        <w:rPr>
          <w:highlight w:val="cyan"/>
        </w:rPr>
      </w:pPr>
      <w:r w:rsidRPr="00AD4402">
        <w:rPr>
          <w:noProof/>
          <w:lang w:eastAsia="en-AU"/>
        </w:rPr>
        <w:drawing>
          <wp:inline distT="0" distB="0" distL="0" distR="0">
            <wp:extent cx="4727575" cy="2792034"/>
            <wp:effectExtent l="19050" t="0" r="0" b="0"/>
            <wp:docPr id="31"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78" cstate="screen"/>
                    <a:srcRect/>
                    <a:stretch>
                      <a:fillRect/>
                    </a:stretch>
                  </pic:blipFill>
                  <pic:spPr bwMode="auto">
                    <a:xfrm>
                      <a:off x="0" y="0"/>
                      <a:ext cx="4727575" cy="2792034"/>
                    </a:xfrm>
                    <a:prstGeom prst="rect">
                      <a:avLst/>
                    </a:prstGeom>
                    <a:noFill/>
                    <a:ln w="9525">
                      <a:noFill/>
                      <a:miter lim="800000"/>
                      <a:headEnd/>
                      <a:tailEnd/>
                    </a:ln>
                  </pic:spPr>
                </pic:pic>
              </a:graphicData>
            </a:graphic>
          </wp:inline>
        </w:drawing>
      </w:r>
    </w:p>
    <w:p w:rsidR="00A67974" w:rsidRPr="00A67974" w:rsidRDefault="00A67974" w:rsidP="00630309">
      <w:pPr>
        <w:pStyle w:val="figurecaption"/>
      </w:pPr>
      <w:r w:rsidRPr="00AD4402">
        <w:rPr>
          <w:b/>
        </w:rPr>
        <w:t>Figure 3.26</w:t>
      </w:r>
      <w:r w:rsidRPr="00AD4402">
        <w:t xml:space="preserve"> Gulungul Creek continuous monitoring data showing a peak in EC at the downstream monitori</w:t>
      </w:r>
      <w:r w:rsidR="00AD4402" w:rsidRPr="00AD4402">
        <w:t>ng site (GCDS) on 18 April 2014</w:t>
      </w:r>
      <w:r w:rsidR="00630309">
        <w:t>.</w:t>
      </w:r>
    </w:p>
    <w:p w:rsidR="00DD139E" w:rsidRPr="005767A3" w:rsidRDefault="00DD139E" w:rsidP="00DD139E">
      <w:r w:rsidRPr="005767A3">
        <w:t xml:space="preserve">Rainfall events during April and early May increased flow levels and resulted in small decreases in EC and increases in turbidity. </w:t>
      </w:r>
    </w:p>
    <w:p w:rsidR="00CB7315" w:rsidRPr="005767A3" w:rsidRDefault="00CB7315" w:rsidP="00CB7315">
      <w:r w:rsidRPr="005767A3">
        <w:t xml:space="preserve">A localised rainfall event occurred during the night of 15 May with 76 mm of rainfall recorded at the Jabiru Airport. Runoff from this rainfall event caused an increase in EC at the Gulungul Creek downstream site, peaking at 41 </w:t>
      </w:r>
      <w:r w:rsidR="005E369F">
        <w:t xml:space="preserve">µS </w:t>
      </w:r>
      <w:r w:rsidR="005E369F" w:rsidRPr="00A67974">
        <w:t>cm</w:t>
      </w:r>
      <w:r w:rsidR="005E369F" w:rsidRPr="00297033">
        <w:rPr>
          <w:vertAlign w:val="superscript"/>
        </w:rPr>
        <w:t>-1</w:t>
      </w:r>
      <w:r w:rsidRPr="005767A3">
        <w:t xml:space="preserve">. This is below the chronic toxicity limit of 42 </w:t>
      </w:r>
      <w:r w:rsidR="005E369F">
        <w:t xml:space="preserve">µS </w:t>
      </w:r>
      <w:r w:rsidR="005E369F" w:rsidRPr="00A67974">
        <w:t>cm</w:t>
      </w:r>
      <w:r w:rsidR="005E369F" w:rsidRPr="00297033">
        <w:rPr>
          <w:vertAlign w:val="superscript"/>
        </w:rPr>
        <w:t>-1</w:t>
      </w:r>
      <w:r w:rsidR="005E369F" w:rsidRPr="00A67974">
        <w:t xml:space="preserve"> </w:t>
      </w:r>
      <w:r w:rsidRPr="005767A3">
        <w:t>and not of environmental significance.</w:t>
      </w:r>
    </w:p>
    <w:p w:rsidR="00CB7315" w:rsidRPr="005767A3" w:rsidRDefault="00CB7315" w:rsidP="00CB7315">
      <w:r w:rsidRPr="005767A3">
        <w:t>Recessional flow conditions became established in May 2014. Continuous monitoring continued until 20 June 2014 when the multi-probes were out of the water and could not be lowered any further. Cease to flow was agreed by stakeholders on 23 June 2014.</w:t>
      </w:r>
    </w:p>
    <w:p w:rsidR="00CB7315" w:rsidRPr="005767A3" w:rsidRDefault="00CB7315" w:rsidP="00CB7315">
      <w:r w:rsidRPr="005767A3">
        <w:t>Overall, the water quality measured in Gulungul Creek for the 2013</w:t>
      </w:r>
      <w:r>
        <w:t>–</w:t>
      </w:r>
      <w:r w:rsidRPr="005767A3">
        <w:t xml:space="preserve">14 wet </w:t>
      </w:r>
      <w:proofErr w:type="gramStart"/>
      <w:r w:rsidRPr="005767A3">
        <w:t>season</w:t>
      </w:r>
      <w:proofErr w:type="gramEnd"/>
      <w:r w:rsidRPr="005767A3">
        <w:t xml:space="preserve"> showed higher EC at the downstream monitoring site compared to previous wet seasons due to high EC inputs from the GCT2 tributary. However, analysis of the EC peaks at the downstream monitoring site show that the EC peaks are substantially below the Limit for EC pulses &lt; 72 hours, which indicates that the aquatic environment in the creek has </w:t>
      </w:r>
      <w:proofErr w:type="gramStart"/>
      <w:r w:rsidRPr="005767A3">
        <w:t>remained</w:t>
      </w:r>
      <w:proofErr w:type="gramEnd"/>
      <w:r w:rsidRPr="005767A3">
        <w:t xml:space="preserve"> protected from mining activities (Figure 3.27).</w:t>
      </w:r>
    </w:p>
    <w:p w:rsidR="00147698" w:rsidRDefault="00AD4402" w:rsidP="005767A3">
      <w:pPr>
        <w:spacing w:after="120" w:line="260" w:lineRule="atLeast"/>
        <w:jc w:val="center"/>
        <w:rPr>
          <w:rFonts w:ascii="Arial" w:hAnsi="Arial"/>
          <w:b/>
          <w:bCs/>
          <w:noProof/>
          <w:sz w:val="16"/>
          <w:lang w:val="en-US"/>
        </w:rPr>
      </w:pPr>
      <w:bookmarkStart w:id="200" w:name="_Toc272855298"/>
      <w:r w:rsidRPr="00AD4402">
        <w:rPr>
          <w:noProof/>
          <w:lang w:eastAsia="en-AU"/>
        </w:rPr>
        <w:drawing>
          <wp:inline distT="0" distB="0" distL="0" distR="0">
            <wp:extent cx="4727575" cy="2792034"/>
            <wp:effectExtent l="19050" t="0" r="0" b="0"/>
            <wp:docPr id="10080"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79" cstate="screen"/>
                    <a:srcRect/>
                    <a:stretch>
                      <a:fillRect/>
                    </a:stretch>
                  </pic:blipFill>
                  <pic:spPr bwMode="auto">
                    <a:xfrm>
                      <a:off x="0" y="0"/>
                      <a:ext cx="4727575" cy="2792034"/>
                    </a:xfrm>
                    <a:prstGeom prst="rect">
                      <a:avLst/>
                    </a:prstGeom>
                    <a:noFill/>
                    <a:ln w="9525">
                      <a:noFill/>
                      <a:miter lim="800000"/>
                      <a:headEnd/>
                      <a:tailEnd/>
                    </a:ln>
                  </pic:spPr>
                </pic:pic>
              </a:graphicData>
            </a:graphic>
          </wp:inline>
        </w:drawing>
      </w:r>
    </w:p>
    <w:p w:rsidR="005767A3" w:rsidRPr="005767A3" w:rsidRDefault="005767A3" w:rsidP="005767A3">
      <w:pPr>
        <w:spacing w:after="120" w:line="260" w:lineRule="atLeast"/>
        <w:jc w:val="center"/>
        <w:rPr>
          <w:rFonts w:ascii="Arial" w:hAnsi="Arial"/>
          <w:bCs/>
          <w:noProof/>
          <w:sz w:val="16"/>
          <w:lang w:val="en-US"/>
        </w:rPr>
      </w:pPr>
      <w:r w:rsidRPr="00AD4402">
        <w:rPr>
          <w:rFonts w:ascii="Arial" w:hAnsi="Arial"/>
          <w:b/>
          <w:bCs/>
          <w:noProof/>
          <w:sz w:val="16"/>
          <w:lang w:val="en-US"/>
        </w:rPr>
        <w:t>Figure 3.27</w:t>
      </w:r>
      <w:r w:rsidRPr="00AD4402">
        <w:rPr>
          <w:rFonts w:ascii="Arial" w:hAnsi="Arial"/>
          <w:bCs/>
          <w:noProof/>
          <w:sz w:val="16"/>
          <w:lang w:val="en-US"/>
        </w:rPr>
        <w:t xml:space="preserve"> Continuous electrical conductivity and discharge in Gulungul Creek for each wet season between September 2010 and </w:t>
      </w:r>
      <w:bookmarkEnd w:id="200"/>
      <w:r w:rsidRPr="00AD4402">
        <w:rPr>
          <w:rFonts w:ascii="Arial" w:hAnsi="Arial"/>
          <w:bCs/>
          <w:noProof/>
          <w:sz w:val="16"/>
          <w:lang w:val="en-US"/>
        </w:rPr>
        <w:t>June 2014 (values averaged over a 90 minute period of measurement)</w:t>
      </w:r>
      <w:r w:rsidR="00630309">
        <w:rPr>
          <w:rFonts w:ascii="Arial" w:hAnsi="Arial"/>
          <w:bCs/>
          <w:noProof/>
          <w:sz w:val="16"/>
          <w:lang w:val="en-US"/>
        </w:rPr>
        <w:t>.</w:t>
      </w:r>
    </w:p>
    <w:p w:rsidR="005767A3" w:rsidRPr="005767A3" w:rsidRDefault="0089019D" w:rsidP="005767A3">
      <w:pPr>
        <w:pStyle w:val="Heading4"/>
      </w:pPr>
      <w:r>
        <w:t>3.2.3.2</w:t>
      </w:r>
      <w:r>
        <w:tab/>
      </w:r>
      <w:r w:rsidR="005767A3" w:rsidRPr="005767A3">
        <w:t>Biological monitoring in Magela Creek</w:t>
      </w:r>
    </w:p>
    <w:p w:rsidR="00CB7315" w:rsidRDefault="00CB7315" w:rsidP="00CB7315">
      <w:r w:rsidRPr="005767A3">
        <w:t xml:space="preserve">Research </w:t>
      </w:r>
      <w:r w:rsidR="00171470">
        <w:t xml:space="preserve">conducted by </w:t>
      </w:r>
      <w:r w:rsidRPr="00F3118C">
        <w:rPr>
          <w:b/>
          <w:i/>
          <w:sz w:val="23"/>
          <w:szCs w:val="23"/>
        </w:rPr>
        <w:t>eriss</w:t>
      </w:r>
      <w:r w:rsidRPr="005767A3">
        <w:t xml:space="preserve"> since 1987 has been used to develop biological techniques to monitor and assess the potential effects of uranium mining on aquatic ecosystems downstream of Ranger mine. Two broad approaches are used: </w:t>
      </w:r>
      <w:proofErr w:type="gramStart"/>
      <w:r w:rsidRPr="005767A3">
        <w:t>(1) early detection, and (2) assessment of overall ecosystem-level responses</w:t>
      </w:r>
      <w:proofErr w:type="gramEnd"/>
      <w:r w:rsidRPr="005767A3">
        <w:t xml:space="preserve"> at the end of the wet season. </w:t>
      </w:r>
    </w:p>
    <w:p w:rsidR="00CB7315" w:rsidRPr="00DB653C" w:rsidRDefault="00CB7315" w:rsidP="00CB7315">
      <w:r w:rsidRPr="00DB653C">
        <w:t xml:space="preserve">Early detection of effects in Magela Creek is performed using two techniques: (i) </w:t>
      </w:r>
      <w:r w:rsidRPr="00DB653C">
        <w:rPr>
          <w:i/>
        </w:rPr>
        <w:t>in situ</w:t>
      </w:r>
      <w:r w:rsidRPr="00DB653C">
        <w:t xml:space="preserve"> toxicity monitoring for detection at a weekly timescale of effects arising from inputs of mine waters during the wet season, and (ii) bioaccumulation, used to measure over a seasonal timescale a potential developing issue with mine-derived solutes (metals and radionuclides) measured in aquatic biota.</w:t>
      </w:r>
    </w:p>
    <w:p w:rsidR="00CB7315" w:rsidRPr="00DB653C" w:rsidRDefault="00CB7315" w:rsidP="00CB7315">
      <w:r w:rsidRPr="00DB653C">
        <w:t>For ecosystem-level responses, benthic macroinvertebrate and fish community data from late wet season sampling</w:t>
      </w:r>
      <w:r w:rsidR="00171470">
        <w:t xml:space="preserve"> at sites in Magela and Gulungul c</w:t>
      </w:r>
      <w:r w:rsidRPr="00DB653C">
        <w:t>reek</w:t>
      </w:r>
      <w:r w:rsidR="00171470">
        <w:t xml:space="preserve">s </w:t>
      </w:r>
      <w:r w:rsidRPr="00DB653C">
        <w:t xml:space="preserve">are compared with historical data and data from control sites in streams unaffected by contemporary mining. </w:t>
      </w:r>
    </w:p>
    <w:p w:rsidR="00CB7315" w:rsidRPr="00DB653C" w:rsidRDefault="00CB7315" w:rsidP="00CB7315">
      <w:r w:rsidRPr="00DB653C">
        <w:t>The findings from toxicity monitoring, bioaccumulation, and fish and macroinvertebrate community studies conducted during the 2013–14 reporting period are summarised below.</w:t>
      </w:r>
    </w:p>
    <w:p w:rsidR="00DB653C" w:rsidRPr="00DB653C" w:rsidRDefault="00DB653C" w:rsidP="00DB653C">
      <w:pPr>
        <w:pStyle w:val="Heading5"/>
      </w:pPr>
      <w:r w:rsidRPr="00DB653C">
        <w:t>In situ toxicity monitoring</w:t>
      </w:r>
    </w:p>
    <w:p w:rsidR="00171470" w:rsidRPr="00D25707" w:rsidRDefault="00171470" w:rsidP="00171470">
      <w:r w:rsidRPr="00D25707">
        <w:t xml:space="preserve">In this form of monitoring, effects on receiving waters of water dispersed from the Ranger minesite are evaluated using responses of aquatic animals exposed </w:t>
      </w:r>
      <w:r w:rsidRPr="00154A02">
        <w:rPr>
          <w:i/>
        </w:rPr>
        <w:t>in situ</w:t>
      </w:r>
      <w:r w:rsidRPr="00D25707">
        <w:t xml:space="preserve"> to creek water. The response measured is reproduction (egg production) in the freshwater snail, </w:t>
      </w:r>
      <w:r w:rsidRPr="00D25707">
        <w:rPr>
          <w:i/>
        </w:rPr>
        <w:t>Amerianna cumingi</w:t>
      </w:r>
      <w:r w:rsidRPr="00D25707">
        <w:t>. Each test runs over a four-day (96-hr) exposure period. In such sub</w:t>
      </w:r>
      <w:r>
        <w:t>-</w:t>
      </w:r>
      <w:r w:rsidRPr="00D25707">
        <w:t>chronic</w:t>
      </w:r>
      <w:r>
        <w:t>, continuous</w:t>
      </w:r>
      <w:r w:rsidRPr="00D25707">
        <w:t xml:space="preserve"> exposure situations, this species has been shown to be among the most sensitive, to both uranium and magnesium, of SSD’s suite of six local species, as determined using standardised laboratory toxicity test protocols. </w:t>
      </w:r>
    </w:p>
    <w:p w:rsidR="00171470" w:rsidRPr="00D25707" w:rsidRDefault="00171470" w:rsidP="00171470">
      <w:r w:rsidRPr="00D25707">
        <w:t xml:space="preserve">For the 1990–91 to 2007–08 wet seasons, toxicity monitoring was carried out using the ‘creekside’ methodology (Figure 3.28A). This involved pumping a continuous flow of water from the adjacent Magela Creek through tanks containing test animals located under a shelter on the creek bank. In the 2006–07 wet season, an </w:t>
      </w:r>
      <w:r w:rsidRPr="00DB5D66">
        <w:rPr>
          <w:i/>
        </w:rPr>
        <w:t>in situ</w:t>
      </w:r>
      <w:r w:rsidRPr="00D25707">
        <w:t xml:space="preserve"> testing method commenced, in which test animals are placed in floating (flow-through) containers located in the creek itself (see section 3.2 of the</w:t>
      </w:r>
      <w:r w:rsidR="00DB5D66">
        <w:t xml:space="preserve"> 2007–08 Supervising Scientist Annual R</w:t>
      </w:r>
      <w:r w:rsidRPr="00D25707">
        <w:t>eport for details). Thus</w:t>
      </w:r>
      <w:r>
        <w:t>,</w:t>
      </w:r>
      <w:r w:rsidRPr="00D25707">
        <w:t xml:space="preserve"> for the 2006–07 and 2007–08 wet seasons, creekside and </w:t>
      </w:r>
      <w:r w:rsidRPr="00BA351C">
        <w:rPr>
          <w:i/>
        </w:rPr>
        <w:t>in situ</w:t>
      </w:r>
      <w:r w:rsidRPr="00D25707">
        <w:t xml:space="preserve"> testing were conducted in parallel, to evaluate the effectiveness of the </w:t>
      </w:r>
      <w:r w:rsidRPr="00BA351C">
        <w:rPr>
          <w:i/>
        </w:rPr>
        <w:t>in situ</w:t>
      </w:r>
      <w:r w:rsidRPr="00D25707">
        <w:t xml:space="preserve"> method. For current data analyses, creekside data up to and including the 2005–06 wet season and in situ data from the 2006–07 wet season onward (Figure 3.28) are combined. The most recent refinement to this program</w:t>
      </w:r>
      <w:r w:rsidR="00936D05">
        <w:t>me</w:t>
      </w:r>
      <w:r w:rsidRPr="00D25707">
        <w:t xml:space="preserve"> has been the extension of toxicity monitoring to Gulungul Creek, with testing commencing in the 2009–10 wet season (Figure 3.28B).</w:t>
      </w:r>
    </w:p>
    <w:p w:rsidR="003338A8" w:rsidRDefault="00171470" w:rsidP="00171470">
      <w:r>
        <w:t xml:space="preserve">The first of 12 tests in Magela Creek commenced on </w:t>
      </w:r>
      <w:r w:rsidRPr="00B03BD7">
        <w:t>the 5</w:t>
      </w:r>
      <w:r w:rsidRPr="00B1701F">
        <w:rPr>
          <w:vertAlign w:val="superscript"/>
        </w:rPr>
        <w:t>th</w:t>
      </w:r>
      <w:r w:rsidRPr="00B03BD7">
        <w:t xml:space="preserve"> December 2013,</w:t>
      </w:r>
      <w:r>
        <w:t xml:space="preserve"> seven days after the establishment of continuous flow in both creeks. The leach tank failure that occurred on 7 December 2013 (see references to the incident in earlier sections of this report) thus coincided with the first test in Magela Creek. Following the incident, three more weekly tests in Magela Creek followed before the commencement of the first of nine Gulungul tests (from 9 January 2014). Thereafter, the Gulungul tests alternated weekly with Magela tests. A</w:t>
      </w:r>
      <w:r w:rsidRPr="00B03BD7">
        <w:t xml:space="preserve"> combined total of 21 tests were completed over 22</w:t>
      </w:r>
      <w:r>
        <w:t xml:space="preserve"> wet season weeks, the highest number of tests yet for a wet season, with the final test completed in </w:t>
      </w:r>
      <w:r w:rsidRPr="00B03BD7">
        <w:t>Magela Creek on the 2</w:t>
      </w:r>
      <w:r>
        <w:t xml:space="preserve">8 </w:t>
      </w:r>
      <w:r w:rsidRPr="00B03BD7">
        <w:t>April 2014</w:t>
      </w:r>
      <w:r>
        <w:t xml:space="preserve">. Upstream and downstream egg production and difference values for both creeks are displayed in </w:t>
      </w:r>
      <w:r w:rsidRPr="009975CD">
        <w:t>Figure 3.28B.</w:t>
      </w:r>
      <w:r w:rsidR="003338A8" w:rsidRPr="003338A8">
        <w:t xml:space="preserve"> </w:t>
      </w:r>
    </w:p>
    <w:p w:rsidR="003338A8" w:rsidRPr="00F31626" w:rsidRDefault="003338A8" w:rsidP="003338A8">
      <w:r w:rsidRPr="00F31626">
        <w:t xml:space="preserve">In the previous (2012–13) wet season, a marked increase in overall egg production was observed compared to the previous five wet seasons. This above-average increase in egg production continued in both creeks in the 2013–14 wet </w:t>
      </w:r>
      <w:proofErr w:type="gramStart"/>
      <w:r w:rsidRPr="00F31626">
        <w:t>season</w:t>
      </w:r>
      <w:proofErr w:type="gramEnd"/>
      <w:r w:rsidRPr="00F31626">
        <w:t xml:space="preserve"> (Figure 3.28B).</w:t>
      </w:r>
      <w:r w:rsidRPr="003338A8">
        <w:t xml:space="preserve"> </w:t>
      </w:r>
      <w:r w:rsidRPr="00F31626">
        <w:t xml:space="preserve">As reported </w:t>
      </w:r>
      <w:proofErr w:type="gramStart"/>
      <w:r w:rsidRPr="00F31626">
        <w:t>in the</w:t>
      </w:r>
      <w:r w:rsidR="00DB5D66">
        <w:t xml:space="preserve"> 2012–13 Supervising Scientist Annual R</w:t>
      </w:r>
      <w:r w:rsidRPr="00F31626">
        <w:t>eport (sections 3.2.3.2 and 4.4)</w:t>
      </w:r>
      <w:proofErr w:type="gramEnd"/>
      <w:r w:rsidRPr="00F31626">
        <w:t xml:space="preserve"> and in </w:t>
      </w:r>
      <w:r w:rsidRPr="00171470">
        <w:t>section 4</w:t>
      </w:r>
      <w:r w:rsidRPr="00F31626">
        <w:t xml:space="preserve"> of the current report, a significant factor contributing to this appears to be a more effective culturing regime for the snails at the laboratory aquaculture facility.</w:t>
      </w:r>
    </w:p>
    <w:p w:rsidR="00171470" w:rsidRDefault="00171470" w:rsidP="00171470"/>
    <w:p w:rsidR="00D25707" w:rsidRPr="00D25707" w:rsidRDefault="00D25707" w:rsidP="00D25707">
      <w:pPr>
        <w:spacing w:after="120" w:line="260" w:lineRule="atLeast"/>
      </w:pPr>
      <w:r w:rsidRPr="00D25707">
        <w:rPr>
          <w:noProof/>
          <w:lang w:eastAsia="en-AU"/>
        </w:rPr>
        <w:drawing>
          <wp:inline distT="0" distB="0" distL="0" distR="0">
            <wp:extent cx="4455968" cy="6268248"/>
            <wp:effectExtent l="19050" t="0" r="1732" b="0"/>
            <wp:docPr id="5" name="Picture 1" descr="Tox Mon - SSAR 201314 - Figure - 2014140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Tox Mon - SSAR 201314 - Figure - 20141407.JPG"/>
                    <pic:cNvPicPr/>
                  </pic:nvPicPr>
                  <pic:blipFill>
                    <a:blip r:embed="rId80" cstate="screen"/>
                    <a:srcRect/>
                    <a:stretch>
                      <a:fillRect/>
                    </a:stretch>
                  </pic:blipFill>
                  <pic:spPr>
                    <a:xfrm>
                      <a:off x="0" y="0"/>
                      <a:ext cx="4457003" cy="6269704"/>
                    </a:xfrm>
                    <a:prstGeom prst="rect">
                      <a:avLst/>
                    </a:prstGeom>
                  </pic:spPr>
                </pic:pic>
              </a:graphicData>
            </a:graphic>
          </wp:inline>
        </w:drawing>
      </w:r>
    </w:p>
    <w:p w:rsidR="00D25707" w:rsidRPr="00D25707" w:rsidRDefault="00D25707" w:rsidP="00D25707">
      <w:pPr>
        <w:spacing w:after="240" w:line="220" w:lineRule="atLeast"/>
        <w:jc w:val="center"/>
        <w:rPr>
          <w:rFonts w:ascii="Arial" w:hAnsi="Arial"/>
          <w:bCs/>
          <w:noProof/>
          <w:sz w:val="16"/>
          <w:lang w:val="en-US"/>
        </w:rPr>
      </w:pPr>
      <w:r w:rsidRPr="00D25707">
        <w:rPr>
          <w:rFonts w:ascii="Arial" w:hAnsi="Arial"/>
          <w:b/>
          <w:bCs/>
          <w:noProof/>
          <w:sz w:val="16"/>
          <w:lang w:val="en-US"/>
        </w:rPr>
        <w:t>Figure 3.28</w:t>
      </w:r>
      <w:r w:rsidRPr="00D25707">
        <w:rPr>
          <w:rFonts w:ascii="Arial" w:hAnsi="Arial"/>
          <w:bCs/>
          <w:noProof/>
          <w:sz w:val="16"/>
          <w:lang w:val="en-US"/>
        </w:rPr>
        <w:t xml:space="preserve"> Time-series of snail egg production data from toxicity monitoring tests conducted in Magela Creek using A: creekside tests, and B: </w:t>
      </w:r>
      <w:r w:rsidRPr="00BA351C">
        <w:rPr>
          <w:rFonts w:ascii="Arial" w:hAnsi="Arial"/>
          <w:bCs/>
          <w:i/>
          <w:noProof/>
          <w:sz w:val="16"/>
          <w:lang w:val="en-US"/>
        </w:rPr>
        <w:t>in situ</w:t>
      </w:r>
      <w:r w:rsidRPr="00D25707">
        <w:rPr>
          <w:rFonts w:ascii="Arial" w:hAnsi="Arial"/>
          <w:bCs/>
          <w:noProof/>
          <w:sz w:val="16"/>
          <w:lang w:val="en-US"/>
        </w:rPr>
        <w:t xml:space="preserve"> tests with Gulungul tests commencing in 2009–10. </w:t>
      </w:r>
    </w:p>
    <w:p w:rsidR="00F31626" w:rsidRPr="00F31626" w:rsidRDefault="00F31626" w:rsidP="00F31626">
      <w:pPr>
        <w:pStyle w:val="Heading6"/>
      </w:pPr>
      <w:r w:rsidRPr="00F31626">
        <w:t>Analysis of results</w:t>
      </w:r>
    </w:p>
    <w:p w:rsidR="00CB7315" w:rsidRPr="00F31626" w:rsidRDefault="00CB7315" w:rsidP="00CB7315">
      <w:r w:rsidRPr="00F31626">
        <w:t xml:space="preserve">After each wet season, toxicity monitoring results for the tests are analysed, with differences in egg numbers (the ‘response’ variable) between the upstream (control) and downstream (exposed) sites tested for statistical change between the wet season just completed and previous wet seasons. This Before-After Control-Impact Paired (BACIP) design, with </w:t>
      </w:r>
      <w:r w:rsidR="0043016D">
        <w:t>an</w:t>
      </w:r>
      <w:r w:rsidRPr="00F31626">
        <w:t xml:space="preserve">alysis </w:t>
      </w:r>
      <w:r w:rsidR="0043016D">
        <w:t>o</w:t>
      </w:r>
      <w:r w:rsidRPr="00F31626">
        <w:t xml:space="preserve">f </w:t>
      </w:r>
      <w:r w:rsidR="0043016D">
        <w:t>va</w:t>
      </w:r>
      <w:r w:rsidRPr="00F31626">
        <w:t xml:space="preserve">riance (ANOVA) testing, is described further </w:t>
      </w:r>
      <w:r w:rsidR="00DB5D66">
        <w:t>in the Supervising Scientist’s Annual R</w:t>
      </w:r>
      <w:r w:rsidRPr="00F31626">
        <w:t>eport for 2007–2008 (section 2.2.3).</w:t>
      </w:r>
    </w:p>
    <w:p w:rsidR="00F31626" w:rsidRPr="00F31626" w:rsidRDefault="00F31626" w:rsidP="00F31626">
      <w:pPr>
        <w:rPr>
          <w:b/>
        </w:rPr>
      </w:pPr>
      <w:r w:rsidRPr="00F31626">
        <w:rPr>
          <w:b/>
        </w:rPr>
        <w:t>Magela Creek</w:t>
      </w:r>
    </w:p>
    <w:p w:rsidR="00F31626" w:rsidRPr="00F31626" w:rsidRDefault="00F31626" w:rsidP="00F31626">
      <w:r w:rsidRPr="00F31626">
        <w:t xml:space="preserve">The historical trend of greater downstream egg </w:t>
      </w:r>
      <w:r w:rsidR="00020A75">
        <w:t xml:space="preserve">production was evident for the </w:t>
      </w:r>
      <w:r w:rsidRPr="00F31626">
        <w:t xml:space="preserve">2013–14 wet season, with a mean difference value of -5.21 (mean difference value across all wet seasons of -7.17). ANOVA results for the 2013–14 wet </w:t>
      </w:r>
      <w:proofErr w:type="gramStart"/>
      <w:r w:rsidRPr="00F31626">
        <w:t>season</w:t>
      </w:r>
      <w:proofErr w:type="gramEnd"/>
      <w:r w:rsidRPr="00F31626">
        <w:t>, together with results from the past several wet seasons, are displayed in Table 3.8. No significant difference was observed between the difference values derived from the 2013–14 wet season and those from previous wet seasons (p = 0.865). The (near-)significant differences observed in previous years, associated with particularly high egg production at the downstream site relative to the upstream site in the 2009–10 wet season, and lower egg production at the downstream site relative to the upstream s</w:t>
      </w:r>
      <w:r w:rsidR="00020A75">
        <w:t xml:space="preserve">ite in the </w:t>
      </w:r>
      <w:r w:rsidRPr="00F31626">
        <w:t xml:space="preserve">2012–13 wet season (Table 3.8), are discussed in the respective Supervising Scientist annual reports. </w:t>
      </w:r>
      <w:r w:rsidR="00DA4174">
        <w:br/>
      </w:r>
    </w:p>
    <w:tbl>
      <w:tblPr>
        <w:tblStyle w:val="TableGrid"/>
        <w:tblW w:w="7479" w:type="dxa"/>
        <w:tblLook w:val="04A0"/>
      </w:tblPr>
      <w:tblGrid>
        <w:gridCol w:w="2802"/>
        <w:gridCol w:w="1701"/>
        <w:gridCol w:w="1134"/>
        <w:gridCol w:w="1842"/>
      </w:tblGrid>
      <w:tr w:rsidR="00F31626" w:rsidRPr="00F31626" w:rsidTr="00F31626">
        <w:trPr>
          <w:trHeight w:val="760"/>
        </w:trPr>
        <w:tc>
          <w:tcPr>
            <w:tcW w:w="7479" w:type="dxa"/>
            <w:gridSpan w:val="4"/>
            <w:tcBorders>
              <w:top w:val="nil"/>
              <w:left w:val="nil"/>
              <w:bottom w:val="single" w:sz="4" w:space="0" w:color="auto"/>
              <w:right w:val="nil"/>
            </w:tcBorders>
            <w:shd w:val="clear" w:color="auto" w:fill="D9D9D9" w:themeFill="background1" w:themeFillShade="D9"/>
          </w:tcPr>
          <w:p w:rsidR="00F31626" w:rsidRPr="00F31626" w:rsidRDefault="00F31626" w:rsidP="00F31626">
            <w:pPr>
              <w:keepNext/>
              <w:spacing w:before="120" w:after="120" w:line="240" w:lineRule="atLeast"/>
              <w:jc w:val="both"/>
              <w:rPr>
                <w:rFonts w:cs="Arial"/>
                <w:b/>
                <w:caps/>
                <w:sz w:val="18"/>
              </w:rPr>
            </w:pPr>
            <w:r w:rsidRPr="00F31626">
              <w:rPr>
                <w:rFonts w:cs="Arial"/>
                <w:b/>
                <w:caps/>
                <w:sz w:val="18"/>
              </w:rPr>
              <w:t>TABLE 3.8 RESULTS OF ANOVA TESTING COMPARING MAGELA UPSTREAM-DOWNSTREAM DIFFERENCE VALUES FOR MEAN SNAIL EGG NUMBER FOR DIFFERENT ‘BEFORE VERSUS AFTER’ WET SEASON SCENARIOS</w:t>
            </w:r>
          </w:p>
        </w:tc>
      </w:tr>
      <w:tr w:rsidR="00F31626" w:rsidRPr="00F31626" w:rsidTr="00F31626">
        <w:tc>
          <w:tcPr>
            <w:tcW w:w="2802" w:type="dxa"/>
            <w:tcBorders>
              <w:top w:val="single" w:sz="4" w:space="0" w:color="auto"/>
              <w:left w:val="nil"/>
              <w:bottom w:val="single" w:sz="4" w:space="0" w:color="auto"/>
              <w:right w:val="nil"/>
            </w:tcBorders>
          </w:tcPr>
          <w:p w:rsidR="00F31626" w:rsidRPr="00F31626" w:rsidRDefault="00F31626" w:rsidP="00F31626">
            <w:pPr>
              <w:spacing w:before="60" w:after="60" w:line="220" w:lineRule="atLeast"/>
              <w:jc w:val="both"/>
              <w:rPr>
                <w:rFonts w:ascii="Arial" w:eastAsia="Arial Unicode MS" w:hAnsi="Arial"/>
                <w:b/>
                <w:sz w:val="16"/>
              </w:rPr>
            </w:pPr>
            <w:r w:rsidRPr="00F31626">
              <w:rPr>
                <w:rFonts w:ascii="Arial" w:eastAsia="Arial Unicode MS" w:hAnsi="Arial"/>
                <w:b/>
                <w:sz w:val="16"/>
              </w:rPr>
              <w:t>Before</w:t>
            </w:r>
          </w:p>
        </w:tc>
        <w:tc>
          <w:tcPr>
            <w:tcW w:w="1701" w:type="dxa"/>
            <w:tcBorders>
              <w:top w:val="single" w:sz="4" w:space="0" w:color="auto"/>
              <w:left w:val="nil"/>
              <w:bottom w:val="single" w:sz="4" w:space="0" w:color="auto"/>
              <w:right w:val="nil"/>
            </w:tcBorders>
          </w:tcPr>
          <w:p w:rsidR="00F31626" w:rsidRPr="00F31626" w:rsidRDefault="00F31626" w:rsidP="00F31626">
            <w:pPr>
              <w:spacing w:before="60" w:after="60" w:line="220" w:lineRule="atLeast"/>
              <w:jc w:val="both"/>
              <w:rPr>
                <w:rFonts w:ascii="Arial" w:eastAsia="Arial Unicode MS" w:hAnsi="Arial"/>
                <w:b/>
                <w:sz w:val="16"/>
              </w:rPr>
            </w:pPr>
            <w:r w:rsidRPr="00F31626">
              <w:rPr>
                <w:rFonts w:ascii="Arial" w:eastAsia="Arial Unicode MS" w:hAnsi="Arial"/>
                <w:b/>
                <w:sz w:val="16"/>
              </w:rPr>
              <w:t>After</w:t>
            </w:r>
          </w:p>
        </w:tc>
        <w:tc>
          <w:tcPr>
            <w:tcW w:w="1134" w:type="dxa"/>
            <w:tcBorders>
              <w:top w:val="single" w:sz="4" w:space="0" w:color="auto"/>
              <w:left w:val="nil"/>
              <w:bottom w:val="single" w:sz="4" w:space="0" w:color="auto"/>
              <w:right w:val="nil"/>
            </w:tcBorders>
          </w:tcPr>
          <w:p w:rsidR="00F31626" w:rsidRPr="00F31626" w:rsidRDefault="00F31626" w:rsidP="00F31626">
            <w:pPr>
              <w:spacing w:before="60" w:after="60" w:line="220" w:lineRule="atLeast"/>
              <w:jc w:val="both"/>
              <w:rPr>
                <w:rFonts w:ascii="Arial" w:eastAsia="Arial Unicode MS" w:hAnsi="Arial"/>
                <w:b/>
                <w:sz w:val="16"/>
              </w:rPr>
            </w:pPr>
            <w:r w:rsidRPr="00F31626">
              <w:rPr>
                <w:rFonts w:ascii="Arial" w:eastAsia="Arial Unicode MS" w:hAnsi="Arial"/>
                <w:b/>
                <w:sz w:val="16"/>
              </w:rPr>
              <w:t>Probability value (</w:t>
            </w:r>
            <w:r w:rsidRPr="00F31626">
              <w:rPr>
                <w:rFonts w:ascii="Arial" w:eastAsia="Arial Unicode MS" w:hAnsi="Arial"/>
                <w:b/>
                <w:i/>
                <w:sz w:val="16"/>
              </w:rPr>
              <w:t>P</w:t>
            </w:r>
            <w:r w:rsidRPr="00F31626">
              <w:rPr>
                <w:rFonts w:ascii="Arial" w:eastAsia="Arial Unicode MS" w:hAnsi="Arial"/>
                <w:b/>
                <w:sz w:val="16"/>
              </w:rPr>
              <w:t>)</w:t>
            </w:r>
          </w:p>
        </w:tc>
        <w:tc>
          <w:tcPr>
            <w:tcW w:w="1842" w:type="dxa"/>
            <w:tcBorders>
              <w:top w:val="single" w:sz="4" w:space="0" w:color="auto"/>
              <w:left w:val="nil"/>
              <w:bottom w:val="single" w:sz="4" w:space="0" w:color="auto"/>
              <w:right w:val="nil"/>
            </w:tcBorders>
          </w:tcPr>
          <w:p w:rsidR="00F31626" w:rsidRPr="00F31626" w:rsidRDefault="00F31626" w:rsidP="00F31626">
            <w:pPr>
              <w:spacing w:before="60" w:after="60" w:line="220" w:lineRule="atLeast"/>
              <w:jc w:val="both"/>
              <w:rPr>
                <w:rFonts w:ascii="Arial" w:eastAsia="Arial Unicode MS" w:hAnsi="Arial"/>
                <w:b/>
                <w:sz w:val="16"/>
              </w:rPr>
            </w:pPr>
            <w:r w:rsidRPr="00F31626">
              <w:rPr>
                <w:rFonts w:ascii="Arial" w:eastAsia="Arial Unicode MS" w:hAnsi="Arial"/>
                <w:b/>
                <w:sz w:val="16"/>
              </w:rPr>
              <w:t>Significance</w:t>
            </w:r>
          </w:p>
        </w:tc>
      </w:tr>
      <w:tr w:rsidR="00F31626" w:rsidRPr="00F31626" w:rsidTr="00F31626">
        <w:tc>
          <w:tcPr>
            <w:tcW w:w="2802" w:type="dxa"/>
            <w:tcBorders>
              <w:top w:val="single" w:sz="4" w:space="0" w:color="auto"/>
              <w:left w:val="nil"/>
              <w:bottom w:val="nil"/>
              <w:right w:val="nil"/>
            </w:tcBorders>
          </w:tcPr>
          <w:p w:rsidR="00F31626" w:rsidRPr="00F31626" w:rsidRDefault="00F31626" w:rsidP="00F31626">
            <w:pPr>
              <w:spacing w:before="60" w:after="60" w:line="220" w:lineRule="atLeast"/>
              <w:jc w:val="both"/>
              <w:rPr>
                <w:rFonts w:ascii="Arial" w:eastAsia="Arial Unicode MS" w:hAnsi="Arial"/>
                <w:sz w:val="16"/>
              </w:rPr>
            </w:pPr>
            <w:r w:rsidRPr="00F31626">
              <w:rPr>
                <w:rFonts w:ascii="Arial" w:eastAsia="Arial Unicode MS" w:hAnsi="Arial"/>
                <w:sz w:val="16"/>
              </w:rPr>
              <w:t>All previous seasons</w:t>
            </w:r>
          </w:p>
        </w:tc>
        <w:tc>
          <w:tcPr>
            <w:tcW w:w="1701" w:type="dxa"/>
            <w:tcBorders>
              <w:top w:val="single" w:sz="4" w:space="0" w:color="auto"/>
              <w:left w:val="nil"/>
              <w:bottom w:val="nil"/>
              <w:right w:val="nil"/>
            </w:tcBorders>
          </w:tcPr>
          <w:p w:rsidR="00F31626" w:rsidRPr="00F31626" w:rsidRDefault="00F31626" w:rsidP="00F31626">
            <w:pPr>
              <w:spacing w:before="60" w:after="60" w:line="220" w:lineRule="atLeast"/>
              <w:jc w:val="both"/>
              <w:rPr>
                <w:rFonts w:ascii="Arial" w:eastAsia="Arial Unicode MS" w:hAnsi="Arial"/>
                <w:sz w:val="16"/>
              </w:rPr>
            </w:pPr>
            <w:r w:rsidRPr="00F31626">
              <w:rPr>
                <w:rFonts w:ascii="Arial" w:eastAsia="Arial Unicode MS" w:hAnsi="Arial"/>
                <w:sz w:val="16"/>
              </w:rPr>
              <w:t>2009–10</w:t>
            </w:r>
          </w:p>
        </w:tc>
        <w:tc>
          <w:tcPr>
            <w:tcW w:w="1134" w:type="dxa"/>
            <w:tcBorders>
              <w:top w:val="single" w:sz="4" w:space="0" w:color="auto"/>
              <w:left w:val="nil"/>
              <w:bottom w:val="nil"/>
              <w:right w:val="nil"/>
            </w:tcBorders>
          </w:tcPr>
          <w:p w:rsidR="00F31626" w:rsidRPr="00F31626" w:rsidRDefault="00F31626" w:rsidP="00F31626">
            <w:pPr>
              <w:spacing w:before="60" w:after="60" w:line="220" w:lineRule="atLeast"/>
              <w:jc w:val="both"/>
              <w:rPr>
                <w:rFonts w:ascii="Arial" w:eastAsia="Arial Unicode MS" w:hAnsi="Arial"/>
                <w:sz w:val="16"/>
              </w:rPr>
            </w:pPr>
            <w:r w:rsidRPr="00F31626">
              <w:rPr>
                <w:rFonts w:ascii="Arial" w:eastAsia="Arial Unicode MS" w:hAnsi="Arial"/>
                <w:sz w:val="16"/>
                <w:lang w:eastAsia="en-AU"/>
              </w:rPr>
              <w:t>0.043</w:t>
            </w:r>
          </w:p>
        </w:tc>
        <w:tc>
          <w:tcPr>
            <w:tcW w:w="1842" w:type="dxa"/>
            <w:tcBorders>
              <w:top w:val="single" w:sz="4" w:space="0" w:color="auto"/>
              <w:left w:val="nil"/>
              <w:bottom w:val="nil"/>
              <w:right w:val="nil"/>
            </w:tcBorders>
          </w:tcPr>
          <w:p w:rsidR="00F31626" w:rsidRPr="00F31626" w:rsidRDefault="00F31626" w:rsidP="00F31626">
            <w:pPr>
              <w:spacing w:before="60" w:after="60" w:line="220" w:lineRule="atLeast"/>
              <w:jc w:val="center"/>
              <w:rPr>
                <w:rFonts w:ascii="Arial" w:eastAsia="Arial Unicode MS" w:hAnsi="Arial"/>
                <w:sz w:val="16"/>
              </w:rPr>
            </w:pPr>
            <w:r w:rsidRPr="00F31626">
              <w:rPr>
                <w:rFonts w:ascii="Arial" w:eastAsia="Arial Unicode MS" w:hAnsi="Arial"/>
                <w:sz w:val="16"/>
              </w:rPr>
              <w:t>at 5% level</w:t>
            </w:r>
          </w:p>
        </w:tc>
      </w:tr>
      <w:tr w:rsidR="00F31626" w:rsidRPr="00F31626" w:rsidTr="00F31626">
        <w:tc>
          <w:tcPr>
            <w:tcW w:w="2802" w:type="dxa"/>
            <w:tcBorders>
              <w:top w:val="nil"/>
              <w:left w:val="nil"/>
              <w:bottom w:val="nil"/>
              <w:right w:val="nil"/>
            </w:tcBorders>
          </w:tcPr>
          <w:p w:rsidR="00F31626" w:rsidRPr="00F31626" w:rsidRDefault="00F31626" w:rsidP="00F31626">
            <w:pPr>
              <w:spacing w:before="60" w:after="60" w:line="220" w:lineRule="atLeast"/>
              <w:jc w:val="both"/>
              <w:rPr>
                <w:rFonts w:ascii="Arial" w:eastAsia="Arial Unicode MS" w:hAnsi="Arial"/>
                <w:sz w:val="16"/>
              </w:rPr>
            </w:pPr>
            <w:r w:rsidRPr="00F31626">
              <w:rPr>
                <w:rFonts w:ascii="Arial" w:eastAsia="Arial Unicode MS" w:hAnsi="Arial"/>
                <w:sz w:val="16"/>
              </w:rPr>
              <w:t>All previous seasons</w:t>
            </w:r>
          </w:p>
        </w:tc>
        <w:tc>
          <w:tcPr>
            <w:tcW w:w="1701" w:type="dxa"/>
            <w:tcBorders>
              <w:top w:val="nil"/>
              <w:left w:val="nil"/>
              <w:bottom w:val="nil"/>
              <w:right w:val="nil"/>
            </w:tcBorders>
          </w:tcPr>
          <w:p w:rsidR="00F31626" w:rsidRPr="00F31626" w:rsidRDefault="00F31626" w:rsidP="00F31626">
            <w:pPr>
              <w:spacing w:before="60" w:after="60" w:line="220" w:lineRule="atLeast"/>
              <w:jc w:val="both"/>
              <w:rPr>
                <w:rFonts w:ascii="Arial" w:eastAsia="Arial Unicode MS" w:hAnsi="Arial"/>
                <w:sz w:val="16"/>
              </w:rPr>
            </w:pPr>
            <w:r w:rsidRPr="00F31626">
              <w:rPr>
                <w:rFonts w:ascii="Arial" w:eastAsia="Arial Unicode MS" w:hAnsi="Arial"/>
                <w:sz w:val="16"/>
              </w:rPr>
              <w:t>2010–11</w:t>
            </w:r>
          </w:p>
        </w:tc>
        <w:tc>
          <w:tcPr>
            <w:tcW w:w="1134" w:type="dxa"/>
            <w:tcBorders>
              <w:top w:val="nil"/>
              <w:left w:val="nil"/>
              <w:bottom w:val="nil"/>
              <w:right w:val="nil"/>
            </w:tcBorders>
          </w:tcPr>
          <w:p w:rsidR="00F31626" w:rsidRPr="00F31626" w:rsidRDefault="00F31626" w:rsidP="00F31626">
            <w:pPr>
              <w:spacing w:before="60" w:after="60" w:line="220" w:lineRule="atLeast"/>
              <w:jc w:val="both"/>
              <w:rPr>
                <w:rFonts w:ascii="Arial" w:eastAsia="Arial Unicode MS" w:hAnsi="Arial"/>
                <w:sz w:val="16"/>
              </w:rPr>
            </w:pPr>
            <w:r w:rsidRPr="00F31626">
              <w:rPr>
                <w:rFonts w:ascii="Arial" w:eastAsia="Arial Unicode MS" w:hAnsi="Arial"/>
                <w:sz w:val="16"/>
                <w:lang w:eastAsia="en-AU"/>
              </w:rPr>
              <w:t>0.436</w:t>
            </w:r>
          </w:p>
        </w:tc>
        <w:tc>
          <w:tcPr>
            <w:tcW w:w="1842" w:type="dxa"/>
            <w:tcBorders>
              <w:top w:val="nil"/>
              <w:left w:val="nil"/>
              <w:bottom w:val="nil"/>
              <w:right w:val="nil"/>
            </w:tcBorders>
          </w:tcPr>
          <w:p w:rsidR="00F31626" w:rsidRPr="00F31626" w:rsidRDefault="00F31626" w:rsidP="00F31626">
            <w:pPr>
              <w:spacing w:before="60" w:after="60" w:line="220" w:lineRule="atLeast"/>
              <w:jc w:val="center"/>
              <w:rPr>
                <w:rFonts w:ascii="Arial" w:eastAsia="Arial Unicode MS" w:hAnsi="Arial"/>
                <w:sz w:val="16"/>
              </w:rPr>
            </w:pPr>
            <w:r w:rsidRPr="00F31626">
              <w:rPr>
                <w:rFonts w:ascii="Arial" w:eastAsia="Arial Unicode MS" w:hAnsi="Arial"/>
                <w:sz w:val="16"/>
              </w:rPr>
              <w:t>NS</w:t>
            </w:r>
          </w:p>
        </w:tc>
      </w:tr>
      <w:tr w:rsidR="00F31626" w:rsidRPr="00F31626" w:rsidTr="00F31626">
        <w:tc>
          <w:tcPr>
            <w:tcW w:w="2802" w:type="dxa"/>
            <w:tcBorders>
              <w:top w:val="nil"/>
              <w:left w:val="nil"/>
              <w:bottom w:val="nil"/>
              <w:right w:val="nil"/>
            </w:tcBorders>
          </w:tcPr>
          <w:p w:rsidR="00F31626" w:rsidRPr="00F31626" w:rsidRDefault="00F31626" w:rsidP="00F31626">
            <w:pPr>
              <w:spacing w:before="60" w:after="60" w:line="220" w:lineRule="atLeast"/>
              <w:jc w:val="both"/>
              <w:rPr>
                <w:rFonts w:ascii="Arial" w:eastAsia="Arial Unicode MS" w:hAnsi="Arial"/>
                <w:sz w:val="16"/>
              </w:rPr>
            </w:pPr>
            <w:r w:rsidRPr="00F31626">
              <w:rPr>
                <w:rFonts w:ascii="Arial" w:eastAsia="Arial Unicode MS" w:hAnsi="Arial"/>
                <w:sz w:val="16"/>
              </w:rPr>
              <w:t>All previous seasons</w:t>
            </w:r>
          </w:p>
        </w:tc>
        <w:tc>
          <w:tcPr>
            <w:tcW w:w="1701" w:type="dxa"/>
            <w:tcBorders>
              <w:top w:val="nil"/>
              <w:left w:val="nil"/>
              <w:bottom w:val="nil"/>
              <w:right w:val="nil"/>
            </w:tcBorders>
          </w:tcPr>
          <w:p w:rsidR="00F31626" w:rsidRPr="00F31626" w:rsidRDefault="00F31626" w:rsidP="00F31626">
            <w:pPr>
              <w:spacing w:before="60" w:after="60" w:line="220" w:lineRule="atLeast"/>
              <w:jc w:val="both"/>
              <w:rPr>
                <w:rFonts w:ascii="Arial" w:eastAsia="Arial Unicode MS" w:hAnsi="Arial"/>
                <w:sz w:val="16"/>
              </w:rPr>
            </w:pPr>
            <w:r w:rsidRPr="00F31626">
              <w:rPr>
                <w:rFonts w:ascii="Arial" w:eastAsia="Arial Unicode MS" w:hAnsi="Arial"/>
                <w:sz w:val="16"/>
              </w:rPr>
              <w:t>2011–12</w:t>
            </w:r>
          </w:p>
        </w:tc>
        <w:tc>
          <w:tcPr>
            <w:tcW w:w="1134" w:type="dxa"/>
            <w:tcBorders>
              <w:top w:val="nil"/>
              <w:left w:val="nil"/>
              <w:bottom w:val="nil"/>
              <w:right w:val="nil"/>
            </w:tcBorders>
          </w:tcPr>
          <w:p w:rsidR="00F31626" w:rsidRPr="00F31626" w:rsidRDefault="00F31626" w:rsidP="00F31626">
            <w:pPr>
              <w:spacing w:before="60" w:after="60" w:line="220" w:lineRule="atLeast"/>
              <w:jc w:val="both"/>
              <w:rPr>
                <w:rFonts w:ascii="Arial" w:eastAsia="Arial Unicode MS" w:hAnsi="Arial"/>
                <w:sz w:val="16"/>
                <w:lang w:eastAsia="en-AU"/>
              </w:rPr>
            </w:pPr>
            <w:r w:rsidRPr="00F31626">
              <w:rPr>
                <w:rFonts w:ascii="Arial" w:eastAsia="Arial Unicode MS" w:hAnsi="Arial"/>
                <w:sz w:val="16"/>
                <w:lang w:eastAsia="en-AU"/>
              </w:rPr>
              <w:t>0.916</w:t>
            </w:r>
          </w:p>
        </w:tc>
        <w:tc>
          <w:tcPr>
            <w:tcW w:w="1842" w:type="dxa"/>
            <w:tcBorders>
              <w:top w:val="nil"/>
              <w:left w:val="nil"/>
              <w:bottom w:val="nil"/>
              <w:right w:val="nil"/>
            </w:tcBorders>
          </w:tcPr>
          <w:p w:rsidR="00F31626" w:rsidRPr="00F31626" w:rsidRDefault="00F31626" w:rsidP="00F31626">
            <w:pPr>
              <w:spacing w:before="60" w:after="60" w:line="220" w:lineRule="atLeast"/>
              <w:jc w:val="center"/>
              <w:rPr>
                <w:rFonts w:ascii="Arial" w:eastAsia="Arial Unicode MS" w:hAnsi="Arial"/>
                <w:sz w:val="16"/>
              </w:rPr>
            </w:pPr>
            <w:r w:rsidRPr="00F31626">
              <w:rPr>
                <w:rFonts w:ascii="Arial" w:eastAsia="Arial Unicode MS" w:hAnsi="Arial"/>
                <w:sz w:val="16"/>
              </w:rPr>
              <w:t>NS</w:t>
            </w:r>
          </w:p>
        </w:tc>
      </w:tr>
      <w:tr w:rsidR="00F31626" w:rsidRPr="00F31626" w:rsidTr="00F31626">
        <w:tc>
          <w:tcPr>
            <w:tcW w:w="2802" w:type="dxa"/>
            <w:tcBorders>
              <w:top w:val="nil"/>
              <w:left w:val="nil"/>
              <w:bottom w:val="nil"/>
              <w:right w:val="nil"/>
            </w:tcBorders>
          </w:tcPr>
          <w:p w:rsidR="00F31626" w:rsidRPr="00F31626" w:rsidRDefault="00F31626" w:rsidP="00F31626">
            <w:pPr>
              <w:spacing w:before="60" w:after="60" w:line="220" w:lineRule="atLeast"/>
              <w:jc w:val="both"/>
              <w:rPr>
                <w:rFonts w:ascii="Arial" w:eastAsia="Arial Unicode MS" w:hAnsi="Arial"/>
                <w:sz w:val="16"/>
              </w:rPr>
            </w:pPr>
            <w:r w:rsidRPr="00F31626">
              <w:rPr>
                <w:rFonts w:ascii="Arial" w:eastAsia="Arial Unicode MS" w:hAnsi="Arial"/>
                <w:sz w:val="16"/>
              </w:rPr>
              <w:t>All previous seasons</w:t>
            </w:r>
          </w:p>
        </w:tc>
        <w:tc>
          <w:tcPr>
            <w:tcW w:w="1701" w:type="dxa"/>
            <w:tcBorders>
              <w:top w:val="nil"/>
              <w:left w:val="nil"/>
              <w:bottom w:val="nil"/>
              <w:right w:val="nil"/>
            </w:tcBorders>
          </w:tcPr>
          <w:p w:rsidR="00F31626" w:rsidRPr="00F31626" w:rsidRDefault="00F31626" w:rsidP="00F31626">
            <w:pPr>
              <w:spacing w:before="60" w:after="60" w:line="220" w:lineRule="atLeast"/>
              <w:jc w:val="both"/>
              <w:rPr>
                <w:rFonts w:ascii="Arial" w:eastAsia="Arial Unicode MS" w:hAnsi="Arial"/>
                <w:sz w:val="16"/>
              </w:rPr>
            </w:pPr>
            <w:r w:rsidRPr="00F31626">
              <w:rPr>
                <w:rFonts w:ascii="Arial" w:eastAsia="Arial Unicode MS" w:hAnsi="Arial"/>
                <w:sz w:val="16"/>
              </w:rPr>
              <w:t>2012–13</w:t>
            </w:r>
          </w:p>
        </w:tc>
        <w:tc>
          <w:tcPr>
            <w:tcW w:w="1134" w:type="dxa"/>
            <w:tcBorders>
              <w:top w:val="nil"/>
              <w:left w:val="nil"/>
              <w:bottom w:val="nil"/>
              <w:right w:val="nil"/>
            </w:tcBorders>
          </w:tcPr>
          <w:p w:rsidR="00F31626" w:rsidRPr="00F31626" w:rsidRDefault="00F31626" w:rsidP="00F31626">
            <w:pPr>
              <w:spacing w:before="60" w:after="60" w:line="220" w:lineRule="atLeast"/>
              <w:jc w:val="both"/>
              <w:rPr>
                <w:rFonts w:ascii="Arial" w:eastAsia="Arial Unicode MS" w:hAnsi="Arial"/>
                <w:sz w:val="16"/>
                <w:lang w:eastAsia="en-AU"/>
              </w:rPr>
            </w:pPr>
            <w:r w:rsidRPr="00F31626">
              <w:rPr>
                <w:rFonts w:ascii="Arial" w:eastAsia="Arial Unicode MS" w:hAnsi="Arial"/>
                <w:sz w:val="16"/>
                <w:lang w:eastAsia="en-AU"/>
              </w:rPr>
              <w:t>0.076</w:t>
            </w:r>
          </w:p>
        </w:tc>
        <w:tc>
          <w:tcPr>
            <w:tcW w:w="1842" w:type="dxa"/>
            <w:tcBorders>
              <w:top w:val="nil"/>
              <w:left w:val="nil"/>
              <w:bottom w:val="nil"/>
              <w:right w:val="nil"/>
            </w:tcBorders>
          </w:tcPr>
          <w:p w:rsidR="00F31626" w:rsidRPr="00F31626" w:rsidRDefault="00F31626" w:rsidP="00F31626">
            <w:pPr>
              <w:spacing w:before="60" w:after="60" w:line="220" w:lineRule="atLeast"/>
              <w:jc w:val="center"/>
              <w:rPr>
                <w:rFonts w:ascii="Arial" w:eastAsia="Arial Unicode MS" w:hAnsi="Arial"/>
                <w:sz w:val="16"/>
              </w:rPr>
            </w:pPr>
            <w:r w:rsidRPr="00F31626">
              <w:rPr>
                <w:rFonts w:ascii="Arial" w:eastAsia="Arial Unicode MS" w:hAnsi="Arial"/>
                <w:sz w:val="16"/>
              </w:rPr>
              <w:t>NS</w:t>
            </w:r>
          </w:p>
        </w:tc>
      </w:tr>
      <w:tr w:rsidR="00F31626" w:rsidRPr="00F31626" w:rsidTr="00F31626">
        <w:tc>
          <w:tcPr>
            <w:tcW w:w="2802" w:type="dxa"/>
            <w:tcBorders>
              <w:top w:val="nil"/>
              <w:left w:val="nil"/>
              <w:bottom w:val="single" w:sz="4" w:space="0" w:color="auto"/>
              <w:right w:val="nil"/>
            </w:tcBorders>
          </w:tcPr>
          <w:p w:rsidR="00F31626" w:rsidRPr="00F31626" w:rsidRDefault="00F31626" w:rsidP="00F31626">
            <w:pPr>
              <w:spacing w:before="60" w:after="60" w:line="220" w:lineRule="atLeast"/>
              <w:jc w:val="both"/>
              <w:rPr>
                <w:rFonts w:ascii="Arial" w:eastAsia="Arial Unicode MS" w:hAnsi="Arial"/>
                <w:sz w:val="16"/>
              </w:rPr>
            </w:pPr>
            <w:r w:rsidRPr="00F31626">
              <w:rPr>
                <w:rFonts w:ascii="Arial" w:eastAsia="Arial Unicode MS" w:hAnsi="Arial"/>
                <w:sz w:val="16"/>
              </w:rPr>
              <w:t>All previous seasons</w:t>
            </w:r>
          </w:p>
        </w:tc>
        <w:tc>
          <w:tcPr>
            <w:tcW w:w="1701" w:type="dxa"/>
            <w:tcBorders>
              <w:top w:val="nil"/>
              <w:left w:val="nil"/>
              <w:bottom w:val="single" w:sz="4" w:space="0" w:color="auto"/>
              <w:right w:val="nil"/>
            </w:tcBorders>
          </w:tcPr>
          <w:p w:rsidR="00F31626" w:rsidRPr="00F31626" w:rsidRDefault="00F31626" w:rsidP="00F31626">
            <w:pPr>
              <w:spacing w:before="60" w:after="60" w:line="220" w:lineRule="atLeast"/>
              <w:jc w:val="both"/>
              <w:rPr>
                <w:rFonts w:ascii="Arial" w:eastAsia="Arial Unicode MS" w:hAnsi="Arial"/>
                <w:sz w:val="16"/>
              </w:rPr>
            </w:pPr>
            <w:r w:rsidRPr="00F31626">
              <w:rPr>
                <w:rFonts w:ascii="Arial" w:eastAsia="Arial Unicode MS" w:hAnsi="Arial"/>
                <w:sz w:val="16"/>
              </w:rPr>
              <w:t>2013–14</w:t>
            </w:r>
          </w:p>
        </w:tc>
        <w:tc>
          <w:tcPr>
            <w:tcW w:w="1134" w:type="dxa"/>
            <w:tcBorders>
              <w:top w:val="nil"/>
              <w:left w:val="nil"/>
              <w:bottom w:val="single" w:sz="4" w:space="0" w:color="auto"/>
              <w:right w:val="nil"/>
            </w:tcBorders>
            <w:shd w:val="clear" w:color="auto" w:fill="auto"/>
          </w:tcPr>
          <w:p w:rsidR="00F31626" w:rsidRPr="00F31626" w:rsidRDefault="00F31626" w:rsidP="00F31626">
            <w:pPr>
              <w:spacing w:before="60" w:after="60" w:line="220" w:lineRule="atLeast"/>
              <w:jc w:val="both"/>
              <w:rPr>
                <w:rFonts w:ascii="Arial" w:eastAsia="Arial Unicode MS" w:hAnsi="Arial"/>
                <w:sz w:val="16"/>
                <w:lang w:eastAsia="en-AU"/>
              </w:rPr>
            </w:pPr>
            <w:r w:rsidRPr="00F31626">
              <w:rPr>
                <w:rFonts w:ascii="Arial" w:eastAsia="Arial Unicode MS" w:hAnsi="Arial"/>
                <w:sz w:val="16"/>
                <w:lang w:eastAsia="en-AU"/>
              </w:rPr>
              <w:t>0.865</w:t>
            </w:r>
          </w:p>
        </w:tc>
        <w:tc>
          <w:tcPr>
            <w:tcW w:w="1842" w:type="dxa"/>
            <w:tcBorders>
              <w:top w:val="nil"/>
              <w:left w:val="nil"/>
              <w:bottom w:val="single" w:sz="4" w:space="0" w:color="auto"/>
              <w:right w:val="nil"/>
            </w:tcBorders>
            <w:shd w:val="clear" w:color="auto" w:fill="auto"/>
          </w:tcPr>
          <w:p w:rsidR="00F31626" w:rsidRPr="00F31626" w:rsidRDefault="00F31626" w:rsidP="00F31626">
            <w:pPr>
              <w:spacing w:before="60" w:after="60" w:line="220" w:lineRule="atLeast"/>
              <w:jc w:val="center"/>
              <w:rPr>
                <w:rFonts w:ascii="Arial" w:eastAsia="Arial Unicode MS" w:hAnsi="Arial"/>
                <w:sz w:val="16"/>
              </w:rPr>
            </w:pPr>
            <w:r w:rsidRPr="00F31626">
              <w:rPr>
                <w:rFonts w:ascii="Arial" w:eastAsia="Arial Unicode MS" w:hAnsi="Arial"/>
                <w:sz w:val="16"/>
              </w:rPr>
              <w:t>NS</w:t>
            </w:r>
          </w:p>
        </w:tc>
      </w:tr>
    </w:tbl>
    <w:p w:rsidR="00F31626" w:rsidRPr="00F31626" w:rsidRDefault="00F31626" w:rsidP="00F31626">
      <w:pPr>
        <w:tabs>
          <w:tab w:val="left" w:pos="240"/>
        </w:tabs>
        <w:spacing w:before="60" w:after="180" w:line="180" w:lineRule="atLeast"/>
        <w:ind w:left="238" w:hanging="238"/>
        <w:rPr>
          <w:rFonts w:ascii="Arial" w:eastAsia="Arial Unicode MS" w:hAnsi="Arial"/>
          <w:sz w:val="14"/>
        </w:rPr>
      </w:pPr>
      <w:r w:rsidRPr="00F31626">
        <w:rPr>
          <w:rFonts w:ascii="Arial" w:eastAsia="Arial Unicode MS" w:hAnsi="Arial"/>
          <w:sz w:val="14"/>
        </w:rPr>
        <w:t>NS = Not significant</w:t>
      </w:r>
    </w:p>
    <w:p w:rsidR="00F31626" w:rsidRPr="00F31626" w:rsidRDefault="00F31626" w:rsidP="00F31626">
      <w:pPr>
        <w:rPr>
          <w:b/>
        </w:rPr>
      </w:pPr>
      <w:r w:rsidRPr="00F31626">
        <w:rPr>
          <w:b/>
        </w:rPr>
        <w:t>Gulungul Creek</w:t>
      </w:r>
    </w:p>
    <w:p w:rsidR="00CB7315" w:rsidRPr="00F31626" w:rsidRDefault="00CB7315" w:rsidP="00CB7315">
      <w:r w:rsidRPr="00F31626">
        <w:t xml:space="preserve">The mean difference value across all Gulungul Creek tests for 2013–14, of -22.5, continued the trend of greater egg production downstream reported in previous years. ANOVA testing found no significant difference between the 2013–14 difference values and those recorded in previous wet seasons (p = 0.898). </w:t>
      </w:r>
    </w:p>
    <w:p w:rsidR="00CB7315" w:rsidRPr="00F31626" w:rsidRDefault="00CB7315" w:rsidP="00CB7315">
      <w:r w:rsidRPr="00F31626">
        <w:t xml:space="preserve">Apart from the primary Before/After factor and associated hypothesis, the particular two-factor ANOVA model used for toxicity monitoring also allows variation amongst years (or wet seasons) and among tests within a wet season to be estimated separately. The second </w:t>
      </w:r>
      <w:r w:rsidR="00171470" w:rsidRPr="00F31626">
        <w:t xml:space="preserve">‘Season’ factor can be used to determine whether, within the </w:t>
      </w:r>
      <w:proofErr w:type="gramStart"/>
      <w:r w:rsidR="00171470" w:rsidRPr="00F31626">
        <w:t>Before</w:t>
      </w:r>
      <w:proofErr w:type="gramEnd"/>
      <w:r w:rsidR="00171470" w:rsidRPr="00F31626">
        <w:t xml:space="preserve"> and After periods, any set of difference values for a wet season is significantly different. For Gulungul Creek, the Season factor has been significant since the 2011–12 wet season (inclusive), with a significant value of 0.003 for the 2013–14 wet season (cf Magela Creek where this factor has never been significant). A significant Season factor does not in itself imply potential mine-related impact; in this (Gulungul) case, it highlights the high inter</w:t>
      </w:r>
      <w:r w:rsidR="00171470">
        <w:t>-</w:t>
      </w:r>
      <w:r w:rsidR="00171470" w:rsidRPr="00F31626">
        <w:t xml:space="preserve">annual variation observed in seasonal difference values, as shown in Figure 3.28B and as reported in the previous Supervising Scientist </w:t>
      </w:r>
      <w:r w:rsidR="001A5831">
        <w:t>A</w:t>
      </w:r>
      <w:r w:rsidR="00171470" w:rsidRPr="00F31626">
        <w:t xml:space="preserve">nnual </w:t>
      </w:r>
      <w:r w:rsidR="001A5831">
        <w:t>R</w:t>
      </w:r>
      <w:r w:rsidR="00171470" w:rsidRPr="00F31626">
        <w:t>eport (2012–13).</w:t>
      </w:r>
    </w:p>
    <w:p w:rsidR="00F31626" w:rsidRPr="00F31626" w:rsidRDefault="00F31626" w:rsidP="00F31626">
      <w:pPr>
        <w:pStyle w:val="Heading6"/>
      </w:pPr>
      <w:r w:rsidRPr="00F31626">
        <w:t>Assessment and conclusions for both creek systems</w:t>
      </w:r>
    </w:p>
    <w:p w:rsidR="00171470" w:rsidRPr="003E1D83" w:rsidRDefault="00171470" w:rsidP="00171470">
      <w:r w:rsidRPr="00F31626">
        <w:t xml:space="preserve">As reported in both </w:t>
      </w:r>
      <w:r w:rsidR="00DB5D66">
        <w:t>the last Supervising Scientist Annual R</w:t>
      </w:r>
      <w:r w:rsidRPr="00F31626">
        <w:t xml:space="preserve">eport (2012–13) and in </w:t>
      </w:r>
      <w:r w:rsidRPr="003E1D83">
        <w:t>section 4.</w:t>
      </w:r>
      <w:r w:rsidR="003E1D83" w:rsidRPr="003E1D83">
        <w:t>4.2</w:t>
      </w:r>
      <w:r w:rsidR="0043016D">
        <w:t xml:space="preserve"> of this report</w:t>
      </w:r>
      <w:r w:rsidRPr="003E1D83">
        <w:t>, water temperature and EC influence snail egg laying response in Magela and Gulungul creeks. (Values of water temperature and EC representing each test are the median of 10 minute continuous readings taken across the four-day exposure period at each of the creek sites.) An interacting effect between water temperature and EC has been observed (section 4.</w:t>
      </w:r>
      <w:r w:rsidR="003E1D83" w:rsidRPr="003E1D83">
        <w:t>4.2</w:t>
      </w:r>
      <w:r w:rsidRPr="003E1D83">
        <w:t>). As EC increases (generally across the range ~7-30 µS cm</w:t>
      </w:r>
      <w:r w:rsidRPr="003E1D83">
        <w:rPr>
          <w:vertAlign w:val="superscript"/>
        </w:rPr>
        <w:t>-1</w:t>
      </w:r>
      <w:r w:rsidRPr="003E1D83">
        <w:t>), egg production:</w:t>
      </w:r>
    </w:p>
    <w:p w:rsidR="00F31626" w:rsidRPr="003E1D83" w:rsidRDefault="00F31626" w:rsidP="00F31626">
      <w:pPr>
        <w:pStyle w:val="bulletlist1"/>
      </w:pPr>
      <w:r w:rsidRPr="003E1D83">
        <w:t>increases at lower water temperature ranges (27–30°C), and</w:t>
      </w:r>
    </w:p>
    <w:p w:rsidR="00F31626" w:rsidRPr="003E1D83" w:rsidRDefault="00F31626" w:rsidP="00F31626">
      <w:pPr>
        <w:pStyle w:val="bulletlist1"/>
      </w:pPr>
      <w:proofErr w:type="gramStart"/>
      <w:r w:rsidRPr="003E1D83">
        <w:t>decreases</w:t>
      </w:r>
      <w:proofErr w:type="gramEnd"/>
      <w:r w:rsidRPr="003E1D83">
        <w:t xml:space="preserve"> (i.e. negative effect) at higher water temperatures (&gt;30°C) (see Figure 4.</w:t>
      </w:r>
      <w:r w:rsidR="003E1D83" w:rsidRPr="003E1D83">
        <w:t>7</w:t>
      </w:r>
      <w:r w:rsidRPr="003E1D83">
        <w:t xml:space="preserve">). </w:t>
      </w:r>
    </w:p>
    <w:p w:rsidR="00171470" w:rsidRPr="00F31626" w:rsidRDefault="00171470" w:rsidP="00171470">
      <w:r w:rsidRPr="00F31626">
        <w:t xml:space="preserve">These findings may usefully be applied to interpreting annual toxicity monitoring results in Magela and Gulungul </w:t>
      </w:r>
      <w:r>
        <w:t>c</w:t>
      </w:r>
      <w:r w:rsidRPr="00F31626">
        <w:t xml:space="preserve">reeks. While the water quality relationships have limited use in explaining the </w:t>
      </w:r>
      <w:r w:rsidRPr="00F31626">
        <w:rPr>
          <w:i/>
        </w:rPr>
        <w:t>magnitude</w:t>
      </w:r>
      <w:r w:rsidRPr="00F31626">
        <w:t xml:space="preserve"> of egg production at a site, they can generally explain the </w:t>
      </w:r>
      <w:r w:rsidRPr="00F31626">
        <w:rPr>
          <w:i/>
        </w:rPr>
        <w:t>difference</w:t>
      </w:r>
      <w:r w:rsidRPr="00F31626">
        <w:t>, + or –, in egg production between the paired upstream and downstream sites. Unlike the below-average rainfall in the 2012–13 wet season, rainfall during the 2013–14 wet season was above average (Figure 3.1)</w:t>
      </w:r>
      <w:r>
        <w:t>,</w:t>
      </w:r>
      <w:r w:rsidRPr="00F31626">
        <w:t xml:space="preserve"> which resulted in both greater minesite runoff (and thus generally higher downstream EC in both creeks) and generally cooler water temperatures (median values &lt;30°C). This explains why, for most tests in the creeks, there was a return to the typically higher downstream egg production</w:t>
      </w:r>
      <w:r w:rsidR="00501FFF">
        <w:t>. In six Magela Creek tests (#1–4, 10–</w:t>
      </w:r>
      <w:r w:rsidRPr="00F31626">
        <w:t xml:space="preserve">11), however, median water temperatures at (usually) both sites exceeded 30°C and for all but the fourth test, lower downstream (compared to upstream) egg production was observed. </w:t>
      </w:r>
    </w:p>
    <w:p w:rsidR="00CB7315" w:rsidRPr="00F31626" w:rsidRDefault="00CB7315" w:rsidP="00CB7315">
      <w:r w:rsidRPr="00F31626">
        <w:t>A (four-day) downstream me</w:t>
      </w:r>
      <w:r w:rsidR="00171470">
        <w:t>dian EC in Magela and Gulungul c</w:t>
      </w:r>
      <w:r w:rsidRPr="00F31626">
        <w:t xml:space="preserve">reeks greater than </w:t>
      </w:r>
      <w:r w:rsidR="001A5831">
        <w:br/>
      </w:r>
      <w:r w:rsidRPr="00F31626">
        <w:t>20 μS cm</w:t>
      </w:r>
      <w:r w:rsidRPr="005E369F">
        <w:rPr>
          <w:vertAlign w:val="superscript"/>
        </w:rPr>
        <w:t>-1</w:t>
      </w:r>
      <w:r w:rsidRPr="00F31626">
        <w:t>, represents a value typically associated with mine waste water discharges (Supervisi</w:t>
      </w:r>
      <w:r w:rsidR="00DB5D66">
        <w:t>ng Scientist Annual R</w:t>
      </w:r>
      <w:r w:rsidR="005E369F">
        <w:t>eport 2012–</w:t>
      </w:r>
      <w:r w:rsidRPr="00F31626">
        <w:t>13). F</w:t>
      </w:r>
      <w:r w:rsidR="005E369F">
        <w:t>ive of the 12 Magela tests and eight of the nine</w:t>
      </w:r>
      <w:r w:rsidRPr="00F31626">
        <w:t xml:space="preserve"> Gulungul tests were conducted under these minewater exposure regimes. Such elevated EC in two Magela tests conducted at median water temperatures &gt;30°C appear to have contributed to reduced downstream (compared to upstream) egg production while ele</w:t>
      </w:r>
      <w:r w:rsidR="00BA351C">
        <w:t>vated EC in another Magela and eight</w:t>
      </w:r>
      <w:r w:rsidRPr="00F31626">
        <w:t xml:space="preserve"> Gulungul tests conducted at median water temperatures &lt;30°C appear to have contributed to greater downstream (compared to upstream) egg production. At this stage these mine-related ‘effects’, representing enhancement in snail reproductive activity in most cases, are not regarded as constituting environmental concern.</w:t>
      </w:r>
    </w:p>
    <w:p w:rsidR="00F31626" w:rsidRPr="00F31626" w:rsidRDefault="00F31626" w:rsidP="00F31626">
      <w:pPr>
        <w:pStyle w:val="Heading5"/>
      </w:pPr>
      <w:r w:rsidRPr="00F31626">
        <w:t>Bioaccumulation in freshwater mussels</w:t>
      </w:r>
      <w:r w:rsidRPr="00F31626">
        <w:tab/>
      </w:r>
    </w:p>
    <w:p w:rsidR="00CB7315" w:rsidRDefault="00CB7315" w:rsidP="00CB7315">
      <w:proofErr w:type="gramStart"/>
      <w:r>
        <w:t>Some metals and radionuclides bioaccumulate in aquatic biota, in particular, freshwater mussels of Magela Creek and tribut</w:t>
      </w:r>
      <w:r w:rsidR="00171470">
        <w:t>aries.</w:t>
      </w:r>
      <w:proofErr w:type="gramEnd"/>
      <w:r w:rsidR="00171470">
        <w:t xml:space="preserve"> </w:t>
      </w:r>
      <w:r w:rsidR="00EF2DA2">
        <w:t xml:space="preserve"> Due to this ability to bioaccumulate</w:t>
      </w:r>
      <w:r w:rsidR="00171470">
        <w:t xml:space="preserve">, it is </w:t>
      </w:r>
      <w:r>
        <w:t xml:space="preserve">essential to check that food items collected from Magela Creek are fit for human consumption and that </w:t>
      </w:r>
      <w:r w:rsidR="00EF2DA2">
        <w:t xml:space="preserve">the </w:t>
      </w:r>
      <w:r>
        <w:t xml:space="preserve">concentration of metals and radionuclides in organism tissues attributable to Ranger remain within acceptable levels. Enhanced body burdens of mine-derived solutes could also potentially reach limits that may harm the organisms themselves, and hence any elevation in tissue concentrations can provide useful early warning of bioavailability of these constituents. </w:t>
      </w:r>
      <w:r w:rsidR="00EF2DA2">
        <w:t>T</w:t>
      </w:r>
      <w:r>
        <w:t>he bioaccumulation monitoring program</w:t>
      </w:r>
      <w:r w:rsidR="00936D05">
        <w:t>me</w:t>
      </w:r>
      <w:r>
        <w:t xml:space="preserve"> serves an ecosystem protection role in addition to the human health aspect.</w:t>
      </w:r>
    </w:p>
    <w:p w:rsidR="00CB7315" w:rsidRDefault="007C1988" w:rsidP="00CB7315">
      <w:r>
        <w:t>Local I</w:t>
      </w:r>
      <w:r w:rsidR="00171470">
        <w:t>ndigenous</w:t>
      </w:r>
      <w:r w:rsidR="00CB7315">
        <w:t xml:space="preserve"> people harvest fish and mussels from Mudginberri Billabong, 12 km downstream of the Ranger mine (Map 3). Routine monitoring of the levels of radionuclides and some metals in these food items commenced in 2000. Monitoring had not shown any issues of potential concern with regards to bioaccumulation in fish. Hence, the focus of the bioaccumulation monitoring program</w:t>
      </w:r>
      <w:r w:rsidR="00936D05">
        <w:t>me</w:t>
      </w:r>
      <w:r w:rsidR="00CB7315">
        <w:t xml:space="preserve"> has been directed at mussel tissue analysis, while the two-yearly fish sampling program</w:t>
      </w:r>
      <w:r w:rsidR="00936D05">
        <w:t>me</w:t>
      </w:r>
      <w:r w:rsidR="00CB7315">
        <w:t xml:space="preserve"> was discontinued in 2007. Up until 2008, mussels were collected annually from Mudginberri Billabong (the potentially impacted site) and Sandy Billabong (the control site in a different catchment, sampled from 2002 onwards). The results showed that radionuclide burdens in mussels from Mudginberri Billabong were generally about twice that observed in the reference Sandy Billabong. Two research projects reported in previous Supervising Scientist annual reports concluded that this difference was due to natural catchment influences and differences in water chemistry, rather than mining-related inputs to Magela Creek. Thus</w:t>
      </w:r>
      <w:r w:rsidR="00171470">
        <w:t>,</w:t>
      </w:r>
      <w:r w:rsidR="00CB7315">
        <w:t xml:space="preserve"> the scope of the monitoring program</w:t>
      </w:r>
      <w:r w:rsidR="00936D05">
        <w:t>me</w:t>
      </w:r>
      <w:r w:rsidR="00CB7315">
        <w:t xml:space="preserve"> for mussel bioaccumulation was reduced from 2009 onwards. It now involves the annual collection and analysis of a bulk mussel sample from Mudginberri Billabong, rather than analysing separate age-classed mussels from both Mudginberri and Sandy Billabongs. This is done primarily to provide re-assurance that the consumption of mussels does not present a radiological risk to the public. Every three years, starting with the October 2011 collection (reported in the</w:t>
      </w:r>
      <w:r w:rsidR="00DB5D66">
        <w:t xml:space="preserve"> 2011–12 Supervising Scientist Annual R</w:t>
      </w:r>
      <w:r w:rsidR="00CB7315">
        <w:t xml:space="preserve">eport), a detailed study (analysis of aged mussels from Mudginberri and Sandy Billabongs) is conducted and results compared with those from previous years. </w:t>
      </w:r>
    </w:p>
    <w:p w:rsidR="00171470" w:rsidRPr="00DB653C" w:rsidRDefault="00171470" w:rsidP="00171470">
      <w:r w:rsidRPr="00DB653C">
        <w:t>In 2012</w:t>
      </w:r>
      <w:r>
        <w:t>,</w:t>
      </w:r>
      <w:r w:rsidRPr="00DB653C">
        <w:t xml:space="preserve"> an Independent Surface Water Working Group (ISWWG) was convened by ERA and GAC</w:t>
      </w:r>
      <w:r>
        <w:t>,</w:t>
      </w:r>
      <w:r w:rsidRPr="00DB653C">
        <w:t xml:space="preserve"> </w:t>
      </w:r>
      <w:r>
        <w:t>with</w:t>
      </w:r>
      <w:r w:rsidRPr="00DB653C">
        <w:t xml:space="preserve"> findings of this review released in March 2013. </w:t>
      </w:r>
      <w:r>
        <w:t>One</w:t>
      </w:r>
      <w:r w:rsidRPr="00DB653C">
        <w:t xml:space="preserve"> of </w:t>
      </w:r>
      <w:r>
        <w:t xml:space="preserve">the </w:t>
      </w:r>
      <w:r w:rsidRPr="00DB653C">
        <w:t>ISWWG recommendation</w:t>
      </w:r>
      <w:r>
        <w:t>s</w:t>
      </w:r>
      <w:r w:rsidRPr="00DB653C">
        <w:t xml:space="preserve"> w</w:t>
      </w:r>
      <w:r>
        <w:t xml:space="preserve">as </w:t>
      </w:r>
      <w:r w:rsidRPr="00DB653C">
        <w:t xml:space="preserve">for SSD to review existing metals in bush tucker data and provide advice on a potential re-introduction </w:t>
      </w:r>
      <w:proofErr w:type="gramStart"/>
      <w:r w:rsidRPr="00DB653C">
        <w:t>of a metals</w:t>
      </w:r>
      <w:proofErr w:type="gramEnd"/>
      <w:r w:rsidRPr="00DB653C">
        <w:t xml:space="preserve"> in bushtucker monitoring programme. To address this recommendation, a central database for metals in biota has been developed. This database can be used to extract concentrations and investigate bioaccumulation characteristics of various metals in biota tissue, including fish and mussels. Some results for fish and mussels are presented here. </w:t>
      </w:r>
    </w:p>
    <w:p w:rsidR="00171470" w:rsidRPr="00DB653C" w:rsidRDefault="00171470" w:rsidP="00171470">
      <w:r w:rsidRPr="00DB653C">
        <w:t xml:space="preserve">Mussel, sediment and water samples were collected in October 2013 from Mudginberri Billabong. While the routine sampling schedule required just the analysis of a bulk sample for this year, mussels were aged and individual age groups analysed for </w:t>
      </w:r>
      <w:r w:rsidRPr="00BC36A5">
        <w:rPr>
          <w:vertAlign w:val="superscript"/>
        </w:rPr>
        <w:t>226</w:t>
      </w:r>
      <w:r w:rsidRPr="00DB653C">
        <w:t xml:space="preserve">Ra and </w:t>
      </w:r>
      <w:r w:rsidRPr="00BC36A5">
        <w:rPr>
          <w:vertAlign w:val="superscript"/>
        </w:rPr>
        <w:t>210</w:t>
      </w:r>
      <w:r w:rsidRPr="00DB653C">
        <w:t xml:space="preserve">Pb via gamma spectrometry, uranium and other metals via ICPMS, and </w:t>
      </w:r>
      <w:r w:rsidRPr="00BC36A5">
        <w:rPr>
          <w:vertAlign w:val="superscript"/>
        </w:rPr>
        <w:t>210</w:t>
      </w:r>
      <w:r w:rsidRPr="00DB653C">
        <w:t>Po via alpha spectrometry. Typical arsenic, cadmium and lead concentrations measured in mussel and fish tissue as part of SSD’s bioaccumulation monitoring over the past decades are given in this report as well, and are compared with the Australian/New Zealand food standards for these metals in molluscs and fish.</w:t>
      </w:r>
    </w:p>
    <w:p w:rsidR="00DB653C" w:rsidRPr="00DB653C" w:rsidRDefault="00DB653C" w:rsidP="00CB7315">
      <w:pPr>
        <w:pStyle w:val="Heading6"/>
      </w:pPr>
      <w:r w:rsidRPr="00DB653C">
        <w:t>Uranium in f</w:t>
      </w:r>
      <w:r w:rsidRPr="00CB7315">
        <w:t>reshwa</w:t>
      </w:r>
      <w:r w:rsidRPr="00DB653C">
        <w:t>ter mussels</w:t>
      </w:r>
      <w:r w:rsidRPr="00DB653C">
        <w:tab/>
      </w:r>
    </w:p>
    <w:p w:rsidR="00DB653C" w:rsidRDefault="00DB653C" w:rsidP="00DB653C">
      <w:r w:rsidRPr="00DB653C">
        <w:t>Uranium concentrations in mussels (mg</w:t>
      </w:r>
      <w:r w:rsidR="00735363">
        <w:t xml:space="preserve"> </w:t>
      </w:r>
      <w:r w:rsidRPr="00DB653C">
        <w:t>kg</w:t>
      </w:r>
      <w:r w:rsidR="00735363" w:rsidRPr="00735363">
        <w:rPr>
          <w:snapToGrid w:val="0"/>
          <w:color w:val="000000"/>
          <w:position w:val="5"/>
          <w:sz w:val="13"/>
          <w:szCs w:val="0"/>
          <w:u w:color="000000"/>
        </w:rPr>
        <w:t>-1</w:t>
      </w:r>
      <w:r w:rsidRPr="00DB653C">
        <w:t xml:space="preserve"> dry weight) and water collected concurrently from Mudginberri and Sandy Billabongs over the past 14 years are shown in Figure 3.29.</w:t>
      </w:r>
    </w:p>
    <w:p w:rsidR="00B2789C" w:rsidRPr="00B2789C" w:rsidRDefault="00160591" w:rsidP="001A5831">
      <w:pPr>
        <w:spacing w:after="120" w:line="260" w:lineRule="atLeast"/>
        <w:jc w:val="center"/>
        <w:rPr>
          <w:rFonts w:ascii="Arial" w:hAnsi="Arial"/>
          <w:bCs/>
          <w:noProof/>
          <w:sz w:val="16"/>
          <w:highlight w:val="yellow"/>
          <w:lang w:val="en-US"/>
        </w:rPr>
      </w:pPr>
      <w:r w:rsidRPr="00160591">
        <w:rPr>
          <w:noProof/>
          <w:lang w:eastAsia="en-AU"/>
        </w:rPr>
        <w:drawing>
          <wp:inline distT="0" distB="0" distL="0" distR="0">
            <wp:extent cx="4727575" cy="2886360"/>
            <wp:effectExtent l="0" t="0" r="0" b="0"/>
            <wp:docPr id="2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81" cstate="screen"/>
                    <a:srcRect/>
                    <a:stretch>
                      <a:fillRect/>
                    </a:stretch>
                  </pic:blipFill>
                  <pic:spPr bwMode="auto">
                    <a:xfrm>
                      <a:off x="0" y="0"/>
                      <a:ext cx="4727575" cy="2886360"/>
                    </a:xfrm>
                    <a:prstGeom prst="rect">
                      <a:avLst/>
                    </a:prstGeom>
                    <a:noFill/>
                    <a:ln w="9525">
                      <a:noFill/>
                      <a:miter lim="800000"/>
                      <a:headEnd/>
                      <a:tailEnd/>
                    </a:ln>
                  </pic:spPr>
                </pic:pic>
              </a:graphicData>
            </a:graphic>
          </wp:inline>
        </w:drawing>
      </w:r>
      <w:r w:rsidR="00B2789C" w:rsidRPr="00B2789C">
        <w:rPr>
          <w:rFonts w:ascii="Arial" w:hAnsi="Arial"/>
          <w:b/>
          <w:bCs/>
          <w:noProof/>
          <w:sz w:val="16"/>
          <w:lang w:val="en-US"/>
        </w:rPr>
        <w:t>Figure 3.29</w:t>
      </w:r>
      <w:r w:rsidR="00B2789C" w:rsidRPr="00B2789C">
        <w:rPr>
          <w:rFonts w:ascii="Arial" w:hAnsi="Arial"/>
          <w:bCs/>
          <w:noProof/>
          <w:sz w:val="16"/>
          <w:lang w:val="en-US"/>
        </w:rPr>
        <w:t xml:space="preserve">  Mean concentrations of </w:t>
      </w:r>
      <w:r w:rsidR="00AA7CA0">
        <w:rPr>
          <w:rFonts w:ascii="Arial" w:hAnsi="Arial"/>
          <w:bCs/>
          <w:noProof/>
          <w:sz w:val="16"/>
          <w:lang w:val="en-US"/>
        </w:rPr>
        <w:t>uranium (</w:t>
      </w:r>
      <w:r w:rsidR="00B2789C" w:rsidRPr="00B2789C">
        <w:rPr>
          <w:rFonts w:ascii="Arial" w:hAnsi="Arial"/>
          <w:bCs/>
          <w:noProof/>
          <w:sz w:val="16"/>
          <w:lang w:val="en-US"/>
        </w:rPr>
        <w:t>U</w:t>
      </w:r>
      <w:r w:rsidR="00AA7CA0">
        <w:rPr>
          <w:rFonts w:ascii="Arial" w:hAnsi="Arial"/>
          <w:bCs/>
          <w:noProof/>
          <w:sz w:val="16"/>
          <w:lang w:val="en-US"/>
        </w:rPr>
        <w:t>)</w:t>
      </w:r>
      <w:r w:rsidR="00B2789C" w:rsidRPr="00B2789C">
        <w:rPr>
          <w:rFonts w:ascii="Arial" w:hAnsi="Arial"/>
          <w:bCs/>
          <w:noProof/>
          <w:sz w:val="16"/>
          <w:lang w:val="en-US"/>
        </w:rPr>
        <w:t xml:space="preserve"> measured in mussel soft-parts and water samples collected from Mudginberri and Sandy Billabongs since 2000.</w:t>
      </w:r>
    </w:p>
    <w:p w:rsidR="00CB7315" w:rsidRPr="009B371D" w:rsidRDefault="00CB7315" w:rsidP="00CB7315">
      <w:r w:rsidRPr="009B371D">
        <w:t xml:space="preserve">The average concentrations of uranium in mussels from Mudginberri Billabong are very similar from 2000 onwards, with no evidence of an increasing trend in concentration over time. Essentially constant and low levels were also observed between 1989 and 1995 (previous reports). Notwithstanding some bioaccumulation with age, uranium in mussels is reported to have a short biological half-life, a conclusion that is supported by our data. The low and constant uranium concentrations including the last sample taken in October 2013 indicate absence of any mining influence. </w:t>
      </w:r>
    </w:p>
    <w:p w:rsidR="009B371D" w:rsidRPr="009B371D" w:rsidRDefault="009B371D" w:rsidP="009B371D">
      <w:pPr>
        <w:pStyle w:val="Heading6"/>
      </w:pPr>
      <w:r w:rsidRPr="000A399D">
        <w:rPr>
          <w:vertAlign w:val="superscript"/>
        </w:rPr>
        <w:t>226</w:t>
      </w:r>
      <w:r w:rsidRPr="009B371D">
        <w:t xml:space="preserve">Ra, </w:t>
      </w:r>
      <w:r w:rsidRPr="000A399D">
        <w:rPr>
          <w:vertAlign w:val="superscript"/>
        </w:rPr>
        <w:t>210</w:t>
      </w:r>
      <w:r w:rsidRPr="009B371D">
        <w:t xml:space="preserve">Pb and </w:t>
      </w:r>
      <w:r w:rsidRPr="000A399D">
        <w:rPr>
          <w:vertAlign w:val="superscript"/>
        </w:rPr>
        <w:t>210</w:t>
      </w:r>
      <w:r w:rsidRPr="009B371D">
        <w:t>Po in mussels</w:t>
      </w:r>
    </w:p>
    <w:p w:rsidR="00CB7315" w:rsidRPr="009B371D" w:rsidRDefault="00CB7315" w:rsidP="00CB7315">
      <w:r w:rsidRPr="000A399D">
        <w:rPr>
          <w:vertAlign w:val="superscript"/>
        </w:rPr>
        <w:t>226</w:t>
      </w:r>
      <w:r w:rsidRPr="009B371D">
        <w:t xml:space="preserve">Ra, </w:t>
      </w:r>
      <w:r w:rsidRPr="000A399D">
        <w:rPr>
          <w:vertAlign w:val="superscript"/>
        </w:rPr>
        <w:t>210</w:t>
      </w:r>
      <w:r w:rsidRPr="009B371D">
        <w:t xml:space="preserve">Pb and </w:t>
      </w:r>
      <w:r w:rsidRPr="000A399D">
        <w:rPr>
          <w:vertAlign w:val="superscript"/>
        </w:rPr>
        <w:t>210</w:t>
      </w:r>
      <w:r w:rsidRPr="009B371D">
        <w:t>Po activity concentrations (Bq</w:t>
      </w:r>
      <w:r w:rsidR="00160591">
        <w:t xml:space="preserve"> </w:t>
      </w:r>
      <w:r w:rsidRPr="009B371D">
        <w:t>kg</w:t>
      </w:r>
      <w:r w:rsidR="00160591" w:rsidRPr="00160591">
        <w:rPr>
          <w:snapToGrid w:val="0"/>
          <w:color w:val="000000"/>
          <w:position w:val="5"/>
          <w:sz w:val="13"/>
          <w:szCs w:val="0"/>
          <w:u w:color="000000"/>
        </w:rPr>
        <w:t>-1</w:t>
      </w:r>
      <w:r w:rsidRPr="009B371D">
        <w:t xml:space="preserve"> dry weight) in mussels collected from Mudginberri Billabong in 2013 are compared with the average activity concentrations measured in previous years in Figure 3.30. </w:t>
      </w:r>
      <w:r w:rsidRPr="000A399D">
        <w:rPr>
          <w:vertAlign w:val="superscript"/>
        </w:rPr>
        <w:t>226</w:t>
      </w:r>
      <w:r w:rsidRPr="009B371D">
        <w:t xml:space="preserve">Ra activity concentrations appear higher in mussels collected in 2013 compared to the average from previous collections. </w:t>
      </w:r>
      <w:r w:rsidRPr="000A399D">
        <w:rPr>
          <w:vertAlign w:val="superscript"/>
        </w:rPr>
        <w:t>210</w:t>
      </w:r>
      <w:r w:rsidRPr="009B371D">
        <w:t xml:space="preserve">Po is higher than the </w:t>
      </w:r>
      <w:r w:rsidRPr="000A399D">
        <w:rPr>
          <w:vertAlign w:val="superscript"/>
        </w:rPr>
        <w:t>210</w:t>
      </w:r>
      <w:r w:rsidRPr="009B371D">
        <w:t xml:space="preserve">Pb activity concentration, indicating higher accumulation of </w:t>
      </w:r>
      <w:r w:rsidRPr="000A399D">
        <w:rPr>
          <w:vertAlign w:val="superscript"/>
        </w:rPr>
        <w:t>210</w:t>
      </w:r>
      <w:r w:rsidRPr="009B371D">
        <w:t xml:space="preserve">Po from the water column compared to </w:t>
      </w:r>
      <w:r w:rsidRPr="000A399D">
        <w:rPr>
          <w:vertAlign w:val="superscript"/>
        </w:rPr>
        <w:t>210</w:t>
      </w:r>
      <w:r w:rsidRPr="009B371D">
        <w:t xml:space="preserve">Pb, in agreement with previous observations in the Alligator Rivers Region and elsewhere. There is no increase in </w:t>
      </w:r>
      <w:r w:rsidRPr="001619E2">
        <w:rPr>
          <w:vertAlign w:val="superscript"/>
        </w:rPr>
        <w:t>210</w:t>
      </w:r>
      <w:r w:rsidRPr="009B371D">
        <w:t xml:space="preserve">Po activity concentration with age in 1–10 year old mussels, consistent with its short </w:t>
      </w:r>
      <w:r>
        <w:t xml:space="preserve">physical halflife of 138 days. </w:t>
      </w:r>
      <w:r w:rsidRPr="009B371D">
        <w:t xml:space="preserve">Average </w:t>
      </w:r>
      <w:r w:rsidRPr="000A399D">
        <w:rPr>
          <w:vertAlign w:val="superscript"/>
        </w:rPr>
        <w:t>210</w:t>
      </w:r>
      <w:r w:rsidRPr="009B371D">
        <w:t xml:space="preserve">Po activity concentration in mussels collected in 2013 (open symbols: 420 ± 60 </w:t>
      </w:r>
      <w:r w:rsidR="005E369F">
        <w:t xml:space="preserve">Bq </w:t>
      </w:r>
      <w:r w:rsidRPr="009B371D">
        <w:t>kg</w:t>
      </w:r>
      <w:r w:rsidR="005E369F" w:rsidRPr="005E369F">
        <w:rPr>
          <w:vertAlign w:val="superscript"/>
        </w:rPr>
        <w:t>-1</w:t>
      </w:r>
      <w:r w:rsidRPr="009B371D">
        <w:t>) is higher than in 2</w:t>
      </w:r>
      <w:r w:rsidR="005E369F">
        <w:t xml:space="preserve">012 (solid symbols: 350 ± 30 Bq </w:t>
      </w:r>
      <w:r w:rsidRPr="009B371D">
        <w:t>kg</w:t>
      </w:r>
      <w:r w:rsidR="005E369F" w:rsidRPr="005E369F">
        <w:rPr>
          <w:vertAlign w:val="superscript"/>
        </w:rPr>
        <w:t>-1</w:t>
      </w:r>
      <w:r w:rsidRPr="009B371D">
        <w:t xml:space="preserve">), in particular in three, four, five and six year old mussels. The higher </w:t>
      </w:r>
      <w:r w:rsidRPr="000A399D">
        <w:rPr>
          <w:vertAlign w:val="superscript"/>
        </w:rPr>
        <w:t>226</w:t>
      </w:r>
      <w:r w:rsidRPr="009B371D">
        <w:t xml:space="preserve">Ra and </w:t>
      </w:r>
      <w:r w:rsidRPr="000A399D">
        <w:rPr>
          <w:vertAlign w:val="superscript"/>
        </w:rPr>
        <w:t>210</w:t>
      </w:r>
      <w:r w:rsidRPr="009B371D">
        <w:t>Po activity concentrations are unlikely to be mine-related.</w:t>
      </w:r>
    </w:p>
    <w:p w:rsidR="009B371D" w:rsidRPr="009B371D" w:rsidRDefault="001C30B8" w:rsidP="009B371D">
      <w:pPr>
        <w:spacing w:after="120" w:line="260" w:lineRule="atLeast"/>
        <w:jc w:val="center"/>
        <w:rPr>
          <w:highlight w:val="yellow"/>
        </w:rPr>
      </w:pPr>
      <w:r w:rsidRPr="001C30B8">
        <w:rPr>
          <w:noProof/>
          <w:lang w:eastAsia="en-AU"/>
        </w:rPr>
        <w:drawing>
          <wp:inline distT="0" distB="0" distL="0" distR="0">
            <wp:extent cx="4725227" cy="2305878"/>
            <wp:effectExtent l="19050" t="0" r="0" b="0"/>
            <wp:docPr id="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2" cstate="screen"/>
                    <a:srcRect/>
                    <a:stretch>
                      <a:fillRect/>
                    </a:stretch>
                  </pic:blipFill>
                  <pic:spPr bwMode="auto">
                    <a:xfrm>
                      <a:off x="0" y="0"/>
                      <a:ext cx="4727575" cy="2307024"/>
                    </a:xfrm>
                    <a:prstGeom prst="rect">
                      <a:avLst/>
                    </a:prstGeom>
                    <a:noFill/>
                    <a:ln w="9525">
                      <a:noFill/>
                      <a:miter lim="800000"/>
                      <a:headEnd/>
                      <a:tailEnd/>
                    </a:ln>
                  </pic:spPr>
                </pic:pic>
              </a:graphicData>
            </a:graphic>
          </wp:inline>
        </w:drawing>
      </w:r>
    </w:p>
    <w:p w:rsidR="009B371D" w:rsidRPr="001C30B8" w:rsidRDefault="009B371D" w:rsidP="009B371D">
      <w:pPr>
        <w:spacing w:after="240" w:line="220" w:lineRule="atLeast"/>
        <w:jc w:val="center"/>
        <w:rPr>
          <w:rFonts w:ascii="Arial" w:hAnsi="Arial"/>
          <w:bCs/>
          <w:noProof/>
          <w:sz w:val="16"/>
          <w:lang w:val="en-US"/>
        </w:rPr>
      </w:pPr>
      <w:r w:rsidRPr="001C30B8">
        <w:rPr>
          <w:rFonts w:ascii="Arial" w:hAnsi="Arial"/>
          <w:b/>
          <w:bCs/>
          <w:noProof/>
          <w:sz w:val="16"/>
          <w:lang w:val="en-US"/>
        </w:rPr>
        <w:t>Figure 3.30</w:t>
      </w:r>
      <w:r w:rsidRPr="001C30B8">
        <w:rPr>
          <w:rFonts w:ascii="Arial" w:hAnsi="Arial"/>
          <w:bCs/>
          <w:noProof/>
          <w:sz w:val="16"/>
          <w:lang w:val="en-US"/>
        </w:rPr>
        <w:t xml:space="preserve">  </w:t>
      </w:r>
      <w:r w:rsidRPr="001C30B8">
        <w:rPr>
          <w:rFonts w:ascii="Arial" w:hAnsi="Arial"/>
          <w:bCs/>
          <w:noProof/>
          <w:snapToGrid w:val="0"/>
          <w:color w:val="000000"/>
          <w:position w:val="4"/>
          <w:sz w:val="12"/>
          <w:szCs w:val="0"/>
          <w:u w:color="000000"/>
          <w:lang w:val="en-US" w:eastAsia="en-AU"/>
        </w:rPr>
        <w:t>226</w:t>
      </w:r>
      <w:r w:rsidRPr="001C30B8">
        <w:rPr>
          <w:rFonts w:ascii="Arial" w:hAnsi="Arial"/>
          <w:bCs/>
          <w:noProof/>
          <w:sz w:val="16"/>
          <w:lang w:val="en-US" w:eastAsia="en-AU"/>
        </w:rPr>
        <w:t xml:space="preserve">Ra, </w:t>
      </w:r>
      <w:r w:rsidRPr="001C30B8">
        <w:rPr>
          <w:rFonts w:ascii="Arial" w:hAnsi="Arial"/>
          <w:bCs/>
          <w:noProof/>
          <w:snapToGrid w:val="0"/>
          <w:color w:val="000000"/>
          <w:position w:val="4"/>
          <w:sz w:val="12"/>
          <w:szCs w:val="0"/>
          <w:u w:color="000000"/>
          <w:lang w:val="en-US" w:eastAsia="en-AU"/>
        </w:rPr>
        <w:t>210</w:t>
      </w:r>
      <w:r w:rsidRPr="001C30B8">
        <w:rPr>
          <w:rFonts w:ascii="Arial" w:hAnsi="Arial"/>
          <w:bCs/>
          <w:noProof/>
          <w:sz w:val="16"/>
          <w:lang w:val="en-US" w:eastAsia="en-AU"/>
        </w:rPr>
        <w:t xml:space="preserve">Pb and </w:t>
      </w:r>
      <w:r w:rsidRPr="001C30B8">
        <w:rPr>
          <w:rFonts w:ascii="Arial" w:hAnsi="Arial"/>
          <w:bCs/>
          <w:noProof/>
          <w:snapToGrid w:val="0"/>
          <w:color w:val="000000"/>
          <w:position w:val="4"/>
          <w:sz w:val="12"/>
          <w:szCs w:val="0"/>
          <w:u w:color="000000"/>
          <w:lang w:val="en-US" w:eastAsia="en-AU"/>
        </w:rPr>
        <w:t>210</w:t>
      </w:r>
      <w:r w:rsidRPr="001C30B8">
        <w:rPr>
          <w:rFonts w:ascii="Arial" w:hAnsi="Arial"/>
          <w:bCs/>
          <w:noProof/>
          <w:sz w:val="16"/>
          <w:lang w:val="en-US" w:eastAsia="en-AU"/>
        </w:rPr>
        <w:t>Po activity concentrations measured in dry mussel flesh from Mudginberri Billabong plotted against mussel age. Averages of previous end of dry season collections (2000–12) are shown as solid symbols, open symbols show the results from the 2013 collection. The errors shown are 1 standard deviation (1sd) of the mean</w:t>
      </w:r>
      <w:r w:rsidR="00630309">
        <w:rPr>
          <w:rFonts w:ascii="Arial" w:hAnsi="Arial"/>
          <w:bCs/>
          <w:noProof/>
          <w:sz w:val="16"/>
          <w:lang w:val="en-US" w:eastAsia="en-AU"/>
        </w:rPr>
        <w:t>.</w:t>
      </w:r>
    </w:p>
    <w:p w:rsidR="00CB7315" w:rsidRPr="009B371D" w:rsidRDefault="00CB7315" w:rsidP="00CB7315">
      <w:r w:rsidRPr="009B371D">
        <w:t xml:space="preserve">Figure 3.31 shows that </w:t>
      </w:r>
      <w:r w:rsidRPr="000A399D">
        <w:rPr>
          <w:vertAlign w:val="superscript"/>
        </w:rPr>
        <w:t>228</w:t>
      </w:r>
      <w:r w:rsidRPr="009B371D">
        <w:t xml:space="preserve">Ra activity concentrations in mussels collected in 2013 were higher on average, although the </w:t>
      </w:r>
      <w:r w:rsidR="000A399D" w:rsidRPr="000A399D">
        <w:rPr>
          <w:vertAlign w:val="superscript"/>
        </w:rPr>
        <w:t>228</w:t>
      </w:r>
      <w:r w:rsidR="000A399D" w:rsidRPr="009B371D">
        <w:t>Ra</w:t>
      </w:r>
      <w:r w:rsidRPr="009B371D">
        <w:t xml:space="preserve"> isotope is a member of the thorium decay series and unrelated to uranium mining activities. In addition, Figure 3.31 shows that, the </w:t>
      </w:r>
      <w:r w:rsidR="000A399D" w:rsidRPr="000A399D">
        <w:rPr>
          <w:vertAlign w:val="superscript"/>
        </w:rPr>
        <w:t>228</w:t>
      </w:r>
      <w:r w:rsidR="000A399D" w:rsidRPr="009B371D">
        <w:t xml:space="preserve">Ra </w:t>
      </w:r>
      <w:r w:rsidRPr="009B371D">
        <w:t>/</w:t>
      </w:r>
      <w:r w:rsidR="000A399D" w:rsidRPr="000A399D">
        <w:rPr>
          <w:vertAlign w:val="superscript"/>
        </w:rPr>
        <w:t>226</w:t>
      </w:r>
      <w:r w:rsidR="000A399D" w:rsidRPr="009B371D">
        <w:t>Ra</w:t>
      </w:r>
      <w:r w:rsidRPr="009B371D">
        <w:t xml:space="preserve"> activity ratios in aged mussels have not changed in 2013, indicating that the increase in </w:t>
      </w:r>
      <w:r w:rsidRPr="001A5831">
        <w:rPr>
          <w:vertAlign w:val="superscript"/>
        </w:rPr>
        <w:t>226</w:t>
      </w:r>
      <w:r w:rsidRPr="009B371D">
        <w:t xml:space="preserve">Ra activity concentrations are not due to any mine related increases in water </w:t>
      </w:r>
      <w:r w:rsidR="000A399D" w:rsidRPr="000A399D">
        <w:rPr>
          <w:vertAlign w:val="superscript"/>
        </w:rPr>
        <w:t>226</w:t>
      </w:r>
      <w:r w:rsidR="000A399D" w:rsidRPr="009B371D">
        <w:t>Ra</w:t>
      </w:r>
      <w:r w:rsidRPr="009B371D">
        <w:t xml:space="preserve"> activity concentrations. This is confirmed by the low water </w:t>
      </w:r>
      <w:r w:rsidRPr="000A399D">
        <w:rPr>
          <w:vertAlign w:val="superscript"/>
        </w:rPr>
        <w:t>226</w:t>
      </w:r>
      <w:r w:rsidRPr="009B371D">
        <w:t>Ra activity concentration in Mudginberri Billabong in Oct</w:t>
      </w:r>
      <w:r w:rsidR="005E369F">
        <w:t xml:space="preserve">ober 2013 of only 1.46±0.14 mBq </w:t>
      </w:r>
      <w:r w:rsidRPr="009B371D">
        <w:t>L</w:t>
      </w:r>
      <w:r w:rsidR="005E369F" w:rsidRPr="005E369F">
        <w:rPr>
          <w:vertAlign w:val="superscript"/>
        </w:rPr>
        <w:t>-1</w:t>
      </w:r>
      <w:r w:rsidRPr="009B371D">
        <w:t>.</w:t>
      </w:r>
      <w:r w:rsidR="00DA4174">
        <w:br/>
      </w:r>
    </w:p>
    <w:p w:rsidR="009B371D" w:rsidRPr="009B371D" w:rsidRDefault="001C30B8" w:rsidP="009B371D">
      <w:pPr>
        <w:spacing w:after="120" w:line="260" w:lineRule="atLeast"/>
        <w:jc w:val="center"/>
        <w:rPr>
          <w:highlight w:val="yellow"/>
        </w:rPr>
      </w:pPr>
      <w:r w:rsidRPr="001C30B8">
        <w:rPr>
          <w:noProof/>
          <w:lang w:eastAsia="en-AU"/>
        </w:rPr>
        <w:drawing>
          <wp:inline distT="0" distB="0" distL="0" distR="0">
            <wp:extent cx="4723749" cy="2252869"/>
            <wp:effectExtent l="19050" t="0" r="651" b="0"/>
            <wp:docPr id="10"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3" cstate="screen"/>
                    <a:srcRect/>
                    <a:stretch>
                      <a:fillRect/>
                    </a:stretch>
                  </pic:blipFill>
                  <pic:spPr bwMode="auto">
                    <a:xfrm>
                      <a:off x="0" y="0"/>
                      <a:ext cx="4727575" cy="2254694"/>
                    </a:xfrm>
                    <a:prstGeom prst="rect">
                      <a:avLst/>
                    </a:prstGeom>
                    <a:noFill/>
                    <a:ln w="9525">
                      <a:noFill/>
                      <a:miter lim="800000"/>
                      <a:headEnd/>
                      <a:tailEnd/>
                    </a:ln>
                  </pic:spPr>
                </pic:pic>
              </a:graphicData>
            </a:graphic>
          </wp:inline>
        </w:drawing>
      </w:r>
    </w:p>
    <w:p w:rsidR="009B371D" w:rsidRPr="001C30B8" w:rsidRDefault="009B371D" w:rsidP="009B371D">
      <w:pPr>
        <w:spacing w:after="240" w:line="220" w:lineRule="atLeast"/>
        <w:jc w:val="center"/>
        <w:rPr>
          <w:rFonts w:ascii="Arial" w:hAnsi="Arial"/>
          <w:bCs/>
          <w:noProof/>
          <w:sz w:val="16"/>
          <w:lang w:val="en-US"/>
        </w:rPr>
      </w:pPr>
      <w:r w:rsidRPr="001C30B8">
        <w:rPr>
          <w:rFonts w:ascii="Arial" w:hAnsi="Arial"/>
          <w:b/>
          <w:bCs/>
          <w:noProof/>
          <w:sz w:val="16"/>
          <w:lang w:val="en-US"/>
        </w:rPr>
        <w:t>Figure 3.31</w:t>
      </w:r>
      <w:r w:rsidRPr="001C30B8">
        <w:rPr>
          <w:rFonts w:ascii="Arial" w:hAnsi="Arial"/>
          <w:bCs/>
          <w:noProof/>
          <w:sz w:val="16"/>
          <w:lang w:val="en-US"/>
        </w:rPr>
        <w:t xml:space="preserve"> </w:t>
      </w:r>
      <w:r w:rsidRPr="001C30B8">
        <w:rPr>
          <w:rFonts w:ascii="Arial" w:hAnsi="Arial"/>
          <w:bCs/>
          <w:noProof/>
          <w:snapToGrid w:val="0"/>
          <w:color w:val="000000"/>
          <w:position w:val="4"/>
          <w:sz w:val="12"/>
          <w:szCs w:val="0"/>
          <w:u w:color="000000"/>
          <w:lang w:val="en-US" w:eastAsia="en-AU"/>
        </w:rPr>
        <w:t>228</w:t>
      </w:r>
      <w:r w:rsidRPr="001C30B8">
        <w:rPr>
          <w:rFonts w:ascii="Arial" w:hAnsi="Arial"/>
          <w:bCs/>
          <w:noProof/>
          <w:sz w:val="16"/>
          <w:lang w:val="en-US" w:eastAsia="en-AU"/>
        </w:rPr>
        <w:t xml:space="preserve">Ra activity concentrations and </w:t>
      </w:r>
      <w:r w:rsidRPr="001C30B8">
        <w:rPr>
          <w:rFonts w:ascii="Arial" w:hAnsi="Arial"/>
          <w:bCs/>
          <w:noProof/>
          <w:snapToGrid w:val="0"/>
          <w:color w:val="000000"/>
          <w:position w:val="4"/>
          <w:sz w:val="12"/>
          <w:szCs w:val="0"/>
          <w:u w:color="000000"/>
          <w:lang w:val="en-US" w:eastAsia="en-AU"/>
        </w:rPr>
        <w:t>228</w:t>
      </w:r>
      <w:r w:rsidRPr="001C30B8">
        <w:rPr>
          <w:rFonts w:ascii="Arial" w:hAnsi="Arial"/>
          <w:bCs/>
          <w:noProof/>
          <w:sz w:val="16"/>
          <w:lang w:val="en-US" w:eastAsia="en-AU"/>
        </w:rPr>
        <w:t>Ra/</w:t>
      </w:r>
      <w:r w:rsidRPr="001C30B8">
        <w:rPr>
          <w:rFonts w:ascii="Arial" w:hAnsi="Arial"/>
          <w:bCs/>
          <w:noProof/>
          <w:snapToGrid w:val="0"/>
          <w:color w:val="000000"/>
          <w:position w:val="4"/>
          <w:sz w:val="12"/>
          <w:szCs w:val="0"/>
          <w:u w:color="000000"/>
          <w:lang w:val="en-US" w:eastAsia="en-AU"/>
        </w:rPr>
        <w:t>226</w:t>
      </w:r>
      <w:r w:rsidRPr="001C30B8">
        <w:rPr>
          <w:rFonts w:ascii="Arial" w:hAnsi="Arial"/>
          <w:bCs/>
          <w:noProof/>
          <w:sz w:val="16"/>
          <w:lang w:val="en-US" w:eastAsia="en-AU"/>
        </w:rPr>
        <w:t>Ra activity ratios in dry mussel flesh from Mudginberri Billabong plotted against mussel age. Averages of previous end of dry season collections (2000–12) are shown as solid symbols, open symbols show the results from the 2013 collection</w:t>
      </w:r>
      <w:r w:rsidR="00630309">
        <w:rPr>
          <w:rFonts w:ascii="Arial" w:hAnsi="Arial"/>
          <w:bCs/>
          <w:noProof/>
          <w:sz w:val="16"/>
          <w:lang w:val="en-US" w:eastAsia="en-AU"/>
        </w:rPr>
        <w:t>.</w:t>
      </w:r>
    </w:p>
    <w:p w:rsidR="009B371D" w:rsidRPr="009B371D" w:rsidRDefault="009B371D" w:rsidP="009B371D">
      <w:pPr>
        <w:pStyle w:val="Heading6"/>
      </w:pPr>
      <w:r w:rsidRPr="009B371D">
        <w:t>Arsenic, cadmium and lead in mussel and fish tissue from Mudginberri Billabong</w:t>
      </w:r>
    </w:p>
    <w:p w:rsidR="00CB7315" w:rsidRPr="009B371D" w:rsidRDefault="0061567C" w:rsidP="00CB7315">
      <w:r>
        <w:t>Table 3.9</w:t>
      </w:r>
      <w:r w:rsidR="00CB7315" w:rsidRPr="009B371D">
        <w:t xml:space="preserve"> shows the average concentrations of arsenic (As), cadmium (Cd) and lead (Pb) measured in mussel and fish tissue collected during past monitoring in Mudginberri Billabong. </w:t>
      </w:r>
    </w:p>
    <w:p w:rsidR="00CB7315" w:rsidRDefault="00CB7315" w:rsidP="00CB7315">
      <w:r w:rsidRPr="009B371D">
        <w:t>The BRUCE tool, a database that has been developed by SSD to collate biota and media radionuclide data and calculate concentration ratios for various biota-radionuclide combinat</w:t>
      </w:r>
      <w:r w:rsidR="00DB5D66">
        <w:t xml:space="preserve">ions (described </w:t>
      </w:r>
      <w:proofErr w:type="gramStart"/>
      <w:r w:rsidR="00DB5D66">
        <w:t>in the 2010–11 A</w:t>
      </w:r>
      <w:r w:rsidR="003D14A0">
        <w:t>nnual R</w:t>
      </w:r>
      <w:r w:rsidRPr="009B371D">
        <w:t>eport</w:t>
      </w:r>
      <w:proofErr w:type="gramEnd"/>
      <w:r w:rsidRPr="009B371D">
        <w:t>), has been amended in 2013 to include metal concentration data and is continually being populated. The tool has been used to extract geometric mean, or typical, concentrations on a wet tissue weight basis for As, Cd and Pb.</w:t>
      </w:r>
      <w:r w:rsidR="00046F0D">
        <w:t xml:space="preserve"> </w:t>
      </w:r>
    </w:p>
    <w:tbl>
      <w:tblPr>
        <w:tblStyle w:val="TableGrid"/>
        <w:tblW w:w="7077" w:type="dxa"/>
        <w:tblLook w:val="04A0"/>
      </w:tblPr>
      <w:tblGrid>
        <w:gridCol w:w="982"/>
        <w:gridCol w:w="850"/>
        <w:gridCol w:w="1418"/>
        <w:gridCol w:w="1970"/>
        <w:gridCol w:w="1857"/>
      </w:tblGrid>
      <w:tr w:rsidR="00046F0D" w:rsidRPr="00F31626" w:rsidTr="00046F0D">
        <w:trPr>
          <w:trHeight w:val="760"/>
        </w:trPr>
        <w:tc>
          <w:tcPr>
            <w:tcW w:w="7077" w:type="dxa"/>
            <w:gridSpan w:val="5"/>
            <w:tcBorders>
              <w:top w:val="nil"/>
              <w:left w:val="nil"/>
              <w:bottom w:val="single" w:sz="4" w:space="0" w:color="auto"/>
              <w:right w:val="nil"/>
            </w:tcBorders>
            <w:shd w:val="clear" w:color="auto" w:fill="D9D9D9" w:themeFill="background1" w:themeFillShade="D9"/>
          </w:tcPr>
          <w:p w:rsidR="00046F0D" w:rsidRPr="00F31626" w:rsidRDefault="00046F0D" w:rsidP="00160591">
            <w:pPr>
              <w:keepNext/>
              <w:spacing w:before="120" w:after="120" w:line="240" w:lineRule="atLeast"/>
              <w:jc w:val="both"/>
              <w:rPr>
                <w:rFonts w:cs="Arial"/>
                <w:b/>
                <w:caps/>
                <w:sz w:val="18"/>
              </w:rPr>
            </w:pPr>
            <w:r w:rsidRPr="00F31626">
              <w:rPr>
                <w:rFonts w:cs="Arial"/>
                <w:b/>
                <w:caps/>
                <w:sz w:val="18"/>
              </w:rPr>
              <w:t>TABLE 3.</w:t>
            </w:r>
            <w:r>
              <w:rPr>
                <w:rFonts w:cs="Arial"/>
                <w:b/>
                <w:caps/>
                <w:sz w:val="18"/>
              </w:rPr>
              <w:t>9</w:t>
            </w:r>
            <w:r w:rsidRPr="00F31626">
              <w:rPr>
                <w:rFonts w:cs="Arial"/>
                <w:b/>
                <w:caps/>
                <w:sz w:val="18"/>
              </w:rPr>
              <w:t xml:space="preserve"> </w:t>
            </w:r>
            <w:r w:rsidRPr="00046F0D">
              <w:rPr>
                <w:rFonts w:cs="Arial"/>
                <w:b/>
                <w:caps/>
                <w:sz w:val="18"/>
              </w:rPr>
              <w:t xml:space="preserve">Maximum levels for metal contaminants in fish and molluscs given in the Australian/New Zealand food standard and typical concentrations </w:t>
            </w:r>
            <w:r>
              <w:rPr>
                <w:rFonts w:cs="Arial"/>
                <w:b/>
                <w:caps/>
                <w:sz w:val="18"/>
              </w:rPr>
              <w:t>(</w:t>
            </w:r>
            <w:r w:rsidRPr="00046F0D">
              <w:rPr>
                <w:b/>
              </w:rPr>
              <w:t>Mg</w:t>
            </w:r>
            <w:r w:rsidR="00160591">
              <w:rPr>
                <w:b/>
              </w:rPr>
              <w:t xml:space="preserve"> </w:t>
            </w:r>
            <w:r w:rsidRPr="00046F0D">
              <w:rPr>
                <w:b/>
              </w:rPr>
              <w:t>kg</w:t>
            </w:r>
            <w:r w:rsidR="00160591" w:rsidRPr="00160591">
              <w:rPr>
                <w:b/>
                <w:snapToGrid w:val="0"/>
                <w:color w:val="000000"/>
                <w:position w:val="5"/>
                <w:sz w:val="13"/>
                <w:szCs w:val="0"/>
                <w:u w:color="000000"/>
              </w:rPr>
              <w:t>-1</w:t>
            </w:r>
            <w:r w:rsidRPr="00046F0D">
              <w:rPr>
                <w:rFonts w:cs="Arial"/>
                <w:b/>
                <w:caps/>
                <w:sz w:val="18"/>
              </w:rPr>
              <w:t xml:space="preserve"> </w:t>
            </w:r>
            <w:r>
              <w:rPr>
                <w:rFonts w:cs="Arial"/>
                <w:b/>
                <w:caps/>
                <w:sz w:val="18"/>
              </w:rPr>
              <w:t xml:space="preserve">wet weight) </w:t>
            </w:r>
            <w:r w:rsidRPr="00046F0D">
              <w:rPr>
                <w:rFonts w:cs="Arial"/>
                <w:b/>
                <w:caps/>
                <w:sz w:val="18"/>
              </w:rPr>
              <w:t>measured in fish and freshwater mussel tissue collected from Mudginberri and Sandy Billabongs</w:t>
            </w:r>
          </w:p>
        </w:tc>
      </w:tr>
      <w:tr w:rsidR="0011594C" w:rsidRPr="00F31626" w:rsidTr="00046F0D">
        <w:tc>
          <w:tcPr>
            <w:tcW w:w="982" w:type="dxa"/>
            <w:tcBorders>
              <w:top w:val="single" w:sz="4" w:space="0" w:color="auto"/>
              <w:left w:val="nil"/>
              <w:bottom w:val="single" w:sz="4" w:space="0" w:color="auto"/>
              <w:right w:val="nil"/>
            </w:tcBorders>
          </w:tcPr>
          <w:p w:rsidR="0011594C" w:rsidRPr="00F31626" w:rsidRDefault="0011594C" w:rsidP="00BA4ED8">
            <w:pPr>
              <w:spacing w:before="60" w:after="60" w:line="220" w:lineRule="atLeast"/>
              <w:jc w:val="both"/>
              <w:rPr>
                <w:rFonts w:ascii="Arial" w:eastAsia="Arial Unicode MS" w:hAnsi="Arial"/>
                <w:b/>
                <w:sz w:val="16"/>
              </w:rPr>
            </w:pPr>
            <w:r>
              <w:rPr>
                <w:rFonts w:ascii="Arial" w:eastAsia="Arial Unicode MS" w:hAnsi="Arial"/>
                <w:b/>
                <w:sz w:val="16"/>
              </w:rPr>
              <w:t>Biota</w:t>
            </w:r>
          </w:p>
        </w:tc>
        <w:tc>
          <w:tcPr>
            <w:tcW w:w="850" w:type="dxa"/>
            <w:tcBorders>
              <w:top w:val="single" w:sz="4" w:space="0" w:color="auto"/>
              <w:left w:val="nil"/>
              <w:bottom w:val="single" w:sz="4" w:space="0" w:color="auto"/>
              <w:right w:val="nil"/>
            </w:tcBorders>
          </w:tcPr>
          <w:p w:rsidR="0011594C" w:rsidRDefault="0011594C" w:rsidP="00BA4ED8">
            <w:pPr>
              <w:spacing w:before="60" w:after="60" w:line="220" w:lineRule="atLeast"/>
              <w:jc w:val="both"/>
              <w:rPr>
                <w:rFonts w:ascii="Arial" w:eastAsia="Arial Unicode MS" w:hAnsi="Arial"/>
                <w:b/>
                <w:sz w:val="16"/>
              </w:rPr>
            </w:pPr>
          </w:p>
        </w:tc>
        <w:tc>
          <w:tcPr>
            <w:tcW w:w="1418" w:type="dxa"/>
            <w:tcBorders>
              <w:top w:val="single" w:sz="4" w:space="0" w:color="auto"/>
              <w:left w:val="nil"/>
              <w:bottom w:val="single" w:sz="4" w:space="0" w:color="auto"/>
              <w:right w:val="nil"/>
            </w:tcBorders>
          </w:tcPr>
          <w:p w:rsidR="0011594C" w:rsidRPr="00F31626" w:rsidRDefault="0011594C" w:rsidP="00BA4ED8">
            <w:pPr>
              <w:spacing w:before="60" w:after="60" w:line="220" w:lineRule="atLeast"/>
              <w:jc w:val="both"/>
              <w:rPr>
                <w:rFonts w:ascii="Arial" w:eastAsia="Arial Unicode MS" w:hAnsi="Arial"/>
                <w:b/>
                <w:sz w:val="16"/>
              </w:rPr>
            </w:pPr>
            <w:r>
              <w:rPr>
                <w:rFonts w:ascii="Arial" w:eastAsia="Arial Unicode MS" w:hAnsi="Arial"/>
                <w:b/>
                <w:sz w:val="16"/>
              </w:rPr>
              <w:t xml:space="preserve">Aus/NZ </w:t>
            </w:r>
            <w:r>
              <w:rPr>
                <w:rFonts w:ascii="Arial" w:eastAsia="Arial Unicode MS" w:hAnsi="Arial"/>
                <w:b/>
                <w:sz w:val="16"/>
              </w:rPr>
              <w:br/>
              <w:t xml:space="preserve">Food </w:t>
            </w:r>
            <w:r>
              <w:rPr>
                <w:rFonts w:ascii="Arial" w:eastAsia="Arial Unicode MS" w:hAnsi="Arial"/>
                <w:b/>
                <w:sz w:val="16"/>
              </w:rPr>
              <w:br/>
              <w:t>Standard</w:t>
            </w:r>
          </w:p>
        </w:tc>
        <w:tc>
          <w:tcPr>
            <w:tcW w:w="1970" w:type="dxa"/>
            <w:tcBorders>
              <w:top w:val="single" w:sz="4" w:space="0" w:color="auto"/>
              <w:left w:val="nil"/>
              <w:bottom w:val="single" w:sz="4" w:space="0" w:color="auto"/>
              <w:right w:val="nil"/>
            </w:tcBorders>
          </w:tcPr>
          <w:p w:rsidR="0011594C" w:rsidRPr="00F31626" w:rsidRDefault="0011594C" w:rsidP="0011594C">
            <w:pPr>
              <w:spacing w:before="60" w:after="60" w:line="220" w:lineRule="atLeast"/>
              <w:jc w:val="both"/>
              <w:rPr>
                <w:rFonts w:ascii="Arial" w:eastAsia="Arial Unicode MS" w:hAnsi="Arial"/>
                <w:b/>
                <w:sz w:val="16"/>
              </w:rPr>
            </w:pPr>
            <w:r>
              <w:rPr>
                <w:rFonts w:ascii="Arial" w:eastAsia="Arial Unicode MS" w:hAnsi="Arial"/>
                <w:b/>
                <w:sz w:val="16"/>
              </w:rPr>
              <w:t xml:space="preserve">Mudginberri </w:t>
            </w:r>
            <w:r>
              <w:rPr>
                <w:rFonts w:ascii="Arial" w:eastAsia="Arial Unicode MS" w:hAnsi="Arial"/>
                <w:b/>
                <w:sz w:val="16"/>
              </w:rPr>
              <w:br/>
              <w:t>Billabong</w:t>
            </w:r>
            <w:r w:rsidR="00046F0D" w:rsidRPr="00046F0D">
              <w:rPr>
                <w:rFonts w:ascii="Arial" w:eastAsia="Arial Unicode MS" w:hAnsi="Arial"/>
                <w:snapToGrid w:val="0"/>
                <w:color w:val="000000"/>
                <w:position w:val="4"/>
                <w:sz w:val="11"/>
                <w:szCs w:val="0"/>
                <w:u w:color="000000"/>
              </w:rPr>
              <w:t>2</w:t>
            </w:r>
          </w:p>
        </w:tc>
        <w:tc>
          <w:tcPr>
            <w:tcW w:w="1857" w:type="dxa"/>
            <w:tcBorders>
              <w:top w:val="single" w:sz="4" w:space="0" w:color="auto"/>
              <w:left w:val="nil"/>
              <w:bottom w:val="single" w:sz="4" w:space="0" w:color="auto"/>
              <w:right w:val="nil"/>
            </w:tcBorders>
          </w:tcPr>
          <w:p w:rsidR="0011594C" w:rsidRPr="00F31626" w:rsidRDefault="0011594C" w:rsidP="0011594C">
            <w:pPr>
              <w:spacing w:before="60" w:after="60" w:line="220" w:lineRule="atLeast"/>
              <w:jc w:val="both"/>
              <w:rPr>
                <w:rFonts w:ascii="Arial" w:eastAsia="Arial Unicode MS" w:hAnsi="Arial"/>
                <w:b/>
                <w:sz w:val="16"/>
              </w:rPr>
            </w:pPr>
            <w:r>
              <w:rPr>
                <w:rFonts w:ascii="Arial" w:eastAsia="Arial Unicode MS" w:hAnsi="Arial"/>
                <w:b/>
                <w:sz w:val="16"/>
              </w:rPr>
              <w:t xml:space="preserve">Sandy </w:t>
            </w:r>
            <w:r>
              <w:rPr>
                <w:rFonts w:ascii="Arial" w:eastAsia="Arial Unicode MS" w:hAnsi="Arial"/>
                <w:b/>
                <w:sz w:val="16"/>
              </w:rPr>
              <w:br/>
              <w:t>Billabong</w:t>
            </w:r>
            <w:r w:rsidR="00046F0D" w:rsidRPr="00046F0D">
              <w:rPr>
                <w:rFonts w:ascii="Arial" w:eastAsia="Arial Unicode MS" w:hAnsi="Arial"/>
                <w:snapToGrid w:val="0"/>
                <w:color w:val="000000"/>
                <w:position w:val="4"/>
                <w:sz w:val="11"/>
                <w:szCs w:val="0"/>
                <w:u w:color="000000"/>
              </w:rPr>
              <w:t>2</w:t>
            </w:r>
          </w:p>
        </w:tc>
      </w:tr>
      <w:tr w:rsidR="0011594C" w:rsidRPr="00F31626" w:rsidTr="00046F0D">
        <w:tc>
          <w:tcPr>
            <w:tcW w:w="982" w:type="dxa"/>
            <w:vMerge w:val="restart"/>
            <w:tcBorders>
              <w:top w:val="single" w:sz="4" w:space="0" w:color="auto"/>
              <w:left w:val="nil"/>
              <w:right w:val="nil"/>
            </w:tcBorders>
            <w:vAlign w:val="center"/>
          </w:tcPr>
          <w:p w:rsidR="0011594C" w:rsidRPr="00F31626" w:rsidRDefault="0011594C" w:rsidP="00BA4ED8">
            <w:pPr>
              <w:spacing w:before="60" w:after="60" w:line="220" w:lineRule="atLeast"/>
              <w:jc w:val="both"/>
              <w:rPr>
                <w:rFonts w:ascii="Arial" w:eastAsia="Arial Unicode MS" w:hAnsi="Arial"/>
                <w:sz w:val="16"/>
              </w:rPr>
            </w:pPr>
            <w:r>
              <w:rPr>
                <w:rFonts w:ascii="Arial" w:eastAsia="Arial Unicode MS" w:hAnsi="Arial"/>
                <w:sz w:val="16"/>
              </w:rPr>
              <w:t>Fish</w:t>
            </w:r>
          </w:p>
        </w:tc>
        <w:tc>
          <w:tcPr>
            <w:tcW w:w="850" w:type="dxa"/>
            <w:tcBorders>
              <w:top w:val="single" w:sz="4" w:space="0" w:color="auto"/>
              <w:left w:val="nil"/>
              <w:bottom w:val="nil"/>
              <w:right w:val="nil"/>
            </w:tcBorders>
          </w:tcPr>
          <w:p w:rsidR="0011594C" w:rsidRPr="00F31626" w:rsidRDefault="0011594C" w:rsidP="00BA4ED8">
            <w:pPr>
              <w:spacing w:before="60" w:after="60" w:line="220" w:lineRule="atLeast"/>
              <w:jc w:val="both"/>
              <w:rPr>
                <w:rFonts w:ascii="Arial" w:eastAsia="Arial Unicode MS" w:hAnsi="Arial"/>
                <w:sz w:val="16"/>
              </w:rPr>
            </w:pPr>
            <w:r>
              <w:rPr>
                <w:rFonts w:ascii="Arial" w:eastAsia="Arial Unicode MS" w:hAnsi="Arial"/>
                <w:sz w:val="16"/>
              </w:rPr>
              <w:t>As</w:t>
            </w:r>
          </w:p>
        </w:tc>
        <w:tc>
          <w:tcPr>
            <w:tcW w:w="1418" w:type="dxa"/>
            <w:tcBorders>
              <w:top w:val="single" w:sz="4" w:space="0" w:color="auto"/>
              <w:left w:val="nil"/>
              <w:bottom w:val="nil"/>
              <w:right w:val="nil"/>
            </w:tcBorders>
          </w:tcPr>
          <w:p w:rsidR="0011594C" w:rsidRPr="00F31626" w:rsidRDefault="0011594C" w:rsidP="00BA4ED8">
            <w:pPr>
              <w:spacing w:before="60" w:after="60" w:line="220" w:lineRule="atLeast"/>
              <w:jc w:val="both"/>
              <w:rPr>
                <w:rFonts w:ascii="Arial" w:eastAsia="Arial Unicode MS" w:hAnsi="Arial"/>
                <w:sz w:val="16"/>
              </w:rPr>
            </w:pPr>
            <w:r>
              <w:rPr>
                <w:rFonts w:ascii="Arial" w:eastAsia="Arial Unicode MS" w:hAnsi="Arial"/>
                <w:sz w:val="16"/>
              </w:rPr>
              <w:t>2.0</w:t>
            </w:r>
          </w:p>
        </w:tc>
        <w:tc>
          <w:tcPr>
            <w:tcW w:w="1970" w:type="dxa"/>
            <w:tcBorders>
              <w:top w:val="single" w:sz="4" w:space="0" w:color="auto"/>
              <w:left w:val="nil"/>
              <w:bottom w:val="nil"/>
              <w:right w:val="nil"/>
            </w:tcBorders>
          </w:tcPr>
          <w:p w:rsidR="0011594C" w:rsidRPr="00F31626" w:rsidRDefault="0011594C" w:rsidP="00BA4ED8">
            <w:pPr>
              <w:spacing w:before="60" w:after="60" w:line="220" w:lineRule="atLeast"/>
              <w:jc w:val="both"/>
              <w:rPr>
                <w:rFonts w:ascii="Arial" w:eastAsia="Arial Unicode MS" w:hAnsi="Arial"/>
                <w:sz w:val="16"/>
              </w:rPr>
            </w:pPr>
            <w:r w:rsidRPr="00451C22">
              <w:t>0.02 ± 0.05</w:t>
            </w:r>
            <w:r>
              <w:t xml:space="preserve">   (</w:t>
            </w:r>
            <w:r>
              <w:rPr>
                <w:i/>
              </w:rPr>
              <w:t>32</w:t>
            </w:r>
            <w:r>
              <w:t>)</w:t>
            </w:r>
          </w:p>
        </w:tc>
        <w:tc>
          <w:tcPr>
            <w:tcW w:w="1857" w:type="dxa"/>
            <w:tcBorders>
              <w:top w:val="single" w:sz="4" w:space="0" w:color="auto"/>
              <w:left w:val="nil"/>
              <w:bottom w:val="nil"/>
              <w:right w:val="nil"/>
            </w:tcBorders>
          </w:tcPr>
          <w:p w:rsidR="0011594C" w:rsidRPr="00F31626" w:rsidRDefault="0011594C" w:rsidP="00046F0D">
            <w:pPr>
              <w:spacing w:before="60" w:after="60" w:line="220" w:lineRule="atLeast"/>
              <w:rPr>
                <w:rFonts w:ascii="Arial" w:eastAsia="Arial Unicode MS" w:hAnsi="Arial"/>
                <w:sz w:val="16"/>
              </w:rPr>
            </w:pPr>
            <w:r w:rsidRPr="00451C22">
              <w:t>0.0</w:t>
            </w:r>
            <w:r>
              <w:t>1</w:t>
            </w:r>
            <w:r w:rsidRPr="00451C22">
              <w:t xml:space="preserve"> ± 0.0</w:t>
            </w:r>
            <w:r>
              <w:t xml:space="preserve">1   </w:t>
            </w:r>
            <w:r w:rsidR="00046F0D">
              <w:t xml:space="preserve">   (</w:t>
            </w:r>
            <w:r>
              <w:rPr>
                <w:i/>
              </w:rPr>
              <w:t>20</w:t>
            </w:r>
            <w:r>
              <w:t>)</w:t>
            </w:r>
          </w:p>
        </w:tc>
      </w:tr>
      <w:tr w:rsidR="0011594C" w:rsidRPr="00F31626" w:rsidTr="00046F0D">
        <w:tc>
          <w:tcPr>
            <w:tcW w:w="982" w:type="dxa"/>
            <w:vMerge/>
            <w:tcBorders>
              <w:left w:val="nil"/>
              <w:right w:val="nil"/>
            </w:tcBorders>
          </w:tcPr>
          <w:p w:rsidR="0011594C" w:rsidRPr="00F31626" w:rsidRDefault="0011594C" w:rsidP="00BA4ED8">
            <w:pPr>
              <w:spacing w:before="60" w:after="60" w:line="220" w:lineRule="atLeast"/>
              <w:jc w:val="both"/>
              <w:rPr>
                <w:rFonts w:ascii="Arial" w:eastAsia="Arial Unicode MS" w:hAnsi="Arial"/>
                <w:sz w:val="16"/>
              </w:rPr>
            </w:pPr>
          </w:p>
        </w:tc>
        <w:tc>
          <w:tcPr>
            <w:tcW w:w="850" w:type="dxa"/>
            <w:tcBorders>
              <w:top w:val="nil"/>
              <w:left w:val="nil"/>
              <w:bottom w:val="nil"/>
              <w:right w:val="nil"/>
            </w:tcBorders>
          </w:tcPr>
          <w:p w:rsidR="0011594C" w:rsidRPr="00F31626" w:rsidRDefault="0011594C" w:rsidP="00BA4ED8">
            <w:pPr>
              <w:spacing w:before="60" w:after="60" w:line="220" w:lineRule="atLeast"/>
              <w:jc w:val="both"/>
              <w:rPr>
                <w:rFonts w:ascii="Arial" w:eastAsia="Arial Unicode MS" w:hAnsi="Arial"/>
                <w:sz w:val="16"/>
              </w:rPr>
            </w:pPr>
            <w:r>
              <w:rPr>
                <w:rFonts w:ascii="Arial" w:eastAsia="Arial Unicode MS" w:hAnsi="Arial"/>
                <w:sz w:val="16"/>
              </w:rPr>
              <w:t>Cd</w:t>
            </w:r>
          </w:p>
        </w:tc>
        <w:tc>
          <w:tcPr>
            <w:tcW w:w="1418" w:type="dxa"/>
            <w:tcBorders>
              <w:top w:val="nil"/>
              <w:left w:val="nil"/>
              <w:bottom w:val="nil"/>
              <w:right w:val="nil"/>
            </w:tcBorders>
          </w:tcPr>
          <w:p w:rsidR="0011594C" w:rsidRPr="00F31626" w:rsidRDefault="0011594C" w:rsidP="00BA4ED8">
            <w:pPr>
              <w:spacing w:before="60" w:after="60" w:line="220" w:lineRule="atLeast"/>
              <w:jc w:val="both"/>
              <w:rPr>
                <w:rFonts w:ascii="Arial" w:eastAsia="Arial Unicode MS" w:hAnsi="Arial"/>
                <w:sz w:val="16"/>
              </w:rPr>
            </w:pPr>
            <w:r>
              <w:rPr>
                <w:rFonts w:ascii="Arial" w:eastAsia="Arial Unicode MS" w:hAnsi="Arial"/>
                <w:sz w:val="16"/>
              </w:rPr>
              <w:t>0.2</w:t>
            </w:r>
            <w:r w:rsidRPr="0011594C">
              <w:rPr>
                <w:rFonts w:ascii="Arial" w:eastAsia="Arial Unicode MS" w:hAnsi="Arial"/>
                <w:snapToGrid w:val="0"/>
                <w:color w:val="000000"/>
                <w:position w:val="4"/>
                <w:sz w:val="11"/>
                <w:szCs w:val="0"/>
                <w:u w:color="000000"/>
              </w:rPr>
              <w:t>1</w:t>
            </w:r>
          </w:p>
        </w:tc>
        <w:tc>
          <w:tcPr>
            <w:tcW w:w="1970" w:type="dxa"/>
            <w:tcBorders>
              <w:top w:val="nil"/>
              <w:left w:val="nil"/>
              <w:bottom w:val="nil"/>
              <w:right w:val="nil"/>
            </w:tcBorders>
          </w:tcPr>
          <w:p w:rsidR="0011594C" w:rsidRPr="00F31626" w:rsidRDefault="0011594C" w:rsidP="0011594C">
            <w:pPr>
              <w:spacing w:before="60" w:after="60" w:line="220" w:lineRule="atLeast"/>
              <w:jc w:val="both"/>
              <w:rPr>
                <w:rFonts w:ascii="Arial" w:eastAsia="Arial Unicode MS" w:hAnsi="Arial"/>
                <w:sz w:val="16"/>
              </w:rPr>
            </w:pPr>
            <w:r w:rsidRPr="00451C22">
              <w:t>0.01 ± 0.05</w:t>
            </w:r>
            <w:r>
              <w:t xml:space="preserve">   (</w:t>
            </w:r>
            <w:r>
              <w:rPr>
                <w:i/>
              </w:rPr>
              <w:t>44</w:t>
            </w:r>
            <w:r>
              <w:t>)</w:t>
            </w:r>
          </w:p>
        </w:tc>
        <w:tc>
          <w:tcPr>
            <w:tcW w:w="1857" w:type="dxa"/>
            <w:tcBorders>
              <w:top w:val="nil"/>
              <w:left w:val="nil"/>
              <w:bottom w:val="nil"/>
              <w:right w:val="nil"/>
            </w:tcBorders>
          </w:tcPr>
          <w:p w:rsidR="0011594C" w:rsidRPr="00F31626" w:rsidRDefault="0011594C" w:rsidP="0011594C">
            <w:pPr>
              <w:spacing w:before="60" w:after="60" w:line="220" w:lineRule="atLeast"/>
              <w:rPr>
                <w:rFonts w:ascii="Arial" w:eastAsia="Arial Unicode MS" w:hAnsi="Arial"/>
                <w:sz w:val="16"/>
              </w:rPr>
            </w:pPr>
            <w:r w:rsidRPr="00451C22">
              <w:t>0.0</w:t>
            </w:r>
            <w:r>
              <w:t>0</w:t>
            </w:r>
            <w:r w:rsidRPr="00451C22">
              <w:t>2 ± 0.0</w:t>
            </w:r>
            <w:r>
              <w:t xml:space="preserve">02 </w:t>
            </w:r>
            <w:r w:rsidR="00046F0D">
              <w:t xml:space="preserve"> </w:t>
            </w:r>
            <w:r>
              <w:t>(</w:t>
            </w:r>
            <w:r>
              <w:rPr>
                <w:i/>
              </w:rPr>
              <w:t>20</w:t>
            </w:r>
            <w:r>
              <w:t>)</w:t>
            </w:r>
          </w:p>
        </w:tc>
      </w:tr>
      <w:tr w:rsidR="0011594C" w:rsidRPr="00F31626" w:rsidTr="00046F0D">
        <w:tc>
          <w:tcPr>
            <w:tcW w:w="982" w:type="dxa"/>
            <w:vMerge/>
            <w:tcBorders>
              <w:left w:val="nil"/>
              <w:bottom w:val="single" w:sz="4" w:space="0" w:color="auto"/>
              <w:right w:val="nil"/>
            </w:tcBorders>
          </w:tcPr>
          <w:p w:rsidR="0011594C" w:rsidRPr="00F31626" w:rsidRDefault="0011594C" w:rsidP="00BA4ED8">
            <w:pPr>
              <w:spacing w:before="60" w:after="60" w:line="220" w:lineRule="atLeast"/>
              <w:jc w:val="both"/>
              <w:rPr>
                <w:rFonts w:ascii="Arial" w:eastAsia="Arial Unicode MS" w:hAnsi="Arial"/>
                <w:sz w:val="16"/>
              </w:rPr>
            </w:pPr>
          </w:p>
        </w:tc>
        <w:tc>
          <w:tcPr>
            <w:tcW w:w="850" w:type="dxa"/>
            <w:tcBorders>
              <w:top w:val="nil"/>
              <w:left w:val="nil"/>
              <w:bottom w:val="single" w:sz="4" w:space="0" w:color="auto"/>
              <w:right w:val="nil"/>
            </w:tcBorders>
          </w:tcPr>
          <w:p w:rsidR="0011594C" w:rsidRPr="00F31626" w:rsidRDefault="0011594C" w:rsidP="00BA4ED8">
            <w:pPr>
              <w:spacing w:before="60" w:after="60" w:line="220" w:lineRule="atLeast"/>
              <w:jc w:val="both"/>
              <w:rPr>
                <w:rFonts w:ascii="Arial" w:eastAsia="Arial Unicode MS" w:hAnsi="Arial"/>
                <w:sz w:val="16"/>
              </w:rPr>
            </w:pPr>
            <w:r>
              <w:rPr>
                <w:rFonts w:ascii="Arial" w:eastAsia="Arial Unicode MS" w:hAnsi="Arial"/>
                <w:sz w:val="16"/>
              </w:rPr>
              <w:t>Pb</w:t>
            </w:r>
          </w:p>
        </w:tc>
        <w:tc>
          <w:tcPr>
            <w:tcW w:w="1418" w:type="dxa"/>
            <w:tcBorders>
              <w:top w:val="nil"/>
              <w:left w:val="nil"/>
              <w:bottom w:val="single" w:sz="4" w:space="0" w:color="auto"/>
              <w:right w:val="nil"/>
            </w:tcBorders>
          </w:tcPr>
          <w:p w:rsidR="0011594C" w:rsidRPr="00F31626" w:rsidRDefault="0011594C" w:rsidP="00BA4ED8">
            <w:pPr>
              <w:spacing w:before="60" w:after="60" w:line="220" w:lineRule="atLeast"/>
              <w:jc w:val="both"/>
              <w:rPr>
                <w:rFonts w:ascii="Arial" w:eastAsia="Arial Unicode MS" w:hAnsi="Arial"/>
                <w:sz w:val="16"/>
              </w:rPr>
            </w:pPr>
            <w:r>
              <w:rPr>
                <w:rFonts w:ascii="Arial" w:eastAsia="Arial Unicode MS" w:hAnsi="Arial"/>
                <w:sz w:val="16"/>
              </w:rPr>
              <w:t>0.5</w:t>
            </w:r>
          </w:p>
        </w:tc>
        <w:tc>
          <w:tcPr>
            <w:tcW w:w="1970" w:type="dxa"/>
            <w:tcBorders>
              <w:top w:val="nil"/>
              <w:left w:val="nil"/>
              <w:bottom w:val="single" w:sz="4" w:space="0" w:color="auto"/>
              <w:right w:val="nil"/>
            </w:tcBorders>
          </w:tcPr>
          <w:p w:rsidR="0011594C" w:rsidRPr="00F31626" w:rsidRDefault="0011594C" w:rsidP="00046F0D">
            <w:pPr>
              <w:spacing w:before="60" w:after="60" w:line="220" w:lineRule="atLeast"/>
              <w:jc w:val="both"/>
              <w:rPr>
                <w:rFonts w:ascii="Arial" w:eastAsia="Arial Unicode MS" w:hAnsi="Arial"/>
                <w:sz w:val="16"/>
                <w:lang w:eastAsia="en-AU"/>
              </w:rPr>
            </w:pPr>
            <w:r w:rsidRPr="00451C22">
              <w:t>0.03 ± 0.11</w:t>
            </w:r>
            <w:r>
              <w:t xml:space="preserve">  </w:t>
            </w:r>
            <w:r w:rsidR="00046F0D">
              <w:t xml:space="preserve"> (</w:t>
            </w:r>
            <w:r w:rsidR="00046F0D">
              <w:rPr>
                <w:i/>
              </w:rPr>
              <w:t>44</w:t>
            </w:r>
            <w:r w:rsidR="00046F0D">
              <w:t>)</w:t>
            </w:r>
          </w:p>
        </w:tc>
        <w:tc>
          <w:tcPr>
            <w:tcW w:w="1857" w:type="dxa"/>
            <w:tcBorders>
              <w:top w:val="nil"/>
              <w:left w:val="nil"/>
              <w:bottom w:val="single" w:sz="4" w:space="0" w:color="auto"/>
              <w:right w:val="nil"/>
            </w:tcBorders>
          </w:tcPr>
          <w:p w:rsidR="0011594C" w:rsidRPr="00F31626" w:rsidRDefault="0011594C" w:rsidP="0011594C">
            <w:pPr>
              <w:spacing w:before="60" w:after="60" w:line="220" w:lineRule="atLeast"/>
              <w:rPr>
                <w:rFonts w:ascii="Arial" w:eastAsia="Arial Unicode MS" w:hAnsi="Arial"/>
                <w:sz w:val="16"/>
              </w:rPr>
            </w:pPr>
            <w:r w:rsidRPr="00451C22">
              <w:t>0.0</w:t>
            </w:r>
            <w:r>
              <w:t>1</w:t>
            </w:r>
            <w:r w:rsidRPr="00451C22">
              <w:t xml:space="preserve"> ± 0.0</w:t>
            </w:r>
            <w:r>
              <w:t xml:space="preserve">1   </w:t>
            </w:r>
            <w:r w:rsidR="00046F0D">
              <w:t xml:space="preserve">   </w:t>
            </w:r>
            <w:r>
              <w:t>(</w:t>
            </w:r>
            <w:r>
              <w:rPr>
                <w:i/>
              </w:rPr>
              <w:t>20</w:t>
            </w:r>
            <w:r>
              <w:t>)</w:t>
            </w:r>
          </w:p>
        </w:tc>
      </w:tr>
      <w:tr w:rsidR="0011594C" w:rsidRPr="00F31626" w:rsidTr="00046F0D">
        <w:tc>
          <w:tcPr>
            <w:tcW w:w="982" w:type="dxa"/>
            <w:vMerge w:val="restart"/>
            <w:tcBorders>
              <w:top w:val="single" w:sz="4" w:space="0" w:color="auto"/>
              <w:left w:val="nil"/>
              <w:bottom w:val="nil"/>
              <w:right w:val="nil"/>
            </w:tcBorders>
            <w:vAlign w:val="center"/>
          </w:tcPr>
          <w:p w:rsidR="0011594C" w:rsidRPr="00F31626" w:rsidRDefault="0011594C" w:rsidP="00BA4ED8">
            <w:pPr>
              <w:spacing w:before="60" w:after="60" w:line="220" w:lineRule="atLeast"/>
              <w:jc w:val="both"/>
              <w:rPr>
                <w:rFonts w:ascii="Arial" w:eastAsia="Arial Unicode MS" w:hAnsi="Arial"/>
                <w:sz w:val="16"/>
              </w:rPr>
            </w:pPr>
            <w:r>
              <w:rPr>
                <w:rFonts w:ascii="Arial" w:eastAsia="Arial Unicode MS" w:hAnsi="Arial"/>
                <w:sz w:val="16"/>
              </w:rPr>
              <w:t>Molluscs</w:t>
            </w:r>
          </w:p>
        </w:tc>
        <w:tc>
          <w:tcPr>
            <w:tcW w:w="850" w:type="dxa"/>
            <w:tcBorders>
              <w:top w:val="single" w:sz="4" w:space="0" w:color="auto"/>
              <w:left w:val="nil"/>
              <w:bottom w:val="nil"/>
              <w:right w:val="nil"/>
            </w:tcBorders>
          </w:tcPr>
          <w:p w:rsidR="0011594C" w:rsidRPr="00F31626" w:rsidRDefault="0011594C" w:rsidP="00BA4ED8">
            <w:pPr>
              <w:spacing w:before="60" w:after="60" w:line="220" w:lineRule="atLeast"/>
              <w:jc w:val="both"/>
              <w:rPr>
                <w:rFonts w:ascii="Arial" w:eastAsia="Arial Unicode MS" w:hAnsi="Arial"/>
                <w:sz w:val="16"/>
              </w:rPr>
            </w:pPr>
            <w:r>
              <w:rPr>
                <w:rFonts w:ascii="Arial" w:eastAsia="Arial Unicode MS" w:hAnsi="Arial"/>
                <w:sz w:val="16"/>
              </w:rPr>
              <w:t>As</w:t>
            </w:r>
          </w:p>
        </w:tc>
        <w:tc>
          <w:tcPr>
            <w:tcW w:w="1418" w:type="dxa"/>
            <w:tcBorders>
              <w:top w:val="single" w:sz="4" w:space="0" w:color="auto"/>
              <w:left w:val="nil"/>
              <w:bottom w:val="nil"/>
              <w:right w:val="nil"/>
            </w:tcBorders>
          </w:tcPr>
          <w:p w:rsidR="0011594C" w:rsidRPr="00F31626" w:rsidRDefault="0011594C" w:rsidP="00BA4ED8">
            <w:pPr>
              <w:spacing w:before="60" w:after="60" w:line="220" w:lineRule="atLeast"/>
              <w:jc w:val="both"/>
              <w:rPr>
                <w:rFonts w:ascii="Arial" w:eastAsia="Arial Unicode MS" w:hAnsi="Arial"/>
                <w:sz w:val="16"/>
              </w:rPr>
            </w:pPr>
            <w:r>
              <w:rPr>
                <w:rFonts w:ascii="Arial" w:eastAsia="Arial Unicode MS" w:hAnsi="Arial"/>
                <w:sz w:val="16"/>
              </w:rPr>
              <w:t>1.0</w:t>
            </w:r>
          </w:p>
        </w:tc>
        <w:tc>
          <w:tcPr>
            <w:tcW w:w="1970" w:type="dxa"/>
            <w:tcBorders>
              <w:top w:val="single" w:sz="4" w:space="0" w:color="auto"/>
              <w:left w:val="nil"/>
              <w:bottom w:val="nil"/>
              <w:right w:val="nil"/>
            </w:tcBorders>
          </w:tcPr>
          <w:p w:rsidR="0011594C" w:rsidRPr="00F31626" w:rsidRDefault="0011594C" w:rsidP="00046F0D">
            <w:pPr>
              <w:spacing w:before="60" w:after="60" w:line="220" w:lineRule="atLeast"/>
              <w:jc w:val="both"/>
              <w:rPr>
                <w:rFonts w:ascii="Arial" w:eastAsia="Arial Unicode MS" w:hAnsi="Arial"/>
                <w:sz w:val="16"/>
                <w:lang w:eastAsia="en-AU"/>
              </w:rPr>
            </w:pPr>
            <w:r w:rsidRPr="00451C22">
              <w:t>0.19 ± 0.08</w:t>
            </w:r>
            <w:r w:rsidR="00046F0D">
              <w:t xml:space="preserve">   (7</w:t>
            </w:r>
            <w:r w:rsidR="00046F0D">
              <w:rPr>
                <w:i/>
              </w:rPr>
              <w:t>3</w:t>
            </w:r>
            <w:r w:rsidR="00046F0D">
              <w:t>)</w:t>
            </w:r>
          </w:p>
        </w:tc>
        <w:tc>
          <w:tcPr>
            <w:tcW w:w="1857" w:type="dxa"/>
            <w:tcBorders>
              <w:top w:val="single" w:sz="4" w:space="0" w:color="auto"/>
              <w:left w:val="nil"/>
              <w:bottom w:val="nil"/>
              <w:right w:val="nil"/>
            </w:tcBorders>
          </w:tcPr>
          <w:p w:rsidR="0011594C" w:rsidRPr="00F31626" w:rsidRDefault="0011594C" w:rsidP="0011594C">
            <w:pPr>
              <w:spacing w:before="60" w:after="60" w:line="220" w:lineRule="atLeast"/>
              <w:rPr>
                <w:rFonts w:ascii="Arial" w:eastAsia="Arial Unicode MS" w:hAnsi="Arial"/>
                <w:sz w:val="16"/>
              </w:rPr>
            </w:pPr>
            <w:r w:rsidRPr="00451C22">
              <w:t>0.</w:t>
            </w:r>
            <w:r>
              <w:t>26</w:t>
            </w:r>
            <w:r w:rsidRPr="00451C22">
              <w:t xml:space="preserve"> ± 0.</w:t>
            </w:r>
            <w:r>
              <w:t xml:space="preserve">12  </w:t>
            </w:r>
            <w:r w:rsidR="00046F0D">
              <w:t xml:space="preserve">   </w:t>
            </w:r>
            <w:r>
              <w:t xml:space="preserve"> (</w:t>
            </w:r>
            <w:r>
              <w:rPr>
                <w:i/>
              </w:rPr>
              <w:t>36</w:t>
            </w:r>
            <w:r>
              <w:t>)</w:t>
            </w:r>
          </w:p>
        </w:tc>
      </w:tr>
      <w:tr w:rsidR="0011594C" w:rsidRPr="00F31626" w:rsidTr="00046F0D">
        <w:tc>
          <w:tcPr>
            <w:tcW w:w="982" w:type="dxa"/>
            <w:vMerge/>
            <w:tcBorders>
              <w:top w:val="nil"/>
              <w:left w:val="nil"/>
              <w:right w:val="nil"/>
            </w:tcBorders>
          </w:tcPr>
          <w:p w:rsidR="0011594C" w:rsidRPr="00F31626" w:rsidRDefault="0011594C" w:rsidP="00BA4ED8">
            <w:pPr>
              <w:spacing w:before="60" w:after="60" w:line="220" w:lineRule="atLeast"/>
              <w:jc w:val="both"/>
              <w:rPr>
                <w:rFonts w:ascii="Arial" w:eastAsia="Arial Unicode MS" w:hAnsi="Arial"/>
                <w:sz w:val="16"/>
              </w:rPr>
            </w:pPr>
          </w:p>
        </w:tc>
        <w:tc>
          <w:tcPr>
            <w:tcW w:w="850" w:type="dxa"/>
            <w:tcBorders>
              <w:top w:val="nil"/>
              <w:left w:val="nil"/>
              <w:bottom w:val="nil"/>
              <w:right w:val="nil"/>
            </w:tcBorders>
          </w:tcPr>
          <w:p w:rsidR="0011594C" w:rsidRPr="00F31626" w:rsidRDefault="0011594C" w:rsidP="00BA4ED8">
            <w:pPr>
              <w:spacing w:before="60" w:after="60" w:line="220" w:lineRule="atLeast"/>
              <w:jc w:val="both"/>
              <w:rPr>
                <w:rFonts w:ascii="Arial" w:eastAsia="Arial Unicode MS" w:hAnsi="Arial"/>
                <w:sz w:val="16"/>
              </w:rPr>
            </w:pPr>
            <w:r>
              <w:rPr>
                <w:rFonts w:ascii="Arial" w:eastAsia="Arial Unicode MS" w:hAnsi="Arial"/>
                <w:sz w:val="16"/>
              </w:rPr>
              <w:t>Cd</w:t>
            </w:r>
          </w:p>
        </w:tc>
        <w:tc>
          <w:tcPr>
            <w:tcW w:w="1418" w:type="dxa"/>
            <w:tcBorders>
              <w:top w:val="nil"/>
              <w:left w:val="nil"/>
              <w:bottom w:val="nil"/>
              <w:right w:val="nil"/>
            </w:tcBorders>
          </w:tcPr>
          <w:p w:rsidR="0011594C" w:rsidRPr="00F31626" w:rsidRDefault="0011594C" w:rsidP="00BA4ED8">
            <w:pPr>
              <w:spacing w:before="60" w:after="60" w:line="220" w:lineRule="atLeast"/>
              <w:jc w:val="both"/>
              <w:rPr>
                <w:rFonts w:ascii="Arial" w:eastAsia="Arial Unicode MS" w:hAnsi="Arial"/>
                <w:sz w:val="16"/>
              </w:rPr>
            </w:pPr>
            <w:r>
              <w:rPr>
                <w:rFonts w:ascii="Arial" w:eastAsia="Arial Unicode MS" w:hAnsi="Arial"/>
                <w:sz w:val="16"/>
              </w:rPr>
              <w:t>2.0</w:t>
            </w:r>
          </w:p>
        </w:tc>
        <w:tc>
          <w:tcPr>
            <w:tcW w:w="1970" w:type="dxa"/>
            <w:tcBorders>
              <w:top w:val="nil"/>
              <w:left w:val="nil"/>
              <w:bottom w:val="nil"/>
              <w:right w:val="nil"/>
            </w:tcBorders>
            <w:shd w:val="clear" w:color="auto" w:fill="auto"/>
          </w:tcPr>
          <w:p w:rsidR="0011594C" w:rsidRPr="00F31626" w:rsidRDefault="0011594C" w:rsidP="00046F0D">
            <w:pPr>
              <w:spacing w:before="60" w:after="60" w:line="220" w:lineRule="atLeast"/>
              <w:jc w:val="both"/>
              <w:rPr>
                <w:rFonts w:ascii="Arial" w:eastAsia="Arial Unicode MS" w:hAnsi="Arial"/>
                <w:sz w:val="16"/>
                <w:lang w:eastAsia="en-AU"/>
              </w:rPr>
            </w:pPr>
            <w:r w:rsidRPr="00451C22">
              <w:t>0.06 ± 0.05</w:t>
            </w:r>
            <w:r w:rsidR="00046F0D">
              <w:t xml:space="preserve">   (</w:t>
            </w:r>
            <w:r w:rsidR="00046F0D">
              <w:rPr>
                <w:i/>
              </w:rPr>
              <w:t>102</w:t>
            </w:r>
            <w:r w:rsidR="00046F0D">
              <w:t>)</w:t>
            </w:r>
          </w:p>
        </w:tc>
        <w:tc>
          <w:tcPr>
            <w:tcW w:w="1857" w:type="dxa"/>
            <w:tcBorders>
              <w:top w:val="nil"/>
              <w:left w:val="nil"/>
              <w:bottom w:val="nil"/>
              <w:right w:val="nil"/>
            </w:tcBorders>
            <w:shd w:val="clear" w:color="auto" w:fill="auto"/>
          </w:tcPr>
          <w:p w:rsidR="0011594C" w:rsidRPr="00F31626" w:rsidRDefault="0011594C" w:rsidP="0011594C">
            <w:pPr>
              <w:spacing w:before="60" w:after="60" w:line="220" w:lineRule="atLeast"/>
              <w:rPr>
                <w:rFonts w:ascii="Arial" w:eastAsia="Arial Unicode MS" w:hAnsi="Arial"/>
                <w:sz w:val="16"/>
              </w:rPr>
            </w:pPr>
            <w:r w:rsidRPr="00451C22">
              <w:t>0.0</w:t>
            </w:r>
            <w:r>
              <w:t>7</w:t>
            </w:r>
            <w:r w:rsidRPr="00451C22">
              <w:t xml:space="preserve"> ± 0.0</w:t>
            </w:r>
            <w:r>
              <w:t xml:space="preserve">4  </w:t>
            </w:r>
            <w:r w:rsidR="00046F0D">
              <w:t xml:space="preserve">   </w:t>
            </w:r>
            <w:r>
              <w:t xml:space="preserve"> (</w:t>
            </w:r>
            <w:r>
              <w:rPr>
                <w:i/>
              </w:rPr>
              <w:t>47</w:t>
            </w:r>
            <w:r>
              <w:t>)</w:t>
            </w:r>
          </w:p>
        </w:tc>
      </w:tr>
      <w:tr w:rsidR="0011594C" w:rsidRPr="00F31626" w:rsidTr="00046F0D">
        <w:tc>
          <w:tcPr>
            <w:tcW w:w="982" w:type="dxa"/>
            <w:vMerge/>
            <w:tcBorders>
              <w:left w:val="nil"/>
              <w:bottom w:val="single" w:sz="4" w:space="0" w:color="auto"/>
              <w:right w:val="nil"/>
            </w:tcBorders>
          </w:tcPr>
          <w:p w:rsidR="0011594C" w:rsidRPr="00F31626" w:rsidRDefault="0011594C" w:rsidP="00BA4ED8">
            <w:pPr>
              <w:spacing w:before="60" w:after="60" w:line="220" w:lineRule="atLeast"/>
              <w:jc w:val="both"/>
              <w:rPr>
                <w:rFonts w:ascii="Arial" w:eastAsia="Arial Unicode MS" w:hAnsi="Arial"/>
                <w:sz w:val="16"/>
              </w:rPr>
            </w:pPr>
          </w:p>
        </w:tc>
        <w:tc>
          <w:tcPr>
            <w:tcW w:w="850" w:type="dxa"/>
            <w:tcBorders>
              <w:top w:val="nil"/>
              <w:left w:val="nil"/>
              <w:bottom w:val="single" w:sz="4" w:space="0" w:color="auto"/>
              <w:right w:val="nil"/>
            </w:tcBorders>
          </w:tcPr>
          <w:p w:rsidR="0011594C" w:rsidRPr="00F31626" w:rsidRDefault="0011594C" w:rsidP="00BA4ED8">
            <w:pPr>
              <w:spacing w:before="60" w:after="60" w:line="220" w:lineRule="atLeast"/>
              <w:jc w:val="both"/>
              <w:rPr>
                <w:rFonts w:ascii="Arial" w:eastAsia="Arial Unicode MS" w:hAnsi="Arial"/>
                <w:sz w:val="16"/>
              </w:rPr>
            </w:pPr>
            <w:r>
              <w:rPr>
                <w:rFonts w:ascii="Arial" w:eastAsia="Arial Unicode MS" w:hAnsi="Arial"/>
                <w:sz w:val="16"/>
              </w:rPr>
              <w:t>Pb</w:t>
            </w:r>
          </w:p>
        </w:tc>
        <w:tc>
          <w:tcPr>
            <w:tcW w:w="1418" w:type="dxa"/>
            <w:tcBorders>
              <w:top w:val="nil"/>
              <w:left w:val="nil"/>
              <w:bottom w:val="single" w:sz="4" w:space="0" w:color="auto"/>
              <w:right w:val="nil"/>
            </w:tcBorders>
          </w:tcPr>
          <w:p w:rsidR="0011594C" w:rsidRPr="00F31626" w:rsidRDefault="0011594C" w:rsidP="00BA4ED8">
            <w:pPr>
              <w:spacing w:before="60" w:after="60" w:line="220" w:lineRule="atLeast"/>
              <w:jc w:val="both"/>
              <w:rPr>
                <w:rFonts w:ascii="Arial" w:eastAsia="Arial Unicode MS" w:hAnsi="Arial"/>
                <w:sz w:val="16"/>
              </w:rPr>
            </w:pPr>
            <w:r>
              <w:rPr>
                <w:rFonts w:ascii="Arial" w:eastAsia="Arial Unicode MS" w:hAnsi="Arial"/>
                <w:sz w:val="16"/>
              </w:rPr>
              <w:t>2.0</w:t>
            </w:r>
          </w:p>
        </w:tc>
        <w:tc>
          <w:tcPr>
            <w:tcW w:w="1970" w:type="dxa"/>
            <w:tcBorders>
              <w:top w:val="nil"/>
              <w:left w:val="nil"/>
              <w:bottom w:val="single" w:sz="4" w:space="0" w:color="auto"/>
              <w:right w:val="nil"/>
            </w:tcBorders>
            <w:shd w:val="clear" w:color="auto" w:fill="auto"/>
          </w:tcPr>
          <w:p w:rsidR="0011594C" w:rsidRPr="00F31626" w:rsidRDefault="0011594C" w:rsidP="00046F0D">
            <w:pPr>
              <w:spacing w:before="60" w:after="60" w:line="220" w:lineRule="atLeast"/>
              <w:jc w:val="both"/>
              <w:rPr>
                <w:rFonts w:ascii="Arial" w:eastAsia="Arial Unicode MS" w:hAnsi="Arial"/>
                <w:sz w:val="16"/>
                <w:lang w:eastAsia="en-AU"/>
              </w:rPr>
            </w:pPr>
            <w:r w:rsidRPr="00451C22">
              <w:t>0.25 ± 0.23</w:t>
            </w:r>
            <w:r w:rsidR="00046F0D">
              <w:t xml:space="preserve">   (</w:t>
            </w:r>
            <w:r w:rsidR="00046F0D">
              <w:rPr>
                <w:i/>
              </w:rPr>
              <w:t>141</w:t>
            </w:r>
            <w:r w:rsidR="00046F0D">
              <w:t>)</w:t>
            </w:r>
          </w:p>
        </w:tc>
        <w:tc>
          <w:tcPr>
            <w:tcW w:w="1857" w:type="dxa"/>
            <w:tcBorders>
              <w:top w:val="nil"/>
              <w:left w:val="nil"/>
              <w:bottom w:val="single" w:sz="4" w:space="0" w:color="auto"/>
              <w:right w:val="nil"/>
            </w:tcBorders>
            <w:shd w:val="clear" w:color="auto" w:fill="auto"/>
          </w:tcPr>
          <w:p w:rsidR="0011594C" w:rsidRPr="00F31626" w:rsidRDefault="0011594C" w:rsidP="0011594C">
            <w:pPr>
              <w:spacing w:before="60" w:after="60" w:line="220" w:lineRule="atLeast"/>
              <w:rPr>
                <w:rFonts w:ascii="Arial" w:eastAsia="Arial Unicode MS" w:hAnsi="Arial"/>
                <w:sz w:val="16"/>
              </w:rPr>
            </w:pPr>
            <w:r w:rsidRPr="00451C22">
              <w:t>0.0</w:t>
            </w:r>
            <w:r>
              <w:t>9</w:t>
            </w:r>
            <w:r w:rsidRPr="00451C22">
              <w:t xml:space="preserve"> ± 0.0</w:t>
            </w:r>
            <w:r>
              <w:t xml:space="preserve">6  </w:t>
            </w:r>
            <w:r w:rsidR="00046F0D">
              <w:t xml:space="preserve">  </w:t>
            </w:r>
            <w:r>
              <w:t xml:space="preserve">  (</w:t>
            </w:r>
            <w:r>
              <w:rPr>
                <w:i/>
              </w:rPr>
              <w:t>61</w:t>
            </w:r>
            <w:r>
              <w:t>)</w:t>
            </w:r>
          </w:p>
        </w:tc>
      </w:tr>
    </w:tbl>
    <w:p w:rsidR="00BA4ED8" w:rsidRDefault="00046F0D" w:rsidP="00046F0D">
      <w:pPr>
        <w:spacing w:before="120" w:after="0" w:line="240" w:lineRule="auto"/>
        <w:rPr>
          <w:rFonts w:ascii="Arial" w:hAnsi="Arial"/>
          <w:bCs/>
          <w:noProof/>
          <w:sz w:val="16"/>
          <w:lang w:val="en-US" w:eastAsia="en-AU"/>
        </w:rPr>
      </w:pPr>
      <w:r w:rsidRPr="00046F0D">
        <w:rPr>
          <w:snapToGrid w:val="0"/>
          <w:color w:val="000000"/>
          <w:position w:val="5"/>
          <w:sz w:val="13"/>
          <w:szCs w:val="0"/>
          <w:u w:color="000000"/>
        </w:rPr>
        <w:t>1</w:t>
      </w:r>
      <w:r w:rsidRPr="009B371D">
        <w:rPr>
          <w:rFonts w:ascii="Arial" w:hAnsi="Arial"/>
          <w:bCs/>
          <w:noProof/>
          <w:sz w:val="16"/>
          <w:lang w:val="en-US" w:eastAsia="en-AU"/>
        </w:rPr>
        <w:t>In the absence of a cadmium standard for fish, one 10</w:t>
      </w:r>
      <w:r w:rsidRPr="009B371D">
        <w:rPr>
          <w:rFonts w:ascii="Arial" w:hAnsi="Arial"/>
          <w:bCs/>
          <w:noProof/>
          <w:sz w:val="16"/>
          <w:vertAlign w:val="superscript"/>
          <w:lang w:val="en-US" w:eastAsia="en-AU"/>
        </w:rPr>
        <w:t>th</w:t>
      </w:r>
      <w:r w:rsidRPr="009B371D">
        <w:rPr>
          <w:rFonts w:ascii="Arial" w:hAnsi="Arial"/>
          <w:bCs/>
          <w:noProof/>
          <w:sz w:val="16"/>
          <w:lang w:val="en-US" w:eastAsia="en-AU"/>
        </w:rPr>
        <w:t xml:space="preserve"> of the standard for molluscs was assumed</w:t>
      </w:r>
    </w:p>
    <w:p w:rsidR="00046F0D" w:rsidRDefault="00046F0D" w:rsidP="00046F0D">
      <w:pPr>
        <w:spacing w:before="120" w:after="0" w:line="240" w:lineRule="auto"/>
      </w:pPr>
      <w:r w:rsidRPr="00046F0D">
        <w:rPr>
          <w:rFonts w:ascii="Arial" w:hAnsi="Arial"/>
          <w:noProof/>
          <w:snapToGrid w:val="0"/>
          <w:color w:val="000000"/>
          <w:position w:val="4"/>
          <w:sz w:val="11"/>
          <w:szCs w:val="0"/>
          <w:u w:color="000000"/>
          <w:lang w:val="en-US" w:eastAsia="en-AU"/>
        </w:rPr>
        <w:t>2</w:t>
      </w:r>
      <w:r>
        <w:rPr>
          <w:rFonts w:ascii="Arial" w:hAnsi="Arial"/>
          <w:bCs/>
          <w:noProof/>
          <w:sz w:val="16"/>
          <w:lang w:val="en-US" w:eastAsia="en-AU"/>
        </w:rPr>
        <w:t>Values in parenthese are the number of samples used to calculate the geometric mean</w:t>
      </w:r>
    </w:p>
    <w:p w:rsidR="00911828" w:rsidRDefault="00911828" w:rsidP="00CB7315"/>
    <w:p w:rsidR="000A399D" w:rsidRPr="00430FEA" w:rsidRDefault="00BA4ED8" w:rsidP="000A399D">
      <w:proofErr w:type="gramStart"/>
      <w:r>
        <w:t xml:space="preserve">Table 3.9 </w:t>
      </w:r>
      <w:r w:rsidR="000A399D" w:rsidRPr="00430FEA">
        <w:t>shows that typically As, Cd and Pb concentrations, in particula</w:t>
      </w:r>
      <w:r w:rsidR="000A399D">
        <w:t>r in fish tissue, are low and 5–</w:t>
      </w:r>
      <w:r w:rsidR="000A399D" w:rsidRPr="00430FEA">
        <w:t xml:space="preserve">100 times lower than the maximum levels in fish and molluscs given in the Australian/New Zealand </w:t>
      </w:r>
      <w:r w:rsidR="000A399D">
        <w:t>F</w:t>
      </w:r>
      <w:r w:rsidR="000A399D" w:rsidRPr="00430FEA">
        <w:t xml:space="preserve">ood </w:t>
      </w:r>
      <w:r w:rsidR="000A399D">
        <w:t>S</w:t>
      </w:r>
      <w:r w:rsidR="000A399D" w:rsidRPr="00430FEA">
        <w:t>tandard</w:t>
      </w:r>
      <w:r w:rsidR="000A399D">
        <w:t>s</w:t>
      </w:r>
      <w:r w:rsidR="000A399D" w:rsidRPr="00430FEA">
        <w:t>.</w:t>
      </w:r>
      <w:proofErr w:type="gramEnd"/>
      <w:r w:rsidR="000A399D" w:rsidRPr="00430FEA">
        <w:t xml:space="preserve"> Population of this database with metal concentration data for various food items is ongoing and more results will be presented in future reports.</w:t>
      </w:r>
    </w:p>
    <w:p w:rsidR="00FB37E9" w:rsidRPr="00FB37E9" w:rsidRDefault="00FB37E9" w:rsidP="00FB37E9">
      <w:pPr>
        <w:pStyle w:val="Heading5"/>
      </w:pPr>
      <w:r w:rsidRPr="00FB37E9">
        <w:t>Monitoring using macroinvertebrate community structure</w:t>
      </w:r>
    </w:p>
    <w:p w:rsidR="00676AF6" w:rsidRDefault="00676AF6" w:rsidP="00676AF6">
      <w:r>
        <w:t xml:space="preserve">Macroinvertebrate communities have been sampled from a number of sites in Magela Creek at the end of significant wet season flows, each year from 1988 to present. The design and methodology have been refined over this period (changes are described </w:t>
      </w:r>
      <w:proofErr w:type="gramStart"/>
      <w:r>
        <w:t>in the 2003–04 Supervising Scientist Annual Report, section 2.2.3</w:t>
      </w:r>
      <w:proofErr w:type="gramEnd"/>
      <w:r>
        <w:t>). The present design is a balanced one comprising upstream and downstream sites at two ‘exposed’ streams (Gulungul and Magela Creeks) and two control streams (Burdulba and Nourlangie Creeks).</w:t>
      </w:r>
    </w:p>
    <w:p w:rsidR="00676AF6" w:rsidRDefault="00676AF6" w:rsidP="00676AF6">
      <w:r>
        <w:t xml:space="preserve">Samples are collected from each site at the end of each wet season (between April and May). For each sampling occasion and for each pair of sites for a particular stream, dissimilarity indices are calculated. These indices are a measure of the extent to which macroinvertebrate communities of the two sites differ from one another. A value of ‘zero%’ indicates macroinvertebrate communities identical in structure while a value of ‘100%’ </w:t>
      </w:r>
      <w:proofErr w:type="gramStart"/>
      <w:r>
        <w:t>indicates totally dissimilar communities</w:t>
      </w:r>
      <w:proofErr w:type="gramEnd"/>
      <w:r>
        <w:t xml:space="preserve">, sharing no common taxa. </w:t>
      </w:r>
    </w:p>
    <w:p w:rsidR="00676AF6" w:rsidRDefault="00676AF6" w:rsidP="00676AF6">
      <w:r>
        <w:t>Disturbed sites may be associated with significantly higher dissimilarity values compared with undisturbed sites. Compilation of the full macroinvertebrate dataset from 1988 to 2013 (2014 data for Burdulba and Nourlangie Creeks not available at the time of preparing the 2013–14 Supervising Scientist Annual Report), and data from the paired sites in the two ‘exposed’ streams, Magela and Gulungul Creeks, for 2014, have been completed with results shown in Figure 3.3</w:t>
      </w:r>
      <w:r w:rsidR="00DD36AA">
        <w:t>2</w:t>
      </w:r>
      <w:r>
        <w:t>. This figure plots the paired-site dissimilarity values using family-level (log-transformed) data, for the two ‘exposed’ streams and the two ‘control’ streams.</w:t>
      </w:r>
    </w:p>
    <w:p w:rsidR="007D439B" w:rsidRDefault="00676AF6" w:rsidP="00676AF6">
      <w:r>
        <w:t>For statistical analysis, dissimilarity values for each of the five possible, randomly-paired, upstream and downstream replicates within each stream are derived. These replicate dissimilarity values may then be used to test whether macroinvertebrate community structure has altered significantly at the exposed sites for the wet season of interest. For this multi-factor ANOVA, only data gathered since 1998 have been used. (Data gathered prior to this time were based upon different and less rigorous sampling and sample processing methods, and/or absence of sampling in three of the four streams.)</w:t>
      </w:r>
      <w:r w:rsidR="007D439B">
        <w:t>.</w:t>
      </w:r>
    </w:p>
    <w:p w:rsidR="00377CD0" w:rsidRPr="00377CD0" w:rsidRDefault="00377CD0" w:rsidP="00377CD0">
      <w:pPr>
        <w:pStyle w:val="Heading6"/>
      </w:pPr>
      <w:r w:rsidRPr="00377CD0">
        <w:t>Analysis for Magela and Gulungul Creeks for 2014 sampling</w:t>
      </w:r>
    </w:p>
    <w:p w:rsidR="007D439B" w:rsidRDefault="00DD36AA" w:rsidP="007D439B">
      <w:r w:rsidRPr="00DD36AA">
        <w:t xml:space="preserve">At the time of preparing this annual report only samples from Magela and Gulungul Creeks from the 2013–14 wet </w:t>
      </w:r>
      <w:proofErr w:type="gramStart"/>
      <w:r w:rsidRPr="00DD36AA">
        <w:t>season</w:t>
      </w:r>
      <w:proofErr w:type="gramEnd"/>
      <w:r w:rsidRPr="00DD36AA">
        <w:t xml:space="preserve"> were available for analysis. Without comparable data from the two control streams, it is not possible to run the full ANOVA testing for 2014. Instead, a modified ANOVA model was run using the factors Before/After (BA; fixed), Year (nested within BA; random) and Stream (upstream vs downstream paired dissimilarities; random) examining just the exposed creeks, Magela and Gulungul, to determine if any change in these streams has occurred. The ANOVA showed no significant change from the before (pre 2013–14) to after (2013–14) periods in the magnitude of upstream-downstream dissimilarity across both ‘exposed’ streams and this was consistent between both streams (BA and BA*Stream interaction not significant respectively).</w:t>
      </w:r>
    </w:p>
    <w:p w:rsidR="009E6339" w:rsidRDefault="009E6339" w:rsidP="009E6339">
      <w:r>
        <w:t>Lack of significance in the BA and BA*Stream interaction was observed despite a sharp drop in dissimilarity for Magela Creek in 2014 (Figure 3.32). This drop indicates the upstream and downstream sites in Magela were more similar to one another at the time of sample collection than they have been historically. A marked change in dissimilarity was last reported for Gulungul Creek in 2011, but in that instance dissimilarity increased over historical values (Figure 3.32). In 2011, the BA*Stream factor was significant (P = 0.014) and with further data examination (including multivariate ordination) it was found that this was associated with changes at the upstream control site in Gulungul Creek (Supervising Scientist Annual Report 2010– 2011). Hence the 2011 result was not associated with mine-related change.</w:t>
      </w:r>
    </w:p>
    <w:p w:rsidR="00377CD0" w:rsidRPr="00377CD0" w:rsidRDefault="00DD36AA" w:rsidP="00DD36AA">
      <w:pPr>
        <w:jc w:val="center"/>
      </w:pPr>
      <w:r w:rsidRPr="00DD36AA">
        <w:rPr>
          <w:noProof/>
          <w:lang w:eastAsia="en-AU"/>
        </w:rPr>
        <w:drawing>
          <wp:anchor distT="0" distB="0" distL="114300" distR="114300" simplePos="0" relativeHeight="251695104" behindDoc="0" locked="0" layoutInCell="1" allowOverlap="1">
            <wp:simplePos x="0" y="0"/>
            <wp:positionH relativeFrom="column">
              <wp:posOffset>295275</wp:posOffset>
            </wp:positionH>
            <wp:positionV relativeFrom="paragraph">
              <wp:posOffset>-228600</wp:posOffset>
            </wp:positionV>
            <wp:extent cx="4152900" cy="6191250"/>
            <wp:effectExtent l="19050" t="0" r="0" b="0"/>
            <wp:wrapSquare wrapText="bothSides"/>
            <wp:docPr id="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84" cstate="screen">
                      <a:extLst>
                        <a:ext uri="{28A0092B-C50C-407E-A947-70E740481C1C}">
                          <a14:useLocalDpi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val="0"/>
                        </a:ext>
                      </a:extLst>
                    </a:blip>
                    <a:srcRect t="4780" r="3361"/>
                    <a:stretch/>
                  </pic:blipFill>
                  <pic:spPr bwMode="auto">
                    <a:xfrm>
                      <a:off x="0" y="0"/>
                      <a:ext cx="4152900" cy="6191250"/>
                    </a:xfrm>
                    <a:prstGeom prst="rect">
                      <a:avLst/>
                    </a:prstGeom>
                    <a:noFill/>
                    <a:ln>
                      <a:noFill/>
                    </a:ln>
                    <a:extLst>
                      <a:ext uri="{53640926-AAD7-44D8-BBD7-CCE9431645EC}">
                        <a14:shadowObscured xmlns:a14="http://schemas.microsoft.com/office/drawing/2010/main" xmlns:wps="http://schemas.microsoft.com/office/word/2010/wordprocessingShape" xmlns:wpi="http://schemas.microsoft.com/office/word/2010/wordprocessingInk" xmlns:wpg="http://schemas.microsoft.com/office/word/2010/wordprocessingGroup" xmlns:w14="http://schemas.microsoft.com/office/word/2010/wordml" xmlns:w="http://schemas.openxmlformats.org/wordprocessingml/2006/main" xmlns:w10="urn:schemas-microsoft-com:office:word" xmlns:wp14="http://schemas.microsoft.com/office/word/2010/wordprocessingDrawing" xmlns:v="urn:schemas-microsoft-com:vml" xmlns:o="urn:schemas-microsoft-com:office:office" xmlns:mc="http://schemas.openxmlformats.org/markup-compatibility/2006" xmlns:wpc="http://schemas.microsoft.com/office/word/2010/wordprocessingCanvas" xmlns=""/>
                      </a:ext>
                    </a:extLst>
                  </pic:spPr>
                </pic:pic>
              </a:graphicData>
            </a:graphic>
          </wp:anchor>
        </w:drawing>
      </w:r>
    </w:p>
    <w:p w:rsidR="00377CD0" w:rsidRDefault="00377CD0" w:rsidP="00377CD0">
      <w:pPr>
        <w:pStyle w:val="figurecaption"/>
      </w:pPr>
      <w:r w:rsidRPr="00DD36AA">
        <w:rPr>
          <w:b/>
        </w:rPr>
        <w:t>Figure 3.3</w:t>
      </w:r>
      <w:r w:rsidR="00E652EF" w:rsidRPr="00DD36AA">
        <w:rPr>
          <w:b/>
        </w:rPr>
        <w:t>2</w:t>
      </w:r>
      <w:r w:rsidRPr="00DD36AA">
        <w:t xml:space="preserve"> Paired upstream</w:t>
      </w:r>
      <w:r w:rsidRPr="00067AF4">
        <w:t xml:space="preserve">-downstream dissimilarity values (using the Bray-Curtis measure) calculated for community structure of macroinvertebrate families in several streams in the vicinity of the Ranger mine for the period 1988 to 2014. The dashed vertical </w:t>
      </w:r>
      <w:r w:rsidRPr="009C439B">
        <w:t>lines</w:t>
      </w:r>
      <w:r w:rsidRPr="00067AF4">
        <w:t xml:space="preserve"> delineate periods for which a different sampling and/or sample processing method was used. Dashed horizontal lines indicate </w:t>
      </w:r>
      <w:r w:rsidR="00630309">
        <w:t>mean dissimilarity across years.</w:t>
      </w:r>
    </w:p>
    <w:p w:rsidR="00DD36AA" w:rsidRPr="00067AF4" w:rsidRDefault="00DD36AA" w:rsidP="00DD36AA">
      <w:pPr>
        <w:pStyle w:val="figurecaption"/>
      </w:pPr>
      <w:r w:rsidRPr="00067AF4">
        <w:t>Dissimilarity values represent means (</w:t>
      </w:r>
      <w:r w:rsidRPr="00067AF4">
        <w:rPr>
          <w:rFonts w:cs="Arial"/>
        </w:rPr>
        <w:t>±</w:t>
      </w:r>
      <w:r w:rsidRPr="00067AF4">
        <w:t xml:space="preserve"> standard error) of </w:t>
      </w:r>
      <w:r w:rsidRPr="009C439B">
        <w:t>the</w:t>
      </w:r>
      <w:r w:rsidRPr="00067AF4">
        <w:t xml:space="preserve"> 5 possible (randomly-selected) pairwise comparisons of upstream-downstream replicate samples within each stream</w:t>
      </w:r>
    </w:p>
    <w:p w:rsidR="00DD36AA" w:rsidRDefault="009E6339" w:rsidP="00DD36AA">
      <w:r>
        <w:rPr>
          <w:noProof/>
          <w:lang w:eastAsia="en-AU"/>
        </w:rPr>
        <w:drawing>
          <wp:anchor distT="0" distB="0" distL="114300" distR="114300" simplePos="0" relativeHeight="251696128" behindDoc="0" locked="0" layoutInCell="1" allowOverlap="1">
            <wp:simplePos x="0" y="0"/>
            <wp:positionH relativeFrom="column">
              <wp:posOffset>71755</wp:posOffset>
            </wp:positionH>
            <wp:positionV relativeFrom="paragraph">
              <wp:posOffset>1590040</wp:posOffset>
            </wp:positionV>
            <wp:extent cx="4406900" cy="3564255"/>
            <wp:effectExtent l="19050" t="0" r="0" b="0"/>
            <wp:wrapSquare wrapText="bothSides"/>
            <wp:docPr id="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screen"/>
                    <a:srcRect l="3310" t="9316" r="3713"/>
                    <a:stretch>
                      <a:fillRect/>
                    </a:stretch>
                  </pic:blipFill>
                  <pic:spPr bwMode="auto">
                    <a:xfrm>
                      <a:off x="0" y="0"/>
                      <a:ext cx="4406900" cy="3564255"/>
                    </a:xfrm>
                    <a:prstGeom prst="rect">
                      <a:avLst/>
                    </a:prstGeom>
                    <a:noFill/>
                    <a:ln w="9525">
                      <a:noFill/>
                      <a:miter lim="800000"/>
                      <a:headEnd/>
                      <a:tailEnd/>
                    </a:ln>
                  </pic:spPr>
                </pic:pic>
              </a:graphicData>
            </a:graphic>
          </wp:anchor>
        </w:drawing>
      </w:r>
      <w:r w:rsidR="00DD36AA">
        <w:t>Apart from statistical testing, graphical ordination methods can also be used to infer potential impact if points associated with exposed sites sit well outside of points representing reference sites. Figure 3.33 depicts the multivariate ordination derived using replicate within-site macroinvertebrate data. Data points are displayed in terms of the sites sampled in Magela and Gulungul Creeks downstream of Ranger for each year of study (to 2014), relative to Magela and Gulungul Creek upstream (control) sites for 2014, and all other control sites sampled up to 2013 (Magela and Gulungul upstream sites, all sites in Burdulba and Nourlangie). Samples close to one another in the ordination indicate a similar community structure.</w:t>
      </w:r>
    </w:p>
    <w:p w:rsidR="009E6339" w:rsidRDefault="009E6339" w:rsidP="009E6339">
      <w:pPr>
        <w:spacing w:after="0" w:line="240" w:lineRule="auto"/>
      </w:pPr>
    </w:p>
    <w:p w:rsidR="009E6339" w:rsidRPr="00B400E1" w:rsidRDefault="009E6339" w:rsidP="009E6339">
      <w:pPr>
        <w:pStyle w:val="FigureCaption1"/>
        <w:ind w:left="0" w:firstLine="0"/>
        <w:jc w:val="center"/>
        <w:rPr>
          <w:b w:val="0"/>
          <w:sz w:val="16"/>
          <w:szCs w:val="16"/>
          <w:lang w:val="en-US"/>
        </w:rPr>
      </w:pPr>
      <w:r>
        <w:rPr>
          <w:b w:val="0"/>
          <w:sz w:val="16"/>
          <w:szCs w:val="16"/>
          <w:lang w:val="en-US"/>
        </w:rPr>
        <w:t>F</w:t>
      </w:r>
      <w:r w:rsidRPr="00B400E1">
        <w:rPr>
          <w:b w:val="0"/>
          <w:sz w:val="16"/>
          <w:szCs w:val="16"/>
          <w:lang w:val="en-US"/>
        </w:rPr>
        <w:t>igure 3.33 Ordination plot (axis 1 and 2) of macroinvertebrate community structure data from sites sampled in several streams in the vicinity of Ranger mine for the period 1988 to 2013. Data from Magela and Gulungul Creeks for 2013 are indicated by the enlarged symbols</w:t>
      </w:r>
      <w:r w:rsidR="00630309">
        <w:rPr>
          <w:b w:val="0"/>
          <w:sz w:val="16"/>
          <w:szCs w:val="16"/>
          <w:lang w:val="en-US"/>
        </w:rPr>
        <w:t>.</w:t>
      </w:r>
    </w:p>
    <w:p w:rsidR="00DD36AA" w:rsidRPr="0085385E" w:rsidRDefault="00DD36AA" w:rsidP="00DD36AA">
      <w:r w:rsidRPr="0085385E">
        <w:t>Data points associated with the 201</w:t>
      </w:r>
      <w:r>
        <w:t>4</w:t>
      </w:r>
      <w:r w:rsidRPr="0085385E">
        <w:t xml:space="preserve"> Gulungul and Magela downstream sites are generally interspersed among the points representing the control sites, indicating that these ‘exposed’ sites have macroinvertebrate communities that are similar to those occurring at control sites. This was confirmed by PERMANOVA (PERmutational Multivariate ANalysis Of Variance) testing on the individual sites (cf paired site dissimilarity for the ANOVA above) of the exposed streams (Magela and Gulungul) which showed no significant difference betwe</w:t>
      </w:r>
      <w:r>
        <w:t>en the downstream data from 2014</w:t>
      </w:r>
      <w:r w:rsidRPr="0085385E">
        <w:t xml:space="preserve"> with downstream data from previous years, and no significant difference bet</w:t>
      </w:r>
      <w:r>
        <w:t>ween the upstream data from 2014</w:t>
      </w:r>
      <w:r w:rsidRPr="0085385E">
        <w:t xml:space="preserve"> with upstream data from previous years.</w:t>
      </w:r>
      <w:r>
        <w:t xml:space="preserve"> (By comparison, the higher dissimilarity in Gulungul Creek observed in 2011 (see above), was associated with separation of upstream Gulungul Creek sites in ordination space and significant separation of these same sites from comparable </w:t>
      </w:r>
      <w:r w:rsidRPr="0085385E">
        <w:t>upstream data from previous years</w:t>
      </w:r>
      <w:r>
        <w:t xml:space="preserve"> in the PERMANOVA testing</w:t>
      </w:r>
      <w:r w:rsidR="00536971">
        <w:t>)</w:t>
      </w:r>
      <w:r>
        <w:t>.</w:t>
      </w:r>
    </w:p>
    <w:p w:rsidR="00DD36AA" w:rsidRDefault="003D14A0" w:rsidP="00DD36AA">
      <w:r>
        <w:t>The lower p</w:t>
      </w:r>
      <w:r w:rsidRPr="00067AF4">
        <w:t xml:space="preserve">aired upstream-downstream dissimilarity values </w:t>
      </w:r>
      <w:r>
        <w:t xml:space="preserve">observed in Magela Creek in 2014 may be associated with a combination of the generally lower flow in the creek at the time of sampling compared to previous years, and a change in sampling location at the upstream site required because of unsuitable habitat in the usual sampling location. Lower creek flows can confer more similar macroinvertebrate communities between creek sites (i.e. lower dissimilarity; see Supervising Scientist Annual Report, 2012–13, Figure 4.10). The new sampling site in 2014 was also located in the main channel of the creek (unlike the side channel sampled in previous years), more closely resembling the main-channel site downstream. </w:t>
      </w:r>
      <w:r w:rsidR="00DD36AA" w:rsidRPr="0085385E">
        <w:t>Collectively, these graphical and statistical results provide good evidence that changes to water quality downstream of Ranger as a consequence of mining during the period 1994 to 201</w:t>
      </w:r>
      <w:r w:rsidR="00DD36AA">
        <w:t>4</w:t>
      </w:r>
      <w:r w:rsidR="00DD36AA" w:rsidRPr="0085385E">
        <w:t xml:space="preserve"> have not adversely affected macroinvertebrate communities.</w:t>
      </w:r>
    </w:p>
    <w:p w:rsidR="006226E3" w:rsidRDefault="006226E3" w:rsidP="006226E3">
      <w:pPr>
        <w:pStyle w:val="Heading6"/>
      </w:pPr>
      <w:r>
        <w:t>Analysis for all creeks for 2013 sampling</w:t>
      </w:r>
    </w:p>
    <w:p w:rsidR="00DD36AA" w:rsidRDefault="00DD36AA" w:rsidP="00DD36AA">
      <w:r>
        <w:t xml:space="preserve">As noted above, 2013 data for Burdulba and Nourlangie Creeks were not available at the time of preparing </w:t>
      </w:r>
      <w:proofErr w:type="gramStart"/>
      <w:r>
        <w:t>the 2012–13 Supervising Scientist Annual Report</w:t>
      </w:r>
      <w:proofErr w:type="gramEnd"/>
      <w:r>
        <w:t>. Compilation of the full macroinvertebrate dataset from 1988 to 2013 enables a complete statistical analysis of 2013 macroinvertebrate data.</w:t>
      </w:r>
    </w:p>
    <w:p w:rsidR="00DD36AA" w:rsidRDefault="00DD36AA" w:rsidP="00DD36AA">
      <w:r>
        <w:t xml:space="preserve">A four-factor ANOVA model based on replicate, paired-site dissimilarity values, was run using the factors Before/After (BA; fixed), Control/Impact (CI or ‘Exposure’; fixed), Year (nested within BA; random) and Stream (nested within CI; random) to determine if any change has occurred. The ANOVA showed no significant change from the before (pre 2013) to after (2013) periods in the magnitude of upstream-downstream dissimilarity between the control and exposed streams (p = 0.777 and p = 0.529 for BA and BA*Exposure interaction respectively). </w:t>
      </w:r>
    </w:p>
    <w:p w:rsidR="00DD36AA" w:rsidRPr="00DD36AA" w:rsidRDefault="00DD36AA" w:rsidP="00DD36AA">
      <w:r>
        <w:t xml:space="preserve">These results confirm that the dissimilarity values for 2013 do not differ from previous years. While the Year*Stream interaction is significant in the same analysis (p &lt; 0.001), this simply indicates that dissimilarity values for the streams show natural differences through time, including fluctuations in control streams. This variation over time is evident in Figure 3.32, particularly for recent years (2011 and 2012) in Gulungul Creek (see section 3.2.3.2 of the Supervising Scientist Annual Report for 2012–2013). Additional graphical and statistical testing of the full 2013 dataset </w:t>
      </w:r>
      <w:proofErr w:type="gramStart"/>
      <w:r>
        <w:t>are</w:t>
      </w:r>
      <w:proofErr w:type="gramEnd"/>
      <w:r>
        <w:t xml:space="preserve"> provided in an eriss Annual Research Summary paper published in 2014</w:t>
      </w:r>
      <w:r w:rsidR="00FA5FFA">
        <w:rPr>
          <w:rStyle w:val="FootnoteReference"/>
        </w:rPr>
        <w:footnoteReference w:id="2"/>
      </w:r>
      <w:r>
        <w:t xml:space="preserve"> . Those collective results provide good evidence that changes to water quality downstream of Ranger as a consequence of mining during the period 1994 to 2013 have not adversely affected macroinvertebrate communities.</w:t>
      </w:r>
    </w:p>
    <w:p w:rsidR="00AC75EE" w:rsidRDefault="00BE3481">
      <w:pPr>
        <w:pStyle w:val="Heading6"/>
      </w:pPr>
      <w:r w:rsidRPr="00BE3481">
        <w:t>Monitoring using fish community structure</w:t>
      </w:r>
    </w:p>
    <w:p w:rsidR="00AE2723" w:rsidRDefault="00AE2723" w:rsidP="00AE2723">
      <w:r w:rsidRPr="0033129B">
        <w:t>Assessment of fish communities in billabongs is conducted between late April and July each sampling year using non-destructive sampling methods applied in ‘exposed’ and ‘control’ locations. Two billabong types are sampled: deep channel billabongs studied every year, and shallow lowland billabongs</w:t>
      </w:r>
      <w:r>
        <w:t>,</w:t>
      </w:r>
      <w:r w:rsidRPr="0033129B">
        <w:t xml:space="preserve"> dominated by aquatic plants</w:t>
      </w:r>
      <w:r>
        <w:t>,</w:t>
      </w:r>
      <w:r w:rsidRPr="0033129B">
        <w:t xml:space="preserve"> which are studied every two years. </w:t>
      </w:r>
    </w:p>
    <w:p w:rsidR="006226E3" w:rsidRDefault="006226E3" w:rsidP="006226E3">
      <w:pPr>
        <w:pStyle w:val="Heading6"/>
      </w:pPr>
      <w:r>
        <w:t>Deep channel billabongs</w:t>
      </w:r>
    </w:p>
    <w:p w:rsidR="002F0D6D" w:rsidRPr="0033129B" w:rsidRDefault="002F0D6D" w:rsidP="002F0D6D">
      <w:bookmarkStart w:id="201" w:name="_Toc316985355"/>
      <w:bookmarkStart w:id="202" w:name="_Toc313523506"/>
      <w:bookmarkStart w:id="203" w:name="_Toc282084637"/>
      <w:r w:rsidRPr="0033129B">
        <w:t>The exposed location for the channel billabong study is Mudginberri Billabong. For the 2014 monitoring period</w:t>
      </w:r>
      <w:r>
        <w:t>,</w:t>
      </w:r>
      <w:r w:rsidRPr="0033129B">
        <w:t xml:space="preserve"> access to Mudginberri Billabong was not possible due to an important time of mourning for the local Indigenous community. The next assessment will be undertaken in 2015 and will be reported in </w:t>
      </w:r>
      <w:r>
        <w:t xml:space="preserve">the </w:t>
      </w:r>
      <w:r w:rsidRPr="0033129B">
        <w:t xml:space="preserve">Supervising Scientist annual report </w:t>
      </w:r>
      <w:r>
        <w:t xml:space="preserve">for </w:t>
      </w:r>
      <w:r w:rsidRPr="0033129B">
        <w:t>2014–15.</w:t>
      </w:r>
    </w:p>
    <w:p w:rsidR="006226E3" w:rsidRPr="0064229A" w:rsidRDefault="006226E3" w:rsidP="006226E3">
      <w:pPr>
        <w:pStyle w:val="Heading6"/>
      </w:pPr>
      <w:r w:rsidRPr="0064229A">
        <w:t>Shallow lowland billabongs</w:t>
      </w:r>
      <w:bookmarkEnd w:id="201"/>
      <w:bookmarkEnd w:id="202"/>
      <w:bookmarkEnd w:id="203"/>
    </w:p>
    <w:p w:rsidR="006226E3" w:rsidRPr="00F97A72" w:rsidRDefault="006226E3" w:rsidP="006226E3">
      <w:r w:rsidRPr="00F97A72">
        <w:t>Monitoring of fish communities in shallow lowland billabongs has previously been conducted every two years</w:t>
      </w:r>
      <w:r>
        <w:t xml:space="preserve">, with the exception of a break in sampling between 2009 and 2012. </w:t>
      </w:r>
      <w:r w:rsidRPr="00F97A72">
        <w:t xml:space="preserve">The last assessment of fish communities in these billabongs occurred </w:t>
      </w:r>
      <w:r w:rsidRPr="00BC722F">
        <w:t>in J</w:t>
      </w:r>
      <w:r>
        <w:t>une 2012</w:t>
      </w:r>
      <w:r w:rsidRPr="00BC722F">
        <w:t xml:space="preserve"> with</w:t>
      </w:r>
      <w:r w:rsidRPr="00F97A72">
        <w:t xml:space="preserve"> results reported in the Supervising Scientist annual report </w:t>
      </w:r>
      <w:r>
        <w:t>for 2011–</w:t>
      </w:r>
      <w:r w:rsidRPr="00BC722F">
        <w:t>12 (section 2.2.3).</w:t>
      </w:r>
      <w:r w:rsidRPr="00F97A72">
        <w:t xml:space="preserve"> Results from sampling conducted in </w:t>
      </w:r>
      <w:r w:rsidRPr="00BC722F">
        <w:t>June 2014</w:t>
      </w:r>
      <w:r w:rsidRPr="00F97A72">
        <w:t xml:space="preserve"> are d</w:t>
      </w:r>
      <w:r>
        <w:t>escribed</w:t>
      </w:r>
      <w:r w:rsidRPr="00F97A72">
        <w:t xml:space="preserve"> below.</w:t>
      </w:r>
    </w:p>
    <w:p w:rsidR="009E6339" w:rsidRDefault="006226E3" w:rsidP="006226E3">
      <w:r w:rsidRPr="00F97A72">
        <w:t>The monitoring program</w:t>
      </w:r>
      <w:r w:rsidR="00936D05">
        <w:t>me</w:t>
      </w:r>
      <w:r w:rsidRPr="00F97A72">
        <w:t xml:space="preserve"> for fish communities in shallow billabongs is conducted in six billabongs, comprising three ‘control’ versus ‘exposed’ billabong pairs. In a similar manner to fish communities in channel billabongs (</w:t>
      </w:r>
      <w:r>
        <w:t>see Supervising Scientist annual report 2011–12, section 2.2.3</w:t>
      </w:r>
      <w:r w:rsidRPr="00F97A72">
        <w:t>), the similarity of fish communities in the directly exposed sites downstream of Ranger on Magela Creek (Georgetown, Coonjimba and Gulungul billabongs) to those of the control sites (Sandy Shallow and Buba billabongs on Nourlangie Creek and Wirnmuyurr Billabong – a Magela floodplain tributar</w:t>
      </w:r>
      <w:r w:rsidRPr="00BF361B">
        <w:t>y) (see Map 3) is determined using multivariate dissimilarity indices calculated for eac</w:t>
      </w:r>
      <w:r w:rsidRPr="00F97A72">
        <w:t xml:space="preserve">h sampling occasion. A plot of the dissimilarity values of the control-exposed site pairings – Coonjimba-Buba, Georgetown-Sandy Shallow and Gulungul-Wirnmuyurr Billabongs – from 1994 </w:t>
      </w:r>
      <w:r w:rsidRPr="00BC722F">
        <w:t>to 2014,</w:t>
      </w:r>
      <w:r w:rsidRPr="00F97A72">
        <w:t xml:space="preserve"> is shown in Figure </w:t>
      </w:r>
      <w:r w:rsidRPr="00BF361B">
        <w:t>3.3</w:t>
      </w:r>
      <w:r w:rsidR="00E93C60">
        <w:t>4</w:t>
      </w:r>
      <w:r w:rsidRPr="00BF361B">
        <w:t>.</w:t>
      </w:r>
      <w:r w:rsidR="009E6339" w:rsidRPr="009E6339">
        <w:t xml:space="preserve"> </w:t>
      </w:r>
    </w:p>
    <w:p w:rsidR="00BB04AD" w:rsidRDefault="009E6339" w:rsidP="00BB04AD">
      <w:r w:rsidRPr="006226E3">
        <w:t>The three sets of paired-billabong dissimilarity values measured since 1998 (when sampling of all three site-pairs commenced) have been analysed using a three-factor ANOVA with Before/After (BA; fixed), Year (nested within BA; random) and Site-pair (Fixed) as factors. In this analysis</w:t>
      </w:r>
      <w:r>
        <w:t>,</w:t>
      </w:r>
      <w:r w:rsidRPr="006226E3">
        <w:t xml:space="preserve"> the BA factor tests whether values for the year of interest (2014) are consistent with the range of values reported in previous years (1998 to 2012), the factor</w:t>
      </w:r>
      <w:r>
        <w:t xml:space="preserve"> </w:t>
      </w:r>
      <w:r w:rsidRPr="006226E3">
        <w:t>‘Year’ tests for differences amongst years within the before or after periods and the ‘Site-pair’ factor tests for differences amongst the three paired-billabong dissimilarities.</w:t>
      </w:r>
      <w:r w:rsidR="00BB04AD" w:rsidRPr="00BB04AD">
        <w:t xml:space="preserve"> </w:t>
      </w:r>
    </w:p>
    <w:p w:rsidR="003F1C37" w:rsidRDefault="00BB04AD" w:rsidP="00BB04AD">
      <w:r w:rsidRPr="006226E3">
        <w:t>The ANOVA results showed that across all three site-pairs there was no significant change from 2014 to other years (BA factor, p = 0.763) and that the change between 2014 and previous years within the individual site-pairs was consistent (BA*Site-pair interaction, p = 0.953). These results confirm that dissimilarity values for 2014 for all three site-pairs do not differ from those values from previous years. Significant differences do occur over time within site-pairs (Year*Site-pair interaction, p = 0.000)</w:t>
      </w:r>
      <w:r>
        <w:t>,</w:t>
      </w:r>
      <w:r w:rsidRPr="006226E3">
        <w:t xml:space="preserve"> which reflects (natural) changes through time. This variation over time is evident in Figure 3.3</w:t>
      </w:r>
      <w:r>
        <w:t>4</w:t>
      </w:r>
      <w:r w:rsidRPr="006226E3">
        <w:t xml:space="preserve"> and is further considered below.</w:t>
      </w:r>
      <w:r w:rsidRPr="00BB04AD">
        <w:t xml:space="preserve"> </w:t>
      </w:r>
      <w:r w:rsidRPr="006226E3">
        <w:t>The paired-site dissimilarities shown in Figure 3.3</w:t>
      </w:r>
      <w:r>
        <w:t>4</w:t>
      </w:r>
      <w:r w:rsidRPr="006226E3">
        <w:t xml:space="preserve"> average between 40 and 60%, indicating fish communities in each of the billabongs comprising a site-pair are quite different from one another</w:t>
      </w:r>
      <w:r>
        <w:t>.</w:t>
      </w:r>
      <w:r w:rsidRPr="00BB04AD">
        <w:t xml:space="preserve"> </w:t>
      </w:r>
      <w:r w:rsidRPr="006226E3">
        <w:t>The dissimilarity values appear to reflect differences in aquatic plant communities of the site-pair billabongs, with particularly high dissimilarity values (i.e. Coonjimba-Buba pairing for 2002 and 2007, Gulungul-Wirnmuyurr site pairing for 2002, Figure 3.3</w:t>
      </w:r>
      <w:r>
        <w:t>4</w:t>
      </w:r>
      <w:r w:rsidRPr="006226E3">
        <w:t>) attributable to high densities of particular aquatic plant types in one or both billabongs in a billabong pair (see Supervising Scientist annual report 2006–07, section 2.2.3).</w:t>
      </w:r>
      <w:r w:rsidRPr="00BB04AD">
        <w:t xml:space="preserve"> </w:t>
      </w:r>
    </w:p>
    <w:p w:rsidR="003F1C37" w:rsidRDefault="003F1C37" w:rsidP="003F1C37">
      <w:pPr>
        <w:spacing w:after="0" w:line="260" w:lineRule="atLeast"/>
        <w:jc w:val="center"/>
        <w:rPr>
          <w:lang w:eastAsia="en-AU"/>
        </w:rPr>
      </w:pPr>
      <w:r w:rsidRPr="006226E3">
        <w:rPr>
          <w:noProof/>
          <w:lang w:eastAsia="en-AU"/>
        </w:rPr>
        <w:drawing>
          <wp:inline distT="0" distB="0" distL="0" distR="0">
            <wp:extent cx="3955724" cy="5195455"/>
            <wp:effectExtent l="19050" t="0" r="6676" b="0"/>
            <wp:docPr id="45" name="Picture 1" descr="SSAR 201314 Popnetting dissimilarity grap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AR 201314 Popnetting dissimilarity graph.JPG"/>
                    <pic:cNvPicPr/>
                  </pic:nvPicPr>
                  <pic:blipFill>
                    <a:blip r:embed="rId86" cstate="screen"/>
                    <a:stretch>
                      <a:fillRect/>
                    </a:stretch>
                  </pic:blipFill>
                  <pic:spPr>
                    <a:xfrm>
                      <a:off x="0" y="0"/>
                      <a:ext cx="3955724" cy="5195455"/>
                    </a:xfrm>
                    <a:prstGeom prst="rect">
                      <a:avLst/>
                    </a:prstGeom>
                  </pic:spPr>
                </pic:pic>
              </a:graphicData>
            </a:graphic>
          </wp:inline>
        </w:drawing>
      </w:r>
    </w:p>
    <w:p w:rsidR="003F1C37" w:rsidRPr="006226E3" w:rsidRDefault="003F1C37" w:rsidP="003F1C37">
      <w:pPr>
        <w:spacing w:after="0" w:line="260" w:lineRule="atLeast"/>
        <w:jc w:val="center"/>
        <w:rPr>
          <w:lang w:eastAsia="en-AU"/>
        </w:rPr>
      </w:pPr>
    </w:p>
    <w:p w:rsidR="003F1C37" w:rsidRPr="006226E3" w:rsidRDefault="003F1C37" w:rsidP="003F1C37">
      <w:pPr>
        <w:pStyle w:val="figurecaption"/>
        <w:rPr>
          <w:b/>
        </w:rPr>
      </w:pPr>
      <w:r w:rsidRPr="006226E3">
        <w:rPr>
          <w:b/>
        </w:rPr>
        <w:t>Figure 3.3</w:t>
      </w:r>
      <w:r>
        <w:rPr>
          <w:b/>
        </w:rPr>
        <w:t>4</w:t>
      </w:r>
      <w:r w:rsidRPr="006226E3">
        <w:rPr>
          <w:b/>
        </w:rPr>
        <w:t xml:space="preserve">  </w:t>
      </w:r>
      <w:r w:rsidRPr="006226E3">
        <w:t>Paired control-exposed site dissimilarity values (using the Bray-Curtis measure) calculated for community structure of fish in ‘exposed’ Magela and ‘control’ Nourlangie and Magela Billabongs in the vicinity of Ranger mine over time. Values are means (</w:t>
      </w:r>
      <w:r w:rsidRPr="006226E3">
        <w:sym w:font="Symbol" w:char="F0B1"/>
      </w:r>
      <w:r w:rsidRPr="006226E3">
        <w:t> standard error) of the 5 possible (randomly-selected) pairwise comparisons of average trap enclosure data between the pairwise billabong comparisons, Coonjimba-Buba, Gulungul-Wirnmuyurr and Georgetown-Sandy Shallow billabongs</w:t>
      </w:r>
      <w:r>
        <w:t>.</w:t>
      </w:r>
    </w:p>
    <w:p w:rsidR="00BB04AD" w:rsidRPr="006226E3" w:rsidRDefault="00BB04AD" w:rsidP="00BB04AD">
      <w:r w:rsidRPr="006226E3">
        <w:t xml:space="preserve">Excessive plant densities are unfavourable for fish communities as fish movement, and hence residency, is physically prevented. Collectively, the graphical and statistical results provide good evidence that changes to water quality downstream of Ranger as a consequence of mining during the period 1994 to 2014 have not adversely affected fish communities in shallow billabongs. </w:t>
      </w:r>
    </w:p>
    <w:p w:rsidR="0028176D" w:rsidRPr="0028176D" w:rsidRDefault="0028176D" w:rsidP="0028176D">
      <w:pPr>
        <w:pStyle w:val="Heading2"/>
        <w:rPr>
          <w:lang w:val="en-US"/>
        </w:rPr>
      </w:pPr>
      <w:bookmarkStart w:id="204" w:name="_Toc399928179"/>
      <w:r w:rsidRPr="0028176D">
        <w:rPr>
          <w:lang w:val="en-US"/>
        </w:rPr>
        <w:t>3.3</w:t>
      </w:r>
      <w:r w:rsidRPr="0028176D">
        <w:rPr>
          <w:lang w:val="en-US"/>
        </w:rPr>
        <w:tab/>
        <w:t>Jabiluka</w:t>
      </w:r>
      <w:bookmarkEnd w:id="204"/>
    </w:p>
    <w:p w:rsidR="0028176D" w:rsidRPr="0028176D" w:rsidRDefault="0028176D" w:rsidP="0028176D">
      <w:pPr>
        <w:pStyle w:val="Heading3"/>
      </w:pPr>
      <w:bookmarkStart w:id="205" w:name="_Toc272771442"/>
      <w:bookmarkStart w:id="206" w:name="_Toc334196087"/>
      <w:bookmarkStart w:id="207" w:name="_Toc363824151"/>
      <w:r w:rsidRPr="0028176D">
        <w:t>3.3.1</w:t>
      </w:r>
      <w:r w:rsidRPr="0028176D">
        <w:tab/>
      </w:r>
      <w:r w:rsidR="00A45892">
        <w:tab/>
      </w:r>
      <w:r w:rsidRPr="0028176D">
        <w:t>Developments</w:t>
      </w:r>
      <w:bookmarkEnd w:id="205"/>
      <w:bookmarkEnd w:id="206"/>
      <w:bookmarkEnd w:id="207"/>
    </w:p>
    <w:p w:rsidR="00C2018B" w:rsidRPr="00E20C3B" w:rsidRDefault="0028176D" w:rsidP="00C2018B">
      <w:pPr>
        <w:spacing w:line="270" w:lineRule="atLeast"/>
        <w:rPr>
          <w:noProof/>
        </w:rPr>
      </w:pPr>
      <w:bookmarkStart w:id="208" w:name="_Toc272771443"/>
      <w:bookmarkStart w:id="209" w:name="_Toc334196088"/>
      <w:bookmarkStart w:id="210" w:name="_Toc363824152"/>
      <w:r w:rsidRPr="0028176D">
        <w:t>The site continues to be maintained under a long-term care and m</w:t>
      </w:r>
      <w:r w:rsidR="00C2018B">
        <w:t>aintenance regime of management</w:t>
      </w:r>
      <w:r w:rsidR="00C2018B" w:rsidRPr="00E20C3B">
        <w:rPr>
          <w:noProof/>
        </w:rPr>
        <w:t xml:space="preserve">. In  October 2013 work on the removal of the Interim Water Management Pond (IWMP) was completed and the area contoured and prepared for revegetation.  As of February 2014, 3600 individual tube stock had been planted within the Jabiluka mine site footprint with </w:t>
      </w:r>
      <w:r w:rsidR="00013FEB">
        <w:rPr>
          <w:noProof/>
        </w:rPr>
        <w:t>survival rates of 48% noted during the June 2014 RPI.</w:t>
      </w:r>
    </w:p>
    <w:p w:rsidR="0028176D" w:rsidRPr="0028176D" w:rsidRDefault="00013FEB" w:rsidP="0028176D">
      <w:r>
        <w:t xml:space="preserve">As a result of the IWMP removal there was an increase in the statutory </w:t>
      </w:r>
      <w:r w:rsidR="0028176D" w:rsidRPr="0028176D">
        <w:t>monitoring program</w:t>
      </w:r>
      <w:r w:rsidR="00936D05">
        <w:t>me</w:t>
      </w:r>
      <w:r w:rsidR="0028176D" w:rsidRPr="0028176D">
        <w:t xml:space="preserve"> undertaken by ERA in Swift Creek (Ngarradj) during the reporting period. SSD continues to monitor downstream water quality.</w:t>
      </w:r>
    </w:p>
    <w:p w:rsidR="0028176D" w:rsidRPr="0028176D" w:rsidRDefault="0028176D" w:rsidP="0028176D">
      <w:pPr>
        <w:pStyle w:val="Heading3"/>
      </w:pPr>
      <w:r w:rsidRPr="0028176D">
        <w:t>3.3.2</w:t>
      </w:r>
      <w:r w:rsidRPr="0028176D">
        <w:tab/>
      </w:r>
      <w:r w:rsidR="00A45892">
        <w:tab/>
      </w:r>
      <w:r w:rsidRPr="0028176D">
        <w:t>On-site environmental management</w:t>
      </w:r>
      <w:bookmarkEnd w:id="208"/>
      <w:bookmarkEnd w:id="209"/>
      <w:bookmarkEnd w:id="210"/>
    </w:p>
    <w:p w:rsidR="0028176D" w:rsidRPr="0028176D" w:rsidRDefault="0028176D" w:rsidP="0028176D">
      <w:pPr>
        <w:pStyle w:val="Heading4"/>
      </w:pPr>
      <w:r w:rsidRPr="0028176D">
        <w:t>3.3.2.1</w:t>
      </w:r>
      <w:r w:rsidRPr="0028176D">
        <w:tab/>
        <w:t>Water Management</w:t>
      </w:r>
    </w:p>
    <w:p w:rsidR="0028176D" w:rsidRPr="0028176D" w:rsidRDefault="0028176D" w:rsidP="0028176D">
      <w:r w:rsidRPr="0028176D">
        <w:t xml:space="preserve">The site continues to be maintained as a passive discharge site. On 5 December 2012 ERA submitted an application to </w:t>
      </w:r>
      <w:r w:rsidRPr="00F33517">
        <w:t xml:space="preserve">discharge </w:t>
      </w:r>
      <w:r w:rsidR="00480DDA" w:rsidRPr="00F33517">
        <w:t>Interim Water Management Pond (</w:t>
      </w:r>
      <w:r w:rsidR="002F0D6D" w:rsidRPr="00F33517">
        <w:t>IWMP</w:t>
      </w:r>
      <w:r w:rsidR="00480DDA" w:rsidRPr="00F33517">
        <w:t>)</w:t>
      </w:r>
      <w:r w:rsidRPr="00F33517">
        <w:t xml:space="preserve"> water</w:t>
      </w:r>
      <w:r w:rsidRPr="0028176D">
        <w:t xml:space="preserve"> to Swift Creek (Ngarradj) for the purpose of emptying the IWMP prior to rehabilitation. Due to the below average rainfall during the 2012–13 wet season creek flow was insufficient to enable all the IWMP water to be discharged. ERA submitted a subsequent application on 14 June 2013 to enable land irrigation of the remaining IWMP water. Stakeholders approved this application on 27 June 2013 and viewed the dewatering operation during an inspection on 2 July 2013 (Table 3.</w:t>
      </w:r>
      <w:r w:rsidR="00FA5FFA">
        <w:t>10</w:t>
      </w:r>
      <w:r w:rsidRPr="0028176D">
        <w:t>).</w:t>
      </w:r>
    </w:p>
    <w:p w:rsidR="0028176D" w:rsidRPr="0028176D" w:rsidRDefault="0028176D" w:rsidP="0028176D">
      <w:pPr>
        <w:pStyle w:val="Heading4"/>
      </w:pPr>
      <w:r w:rsidRPr="0028176D">
        <w:t>3.3.2.2</w:t>
      </w:r>
      <w:r w:rsidRPr="0028176D">
        <w:tab/>
        <w:t>Audit and Routine Periodic Inspections (RPIs)</w:t>
      </w:r>
    </w:p>
    <w:p w:rsidR="00DF521E" w:rsidRDefault="0028176D" w:rsidP="0028176D">
      <w:pPr>
        <w:sectPr w:rsidR="00DF521E" w:rsidSect="002A70CD">
          <w:headerReference w:type="even" r:id="rId87"/>
          <w:headerReference w:type="default" r:id="rId88"/>
          <w:footnotePr>
            <w:numRestart w:val="eachSect"/>
          </w:footnotePr>
          <w:pgSz w:w="10325" w:h="14573" w:code="13"/>
          <w:pgMar w:top="1440" w:right="1440" w:bottom="1440" w:left="1440" w:header="720" w:footer="720" w:gutter="0"/>
          <w:cols w:space="360"/>
          <w:noEndnote/>
          <w:titlePg/>
          <w:docGrid w:linePitch="272"/>
        </w:sectPr>
      </w:pPr>
      <w:r w:rsidRPr="0028176D">
        <w:t xml:space="preserve">Six inspections were undertaken at Jabiluka during 2013–14 (Table 3.9). An environmental audit was held in May 2014 and RPIs were held in July, September, October and December 2013, February and June 2014. </w:t>
      </w:r>
      <w:r w:rsidR="00C43CF0">
        <w:br/>
      </w:r>
    </w:p>
    <w:tbl>
      <w:tblPr>
        <w:tblW w:w="0" w:type="auto"/>
        <w:tblInd w:w="108" w:type="dxa"/>
        <w:tblLook w:val="01E0"/>
      </w:tblPr>
      <w:tblGrid>
        <w:gridCol w:w="1701"/>
        <w:gridCol w:w="1985"/>
        <w:gridCol w:w="3867"/>
      </w:tblGrid>
      <w:tr w:rsidR="0028176D" w:rsidRPr="0028176D" w:rsidTr="00F74DC1">
        <w:tc>
          <w:tcPr>
            <w:tcW w:w="7553" w:type="dxa"/>
            <w:gridSpan w:val="3"/>
            <w:shd w:val="clear" w:color="auto" w:fill="D9D9D9" w:themeFill="background1" w:themeFillShade="D9"/>
          </w:tcPr>
          <w:p w:rsidR="0028176D" w:rsidRPr="0028176D" w:rsidRDefault="0028176D" w:rsidP="00FA5FFA">
            <w:pPr>
              <w:pStyle w:val="tablecaption"/>
            </w:pPr>
            <w:r w:rsidRPr="0028176D">
              <w:br w:type="page"/>
            </w:r>
            <w:bookmarkStart w:id="211" w:name="_Toc272849720"/>
            <w:r w:rsidRPr="0028176D">
              <w:t>Table 3.</w:t>
            </w:r>
            <w:r w:rsidR="00FA5FFA">
              <w:t>10</w:t>
            </w:r>
            <w:r w:rsidRPr="0028176D">
              <w:t xml:space="preserve">  RPI Focus during the reporting period</w:t>
            </w:r>
            <w:bookmarkEnd w:id="211"/>
          </w:p>
        </w:tc>
      </w:tr>
      <w:tr w:rsidR="0028176D" w:rsidRPr="0028176D" w:rsidTr="00F74DC1">
        <w:tc>
          <w:tcPr>
            <w:tcW w:w="1701" w:type="dxa"/>
            <w:tcBorders>
              <w:bottom w:val="single" w:sz="8" w:space="0" w:color="C0C0C0"/>
            </w:tcBorders>
          </w:tcPr>
          <w:p w:rsidR="0028176D" w:rsidRPr="0028176D" w:rsidRDefault="0028176D" w:rsidP="0028176D">
            <w:pPr>
              <w:pStyle w:val="table1"/>
              <w:rPr>
                <w:b/>
              </w:rPr>
            </w:pPr>
            <w:r w:rsidRPr="0028176D">
              <w:rPr>
                <w:b/>
              </w:rPr>
              <w:t>Date</w:t>
            </w:r>
          </w:p>
        </w:tc>
        <w:tc>
          <w:tcPr>
            <w:tcW w:w="1985" w:type="dxa"/>
            <w:tcBorders>
              <w:bottom w:val="single" w:sz="8" w:space="0" w:color="C0C0C0"/>
            </w:tcBorders>
          </w:tcPr>
          <w:p w:rsidR="0028176D" w:rsidRPr="0028176D" w:rsidRDefault="0028176D" w:rsidP="0028176D">
            <w:pPr>
              <w:pStyle w:val="table1"/>
              <w:rPr>
                <w:b/>
              </w:rPr>
            </w:pPr>
            <w:r w:rsidRPr="0028176D">
              <w:rPr>
                <w:b/>
              </w:rPr>
              <w:t>Inspection type</w:t>
            </w:r>
          </w:p>
        </w:tc>
        <w:tc>
          <w:tcPr>
            <w:tcW w:w="3867" w:type="dxa"/>
            <w:tcBorders>
              <w:bottom w:val="single" w:sz="8" w:space="0" w:color="C0C0C0"/>
            </w:tcBorders>
          </w:tcPr>
          <w:p w:rsidR="0028176D" w:rsidRPr="0028176D" w:rsidRDefault="0028176D" w:rsidP="0028176D">
            <w:pPr>
              <w:pStyle w:val="table1"/>
              <w:rPr>
                <w:b/>
              </w:rPr>
            </w:pPr>
            <w:r w:rsidRPr="0028176D">
              <w:rPr>
                <w:b/>
              </w:rPr>
              <w:t>Foci</w:t>
            </w:r>
          </w:p>
        </w:tc>
      </w:tr>
      <w:tr w:rsidR="0028176D" w:rsidRPr="0028176D" w:rsidTr="00F74DC1">
        <w:tc>
          <w:tcPr>
            <w:tcW w:w="1701" w:type="dxa"/>
            <w:tcBorders>
              <w:top w:val="single" w:sz="8" w:space="0" w:color="C0C0C0"/>
            </w:tcBorders>
            <w:vAlign w:val="center"/>
          </w:tcPr>
          <w:p w:rsidR="0028176D" w:rsidRPr="0028176D" w:rsidRDefault="0028176D" w:rsidP="0028176D">
            <w:pPr>
              <w:pStyle w:val="table1"/>
            </w:pPr>
            <w:r w:rsidRPr="0028176D">
              <w:t>2 July 2013</w:t>
            </w:r>
          </w:p>
        </w:tc>
        <w:tc>
          <w:tcPr>
            <w:tcW w:w="1985" w:type="dxa"/>
            <w:tcBorders>
              <w:top w:val="single" w:sz="8" w:space="0" w:color="C0C0C0"/>
            </w:tcBorders>
            <w:vAlign w:val="center"/>
          </w:tcPr>
          <w:p w:rsidR="0028176D" w:rsidRPr="0028176D" w:rsidRDefault="0028176D" w:rsidP="0028176D">
            <w:pPr>
              <w:pStyle w:val="table1"/>
            </w:pPr>
            <w:r w:rsidRPr="0028176D">
              <w:t>RPI</w:t>
            </w:r>
          </w:p>
        </w:tc>
        <w:tc>
          <w:tcPr>
            <w:tcW w:w="3867" w:type="dxa"/>
            <w:tcBorders>
              <w:top w:val="single" w:sz="8" w:space="0" w:color="C0C0C0"/>
            </w:tcBorders>
            <w:vAlign w:val="center"/>
          </w:tcPr>
          <w:p w:rsidR="0028176D" w:rsidRPr="0028176D" w:rsidRDefault="0028176D" w:rsidP="0028176D">
            <w:pPr>
              <w:pStyle w:val="table1"/>
            </w:pPr>
            <w:r w:rsidRPr="0028176D">
              <w:t>IWMP removal project and IWMP dewatering operations.</w:t>
            </w:r>
          </w:p>
        </w:tc>
      </w:tr>
      <w:tr w:rsidR="0028176D" w:rsidRPr="0028176D" w:rsidTr="00F74DC1">
        <w:tc>
          <w:tcPr>
            <w:tcW w:w="1701" w:type="dxa"/>
            <w:vAlign w:val="center"/>
          </w:tcPr>
          <w:p w:rsidR="0028176D" w:rsidRPr="0028176D" w:rsidRDefault="0028176D" w:rsidP="0028176D">
            <w:pPr>
              <w:pStyle w:val="table1"/>
            </w:pPr>
            <w:r w:rsidRPr="0028176D">
              <w:t>16 September 2013</w:t>
            </w:r>
          </w:p>
        </w:tc>
        <w:tc>
          <w:tcPr>
            <w:tcW w:w="1985" w:type="dxa"/>
            <w:vAlign w:val="center"/>
          </w:tcPr>
          <w:p w:rsidR="0028176D" w:rsidRPr="0028176D" w:rsidRDefault="0028176D" w:rsidP="0028176D">
            <w:pPr>
              <w:pStyle w:val="table1"/>
            </w:pPr>
            <w:r w:rsidRPr="0028176D">
              <w:t>RPI</w:t>
            </w:r>
          </w:p>
        </w:tc>
        <w:tc>
          <w:tcPr>
            <w:tcW w:w="3867" w:type="dxa"/>
            <w:vAlign w:val="center"/>
          </w:tcPr>
          <w:p w:rsidR="0028176D" w:rsidRPr="0028176D" w:rsidRDefault="0028176D" w:rsidP="0028176D">
            <w:pPr>
              <w:pStyle w:val="table1"/>
            </w:pPr>
            <w:r w:rsidRPr="0028176D">
              <w:t>IWMP removal project.</w:t>
            </w:r>
          </w:p>
        </w:tc>
      </w:tr>
      <w:tr w:rsidR="0028176D" w:rsidRPr="0028176D" w:rsidTr="00F74DC1">
        <w:tc>
          <w:tcPr>
            <w:tcW w:w="1701" w:type="dxa"/>
            <w:vAlign w:val="center"/>
          </w:tcPr>
          <w:p w:rsidR="0028176D" w:rsidRPr="0028176D" w:rsidRDefault="0028176D" w:rsidP="0028176D">
            <w:pPr>
              <w:pStyle w:val="table1"/>
            </w:pPr>
            <w:r w:rsidRPr="0028176D">
              <w:t>17 October 2013</w:t>
            </w:r>
          </w:p>
        </w:tc>
        <w:tc>
          <w:tcPr>
            <w:tcW w:w="1985" w:type="dxa"/>
            <w:vAlign w:val="center"/>
          </w:tcPr>
          <w:p w:rsidR="0028176D" w:rsidRPr="0028176D" w:rsidRDefault="0028176D" w:rsidP="0028176D">
            <w:pPr>
              <w:pStyle w:val="table1"/>
            </w:pPr>
            <w:r w:rsidRPr="0028176D">
              <w:t>RPI</w:t>
            </w:r>
          </w:p>
        </w:tc>
        <w:tc>
          <w:tcPr>
            <w:tcW w:w="3867" w:type="dxa"/>
            <w:vAlign w:val="center"/>
          </w:tcPr>
          <w:p w:rsidR="0028176D" w:rsidRPr="0028176D" w:rsidRDefault="0028176D" w:rsidP="0028176D">
            <w:pPr>
              <w:pStyle w:val="table1"/>
            </w:pPr>
            <w:r w:rsidRPr="0028176D">
              <w:t>IWMP removal project.</w:t>
            </w:r>
          </w:p>
        </w:tc>
      </w:tr>
      <w:tr w:rsidR="0028176D" w:rsidRPr="0028176D" w:rsidTr="00F74DC1">
        <w:tc>
          <w:tcPr>
            <w:tcW w:w="1701" w:type="dxa"/>
            <w:vAlign w:val="center"/>
          </w:tcPr>
          <w:p w:rsidR="0028176D" w:rsidRPr="0028176D" w:rsidRDefault="0028176D" w:rsidP="0028176D">
            <w:pPr>
              <w:pStyle w:val="table1"/>
            </w:pPr>
            <w:r w:rsidRPr="0028176D">
              <w:t>12 December 2013</w:t>
            </w:r>
          </w:p>
        </w:tc>
        <w:tc>
          <w:tcPr>
            <w:tcW w:w="1985" w:type="dxa"/>
            <w:vAlign w:val="center"/>
          </w:tcPr>
          <w:p w:rsidR="0028176D" w:rsidRPr="0028176D" w:rsidRDefault="0028176D" w:rsidP="0028176D">
            <w:pPr>
              <w:pStyle w:val="table1"/>
            </w:pPr>
            <w:r w:rsidRPr="0028176D">
              <w:t>RPI</w:t>
            </w:r>
          </w:p>
        </w:tc>
        <w:tc>
          <w:tcPr>
            <w:tcW w:w="3867" w:type="dxa"/>
            <w:vAlign w:val="center"/>
          </w:tcPr>
          <w:p w:rsidR="0028176D" w:rsidRPr="0028176D" w:rsidRDefault="0028176D" w:rsidP="0028176D">
            <w:pPr>
              <w:pStyle w:val="table1"/>
            </w:pPr>
            <w:r w:rsidRPr="0028176D">
              <w:t>Rehabilitation works within the Jabiluka footprint.</w:t>
            </w:r>
          </w:p>
        </w:tc>
      </w:tr>
      <w:tr w:rsidR="0028176D" w:rsidRPr="0028176D" w:rsidTr="00F74DC1">
        <w:tc>
          <w:tcPr>
            <w:tcW w:w="1701" w:type="dxa"/>
            <w:shd w:val="clear" w:color="auto" w:fill="auto"/>
            <w:vAlign w:val="center"/>
          </w:tcPr>
          <w:p w:rsidR="0028176D" w:rsidRPr="0028176D" w:rsidRDefault="0028176D" w:rsidP="0028176D">
            <w:pPr>
              <w:pStyle w:val="table1"/>
            </w:pPr>
            <w:r w:rsidRPr="0028176D">
              <w:t>20 February 2014</w:t>
            </w:r>
          </w:p>
        </w:tc>
        <w:tc>
          <w:tcPr>
            <w:tcW w:w="1985" w:type="dxa"/>
            <w:vAlign w:val="center"/>
          </w:tcPr>
          <w:p w:rsidR="0028176D" w:rsidRPr="0028176D" w:rsidRDefault="0028176D" w:rsidP="0028176D">
            <w:pPr>
              <w:pStyle w:val="table1"/>
            </w:pPr>
            <w:r w:rsidRPr="0028176D">
              <w:t>RPI</w:t>
            </w:r>
          </w:p>
        </w:tc>
        <w:tc>
          <w:tcPr>
            <w:tcW w:w="3867" w:type="dxa"/>
            <w:vAlign w:val="center"/>
          </w:tcPr>
          <w:p w:rsidR="0028176D" w:rsidRPr="0028176D" w:rsidRDefault="0028176D" w:rsidP="0028176D">
            <w:pPr>
              <w:pStyle w:val="table1"/>
            </w:pPr>
            <w:r w:rsidRPr="0028176D">
              <w:t>Wet season impacts on the rehabilitation works.</w:t>
            </w:r>
          </w:p>
        </w:tc>
      </w:tr>
      <w:tr w:rsidR="0028176D" w:rsidRPr="0028176D" w:rsidTr="00F74DC1">
        <w:tc>
          <w:tcPr>
            <w:tcW w:w="1701" w:type="dxa"/>
            <w:shd w:val="clear" w:color="auto" w:fill="auto"/>
            <w:vAlign w:val="center"/>
          </w:tcPr>
          <w:p w:rsidR="0028176D" w:rsidRPr="0028176D" w:rsidRDefault="001A5831" w:rsidP="0028176D">
            <w:pPr>
              <w:pStyle w:val="table1"/>
            </w:pPr>
            <w:r>
              <w:t>12–</w:t>
            </w:r>
            <w:r w:rsidR="0028176D" w:rsidRPr="0028176D">
              <w:t>15 May 2014</w:t>
            </w:r>
          </w:p>
        </w:tc>
        <w:tc>
          <w:tcPr>
            <w:tcW w:w="1985" w:type="dxa"/>
            <w:shd w:val="clear" w:color="auto" w:fill="auto"/>
            <w:vAlign w:val="center"/>
          </w:tcPr>
          <w:p w:rsidR="0028176D" w:rsidRPr="0028176D" w:rsidRDefault="0028176D" w:rsidP="0028176D">
            <w:pPr>
              <w:pStyle w:val="table1"/>
            </w:pPr>
            <w:r w:rsidRPr="0028176D">
              <w:t>Audit</w:t>
            </w:r>
          </w:p>
        </w:tc>
        <w:tc>
          <w:tcPr>
            <w:tcW w:w="3867" w:type="dxa"/>
            <w:shd w:val="clear" w:color="auto" w:fill="auto"/>
            <w:vAlign w:val="center"/>
          </w:tcPr>
          <w:p w:rsidR="0028176D" w:rsidRPr="0028176D" w:rsidRDefault="0028176D" w:rsidP="0028176D">
            <w:pPr>
              <w:pStyle w:val="table1"/>
            </w:pPr>
            <w:r w:rsidRPr="0028176D">
              <w:t>MTC application for IWMP removal and rehabilitation; One Year Weed Management Plan 2013.</w:t>
            </w:r>
          </w:p>
        </w:tc>
      </w:tr>
      <w:tr w:rsidR="0028176D" w:rsidRPr="0028176D" w:rsidTr="00F74DC1">
        <w:tc>
          <w:tcPr>
            <w:tcW w:w="1701" w:type="dxa"/>
            <w:tcBorders>
              <w:bottom w:val="single" w:sz="8" w:space="0" w:color="C0C0C0"/>
            </w:tcBorders>
            <w:vAlign w:val="center"/>
          </w:tcPr>
          <w:p w:rsidR="0028176D" w:rsidRPr="0028176D" w:rsidRDefault="0028176D" w:rsidP="0028176D">
            <w:pPr>
              <w:pStyle w:val="table1"/>
            </w:pPr>
            <w:r w:rsidRPr="0028176D">
              <w:t>19 June 2014</w:t>
            </w:r>
          </w:p>
        </w:tc>
        <w:tc>
          <w:tcPr>
            <w:tcW w:w="1985" w:type="dxa"/>
            <w:tcBorders>
              <w:bottom w:val="single" w:sz="8" w:space="0" w:color="C0C0C0"/>
            </w:tcBorders>
            <w:vAlign w:val="center"/>
          </w:tcPr>
          <w:p w:rsidR="0028176D" w:rsidRPr="0028176D" w:rsidRDefault="0028176D" w:rsidP="0028176D">
            <w:pPr>
              <w:pStyle w:val="table1"/>
            </w:pPr>
            <w:r w:rsidRPr="0028176D">
              <w:t>RPI</w:t>
            </w:r>
          </w:p>
        </w:tc>
        <w:tc>
          <w:tcPr>
            <w:tcW w:w="3867" w:type="dxa"/>
            <w:tcBorders>
              <w:bottom w:val="single" w:sz="8" w:space="0" w:color="C0C0C0"/>
            </w:tcBorders>
            <w:vAlign w:val="center"/>
          </w:tcPr>
          <w:p w:rsidR="0028176D" w:rsidRPr="0028176D" w:rsidRDefault="0028176D" w:rsidP="0028176D">
            <w:pPr>
              <w:pStyle w:val="table1"/>
            </w:pPr>
            <w:r w:rsidRPr="0028176D">
              <w:t>Revegetation success of the rehabilitation works.</w:t>
            </w:r>
          </w:p>
        </w:tc>
      </w:tr>
    </w:tbl>
    <w:p w:rsidR="0028176D" w:rsidRPr="0028176D" w:rsidRDefault="0028176D" w:rsidP="0028176D">
      <w:pPr>
        <w:pStyle w:val="Heading5"/>
      </w:pPr>
      <w:r w:rsidRPr="0028176D">
        <w:t>Audit outcomes</w:t>
      </w:r>
    </w:p>
    <w:p w:rsidR="0028176D" w:rsidRPr="0028176D" w:rsidRDefault="0028176D" w:rsidP="0028176D">
      <w:pPr>
        <w:pStyle w:val="Heading6"/>
      </w:pPr>
      <w:r w:rsidRPr="0028176D">
        <w:t>Closeout of findings from the May 2013 environmental audit</w:t>
      </w:r>
    </w:p>
    <w:p w:rsidR="00AE2723" w:rsidRPr="0028176D" w:rsidRDefault="00AE2723" w:rsidP="00AE2723">
      <w:r w:rsidRPr="0028176D">
        <w:t>The conditional finding from the 2013 audit relates to the ongoing works to finalise rehabilitation of redundant bore holes in Mine Valley. ERA reported at the 40</w:t>
      </w:r>
      <w:r w:rsidRPr="0028176D">
        <w:rPr>
          <w:vertAlign w:val="superscript"/>
        </w:rPr>
        <w:t>th</w:t>
      </w:r>
      <w:r w:rsidRPr="0028176D">
        <w:t xml:space="preserve"> meeting of ARRAC on 5 September 2013 that 35 boreholes</w:t>
      </w:r>
      <w:r w:rsidR="002F0D6D">
        <w:t xml:space="preserve"> had been rehabilitated within M</w:t>
      </w:r>
      <w:r w:rsidR="0037011F">
        <w:t>ine V</w:t>
      </w:r>
      <w:r w:rsidRPr="0028176D">
        <w:t>alley. Further surveys identified additional clean up opportunities for 2014 onwards.</w:t>
      </w:r>
    </w:p>
    <w:p w:rsidR="0028176D" w:rsidRPr="0028176D" w:rsidRDefault="0028176D" w:rsidP="0028176D">
      <w:pPr>
        <w:pStyle w:val="Heading6"/>
      </w:pPr>
      <w:r w:rsidRPr="0028176D">
        <w:t>May 2014 environmental audit</w:t>
      </w:r>
    </w:p>
    <w:p w:rsidR="0028176D" w:rsidRPr="0028176D" w:rsidRDefault="00B00DF5" w:rsidP="0028176D">
      <w:r>
        <w:t>Thirty two</w:t>
      </w:r>
      <w:r w:rsidR="0028176D" w:rsidRPr="0028176D">
        <w:t xml:space="preserve"> commitments taken from the MTC application for IWMP removal and rehabilitation and the One Year Weed Management Plan 2013</w:t>
      </w:r>
      <w:r>
        <w:t xml:space="preserve"> were assesed</w:t>
      </w:r>
      <w:r w:rsidR="0028176D" w:rsidRPr="0028176D">
        <w:t xml:space="preserve">. These commitments and communications were audited against the grading system shown in Table 3.5. The following significant findings were determined:  </w:t>
      </w:r>
    </w:p>
    <w:p w:rsidR="0037011F" w:rsidRPr="0028176D" w:rsidRDefault="007E026F" w:rsidP="0037011F">
      <w:pPr>
        <w:pStyle w:val="bulletlist1"/>
      </w:pPr>
      <w:r>
        <w:t>One</w:t>
      </w:r>
      <w:r w:rsidR="0037011F" w:rsidRPr="0028176D">
        <w:t xml:space="preserve"> category two non-conformances</w:t>
      </w:r>
    </w:p>
    <w:p w:rsidR="0037011F" w:rsidRPr="0028176D" w:rsidRDefault="0037011F" w:rsidP="0037011F">
      <w:pPr>
        <w:pStyle w:val="bulletlist2"/>
      </w:pPr>
      <w:r w:rsidRPr="0028176D">
        <w:t>no formal process for recording visual erosion inspections</w:t>
      </w:r>
    </w:p>
    <w:p w:rsidR="0037011F" w:rsidRDefault="00041968" w:rsidP="0037011F">
      <w:pPr>
        <w:pStyle w:val="bulletlist1"/>
      </w:pPr>
      <w:r>
        <w:t>Five</w:t>
      </w:r>
      <w:r w:rsidR="0037011F" w:rsidRPr="0028176D">
        <w:t xml:space="preserve"> conditional findings</w:t>
      </w:r>
    </w:p>
    <w:p w:rsidR="007E026F" w:rsidRPr="0028176D" w:rsidRDefault="007E026F" w:rsidP="0037011F">
      <w:pPr>
        <w:pStyle w:val="bulletlist1"/>
      </w:pPr>
      <w:r>
        <w:t>Two observations.</w:t>
      </w:r>
    </w:p>
    <w:p w:rsidR="0028176D" w:rsidRDefault="0028176D" w:rsidP="0028176D">
      <w:pPr>
        <w:pStyle w:val="Heading4"/>
      </w:pPr>
      <w:r>
        <w:t>3.3.2.3</w:t>
      </w:r>
      <w:r>
        <w:tab/>
        <w:t>Minesite Technical Committee</w:t>
      </w:r>
    </w:p>
    <w:p w:rsidR="00DF521E" w:rsidRDefault="0028176D" w:rsidP="0028176D">
      <w:pPr>
        <w:sectPr w:rsidR="00DF521E" w:rsidSect="00903EA7">
          <w:footnotePr>
            <w:numRestart w:val="eachSect"/>
          </w:footnotePr>
          <w:pgSz w:w="10325" w:h="14573" w:code="13"/>
          <w:pgMar w:top="1440" w:right="1440" w:bottom="1440" w:left="1440" w:header="720" w:footer="720" w:gutter="0"/>
          <w:cols w:space="360"/>
          <w:noEndnote/>
        </w:sectPr>
      </w:pPr>
      <w:r>
        <w:t>The Jabiluka MTC met six times during 2013–14. Dates of meetings and significant issues discussed are shown i</w:t>
      </w:r>
      <w:r w:rsidRPr="00CA3CA2">
        <w:t>n Table 3.1</w:t>
      </w:r>
      <w:r w:rsidR="00FA5FFA">
        <w:t>1</w:t>
      </w:r>
      <w:r w:rsidRPr="00CA3CA2">
        <w:t>.</w:t>
      </w:r>
      <w:r w:rsidR="00C43CF0">
        <w:br/>
      </w:r>
    </w:p>
    <w:tbl>
      <w:tblPr>
        <w:tblW w:w="7513" w:type="dxa"/>
        <w:tblLayout w:type="fixed"/>
        <w:tblCellMar>
          <w:left w:w="0" w:type="dxa"/>
          <w:right w:w="0" w:type="dxa"/>
        </w:tblCellMar>
        <w:tblLook w:val="0000"/>
      </w:tblPr>
      <w:tblGrid>
        <w:gridCol w:w="1701"/>
        <w:gridCol w:w="142"/>
        <w:gridCol w:w="5528"/>
        <w:gridCol w:w="142"/>
      </w:tblGrid>
      <w:tr w:rsidR="0028176D" w:rsidRPr="0028176D" w:rsidTr="00F74DC1">
        <w:tc>
          <w:tcPr>
            <w:tcW w:w="7513" w:type="dxa"/>
            <w:gridSpan w:val="4"/>
            <w:shd w:val="clear" w:color="auto" w:fill="D9D9D9"/>
          </w:tcPr>
          <w:p w:rsidR="0028176D" w:rsidRPr="0028176D" w:rsidRDefault="0028176D" w:rsidP="00FA5FFA">
            <w:pPr>
              <w:keepNext/>
              <w:spacing w:before="120" w:after="120" w:line="240" w:lineRule="atLeast"/>
              <w:jc w:val="center"/>
              <w:rPr>
                <w:rFonts w:cs="Arial"/>
                <w:b/>
                <w:caps/>
                <w:sz w:val="18"/>
              </w:rPr>
            </w:pPr>
            <w:bookmarkStart w:id="212" w:name="_Toc272849721"/>
            <w:r w:rsidRPr="0028176D">
              <w:rPr>
                <w:rFonts w:cs="Arial"/>
                <w:b/>
                <w:bCs/>
                <w:caps/>
                <w:sz w:val="18"/>
              </w:rPr>
              <w:t>Table 3.1</w:t>
            </w:r>
            <w:r w:rsidR="00FA5FFA">
              <w:rPr>
                <w:rFonts w:cs="Arial"/>
                <w:b/>
                <w:bCs/>
                <w:caps/>
                <w:sz w:val="18"/>
              </w:rPr>
              <w:t>1</w:t>
            </w:r>
            <w:r w:rsidRPr="0028176D">
              <w:rPr>
                <w:rFonts w:cs="Arial"/>
                <w:b/>
                <w:bCs/>
                <w:caps/>
                <w:sz w:val="18"/>
              </w:rPr>
              <w:t xml:space="preserve"> </w:t>
            </w:r>
            <w:r w:rsidRPr="0028176D">
              <w:rPr>
                <w:rFonts w:cs="Arial"/>
                <w:b/>
                <w:caps/>
                <w:sz w:val="18"/>
              </w:rPr>
              <w:t>Jabiluka Minesite Technical Committee meetings</w:t>
            </w:r>
            <w:bookmarkEnd w:id="212"/>
          </w:p>
        </w:tc>
      </w:tr>
      <w:tr w:rsidR="0028176D" w:rsidRPr="0028176D" w:rsidTr="00F74DC1">
        <w:tc>
          <w:tcPr>
            <w:tcW w:w="1701" w:type="dxa"/>
            <w:tcBorders>
              <w:bottom w:val="single" w:sz="4" w:space="0" w:color="D9D9D9" w:themeColor="background1" w:themeShade="D9"/>
            </w:tcBorders>
          </w:tcPr>
          <w:p w:rsidR="0028176D" w:rsidRPr="0028176D" w:rsidRDefault="0028176D" w:rsidP="0028176D">
            <w:pPr>
              <w:pStyle w:val="table1"/>
              <w:rPr>
                <w:rFonts w:eastAsia="Arial Unicode MS"/>
                <w:b/>
              </w:rPr>
            </w:pPr>
            <w:r w:rsidRPr="0028176D">
              <w:rPr>
                <w:rFonts w:eastAsia="Arial Unicode MS"/>
                <w:b/>
              </w:rPr>
              <w:t>Date</w:t>
            </w:r>
          </w:p>
        </w:tc>
        <w:tc>
          <w:tcPr>
            <w:tcW w:w="5812" w:type="dxa"/>
            <w:gridSpan w:val="3"/>
            <w:tcBorders>
              <w:bottom w:val="single" w:sz="4" w:space="0" w:color="D9D9D9" w:themeColor="background1" w:themeShade="D9"/>
            </w:tcBorders>
          </w:tcPr>
          <w:p w:rsidR="0028176D" w:rsidRPr="0028176D" w:rsidRDefault="0028176D" w:rsidP="0028176D">
            <w:pPr>
              <w:pStyle w:val="table1"/>
              <w:rPr>
                <w:rFonts w:eastAsia="Arial Unicode MS"/>
                <w:b/>
              </w:rPr>
            </w:pPr>
            <w:r w:rsidRPr="0028176D">
              <w:rPr>
                <w:rFonts w:eastAsia="Arial Unicode MS"/>
                <w:b/>
              </w:rPr>
              <w:t>Significant agenda items</w:t>
            </w:r>
          </w:p>
        </w:tc>
      </w:tr>
      <w:tr w:rsidR="0028176D" w:rsidRPr="0028176D" w:rsidTr="00F74DC1">
        <w:trPr>
          <w:gridAfter w:val="1"/>
          <w:wAfter w:w="142" w:type="dxa"/>
        </w:trPr>
        <w:tc>
          <w:tcPr>
            <w:tcW w:w="1843" w:type="dxa"/>
            <w:gridSpan w:val="2"/>
            <w:shd w:val="clear" w:color="auto" w:fill="auto"/>
          </w:tcPr>
          <w:p w:rsidR="0028176D" w:rsidRPr="0028176D" w:rsidRDefault="0028176D" w:rsidP="0028176D">
            <w:pPr>
              <w:pStyle w:val="table1"/>
              <w:rPr>
                <w:rFonts w:eastAsia="Arial Unicode MS"/>
              </w:rPr>
            </w:pPr>
            <w:r w:rsidRPr="0028176D">
              <w:rPr>
                <w:rFonts w:eastAsia="Arial Unicode MS"/>
              </w:rPr>
              <w:t>6 September 2013</w:t>
            </w:r>
          </w:p>
        </w:tc>
        <w:tc>
          <w:tcPr>
            <w:tcW w:w="5528" w:type="dxa"/>
            <w:shd w:val="clear" w:color="auto" w:fill="auto"/>
          </w:tcPr>
          <w:p w:rsidR="0028176D" w:rsidRPr="0028176D" w:rsidRDefault="0028176D" w:rsidP="0028176D">
            <w:pPr>
              <w:pStyle w:val="table1"/>
              <w:rPr>
                <w:rFonts w:eastAsia="Arial Unicode MS"/>
              </w:rPr>
            </w:pPr>
            <w:r w:rsidRPr="0028176D">
              <w:rPr>
                <w:rFonts w:eastAsia="Arial Unicode MS"/>
              </w:rPr>
              <w:t>IWMP rehabilitation, Mine Valley groundwater bores</w:t>
            </w:r>
          </w:p>
        </w:tc>
      </w:tr>
      <w:tr w:rsidR="0028176D" w:rsidRPr="0028176D" w:rsidTr="00F74DC1">
        <w:trPr>
          <w:gridAfter w:val="1"/>
          <w:wAfter w:w="142" w:type="dxa"/>
        </w:trPr>
        <w:tc>
          <w:tcPr>
            <w:tcW w:w="1843" w:type="dxa"/>
            <w:gridSpan w:val="2"/>
            <w:shd w:val="clear" w:color="auto" w:fill="auto"/>
          </w:tcPr>
          <w:p w:rsidR="0028176D" w:rsidRPr="0028176D" w:rsidRDefault="0028176D" w:rsidP="0028176D">
            <w:pPr>
              <w:pStyle w:val="table1"/>
              <w:rPr>
                <w:rFonts w:eastAsia="Arial Unicode MS"/>
              </w:rPr>
            </w:pPr>
            <w:r w:rsidRPr="0028176D">
              <w:rPr>
                <w:rFonts w:eastAsia="Arial Unicode MS"/>
              </w:rPr>
              <w:t>15 November 2013</w:t>
            </w:r>
          </w:p>
        </w:tc>
        <w:tc>
          <w:tcPr>
            <w:tcW w:w="5528" w:type="dxa"/>
            <w:shd w:val="clear" w:color="auto" w:fill="auto"/>
          </w:tcPr>
          <w:p w:rsidR="0028176D" w:rsidRPr="0028176D" w:rsidRDefault="0028176D" w:rsidP="0028176D">
            <w:pPr>
              <w:pStyle w:val="table1"/>
              <w:rPr>
                <w:rFonts w:eastAsia="Arial Unicode MS"/>
              </w:rPr>
            </w:pPr>
            <w:r w:rsidRPr="0028176D">
              <w:rPr>
                <w:rFonts w:eastAsia="Arial Unicode MS"/>
              </w:rPr>
              <w:t>IWMP rehabilitation, Mine Valley groundwater bores</w:t>
            </w:r>
          </w:p>
        </w:tc>
      </w:tr>
      <w:tr w:rsidR="0028176D" w:rsidRPr="0028176D" w:rsidTr="00F74DC1">
        <w:trPr>
          <w:gridAfter w:val="1"/>
          <w:wAfter w:w="142" w:type="dxa"/>
        </w:trPr>
        <w:tc>
          <w:tcPr>
            <w:tcW w:w="1843" w:type="dxa"/>
            <w:gridSpan w:val="2"/>
          </w:tcPr>
          <w:p w:rsidR="0028176D" w:rsidRPr="0028176D" w:rsidRDefault="0028176D" w:rsidP="0028176D">
            <w:pPr>
              <w:pStyle w:val="table1"/>
              <w:rPr>
                <w:rFonts w:eastAsia="Arial Unicode MS"/>
              </w:rPr>
            </w:pPr>
            <w:r w:rsidRPr="0028176D">
              <w:rPr>
                <w:rFonts w:eastAsia="Arial Unicode MS"/>
              </w:rPr>
              <w:t>17 February 2014</w:t>
            </w:r>
          </w:p>
        </w:tc>
        <w:tc>
          <w:tcPr>
            <w:tcW w:w="5528" w:type="dxa"/>
          </w:tcPr>
          <w:p w:rsidR="0028176D" w:rsidRPr="0028176D" w:rsidRDefault="0028176D" w:rsidP="0028176D">
            <w:pPr>
              <w:pStyle w:val="table1"/>
              <w:rPr>
                <w:rFonts w:eastAsia="Arial Unicode MS"/>
              </w:rPr>
            </w:pPr>
            <w:r w:rsidRPr="0028176D">
              <w:rPr>
                <w:rFonts w:eastAsia="Arial Unicode MS"/>
              </w:rPr>
              <w:t>Post-rehabilitation track maintenance, Mine Valley groundwater bores, Jabiluka Wet Season Report and Interpretative Report.</w:t>
            </w:r>
          </w:p>
        </w:tc>
      </w:tr>
      <w:tr w:rsidR="0028176D" w:rsidRPr="0028176D" w:rsidTr="00F74DC1">
        <w:trPr>
          <w:gridAfter w:val="1"/>
          <w:wAfter w:w="142" w:type="dxa"/>
        </w:trPr>
        <w:tc>
          <w:tcPr>
            <w:tcW w:w="1843" w:type="dxa"/>
            <w:gridSpan w:val="2"/>
          </w:tcPr>
          <w:p w:rsidR="0028176D" w:rsidRPr="0028176D" w:rsidRDefault="0028176D" w:rsidP="0028176D">
            <w:pPr>
              <w:pStyle w:val="table1"/>
              <w:rPr>
                <w:rFonts w:eastAsia="Arial Unicode MS"/>
              </w:rPr>
            </w:pPr>
            <w:r w:rsidRPr="0028176D">
              <w:rPr>
                <w:rFonts w:eastAsia="Arial Unicode MS"/>
              </w:rPr>
              <w:t>28 March 2014</w:t>
            </w:r>
          </w:p>
        </w:tc>
        <w:tc>
          <w:tcPr>
            <w:tcW w:w="5528" w:type="dxa"/>
            <w:shd w:val="clear" w:color="auto" w:fill="auto"/>
          </w:tcPr>
          <w:p w:rsidR="0028176D" w:rsidRPr="0028176D" w:rsidDel="0056791E" w:rsidRDefault="0028176D" w:rsidP="0028176D">
            <w:pPr>
              <w:pStyle w:val="table1"/>
              <w:rPr>
                <w:rFonts w:eastAsia="Arial Unicode MS"/>
              </w:rPr>
            </w:pPr>
            <w:r w:rsidRPr="0028176D">
              <w:rPr>
                <w:rFonts w:eastAsia="Arial Unicode MS"/>
              </w:rPr>
              <w:t>Mine Valley groundwater bores, requirement for Authorisation amendment.</w:t>
            </w:r>
          </w:p>
        </w:tc>
      </w:tr>
      <w:tr w:rsidR="0028176D" w:rsidRPr="0028176D" w:rsidTr="00F74DC1">
        <w:trPr>
          <w:gridAfter w:val="1"/>
          <w:wAfter w:w="142" w:type="dxa"/>
        </w:trPr>
        <w:tc>
          <w:tcPr>
            <w:tcW w:w="1843" w:type="dxa"/>
            <w:gridSpan w:val="2"/>
            <w:tcBorders>
              <w:bottom w:val="single" w:sz="8" w:space="0" w:color="BFBFBF" w:themeColor="background1" w:themeShade="BF"/>
            </w:tcBorders>
          </w:tcPr>
          <w:p w:rsidR="0028176D" w:rsidRPr="0028176D" w:rsidRDefault="0028176D" w:rsidP="0028176D">
            <w:pPr>
              <w:pStyle w:val="table1"/>
              <w:rPr>
                <w:rFonts w:eastAsia="Arial Unicode MS"/>
              </w:rPr>
            </w:pPr>
            <w:r w:rsidRPr="0028176D">
              <w:rPr>
                <w:rFonts w:eastAsia="Arial Unicode MS"/>
              </w:rPr>
              <w:t>9 May 2014</w:t>
            </w:r>
          </w:p>
        </w:tc>
        <w:tc>
          <w:tcPr>
            <w:tcW w:w="5528" w:type="dxa"/>
            <w:tcBorders>
              <w:bottom w:val="single" w:sz="8" w:space="0" w:color="BFBFBF" w:themeColor="background1" w:themeShade="BF"/>
            </w:tcBorders>
            <w:shd w:val="clear" w:color="auto" w:fill="auto"/>
          </w:tcPr>
          <w:p w:rsidR="0028176D" w:rsidRPr="0028176D" w:rsidDel="0056791E" w:rsidRDefault="0028176D" w:rsidP="0028176D">
            <w:pPr>
              <w:pStyle w:val="table1"/>
              <w:rPr>
                <w:rFonts w:eastAsia="Arial Unicode MS"/>
              </w:rPr>
            </w:pPr>
            <w:r w:rsidRPr="0028176D">
              <w:rPr>
                <w:rFonts w:eastAsia="Arial Unicode MS"/>
              </w:rPr>
              <w:t>Rehabilitation, Mine Valley groundwater bores, Jabiluka Annual Plan of Rehabilitation.</w:t>
            </w:r>
          </w:p>
        </w:tc>
      </w:tr>
    </w:tbl>
    <w:p w:rsidR="0028176D" w:rsidRPr="0028176D" w:rsidRDefault="0028176D" w:rsidP="0028176D">
      <w:pPr>
        <w:pStyle w:val="Heading4"/>
      </w:pPr>
      <w:r w:rsidRPr="0028176D">
        <w:t>3.3.2.4</w:t>
      </w:r>
      <w:r w:rsidRPr="0028176D">
        <w:tab/>
        <w:t>Authorisations and approvals</w:t>
      </w:r>
    </w:p>
    <w:p w:rsidR="0028176D" w:rsidRPr="0028176D" w:rsidRDefault="0028176D" w:rsidP="0028176D">
      <w:r w:rsidRPr="0028176D">
        <w:t>No applications to alter Jabiluka Authorisation 0140-5 were received during the reporting period.</w:t>
      </w:r>
    </w:p>
    <w:p w:rsidR="0028176D" w:rsidRPr="0028176D" w:rsidRDefault="0028176D" w:rsidP="0028176D">
      <w:pPr>
        <w:pStyle w:val="Heading4"/>
      </w:pPr>
      <w:r w:rsidRPr="0028176D">
        <w:t>3.3.2.5</w:t>
      </w:r>
      <w:r w:rsidRPr="0028176D">
        <w:tab/>
        <w:t>Incidents</w:t>
      </w:r>
    </w:p>
    <w:p w:rsidR="0037011F" w:rsidRPr="0028176D" w:rsidRDefault="0037011F" w:rsidP="0037011F">
      <w:r w:rsidRPr="0028176D">
        <w:t>During the 2013–</w:t>
      </w:r>
      <w:r>
        <w:t>14 reporting period, a total of three</w:t>
      </w:r>
      <w:r w:rsidRPr="0028176D">
        <w:t xml:space="preserve"> environmental incidents occurred during the reporting period, none of which were of a serious enough nature to warrant a separate independent investigation.</w:t>
      </w:r>
    </w:p>
    <w:p w:rsidR="00F74DC1" w:rsidRPr="00F74DC1" w:rsidRDefault="00F74DC1" w:rsidP="00F74DC1">
      <w:pPr>
        <w:pStyle w:val="Heading3"/>
      </w:pPr>
      <w:r w:rsidRPr="00F74DC1">
        <w:t>3.3.3</w:t>
      </w:r>
      <w:r w:rsidR="00A45892">
        <w:tab/>
      </w:r>
      <w:r w:rsidRPr="00F74DC1">
        <w:tab/>
        <w:t xml:space="preserve">Off-site environmental protection </w:t>
      </w:r>
    </w:p>
    <w:p w:rsidR="00F74DC1" w:rsidRPr="00F74DC1" w:rsidRDefault="00F74DC1" w:rsidP="00F74DC1">
      <w:pPr>
        <w:pStyle w:val="Heading4"/>
      </w:pPr>
      <w:r w:rsidRPr="00F74DC1">
        <w:t>3.3.3.1</w:t>
      </w:r>
      <w:r w:rsidRPr="00F74DC1">
        <w:tab/>
        <w:t>Surface water quality</w:t>
      </w:r>
    </w:p>
    <w:p w:rsidR="00F74DC1" w:rsidRPr="00F74DC1" w:rsidRDefault="00296A60" w:rsidP="00F74DC1">
      <w:r w:rsidRPr="00F74DC1">
        <w:t>Flow was first recorded at the Ngarradj (Swift Creek) monitoring station on 27 November 2013 and was very low at the st</w:t>
      </w:r>
      <w:r>
        <w:t xml:space="preserve">art of the wet season with the </w:t>
      </w:r>
      <w:r w:rsidRPr="00F74DC1">
        <w:t>multiprobes only submerged for short periods of time when the water level was sufficiently high. Increased flow from 9 January 2014 resulted in the multiprobes being fully submerged. EC dec</w:t>
      </w:r>
      <w:r w:rsidR="00D72E9C">
        <w:t xml:space="preserve">reased and remained below 20 µS </w:t>
      </w:r>
      <w:r w:rsidRPr="00F74DC1">
        <w:t>cm</w:t>
      </w:r>
      <w:r w:rsidR="00D72E9C" w:rsidRPr="00D72E9C">
        <w:rPr>
          <w:vertAlign w:val="superscript"/>
        </w:rPr>
        <w:t>-1</w:t>
      </w:r>
      <w:r w:rsidRPr="00D72E9C">
        <w:rPr>
          <w:vertAlign w:val="superscript"/>
        </w:rPr>
        <w:t xml:space="preserve"> </w:t>
      </w:r>
      <w:r w:rsidRPr="00F74DC1">
        <w:t>(Figure 3.35).</w:t>
      </w:r>
    </w:p>
    <w:p w:rsidR="00F74DC1" w:rsidRPr="00F74DC1" w:rsidRDefault="007E37C9" w:rsidP="00F74DC1">
      <w:pPr>
        <w:spacing w:after="120" w:line="260" w:lineRule="atLeast"/>
        <w:jc w:val="center"/>
      </w:pPr>
      <w:r w:rsidRPr="007E37C9">
        <w:rPr>
          <w:noProof/>
          <w:lang w:eastAsia="en-AU"/>
        </w:rPr>
        <w:drawing>
          <wp:inline distT="0" distB="0" distL="0" distR="0">
            <wp:extent cx="4476750" cy="2707609"/>
            <wp:effectExtent l="19050" t="0" r="0" b="0"/>
            <wp:docPr id="10082"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89" cstate="screen"/>
                    <a:srcRect/>
                    <a:stretch>
                      <a:fillRect/>
                    </a:stretch>
                  </pic:blipFill>
                  <pic:spPr bwMode="auto">
                    <a:xfrm>
                      <a:off x="0" y="0"/>
                      <a:ext cx="4476750" cy="2705100"/>
                    </a:xfrm>
                    <a:prstGeom prst="rect">
                      <a:avLst/>
                    </a:prstGeom>
                    <a:noFill/>
                    <a:ln w="9525">
                      <a:noFill/>
                      <a:miter lim="800000"/>
                      <a:headEnd/>
                      <a:tailEnd/>
                    </a:ln>
                  </pic:spPr>
                </pic:pic>
              </a:graphicData>
            </a:graphic>
          </wp:inline>
        </w:drawing>
      </w:r>
    </w:p>
    <w:p w:rsidR="00F74DC1" w:rsidRPr="00F74DC1" w:rsidRDefault="00F74DC1" w:rsidP="00630309">
      <w:pPr>
        <w:pStyle w:val="figurecaption"/>
      </w:pPr>
      <w:r w:rsidRPr="007E37C9">
        <w:rPr>
          <w:b/>
        </w:rPr>
        <w:t>Figure 3.35</w:t>
      </w:r>
      <w:r w:rsidRPr="007E37C9">
        <w:t xml:space="preserve">  Ngarradj (Swift Creek) continuous EC monitoring data during the 2013–14 wet season</w:t>
      </w:r>
      <w:r w:rsidR="00630309">
        <w:t>.</w:t>
      </w:r>
    </w:p>
    <w:p w:rsidR="00480DDA" w:rsidRDefault="0037011F" w:rsidP="00F74DC1">
      <w:r w:rsidRPr="00F74DC1">
        <w:t xml:space="preserve">On 26 January 2014 a turbidity event </w:t>
      </w:r>
      <w:r w:rsidR="00B00DF5">
        <w:t xml:space="preserve">of </w:t>
      </w:r>
      <w:r w:rsidRPr="00F74DC1">
        <w:t>occurred during a 90 mm rainfall event at the site (Figure 3.36)</w:t>
      </w:r>
      <w:r w:rsidR="009E4BB1">
        <w:t>.</w:t>
      </w:r>
      <w:r w:rsidRPr="00F74DC1">
        <w:t xml:space="preserve"> Trigger values for turbidity within Ngarradj (Swift Creek) were not included within the Water Quality Objectives as determined by the Jabiluka Minesite Technical Committee on 21 September 2001. However, baseline values for the physical and chemical characteristics of streams within the Jabiluka lease were established by Cusbert et al. in 1998</w:t>
      </w:r>
      <w:r w:rsidRPr="00F74DC1">
        <w:rPr>
          <w:vertAlign w:val="superscript"/>
        </w:rPr>
        <w:footnoteReference w:id="3"/>
      </w:r>
      <w:r w:rsidRPr="00F74DC1">
        <w:t xml:space="preserve"> including 'low risk trigger value' ranges for ecosystem protection. The trigger value range proposed for turbidity was 4.0</w:t>
      </w:r>
      <w:r w:rsidR="001A5831">
        <w:t>–</w:t>
      </w:r>
      <w:r w:rsidRPr="00F74DC1">
        <w:t>105, with non-compliance being turbidity events due to mining activity &lt;</w:t>
      </w:r>
      <w:r w:rsidR="007E37C9">
        <w:t xml:space="preserve"> </w:t>
      </w:r>
      <w:r w:rsidRPr="00F74DC1">
        <w:t>4.0 NTU or &gt;</w:t>
      </w:r>
      <w:r w:rsidR="007E37C9">
        <w:t xml:space="preserve"> </w:t>
      </w:r>
      <w:r w:rsidRPr="00F74DC1">
        <w:t>105 NTU. Thus</w:t>
      </w:r>
      <w:r>
        <w:t>,</w:t>
      </w:r>
      <w:r w:rsidRPr="00F74DC1">
        <w:t xml:space="preserve"> the turbidity event of 26 January 2014 of 56.5 NTU falls in the middle of this 'acceptable' range. There have previously been 20 turbidity events &gt; 50 NTU at Ngarradj since continuous monitoring of turbidity began in the 2003–04 wet season.</w:t>
      </w:r>
    </w:p>
    <w:p w:rsidR="00DB4274" w:rsidRDefault="00480DDA" w:rsidP="00DB4274">
      <w:r>
        <w:t xml:space="preserve">Another turbidity event occurred on </w:t>
      </w:r>
      <w:r w:rsidR="00F618A3">
        <w:t>10 April 2014</w:t>
      </w:r>
      <w:r w:rsidR="00DB4274">
        <w:t xml:space="preserve"> </w:t>
      </w:r>
      <w:r w:rsidR="00DB4274" w:rsidRPr="00F74DC1">
        <w:t>during a 90 mm rainfall event at the site</w:t>
      </w:r>
      <w:r w:rsidR="00F618A3">
        <w:t xml:space="preserve"> and peaked at 112 NTU. This peak was above the upper guideline level for the ‘acceptable’ range (105 NTU) </w:t>
      </w:r>
      <w:proofErr w:type="gramStart"/>
      <w:r w:rsidR="00F618A3">
        <w:t>for  less</w:t>
      </w:r>
      <w:proofErr w:type="gramEnd"/>
      <w:r w:rsidR="00F618A3">
        <w:t xml:space="preserve"> than 10 minutes.</w:t>
      </w:r>
      <w:r w:rsidR="00DB4274">
        <w:t xml:space="preserve"> </w:t>
      </w:r>
      <w:r w:rsidR="00DB4274" w:rsidRPr="00F74DC1">
        <w:t xml:space="preserve">There have previously been </w:t>
      </w:r>
      <w:r w:rsidR="00DB4274">
        <w:t>3</w:t>
      </w:r>
      <w:r w:rsidR="00DB4274" w:rsidRPr="00F74DC1">
        <w:t xml:space="preserve"> turbidity events &gt;</w:t>
      </w:r>
      <w:r w:rsidR="00DB4274">
        <w:t> 105</w:t>
      </w:r>
      <w:r w:rsidR="00DB4274" w:rsidRPr="00F74DC1">
        <w:t xml:space="preserve"> NTU at Ngarradj since continuous monitoring of turbidity began in the 2003–04 wet season.</w:t>
      </w:r>
    </w:p>
    <w:p w:rsidR="001A5831" w:rsidRDefault="001A5831" w:rsidP="00DB4274"/>
    <w:p w:rsidR="00F74DC1" w:rsidRPr="00F74DC1" w:rsidRDefault="00F74DC1" w:rsidP="00F74DC1">
      <w:pPr>
        <w:spacing w:after="120" w:line="260" w:lineRule="atLeast"/>
        <w:jc w:val="center"/>
      </w:pPr>
      <w:r w:rsidRPr="00F74DC1">
        <w:rPr>
          <w:noProof/>
          <w:lang w:eastAsia="en-AU"/>
        </w:rPr>
        <w:drawing>
          <wp:inline distT="0" distB="0" distL="0" distR="0">
            <wp:extent cx="4076700" cy="2467262"/>
            <wp:effectExtent l="19050" t="0" r="0" b="0"/>
            <wp:docPr id="10128"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0" cstate="screen"/>
                    <a:srcRect/>
                    <a:stretch>
                      <a:fillRect/>
                    </a:stretch>
                  </pic:blipFill>
                  <pic:spPr bwMode="auto">
                    <a:xfrm>
                      <a:off x="0" y="0"/>
                      <a:ext cx="4098288" cy="2480328"/>
                    </a:xfrm>
                    <a:prstGeom prst="rect">
                      <a:avLst/>
                    </a:prstGeom>
                    <a:noFill/>
                    <a:ln w="9525">
                      <a:noFill/>
                      <a:miter lim="800000"/>
                      <a:headEnd/>
                      <a:tailEnd/>
                    </a:ln>
                  </pic:spPr>
                </pic:pic>
              </a:graphicData>
            </a:graphic>
          </wp:inline>
        </w:drawing>
      </w:r>
    </w:p>
    <w:p w:rsidR="00F74DC1" w:rsidRPr="00F74DC1" w:rsidRDefault="00F74DC1" w:rsidP="00630309">
      <w:pPr>
        <w:pStyle w:val="figurecaption"/>
      </w:pPr>
      <w:r w:rsidRPr="00F74DC1">
        <w:rPr>
          <w:b/>
        </w:rPr>
        <w:t>Figure 3.36</w:t>
      </w:r>
      <w:r w:rsidRPr="00F74DC1">
        <w:t xml:space="preserve"> Ngarradj (Swift Creek) continuous turbidity monitoring data during the 2013–14 wet season.</w:t>
      </w:r>
    </w:p>
    <w:p w:rsidR="00296A60" w:rsidRPr="00F74DC1" w:rsidRDefault="00296A60" w:rsidP="00296A60">
      <w:pPr>
        <w:spacing w:after="120" w:line="260" w:lineRule="atLeast"/>
        <w:rPr>
          <w:b/>
        </w:rPr>
      </w:pPr>
      <w:r w:rsidRPr="00F74DC1">
        <w:t xml:space="preserve">During late February and March 2014 the water levels within Ngarradj decreased leading to gradually increasing EC levels, fluctuating with each rainfall event. Conductivity stabilised in Ngarradj through April and May with the creek entering its recessional flow period. </w:t>
      </w:r>
    </w:p>
    <w:p w:rsidR="00296A60" w:rsidRPr="00F74DC1" w:rsidRDefault="00296A60" w:rsidP="00296A60">
      <w:pPr>
        <w:spacing w:after="120" w:line="260" w:lineRule="atLeast"/>
      </w:pPr>
      <w:r w:rsidRPr="00F74DC1">
        <w:t>Continuous monitoring of Ngarradj continued until 12 June 2014 when the multiprobes were out of the water and could not be lowered any further. Cease to flow was agreed by stakeholders on 13 June 2014.</w:t>
      </w:r>
    </w:p>
    <w:p w:rsidR="00296A60" w:rsidRPr="00F74DC1" w:rsidRDefault="00296A60" w:rsidP="00296A60">
      <w:r w:rsidRPr="00F74DC1">
        <w:t>Overall, once flow commenced in the creek, the water quality measured in Ngarradj for the 2013–14 wet season was comparable with previous wet seasons (Figure 3.37).</w:t>
      </w:r>
    </w:p>
    <w:p w:rsidR="0002170E" w:rsidRDefault="007E37C9" w:rsidP="0002170E">
      <w:pPr>
        <w:spacing w:after="120" w:line="260" w:lineRule="atLeast"/>
        <w:jc w:val="center"/>
        <w:rPr>
          <w:b/>
        </w:rPr>
      </w:pPr>
      <w:r w:rsidRPr="007E37C9">
        <w:rPr>
          <w:noProof/>
          <w:lang w:eastAsia="en-AU"/>
        </w:rPr>
        <w:drawing>
          <wp:inline distT="0" distB="0" distL="0" distR="0">
            <wp:extent cx="4126133" cy="2495550"/>
            <wp:effectExtent l="19050" t="0" r="7717" b="0"/>
            <wp:docPr id="10084"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91" cstate="screen"/>
                    <a:srcRect/>
                    <a:stretch>
                      <a:fillRect/>
                    </a:stretch>
                  </pic:blipFill>
                  <pic:spPr bwMode="auto">
                    <a:xfrm>
                      <a:off x="0" y="0"/>
                      <a:ext cx="4142338" cy="2505351"/>
                    </a:xfrm>
                    <a:prstGeom prst="rect">
                      <a:avLst/>
                    </a:prstGeom>
                    <a:noFill/>
                    <a:ln w="9525">
                      <a:noFill/>
                      <a:miter lim="800000"/>
                      <a:headEnd/>
                      <a:tailEnd/>
                    </a:ln>
                  </pic:spPr>
                </pic:pic>
              </a:graphicData>
            </a:graphic>
          </wp:inline>
        </w:drawing>
      </w:r>
    </w:p>
    <w:p w:rsidR="001A7325" w:rsidRPr="00F74DC1" w:rsidRDefault="001A7325" w:rsidP="00630309">
      <w:pPr>
        <w:pStyle w:val="figurecaption"/>
      </w:pPr>
      <w:r w:rsidRPr="007E37C9">
        <w:rPr>
          <w:b/>
        </w:rPr>
        <w:t>Figure 3.37</w:t>
      </w:r>
      <w:r w:rsidRPr="007E37C9">
        <w:t xml:space="preserve"> Continuous electrical conductivity and water level (lower trace) in Ngarradj (Swift Creek) for each wet season between September 2010 and June 2014 (values averaged over a 90 minute period of measurement)</w:t>
      </w:r>
      <w:r w:rsidR="00DF521E">
        <w:t>.</w:t>
      </w:r>
    </w:p>
    <w:p w:rsidR="00B45AF3" w:rsidRPr="00B45AF3" w:rsidRDefault="00B45AF3" w:rsidP="00B45AF3">
      <w:pPr>
        <w:pStyle w:val="Heading2"/>
      </w:pPr>
      <w:bookmarkStart w:id="213" w:name="_Toc399928180"/>
      <w:r w:rsidRPr="00B45AF3">
        <w:t>3.4</w:t>
      </w:r>
      <w:r w:rsidRPr="00B45AF3">
        <w:tab/>
        <w:t>Nabarlek</w:t>
      </w:r>
      <w:bookmarkEnd w:id="213"/>
    </w:p>
    <w:p w:rsidR="00B45AF3" w:rsidRPr="00B45AF3" w:rsidRDefault="00B45AF3" w:rsidP="00B45AF3">
      <w:pPr>
        <w:pStyle w:val="Heading3"/>
      </w:pPr>
      <w:bookmarkStart w:id="214" w:name="_Toc334196091"/>
      <w:bookmarkStart w:id="215" w:name="_Toc363824155"/>
      <w:r w:rsidRPr="00B45AF3">
        <w:t>3.4.1</w:t>
      </w:r>
      <w:r w:rsidRPr="00B45AF3">
        <w:tab/>
      </w:r>
      <w:r w:rsidR="001368D0">
        <w:tab/>
      </w:r>
      <w:r w:rsidRPr="00B45AF3">
        <w:t>Developments</w:t>
      </w:r>
      <w:bookmarkEnd w:id="214"/>
      <w:bookmarkEnd w:id="215"/>
    </w:p>
    <w:p w:rsidR="00296A60" w:rsidRPr="00B45AF3" w:rsidRDefault="00296A60" w:rsidP="00296A60">
      <w:r w:rsidRPr="00B45AF3">
        <w:t>In early 2008, Uranium Equities Limited (UEL) bought Queensland Mines Pty Ltd, thereby acquiring the Nabarlek lease (MLN 962). UEL has since developed plans to further explore the lease, clean up the site and continue revegetation and rehabilitation works. Authorisation 0435-01 was granted to UEL on the 28 May 2008 allowing exploration and rehabilitation works at Nabarlek to proceed. Since this time UEL has undertaken significant works to clean up several areas of the site including the old Nabarlek Village and re-contouring of the waste rock dump runoff pond. A Mining Management Plan (MMP) for the 2013 dry season exploration works was submitted to DME in April 2014 and was approved on 10 June 2014.</w:t>
      </w:r>
    </w:p>
    <w:p w:rsidR="00B45AF3" w:rsidRDefault="00B45AF3" w:rsidP="00B45AF3">
      <w:pPr>
        <w:pStyle w:val="Heading4"/>
      </w:pPr>
      <w:r>
        <w:t>3.4.1.1</w:t>
      </w:r>
      <w:r>
        <w:tab/>
        <w:t>Minesite Technical Committee</w:t>
      </w:r>
    </w:p>
    <w:p w:rsidR="00B45AF3" w:rsidRPr="00DF4DDB" w:rsidRDefault="00B45AF3" w:rsidP="00B45AF3">
      <w:r w:rsidRPr="00DF4DDB">
        <w:t>The Nabarlek MTC met once during the reporting period. The following items were discussed at a meeting held on 22 July 2013:</w:t>
      </w:r>
    </w:p>
    <w:p w:rsidR="00B45AF3" w:rsidRPr="00DF4DDB" w:rsidRDefault="00B45AF3" w:rsidP="00B45AF3">
      <w:pPr>
        <w:pStyle w:val="bulletlist1"/>
      </w:pPr>
      <w:r w:rsidRPr="00DF4DDB">
        <w:t xml:space="preserve">Rehabilitation </w:t>
      </w:r>
    </w:p>
    <w:p w:rsidR="00B45AF3" w:rsidRPr="00DF4DDB" w:rsidRDefault="00B45AF3" w:rsidP="00B45AF3">
      <w:pPr>
        <w:pStyle w:val="bulletlist1"/>
      </w:pPr>
      <w:r w:rsidRPr="00DF4DDB">
        <w:t>Exploration</w:t>
      </w:r>
    </w:p>
    <w:p w:rsidR="00B45AF3" w:rsidRPr="00DF4DDB" w:rsidRDefault="00B45AF3" w:rsidP="00B45AF3">
      <w:pPr>
        <w:pStyle w:val="bulletlist1"/>
      </w:pPr>
      <w:r w:rsidRPr="00DF4DDB">
        <w:t>Monitoring</w:t>
      </w:r>
    </w:p>
    <w:p w:rsidR="00B45AF3" w:rsidRPr="00DF4DDB" w:rsidRDefault="00B45AF3" w:rsidP="00B45AF3">
      <w:pPr>
        <w:pStyle w:val="bulletlist1"/>
      </w:pPr>
      <w:r w:rsidRPr="00DF4DDB">
        <w:t>Radiological Anomalous Area (RAA)</w:t>
      </w:r>
    </w:p>
    <w:p w:rsidR="00B45AF3" w:rsidRDefault="00B45AF3" w:rsidP="00B45AF3">
      <w:pPr>
        <w:pStyle w:val="bulletlist1"/>
      </w:pPr>
      <w:r w:rsidRPr="00DF4DDB">
        <w:t>Development of closure criteria.</w:t>
      </w:r>
    </w:p>
    <w:p w:rsidR="001368D0" w:rsidRDefault="001368D0" w:rsidP="001368D0">
      <w:pPr>
        <w:pStyle w:val="Heading4"/>
      </w:pPr>
      <w:r>
        <w:t>3.4.1.2</w:t>
      </w:r>
      <w:r>
        <w:tab/>
        <w:t>Authorisations and approvals</w:t>
      </w:r>
    </w:p>
    <w:p w:rsidR="001368D0" w:rsidRPr="00DF4DDB" w:rsidRDefault="001368D0" w:rsidP="001368D0">
      <w:r w:rsidRPr="00DF4DDB">
        <w:t>There was no change to the Nabarlek Authorisation during 2013–14.</w:t>
      </w:r>
    </w:p>
    <w:p w:rsidR="001368D0" w:rsidRPr="00DF4DDB" w:rsidRDefault="001368D0" w:rsidP="001368D0">
      <w:pPr>
        <w:pStyle w:val="Heading4"/>
      </w:pPr>
      <w:r w:rsidRPr="00DF4DDB">
        <w:t>3.4.1.3</w:t>
      </w:r>
      <w:r w:rsidRPr="00DF4DDB">
        <w:tab/>
        <w:t>Incidents</w:t>
      </w:r>
    </w:p>
    <w:p w:rsidR="001368D0" w:rsidRDefault="001368D0" w:rsidP="001368D0">
      <w:bookmarkStart w:id="216" w:name="_Toc334196092"/>
      <w:bookmarkStart w:id="217" w:name="_Toc363824156"/>
      <w:r w:rsidRPr="00DF4DDB">
        <w:t>There were no environmental incidents reported at Nabarlek during 2013–14.</w:t>
      </w:r>
    </w:p>
    <w:p w:rsidR="001368D0" w:rsidRDefault="001368D0" w:rsidP="001368D0">
      <w:pPr>
        <w:pStyle w:val="Heading3"/>
      </w:pPr>
      <w:r>
        <w:t>3.4.2</w:t>
      </w:r>
      <w:r>
        <w:tab/>
      </w:r>
      <w:r>
        <w:tab/>
        <w:t>On-site conditions</w:t>
      </w:r>
      <w:bookmarkEnd w:id="216"/>
      <w:bookmarkEnd w:id="217"/>
    </w:p>
    <w:p w:rsidR="001368D0" w:rsidRPr="00CA3CA2" w:rsidRDefault="001368D0" w:rsidP="001368D0">
      <w:r w:rsidRPr="00CA3CA2">
        <w:t xml:space="preserve">The site is generally subject to two inspections from </w:t>
      </w:r>
      <w:r w:rsidRPr="0002170E">
        <w:rPr>
          <w:b/>
          <w:i/>
          <w:sz w:val="23"/>
          <w:szCs w:val="23"/>
        </w:rPr>
        <w:t>oss</w:t>
      </w:r>
      <w:r w:rsidRPr="0002170E">
        <w:rPr>
          <w:sz w:val="23"/>
          <w:szCs w:val="23"/>
        </w:rPr>
        <w:t xml:space="preserve"> </w:t>
      </w:r>
      <w:r w:rsidRPr="00CA3CA2">
        <w:t xml:space="preserve">staff during the year. In addition, </w:t>
      </w:r>
      <w:r w:rsidR="0002170E" w:rsidRPr="0002170E">
        <w:rPr>
          <w:b/>
          <w:i/>
          <w:sz w:val="23"/>
          <w:szCs w:val="23"/>
        </w:rPr>
        <w:t>oss</w:t>
      </w:r>
      <w:r w:rsidRPr="001368D0">
        <w:rPr>
          <w:sz w:val="24"/>
          <w:szCs w:val="24"/>
        </w:rPr>
        <w:t xml:space="preserve"> </w:t>
      </w:r>
      <w:r w:rsidRPr="00CA3CA2">
        <w:t xml:space="preserve">may carry out opportunistic site visits if in the area on other business (e.g. exploration inspections). </w:t>
      </w:r>
    </w:p>
    <w:p w:rsidR="001368D0" w:rsidRPr="00CA3CA2" w:rsidRDefault="001368D0" w:rsidP="001368D0">
      <w:r w:rsidRPr="00CA3CA2">
        <w:t>The formal site inspections carried out at Nabarlek each year are:</w:t>
      </w:r>
    </w:p>
    <w:p w:rsidR="001368D0" w:rsidRPr="00CA3CA2" w:rsidRDefault="001368D0" w:rsidP="001368D0">
      <w:pPr>
        <w:pStyle w:val="bulletlist1"/>
      </w:pPr>
      <w:r w:rsidRPr="00CA3CA2">
        <w:t xml:space="preserve">Post-wet season inspection – the intent of this inspection is to check site stability and erosion following the wet season and to plan </w:t>
      </w:r>
      <w:r w:rsidR="00692CCC">
        <w:t>works for the coming dry season.</w:t>
      </w:r>
    </w:p>
    <w:p w:rsidR="001368D0" w:rsidRPr="00391203" w:rsidRDefault="001368D0" w:rsidP="001368D0">
      <w:pPr>
        <w:pStyle w:val="bulletlist1"/>
      </w:pPr>
      <w:r w:rsidRPr="00CA3CA2">
        <w:t xml:space="preserve">Annual audit (pre-wet season) of compliance with the Nabarlek </w:t>
      </w:r>
      <w:r>
        <w:t>MMP</w:t>
      </w:r>
      <w:r w:rsidRPr="00CA3CA2">
        <w:t>.</w:t>
      </w:r>
    </w:p>
    <w:p w:rsidR="00EF5E41" w:rsidRDefault="00EF5E41" w:rsidP="00EF5E41">
      <w:pPr>
        <w:pStyle w:val="Heading4"/>
      </w:pPr>
      <w:r>
        <w:t>3.4.2.1</w:t>
      </w:r>
      <w:r>
        <w:tab/>
        <w:t>Annual audit</w:t>
      </w:r>
    </w:p>
    <w:p w:rsidR="00EF5E41" w:rsidRPr="00391203" w:rsidRDefault="00EF5E41" w:rsidP="00EF5E41">
      <w:r w:rsidRPr="00CA3CA2">
        <w:t>A formal audit was not held during 2013–14 as UEL did not undertake an active exploration drilling program</w:t>
      </w:r>
      <w:r w:rsidR="00936D05">
        <w:t>me</w:t>
      </w:r>
      <w:r w:rsidRPr="00CA3CA2">
        <w:t xml:space="preserve"> during the 2013 dry season.</w:t>
      </w:r>
    </w:p>
    <w:p w:rsidR="00EF5E41" w:rsidRPr="00EF5E41" w:rsidRDefault="00EF5E41" w:rsidP="00EF5E41">
      <w:pPr>
        <w:pStyle w:val="Heading4"/>
      </w:pPr>
      <w:r w:rsidRPr="00EF5E41">
        <w:t>3.4.2.2</w:t>
      </w:r>
      <w:r w:rsidRPr="00EF5E41">
        <w:tab/>
        <w:t>Inspections</w:t>
      </w:r>
    </w:p>
    <w:p w:rsidR="00EF5E41" w:rsidRPr="00EF5E41" w:rsidRDefault="00EF5E41" w:rsidP="00EF5E41">
      <w:pPr>
        <w:rPr>
          <w:noProof/>
        </w:rPr>
      </w:pPr>
      <w:r w:rsidRPr="00EF5E41">
        <w:rPr>
          <w:noProof/>
        </w:rPr>
        <w:t xml:space="preserve">The post wet-season inspection of the Nabarlek site was held on 19 July 2013. </w:t>
      </w:r>
    </w:p>
    <w:p w:rsidR="00EF5E41" w:rsidRPr="00EF5E41" w:rsidRDefault="00EF5E41" w:rsidP="00EF5E41">
      <w:pPr>
        <w:rPr>
          <w:noProof/>
        </w:rPr>
      </w:pPr>
      <w:r w:rsidRPr="00EF5E41">
        <w:rPr>
          <w:noProof/>
        </w:rPr>
        <w:t xml:space="preserve"> Areas inspected included:</w:t>
      </w:r>
    </w:p>
    <w:p w:rsidR="00EF5E41" w:rsidRPr="00EF5E41" w:rsidRDefault="00EF5E41" w:rsidP="00EF5E41">
      <w:pPr>
        <w:pStyle w:val="bulletlist1"/>
        <w:rPr>
          <w:noProof/>
        </w:rPr>
      </w:pPr>
      <w:r w:rsidRPr="00EF5E41">
        <w:rPr>
          <w:noProof/>
        </w:rPr>
        <w:t>Nabarlek Village area</w:t>
      </w:r>
    </w:p>
    <w:p w:rsidR="00EF5E41" w:rsidRPr="00EF5E41" w:rsidRDefault="00EF5E41" w:rsidP="00EF5E41">
      <w:pPr>
        <w:pStyle w:val="bulletlist1"/>
        <w:rPr>
          <w:noProof/>
        </w:rPr>
      </w:pPr>
      <w:r w:rsidRPr="00EF5E41">
        <w:rPr>
          <w:noProof/>
        </w:rPr>
        <w:t>Sewage treatment ponds area</w:t>
      </w:r>
    </w:p>
    <w:p w:rsidR="00EF5E41" w:rsidRPr="00EF5E41" w:rsidRDefault="00EF5E41" w:rsidP="00EF5E41">
      <w:pPr>
        <w:pStyle w:val="bulletlist1"/>
        <w:rPr>
          <w:noProof/>
        </w:rPr>
      </w:pPr>
      <w:r w:rsidRPr="00EF5E41">
        <w:rPr>
          <w:noProof/>
        </w:rPr>
        <w:t>Landfill</w:t>
      </w:r>
    </w:p>
    <w:p w:rsidR="00EF5E41" w:rsidRPr="00EF5E41" w:rsidRDefault="00EF5E41" w:rsidP="00EF5E41">
      <w:pPr>
        <w:pStyle w:val="bulletlist1"/>
        <w:rPr>
          <w:noProof/>
        </w:rPr>
      </w:pPr>
      <w:r w:rsidRPr="00EF5E41">
        <w:rPr>
          <w:noProof/>
        </w:rPr>
        <w:t>Plant area and plant run-off pond</w:t>
      </w:r>
    </w:p>
    <w:p w:rsidR="00EF5E41" w:rsidRPr="00EF5E41" w:rsidRDefault="00EF5E41" w:rsidP="00EF5E41">
      <w:pPr>
        <w:pStyle w:val="bulletlist1"/>
        <w:rPr>
          <w:noProof/>
        </w:rPr>
      </w:pPr>
      <w:r w:rsidRPr="00EF5E41">
        <w:rPr>
          <w:noProof/>
        </w:rPr>
        <w:t>Backfilled pit</w:t>
      </w:r>
    </w:p>
    <w:p w:rsidR="00EF5E41" w:rsidRPr="00EF5E41" w:rsidRDefault="00EF5E41" w:rsidP="00EF5E41">
      <w:pPr>
        <w:pStyle w:val="bulletlist1"/>
        <w:rPr>
          <w:noProof/>
        </w:rPr>
      </w:pPr>
      <w:r w:rsidRPr="00EF5E41">
        <w:rPr>
          <w:noProof/>
        </w:rPr>
        <w:t>Waste rock dump area and waste rock dump runoff pond</w:t>
      </w:r>
    </w:p>
    <w:p w:rsidR="00EF5E41" w:rsidRPr="00EF5E41" w:rsidRDefault="00EF5E41" w:rsidP="00EF5E41">
      <w:pPr>
        <w:pStyle w:val="bulletlist1"/>
        <w:rPr>
          <w:noProof/>
        </w:rPr>
      </w:pPr>
      <w:r w:rsidRPr="00EF5E41">
        <w:rPr>
          <w:noProof/>
        </w:rPr>
        <w:t>Radiologically anomalous area (RAA)</w:t>
      </w:r>
    </w:p>
    <w:p w:rsidR="00EF5E41" w:rsidRPr="00EF5E41" w:rsidRDefault="00EF5E41" w:rsidP="00EF5E41">
      <w:pPr>
        <w:pStyle w:val="bulletlist1"/>
        <w:rPr>
          <w:noProof/>
        </w:rPr>
      </w:pPr>
      <w:r w:rsidRPr="00EF5E41">
        <w:rPr>
          <w:noProof/>
        </w:rPr>
        <w:t>Evaporation ponds.</w:t>
      </w:r>
    </w:p>
    <w:p w:rsidR="00025FFA" w:rsidRPr="00CA3CA2" w:rsidRDefault="00025FFA" w:rsidP="00025FFA">
      <w:pPr>
        <w:pStyle w:val="Heading4"/>
      </w:pPr>
      <w:r w:rsidRPr="00CA3CA2">
        <w:t>3.4.2.3</w:t>
      </w:r>
      <w:r w:rsidRPr="00CA3CA2">
        <w:tab/>
        <w:t>Radiologically anomalous area (RAA)</w:t>
      </w:r>
    </w:p>
    <w:p w:rsidR="00296A60" w:rsidRDefault="00296A60" w:rsidP="00296A60">
      <w:r w:rsidRPr="00CA3CA2">
        <w:t xml:space="preserve">The area of the RAA is approximately 0.4 ha and is located immediately south-west of the former pit area. The RAA exhibits elevated levels of radioactivity and has been identified to contribute about one-quarter of the total radon flux from the rehabilitated minesite and three-quarters of the radionuclide flux from the site via the erosion pathway (more detail is provided in Supervising Scientist </w:t>
      </w:r>
      <w:r w:rsidR="00692CCC">
        <w:t>A</w:t>
      </w:r>
      <w:r w:rsidRPr="00CA3CA2">
        <w:t xml:space="preserve">nnual </w:t>
      </w:r>
      <w:r w:rsidR="00692CCC">
        <w:t>R</w:t>
      </w:r>
      <w:r w:rsidRPr="00CA3CA2">
        <w:t>eport 2004–05).</w:t>
      </w:r>
      <w:r>
        <w:t xml:space="preserve"> </w:t>
      </w:r>
    </w:p>
    <w:p w:rsidR="00296A60" w:rsidRPr="00BC28E0" w:rsidRDefault="00296A60" w:rsidP="00296A60">
      <w:r w:rsidRPr="00BC28E0">
        <w:t xml:space="preserve">The issue remains a standing item on the Nabarlek MTC agenda. No works on the RAA were undertaken during this reporting period. </w:t>
      </w:r>
    </w:p>
    <w:p w:rsidR="00BC28E0" w:rsidRPr="00BC28E0" w:rsidRDefault="00BC28E0" w:rsidP="00BC28E0">
      <w:pPr>
        <w:pStyle w:val="Heading3"/>
      </w:pPr>
      <w:r w:rsidRPr="00BC28E0">
        <w:t>3.4.3</w:t>
      </w:r>
      <w:r w:rsidRPr="00BC28E0">
        <w:tab/>
      </w:r>
      <w:r w:rsidR="00A45892">
        <w:tab/>
      </w:r>
      <w:r w:rsidRPr="00BC28E0">
        <w:t>Off-site environmental protection</w:t>
      </w:r>
    </w:p>
    <w:p w:rsidR="00296A60" w:rsidRPr="00BC28E0" w:rsidRDefault="00296A60" w:rsidP="00296A60">
      <w:r w:rsidRPr="00BC28E0">
        <w:t>Statutory monitoring of the site is conducted by DME and the operator, UEL. DME carries out surface and groundwater monitoring on and off site, including surface water monitoring downstream of the mine in Kadjirrikamarnda and Cooper creeks, and reports the results of this monitoring in the six-monthly Northern Territory Supervising Authorities Environmental Surveillance Monitoring in the Alligator Rivers Region reports to the Alligator Rivers Region Advisory Committee (ARRAC).</w:t>
      </w:r>
    </w:p>
    <w:p w:rsidR="00BC28E0" w:rsidRPr="00BC28E0" w:rsidRDefault="00BC28E0" w:rsidP="00BC28E0">
      <w:pPr>
        <w:pStyle w:val="Heading2"/>
      </w:pPr>
      <w:bookmarkStart w:id="218" w:name="_Toc399928181"/>
      <w:r w:rsidRPr="00BC28E0">
        <w:t>3.5</w:t>
      </w:r>
      <w:r w:rsidRPr="00BC28E0">
        <w:tab/>
        <w:t>Other activities in the Alligator Rivers Region</w:t>
      </w:r>
      <w:bookmarkEnd w:id="218"/>
    </w:p>
    <w:p w:rsidR="00BC28E0" w:rsidRPr="00BC28E0" w:rsidRDefault="00BC28E0" w:rsidP="00BC28E0">
      <w:pPr>
        <w:pStyle w:val="Heading3"/>
      </w:pPr>
      <w:bookmarkStart w:id="219" w:name="_Toc334196095"/>
      <w:bookmarkStart w:id="220" w:name="_Toc363824159"/>
      <w:r w:rsidRPr="00BC28E0">
        <w:t>3.5.1</w:t>
      </w:r>
      <w:r w:rsidR="00A45892">
        <w:tab/>
      </w:r>
      <w:r w:rsidRPr="00BC28E0">
        <w:tab/>
        <w:t>Rehabilitation of the South Alligator Valley uranium mines</w:t>
      </w:r>
      <w:bookmarkEnd w:id="219"/>
      <w:bookmarkEnd w:id="220"/>
    </w:p>
    <w:p w:rsidR="00296A60" w:rsidRPr="00BC28E0" w:rsidRDefault="00296A60" w:rsidP="00296A60">
      <w:pPr>
        <w:rPr>
          <w:noProof/>
          <w:lang w:val="en-US"/>
        </w:rPr>
      </w:pPr>
      <w:r w:rsidRPr="00BC28E0">
        <w:rPr>
          <w:noProof/>
          <w:lang w:val="en-US"/>
        </w:rPr>
        <w:t>Background on the remediation of historic uranium mining sites in the South Alligator Valley has been provided in Supervising Scientist Annual Report 2008–09.</w:t>
      </w:r>
    </w:p>
    <w:p w:rsidR="00296A60" w:rsidRPr="00BC28E0" w:rsidRDefault="00296A60" w:rsidP="00296A60">
      <w:pPr>
        <w:rPr>
          <w:noProof/>
        </w:rPr>
      </w:pPr>
      <w:r w:rsidRPr="00BC28E0">
        <w:rPr>
          <w:noProof/>
          <w:lang w:val="en-US"/>
        </w:rPr>
        <w:t xml:space="preserve">Construction of a new containment facility at the location of the old El Sherana airstrip for the final disposal of historic uranium mining waste was completed during the 2009 dry season by Parks Australia. </w:t>
      </w:r>
    </w:p>
    <w:p w:rsidR="00296A60" w:rsidRPr="00BC28E0" w:rsidRDefault="00296A60" w:rsidP="00296A60">
      <w:pPr>
        <w:rPr>
          <w:noProof/>
          <w:lang w:val="en-US"/>
        </w:rPr>
      </w:pPr>
      <w:r w:rsidRPr="005D64D7">
        <w:rPr>
          <w:b/>
          <w:i/>
          <w:noProof/>
          <w:sz w:val="23"/>
          <w:szCs w:val="23"/>
          <w:lang w:val="en-US"/>
        </w:rPr>
        <w:t>oss</w:t>
      </w:r>
      <w:r w:rsidRPr="00BC28E0">
        <w:rPr>
          <w:b/>
          <w:i/>
          <w:noProof/>
          <w:lang w:val="en-US"/>
        </w:rPr>
        <w:t xml:space="preserve"> </w:t>
      </w:r>
      <w:r w:rsidRPr="00BC28E0">
        <w:rPr>
          <w:noProof/>
          <w:lang w:val="en-US"/>
        </w:rPr>
        <w:t>staff carried out the annual inspection of the containment facility on 10 October 2013 following completion of erosion repair works. Revegetation is progressing well over the old containment areas and previous erosion gullies in parts of the cap had been repaired. An inspection report was provided to Parks Australia.</w:t>
      </w:r>
    </w:p>
    <w:p w:rsidR="00BC28E0" w:rsidRPr="00BC28E0" w:rsidRDefault="00BC28E0" w:rsidP="00BC28E0">
      <w:pPr>
        <w:pStyle w:val="Heading3"/>
      </w:pPr>
      <w:r w:rsidRPr="00BC28E0">
        <w:t>3.5.2</w:t>
      </w:r>
      <w:r w:rsidR="00A45892">
        <w:tab/>
      </w:r>
      <w:r w:rsidRPr="00BC28E0">
        <w:tab/>
        <w:t>Exploration</w:t>
      </w:r>
    </w:p>
    <w:p w:rsidR="00BC28E0" w:rsidRPr="00BC28E0" w:rsidRDefault="00BC28E0" w:rsidP="00BC28E0">
      <w:pPr>
        <w:rPr>
          <w:noProof/>
        </w:rPr>
      </w:pPr>
      <w:r w:rsidRPr="005D64D7">
        <w:rPr>
          <w:b/>
          <w:i/>
          <w:iCs/>
          <w:noProof/>
          <w:sz w:val="23"/>
          <w:szCs w:val="23"/>
        </w:rPr>
        <w:t>oss</w:t>
      </w:r>
      <w:r w:rsidRPr="005D64D7">
        <w:rPr>
          <w:noProof/>
          <w:sz w:val="23"/>
          <w:szCs w:val="23"/>
        </w:rPr>
        <w:t xml:space="preserve"> </w:t>
      </w:r>
      <w:r w:rsidRPr="00BC28E0">
        <w:rPr>
          <w:noProof/>
        </w:rPr>
        <w:t>undertakes a program</w:t>
      </w:r>
      <w:r w:rsidR="00820CF1">
        <w:rPr>
          <w:noProof/>
        </w:rPr>
        <w:t>me</w:t>
      </w:r>
      <w:r w:rsidRPr="00BC28E0">
        <w:rPr>
          <w:noProof/>
        </w:rPr>
        <w:t xml:space="preserve"> of site inspections and audits at exploration sites in western </w:t>
      </w:r>
      <w:smartTag w:uri="urn:schemas-microsoft-com:office:smarttags" w:element="place">
        <w:r w:rsidRPr="00BC28E0">
          <w:rPr>
            <w:noProof/>
          </w:rPr>
          <w:t>Arnhem Land</w:t>
        </w:r>
      </w:smartTag>
      <w:r w:rsidRPr="00BC28E0">
        <w:rPr>
          <w:noProof/>
        </w:rPr>
        <w:t>. During the reporting period SSD lead audits of the following exploration sites in Western Arnhem Land:</w:t>
      </w:r>
    </w:p>
    <w:p w:rsidR="00BC28E0" w:rsidRPr="00BC28E0" w:rsidRDefault="00BC28E0" w:rsidP="00BC28E0">
      <w:pPr>
        <w:pStyle w:val="bulletlist1"/>
        <w:rPr>
          <w:noProof/>
          <w:lang w:val="en-US"/>
        </w:rPr>
      </w:pPr>
      <w:r w:rsidRPr="00BC28E0">
        <w:rPr>
          <w:noProof/>
          <w:lang w:val="en-US"/>
        </w:rPr>
        <w:t xml:space="preserve">Cameco King River Camp and exploration activities </w:t>
      </w:r>
    </w:p>
    <w:p w:rsidR="00BC28E0" w:rsidRPr="00BC28E0" w:rsidRDefault="00BC28E0" w:rsidP="00BC28E0">
      <w:pPr>
        <w:pStyle w:val="bulletlist1"/>
        <w:rPr>
          <w:noProof/>
          <w:lang w:val="en-US"/>
        </w:rPr>
      </w:pPr>
      <w:r w:rsidRPr="00BC28E0">
        <w:rPr>
          <w:noProof/>
          <w:lang w:val="en-US"/>
        </w:rPr>
        <w:t>Alligator Energy Myra Camp and exploration activities</w:t>
      </w:r>
    </w:p>
    <w:p w:rsidR="00BC28E0" w:rsidRPr="00BC28E0" w:rsidRDefault="00BC28E0" w:rsidP="00BC28E0">
      <w:pPr>
        <w:pStyle w:val="bulletlist1"/>
        <w:rPr>
          <w:noProof/>
          <w:lang w:val="en-US"/>
        </w:rPr>
      </w:pPr>
      <w:r w:rsidRPr="00BC28E0">
        <w:rPr>
          <w:noProof/>
          <w:lang w:val="en-US"/>
        </w:rPr>
        <w:t xml:space="preserve">UXA Resources Limited Nabarlek Project </w:t>
      </w:r>
    </w:p>
    <w:p w:rsidR="00BC28E0" w:rsidRPr="00BC28E0" w:rsidRDefault="00BC28E0" w:rsidP="00BC28E0">
      <w:pPr>
        <w:pStyle w:val="bulletlist1"/>
        <w:rPr>
          <w:noProof/>
        </w:rPr>
      </w:pPr>
      <w:r w:rsidRPr="00BC28E0">
        <w:rPr>
          <w:noProof/>
        </w:rPr>
        <w:t>Each operation was audited against commitments from their approved MMP and criteria tested were graded in accordance with the classifications presented in Table 3.5.</w:t>
      </w:r>
    </w:p>
    <w:p w:rsidR="00BC28E0" w:rsidRPr="00BC28E0" w:rsidRDefault="00BC28E0" w:rsidP="00BC28E0">
      <w:pPr>
        <w:pStyle w:val="Heading4"/>
      </w:pPr>
      <w:r w:rsidRPr="00BC28E0">
        <w:t>3.5.2.1</w:t>
      </w:r>
      <w:r w:rsidRPr="00BC28E0">
        <w:tab/>
        <w:t>Cameco King River Camp</w:t>
      </w:r>
    </w:p>
    <w:p w:rsidR="00BC28E0" w:rsidRPr="00BC28E0" w:rsidRDefault="00BC28E0" w:rsidP="00E07966">
      <w:pPr>
        <w:rPr>
          <w:noProof/>
        </w:rPr>
      </w:pPr>
      <w:r w:rsidRPr="00BC28E0">
        <w:rPr>
          <w:noProof/>
        </w:rPr>
        <w:t>SSD, DME and NLC audited Cameco</w:t>
      </w:r>
      <w:r w:rsidR="005D64D7">
        <w:rPr>
          <w:noProof/>
        </w:rPr>
        <w:t>’s West Arnhem operations on 18–</w:t>
      </w:r>
      <w:r w:rsidRPr="00BC28E0">
        <w:rPr>
          <w:noProof/>
        </w:rPr>
        <w:t>19 September 2013. The audit tested Cameco’s compliance with 42 commitments from their approved 2013 MMP. Auditors inspected the King River camp and current and rehabilitated drill holes at Angularli prospect. Two category two non-conformances and one conditional finding were identified during the audit:</w:t>
      </w:r>
    </w:p>
    <w:p w:rsidR="00BC28E0" w:rsidRPr="00BC28E0" w:rsidRDefault="00BC28E0" w:rsidP="00E07966">
      <w:pPr>
        <w:pStyle w:val="bulletlist1"/>
        <w:rPr>
          <w:noProof/>
        </w:rPr>
      </w:pPr>
      <w:r w:rsidRPr="00BC28E0">
        <w:rPr>
          <w:noProof/>
        </w:rPr>
        <w:t>Two category two non-conformances</w:t>
      </w:r>
    </w:p>
    <w:p w:rsidR="00BC28E0" w:rsidRPr="00BC28E0" w:rsidRDefault="00990CD6" w:rsidP="00E07966">
      <w:pPr>
        <w:pStyle w:val="bulletlist2"/>
        <w:rPr>
          <w:noProof/>
        </w:rPr>
      </w:pPr>
      <w:r>
        <w:rPr>
          <w:noProof/>
        </w:rPr>
        <w:t>S</w:t>
      </w:r>
      <w:r w:rsidR="002404C6">
        <w:rPr>
          <w:noProof/>
        </w:rPr>
        <w:t xml:space="preserve">ix </w:t>
      </w:r>
      <w:r w:rsidR="00BC28E0" w:rsidRPr="00BC28E0">
        <w:rPr>
          <w:noProof/>
        </w:rPr>
        <w:t>uncapped drill holes located on EL 10176 at the U40 prospect</w:t>
      </w:r>
      <w:r>
        <w:rPr>
          <w:noProof/>
        </w:rPr>
        <w:t>.</w:t>
      </w:r>
    </w:p>
    <w:p w:rsidR="00BC28E0" w:rsidRPr="00BC28E0" w:rsidRDefault="00990CD6" w:rsidP="00E07966">
      <w:pPr>
        <w:pStyle w:val="bulletlist2"/>
        <w:rPr>
          <w:noProof/>
        </w:rPr>
      </w:pPr>
      <w:r>
        <w:rPr>
          <w:noProof/>
        </w:rPr>
        <w:t>A</w:t>
      </w:r>
      <w:r w:rsidR="00BC28E0" w:rsidRPr="00BC28E0">
        <w:rPr>
          <w:noProof/>
        </w:rPr>
        <w:t xml:space="preserve"> vehicle check/wash down was not requested of an audit team vehicle when it was known it had travelled from Nabarlek/Myra Camp, an area with identified weeds</w:t>
      </w:r>
      <w:r>
        <w:rPr>
          <w:noProof/>
        </w:rPr>
        <w:t>.</w:t>
      </w:r>
    </w:p>
    <w:p w:rsidR="00BC28E0" w:rsidRPr="00BC28E0" w:rsidRDefault="00BC28E0" w:rsidP="00E07966">
      <w:pPr>
        <w:pStyle w:val="bulletlist1"/>
        <w:rPr>
          <w:noProof/>
        </w:rPr>
      </w:pPr>
      <w:r w:rsidRPr="00BC28E0">
        <w:rPr>
          <w:noProof/>
        </w:rPr>
        <w:t xml:space="preserve">One conditional </w:t>
      </w:r>
      <w:r w:rsidR="001A7325">
        <w:rPr>
          <w:noProof/>
        </w:rPr>
        <w:t xml:space="preserve">finding </w:t>
      </w:r>
      <w:r w:rsidRPr="00BC28E0">
        <w:rPr>
          <w:noProof/>
        </w:rPr>
        <w:t>relating to incorrect bunding of a pump</w:t>
      </w:r>
      <w:r w:rsidR="00990CD6">
        <w:rPr>
          <w:noProof/>
        </w:rPr>
        <w:t>.</w:t>
      </w:r>
    </w:p>
    <w:p w:rsidR="00E07966" w:rsidRDefault="00E07966" w:rsidP="00E07966">
      <w:pPr>
        <w:pStyle w:val="Heading4"/>
      </w:pPr>
      <w:r>
        <w:t>3.5.2.2</w:t>
      </w:r>
      <w:r>
        <w:tab/>
        <w:t>Alligator Energy Myra Camp</w:t>
      </w:r>
    </w:p>
    <w:p w:rsidR="00E07966" w:rsidRPr="009E23CB" w:rsidRDefault="00E07966" w:rsidP="00E07966">
      <w:r w:rsidRPr="00036EA9">
        <w:t>SSD a</w:t>
      </w:r>
      <w:r>
        <w:t>nd DME</w:t>
      </w:r>
      <w:r w:rsidRPr="00036EA9">
        <w:t xml:space="preserve"> audit</w:t>
      </w:r>
      <w:r>
        <w:t>ed</w:t>
      </w:r>
      <w:r w:rsidRPr="00036EA9">
        <w:t xml:space="preserve"> Alligator Energy</w:t>
      </w:r>
      <w:r>
        <w:t>’</w:t>
      </w:r>
      <w:r w:rsidRPr="00036EA9">
        <w:t>s exploration activities based at Myra Camp on 1</w:t>
      </w:r>
      <w:r>
        <w:t>7</w:t>
      </w:r>
      <w:r w:rsidRPr="00036EA9">
        <w:t xml:space="preserve"> September 201</w:t>
      </w:r>
      <w:r>
        <w:t>3</w:t>
      </w:r>
      <w:r w:rsidRPr="00036EA9">
        <w:t>. The audit tested Alligator Energy</w:t>
      </w:r>
      <w:r>
        <w:t>’</w:t>
      </w:r>
      <w:r w:rsidRPr="00036EA9">
        <w:t>s compliance with 2</w:t>
      </w:r>
      <w:r>
        <w:t>2</w:t>
      </w:r>
      <w:r w:rsidRPr="00036EA9">
        <w:t xml:space="preserve"> commitments from their approved </w:t>
      </w:r>
      <w:r>
        <w:t xml:space="preserve">2013 </w:t>
      </w:r>
      <w:r w:rsidRPr="00036EA9">
        <w:t xml:space="preserve">MMP. The auditors inspected Myra Camp, the Two Rocks prospect and Caramel prospect. The audit resulted in </w:t>
      </w:r>
      <w:r w:rsidR="00D72E9C">
        <w:t>three</w:t>
      </w:r>
      <w:r>
        <w:t xml:space="preserve"> observations. </w:t>
      </w:r>
      <w:r w:rsidR="001A7325">
        <w:t>The audit team was</w:t>
      </w:r>
      <w:r w:rsidRPr="00036EA9">
        <w:t xml:space="preserve"> pleased to note </w:t>
      </w:r>
      <w:r>
        <w:t>the minimal environmental disturbance</w:t>
      </w:r>
      <w:r w:rsidRPr="00036EA9">
        <w:t xml:space="preserve"> </w:t>
      </w:r>
      <w:r>
        <w:t>made during the creation of the new NE Myra track.</w:t>
      </w:r>
    </w:p>
    <w:p w:rsidR="00E07966" w:rsidRPr="00E07966" w:rsidRDefault="00E07966" w:rsidP="00E07966">
      <w:pPr>
        <w:pStyle w:val="Heading4"/>
      </w:pPr>
      <w:r w:rsidRPr="00E07966">
        <w:t>3.5.2.3</w:t>
      </w:r>
      <w:r w:rsidRPr="00E07966">
        <w:tab/>
        <w:t>UXA Nabarlek Project</w:t>
      </w:r>
    </w:p>
    <w:p w:rsidR="001A7325" w:rsidRPr="00E07966" w:rsidRDefault="001A7325" w:rsidP="001A7325">
      <w:pPr>
        <w:rPr>
          <w:noProof/>
        </w:rPr>
      </w:pPr>
      <w:r w:rsidRPr="00E07966">
        <w:rPr>
          <w:noProof/>
        </w:rPr>
        <w:t xml:space="preserve">UXA Resources Ltd went into receivership in November 2013. An inspection of the extent of exploration activities and rehabilitation at the Nabarlek Group Project on EL24868 was held on 19 September 2013. The inspection team was made up of representatives from SSD, DME and NLC. A traditional owner accompanied the team on the inspection. All drill pads and drill holes observed had rehabilitation activities completed with no evidence of erosion. Most of the </w:t>
      </w:r>
      <w:r>
        <w:rPr>
          <w:noProof/>
        </w:rPr>
        <w:t xml:space="preserve">tracks were in the progress of </w:t>
      </w:r>
      <w:r w:rsidRPr="00E07966">
        <w:rPr>
          <w:noProof/>
        </w:rPr>
        <w:t xml:space="preserve">self-vegetation, which impedes future access. A constructed creek crossing between Area 1 and 2 prospects still had a tall pile of extracted material adjacent to the crossing with </w:t>
      </w:r>
      <w:r>
        <w:rPr>
          <w:noProof/>
        </w:rPr>
        <w:t>‘</w:t>
      </w:r>
      <w:r w:rsidRPr="00E07966">
        <w:rPr>
          <w:noProof/>
        </w:rPr>
        <w:t>whoa-boys</w:t>
      </w:r>
      <w:r>
        <w:rPr>
          <w:noProof/>
        </w:rPr>
        <w:t>’</w:t>
      </w:r>
      <w:r w:rsidRPr="00E07966">
        <w:rPr>
          <w:noProof/>
        </w:rPr>
        <w:t xml:space="preserve"> constructed on either side of the creek crossing. The creek crossing and associated </w:t>
      </w:r>
      <w:r>
        <w:rPr>
          <w:noProof/>
        </w:rPr>
        <w:t>‘</w:t>
      </w:r>
      <w:r w:rsidRPr="00E07966">
        <w:rPr>
          <w:noProof/>
        </w:rPr>
        <w:t>whoa-boys</w:t>
      </w:r>
      <w:r>
        <w:rPr>
          <w:noProof/>
        </w:rPr>
        <w:t>’</w:t>
      </w:r>
      <w:r w:rsidRPr="00E07966">
        <w:rPr>
          <w:noProof/>
        </w:rPr>
        <w:t xml:space="preserve"> were the only aspects observed during the inspection which may require further rehabilitation.</w:t>
      </w:r>
    </w:p>
    <w:p w:rsidR="00E07966" w:rsidRPr="00E07966" w:rsidRDefault="00E07966" w:rsidP="00E07966">
      <w:pPr>
        <w:pStyle w:val="Heading2"/>
      </w:pPr>
      <w:bookmarkStart w:id="221" w:name="_Toc399928182"/>
      <w:r w:rsidRPr="00E07966">
        <w:t>3.6</w:t>
      </w:r>
      <w:r w:rsidRPr="00E07966">
        <w:tab/>
        <w:t>Radiological issues</w:t>
      </w:r>
      <w:bookmarkEnd w:id="221"/>
    </w:p>
    <w:p w:rsidR="00E07966" w:rsidRPr="00E07966" w:rsidRDefault="00E07966" w:rsidP="00E07966">
      <w:pPr>
        <w:pStyle w:val="Heading3"/>
      </w:pPr>
      <w:bookmarkStart w:id="222" w:name="_Toc272771453"/>
      <w:bookmarkStart w:id="223" w:name="_Toc334196098"/>
      <w:bookmarkStart w:id="224" w:name="_Toc363824162"/>
      <w:r w:rsidRPr="00E07966">
        <w:t>3.6.1</w:t>
      </w:r>
      <w:r w:rsidRPr="00E07966">
        <w:tab/>
      </w:r>
      <w:r w:rsidR="00A45892">
        <w:tab/>
      </w:r>
      <w:r w:rsidRPr="00E07966">
        <w:t>Background</w:t>
      </w:r>
      <w:bookmarkEnd w:id="222"/>
      <w:bookmarkEnd w:id="223"/>
      <w:bookmarkEnd w:id="224"/>
    </w:p>
    <w:p w:rsidR="00E07966" w:rsidRPr="00E07966" w:rsidRDefault="00E07966" w:rsidP="00E07966">
      <w:pPr>
        <w:pStyle w:val="Heading4"/>
      </w:pPr>
      <w:r w:rsidRPr="00E07966">
        <w:t>3.6.1.1</w:t>
      </w:r>
      <w:r w:rsidRPr="00E07966">
        <w:tab/>
        <w:t>Applicable standards</w:t>
      </w:r>
    </w:p>
    <w:p w:rsidR="00E07966" w:rsidRPr="00E07966" w:rsidRDefault="00E07966" w:rsidP="00E07966">
      <w:pPr>
        <w:rPr>
          <w:noProof/>
        </w:rPr>
      </w:pPr>
      <w:r w:rsidRPr="00E07966">
        <w:rPr>
          <w:noProof/>
        </w:rPr>
        <w:t xml:space="preserve">The radiation dose limit for workers recommended by the International Commission on Radiological Protection (ICRP) and adopted in </w:t>
      </w:r>
      <w:smartTag w:uri="urn:schemas-microsoft-com:office:smarttags" w:element="place">
        <w:smartTag w:uri="urn:schemas-microsoft-com:office:smarttags" w:element="country-region">
          <w:r w:rsidRPr="00E07966">
            <w:rPr>
              <w:noProof/>
            </w:rPr>
            <w:t>Australia</w:t>
          </w:r>
        </w:smartTag>
      </w:smartTag>
      <w:r w:rsidRPr="00E07966">
        <w:rPr>
          <w:noProof/>
        </w:rPr>
        <w:t xml:space="preserve"> by the Australian Radiation Protection and Nuclear Safety Agency (ARPANSA) is 100 millisievert (mSv) in a five-year period with a maximum of 50 mSv in any one year. In practice this is considered to be an average of 20 mSv per year. The radiation dose limit to the public from a practice such as uranium mining recommended by the ICRP is 1 mSv per year. This limit applies to the sum of all sources and exposure pathways. As outlined in the ‘Code of Practice and Safety Guide on Radiation Protection and Radioactive Waste Management in Mining and Mineral Processing’ (2005)</w:t>
      </w:r>
      <w:r w:rsidR="00494E77">
        <w:rPr>
          <w:rStyle w:val="FootnoteReference"/>
          <w:noProof/>
        </w:rPr>
        <w:footnoteReference w:id="4"/>
      </w:r>
      <w:r w:rsidRPr="00E07966">
        <w:rPr>
          <w:noProof/>
        </w:rPr>
        <w:t>, it is the operator’s and employer’s responsibility to ‘ensure that the workplace and work procedures are designed, constructed, and operated so as to keep exposures to ionising radiation as low as reasonably achievable’.</w:t>
      </w:r>
    </w:p>
    <w:p w:rsidR="00E07966" w:rsidRPr="00E07966" w:rsidRDefault="00E07966" w:rsidP="00E07966">
      <w:pPr>
        <w:rPr>
          <w:noProof/>
        </w:rPr>
      </w:pPr>
      <w:r w:rsidRPr="00E07966">
        <w:rPr>
          <w:noProof/>
        </w:rPr>
        <w:t xml:space="preserve">The Safety Guide further recommends to separate radiation workers into designated and non-designated cohorts for monitoring and reporting purposes, where designated workers are those who may be expected to receive a significant occupational radiation dose, nominally above 5 mSv per year. These workers are monitored more intensely than the non-designated workers. </w:t>
      </w:r>
    </w:p>
    <w:p w:rsidR="00E07966" w:rsidRPr="00E07966" w:rsidRDefault="00E07966" w:rsidP="00E07966">
      <w:pPr>
        <w:rPr>
          <w:noProof/>
        </w:rPr>
      </w:pPr>
      <w:r w:rsidRPr="00E07966">
        <w:rPr>
          <w:noProof/>
        </w:rPr>
        <w:t>Consequently, there are three levels of radiation dose from other-than-natural sources to distinguish:</w:t>
      </w:r>
    </w:p>
    <w:p w:rsidR="00E07966" w:rsidRPr="00E07966" w:rsidRDefault="00E07966" w:rsidP="00E07966">
      <w:pPr>
        <w:pStyle w:val="bulletlist1"/>
        <w:rPr>
          <w:noProof/>
          <w:lang w:val="en-US"/>
        </w:rPr>
      </w:pPr>
      <w:r w:rsidRPr="00E07966">
        <w:rPr>
          <w:noProof/>
          <w:lang w:val="en-US"/>
        </w:rPr>
        <w:t>Limit to a member of the public (1 mSv)</w:t>
      </w:r>
    </w:p>
    <w:p w:rsidR="00E07966" w:rsidRPr="00E07966" w:rsidRDefault="00E07966" w:rsidP="00E07966">
      <w:pPr>
        <w:pStyle w:val="bulletlist1"/>
        <w:rPr>
          <w:noProof/>
          <w:lang w:val="en-US"/>
        </w:rPr>
      </w:pPr>
      <w:r w:rsidRPr="00E07966">
        <w:rPr>
          <w:noProof/>
          <w:lang w:val="en-US"/>
        </w:rPr>
        <w:t>Non-designated workers (5 mSv)</w:t>
      </w:r>
    </w:p>
    <w:p w:rsidR="00E07966" w:rsidRPr="00E07966" w:rsidRDefault="00E07966" w:rsidP="00E07966">
      <w:pPr>
        <w:pStyle w:val="bulletlist1"/>
        <w:rPr>
          <w:noProof/>
          <w:lang w:val="en-US"/>
        </w:rPr>
      </w:pPr>
      <w:r w:rsidRPr="00E07966">
        <w:rPr>
          <w:noProof/>
          <w:lang w:val="en-US"/>
        </w:rPr>
        <w:t>Limit to workers (100 mSv over 5 years with a maximum of 50 mSv in any one year).</w:t>
      </w:r>
    </w:p>
    <w:p w:rsidR="00E07966" w:rsidRPr="00E07966" w:rsidRDefault="00E07966" w:rsidP="00E07966">
      <w:pPr>
        <w:rPr>
          <w:noProof/>
        </w:rPr>
      </w:pPr>
      <w:r w:rsidRPr="00E07966">
        <w:rPr>
          <w:noProof/>
        </w:rPr>
        <w:t>In addition, the ICRP (2006</w:t>
      </w:r>
      <w:r w:rsidRPr="00E07966">
        <w:rPr>
          <w:noProof/>
          <w:vertAlign w:val="superscript"/>
        </w:rPr>
        <w:footnoteReference w:id="5"/>
      </w:r>
      <w:r w:rsidRPr="00E07966">
        <w:rPr>
          <w:noProof/>
        </w:rPr>
        <w:t>) recommends the use of dose constraints for the optimisation of radiation protection:</w:t>
      </w:r>
    </w:p>
    <w:p w:rsidR="00E07966" w:rsidRPr="00E07966" w:rsidRDefault="00E07966" w:rsidP="00E07966">
      <w:pPr>
        <w:spacing w:after="120" w:line="240" w:lineRule="atLeast"/>
        <w:ind w:left="360"/>
        <w:rPr>
          <w:sz w:val="18"/>
        </w:rPr>
      </w:pPr>
      <w:r w:rsidRPr="00E07966">
        <w:rPr>
          <w:sz w:val="18"/>
        </w:rPr>
        <w:t>The principle of optimisation is defined by the Commission as the source related process to keep the magnitude of individual doses, the number of people exposed, and the likelihood of potential exposure as low as reasonably achievable below the appropriate dose constraints, with economic and social factors being taken into account. According to the Commission’s revised recommendations, this process of optimisation below constraint should be applied whatever the exposure situation; i</w:t>
      </w:r>
      <w:r>
        <w:rPr>
          <w:sz w:val="18"/>
        </w:rPr>
        <w:t>.</w:t>
      </w:r>
      <w:r w:rsidRPr="00E07966">
        <w:rPr>
          <w:sz w:val="18"/>
        </w:rPr>
        <w:t>e</w:t>
      </w:r>
      <w:r>
        <w:rPr>
          <w:sz w:val="18"/>
        </w:rPr>
        <w:t>.</w:t>
      </w:r>
      <w:r w:rsidRPr="00E07966">
        <w:rPr>
          <w:sz w:val="18"/>
        </w:rPr>
        <w:t xml:space="preserve"> planned, emergency, or existing. </w:t>
      </w:r>
    </w:p>
    <w:p w:rsidR="00E07966" w:rsidRPr="00E07966" w:rsidRDefault="00E07966" w:rsidP="00E07966">
      <w:pPr>
        <w:pStyle w:val="Heading4"/>
      </w:pPr>
      <w:r w:rsidRPr="00E07966">
        <w:t>3.6.1.2</w:t>
      </w:r>
      <w:r w:rsidRPr="00E07966">
        <w:tab/>
        <w:t>Monitoring and research program</w:t>
      </w:r>
      <w:r w:rsidR="00820CF1">
        <w:t>me</w:t>
      </w:r>
      <w:r w:rsidRPr="00E07966">
        <w:t>s</w:t>
      </w:r>
    </w:p>
    <w:p w:rsidR="00E07966" w:rsidRPr="00E07966" w:rsidRDefault="00E07966" w:rsidP="00E07966">
      <w:pPr>
        <w:rPr>
          <w:noProof/>
        </w:rPr>
      </w:pPr>
      <w:r w:rsidRPr="00E07966">
        <w:rPr>
          <w:noProof/>
        </w:rPr>
        <w:t>ERA conducts statutory and operational monitoring of external gamma exposure to employees (through the use of gamma dose badges), radon decay products and long lived alpha activity (dust) in the air, and surface contamination levels. The statutory aspects of the program</w:t>
      </w:r>
      <w:r w:rsidR="00820CF1">
        <w:rPr>
          <w:noProof/>
        </w:rPr>
        <w:t>me</w:t>
      </w:r>
      <w:r w:rsidRPr="00E07966">
        <w:rPr>
          <w:noProof/>
        </w:rPr>
        <w:t xml:space="preserve"> are prescribed in Annex B of the Ranger Authorisation with results reported to MTC members on a quarterly basis.</w:t>
      </w:r>
    </w:p>
    <w:p w:rsidR="00E07966" w:rsidRPr="00E07966" w:rsidRDefault="00E07966" w:rsidP="00E07966">
      <w:pPr>
        <w:rPr>
          <w:noProof/>
        </w:rPr>
      </w:pPr>
      <w:r w:rsidRPr="00E07966">
        <w:rPr>
          <w:noProof/>
        </w:rPr>
        <w:t xml:space="preserve">SSD conducts routine monitoring of the atmospheric pathways of radiation dispersion from Ranger and a number of radiation research projects for human and environmental protection. </w:t>
      </w:r>
    </w:p>
    <w:p w:rsidR="00E07966" w:rsidRPr="00631AEE" w:rsidRDefault="00E07966" w:rsidP="00E07966">
      <w:r w:rsidRPr="00631AEE">
        <w:t>An application to optimise the Radiation and Atmospheric Monitoring Plan (originally submitted to the MTC in November 2008) was approved with the issue of Authorisation 0108-13 on 29 November 2011. Approval of this application resulted in a change to the quarterly reporting requirements for ERA and instead of a quarterly report, SSD and other stakeholders are now provided with summary data that are then discussed during a meeting with ERA. This change first came into effect for the Q1/2012 reporting period. All quarterly reports and summary data due during the reporting period were received and reviewed by SSD.</w:t>
      </w:r>
    </w:p>
    <w:p w:rsidR="00E07966" w:rsidRDefault="00E07966" w:rsidP="00E07966">
      <w:r w:rsidRPr="00631AEE">
        <w:t xml:space="preserve">Dose constraints for the Ranger operation are revised annually and detailed in the </w:t>
      </w:r>
      <w:r w:rsidRPr="00631AEE">
        <w:rPr>
          <w:i/>
        </w:rPr>
        <w:t>Annual Radiation and Atmospheric Monitoring Report</w:t>
      </w:r>
      <w:r w:rsidRPr="00631AEE">
        <w:t>. The current dose constraints for Ranger mine are listed in T</w:t>
      </w:r>
      <w:r w:rsidRPr="00294D77">
        <w:t>able 3.1</w:t>
      </w:r>
      <w:r w:rsidR="00FA5FFA">
        <w:t>2</w:t>
      </w:r>
      <w:r w:rsidRPr="00294D77">
        <w:t>.</w:t>
      </w:r>
    </w:p>
    <w:tbl>
      <w:tblPr>
        <w:tblW w:w="7371" w:type="dxa"/>
        <w:tblLayout w:type="fixed"/>
        <w:tblCellMar>
          <w:left w:w="0" w:type="dxa"/>
          <w:right w:w="0" w:type="dxa"/>
        </w:tblCellMar>
        <w:tblLook w:val="0000"/>
      </w:tblPr>
      <w:tblGrid>
        <w:gridCol w:w="3686"/>
        <w:gridCol w:w="3685"/>
      </w:tblGrid>
      <w:tr w:rsidR="00E07966" w:rsidRPr="00E07966" w:rsidTr="00E07966">
        <w:tc>
          <w:tcPr>
            <w:tcW w:w="7371" w:type="dxa"/>
            <w:gridSpan w:val="2"/>
            <w:tcBorders>
              <w:top w:val="single" w:sz="8" w:space="0" w:color="C0C0C0"/>
              <w:bottom w:val="single" w:sz="8" w:space="0" w:color="C0C0C0"/>
            </w:tcBorders>
            <w:shd w:val="clear" w:color="auto" w:fill="D9D9D9"/>
            <w:noWrap/>
            <w:tcMar>
              <w:top w:w="0" w:type="dxa"/>
              <w:left w:w="0" w:type="dxa"/>
              <w:bottom w:w="0" w:type="dxa"/>
              <w:right w:w="0" w:type="dxa"/>
            </w:tcMar>
          </w:tcPr>
          <w:p w:rsidR="00E07966" w:rsidRPr="00E07966" w:rsidRDefault="00E07966" w:rsidP="00FA5FFA">
            <w:pPr>
              <w:keepNext/>
              <w:spacing w:before="120" w:after="120" w:line="240" w:lineRule="atLeast"/>
              <w:jc w:val="center"/>
              <w:rPr>
                <w:rFonts w:cs="Arial"/>
                <w:b/>
                <w:caps/>
                <w:sz w:val="18"/>
              </w:rPr>
            </w:pPr>
            <w:r w:rsidRPr="00E07966">
              <w:rPr>
                <w:rFonts w:cs="Arial"/>
                <w:b/>
                <w:caps/>
                <w:spacing w:val="-2"/>
                <w:sz w:val="18"/>
              </w:rPr>
              <w:t>Table 3.1</w:t>
            </w:r>
            <w:r w:rsidR="00FA5FFA">
              <w:rPr>
                <w:rFonts w:cs="Arial"/>
                <w:b/>
                <w:caps/>
                <w:spacing w:val="-2"/>
                <w:sz w:val="18"/>
              </w:rPr>
              <w:t>2</w:t>
            </w:r>
            <w:r w:rsidRPr="00E07966">
              <w:rPr>
                <w:rFonts w:cs="Arial"/>
                <w:b/>
                <w:caps/>
                <w:spacing w:val="-2"/>
                <w:sz w:val="18"/>
              </w:rPr>
              <w:t xml:space="preserve"> Annual Radiation Dose constraints for ranger mine (</w:t>
            </w:r>
            <w:r w:rsidRPr="00E07966">
              <w:rPr>
                <w:rFonts w:ascii="Times New Roman Bold" w:hAnsi="Times New Roman Bold" w:cs="Arial"/>
                <w:b/>
                <w:spacing w:val="-2"/>
                <w:sz w:val="18"/>
              </w:rPr>
              <w:t>mSv</w:t>
            </w:r>
            <w:r w:rsidRPr="00E07966">
              <w:rPr>
                <w:rFonts w:cs="Arial"/>
                <w:b/>
                <w:caps/>
                <w:spacing w:val="-2"/>
                <w:sz w:val="18"/>
              </w:rPr>
              <w:t>)</w:t>
            </w:r>
          </w:p>
        </w:tc>
      </w:tr>
      <w:tr w:rsidR="00E07966" w:rsidRPr="00E07966" w:rsidTr="00E07966">
        <w:tc>
          <w:tcPr>
            <w:tcW w:w="3686" w:type="dxa"/>
            <w:tcBorders>
              <w:top w:val="single" w:sz="8" w:space="0" w:color="C0C0C0"/>
            </w:tcBorders>
            <w:noWrap/>
            <w:tcMar>
              <w:top w:w="13" w:type="dxa"/>
              <w:left w:w="13" w:type="dxa"/>
              <w:bottom w:w="0" w:type="dxa"/>
              <w:right w:w="13" w:type="dxa"/>
            </w:tcMar>
          </w:tcPr>
          <w:p w:rsidR="00E07966" w:rsidRPr="00E07966" w:rsidRDefault="00E07966" w:rsidP="00E07966">
            <w:pPr>
              <w:spacing w:before="90" w:after="90" w:line="240" w:lineRule="auto"/>
              <w:rPr>
                <w:rFonts w:ascii="Arial" w:eastAsia="Arial Unicode MS" w:hAnsi="Arial"/>
                <w:sz w:val="16"/>
              </w:rPr>
            </w:pPr>
            <w:r w:rsidRPr="00E07966">
              <w:rPr>
                <w:rFonts w:ascii="Arial" w:eastAsia="Arial Unicode MS" w:hAnsi="Arial"/>
                <w:sz w:val="16"/>
              </w:rPr>
              <w:t>Mine</w:t>
            </w:r>
          </w:p>
        </w:tc>
        <w:tc>
          <w:tcPr>
            <w:tcW w:w="3685" w:type="dxa"/>
            <w:tcBorders>
              <w:top w:val="single" w:sz="8" w:space="0" w:color="C0C0C0"/>
            </w:tcBorders>
            <w:noWrap/>
            <w:tcMar>
              <w:top w:w="13" w:type="dxa"/>
              <w:left w:w="13" w:type="dxa"/>
              <w:bottom w:w="0" w:type="dxa"/>
              <w:right w:w="13" w:type="dxa"/>
            </w:tcMar>
          </w:tcPr>
          <w:p w:rsidR="00E07966" w:rsidRPr="00E07966" w:rsidRDefault="00E07966" w:rsidP="00E07966">
            <w:pPr>
              <w:spacing w:before="90" w:after="90" w:line="240" w:lineRule="auto"/>
              <w:jc w:val="center"/>
              <w:rPr>
                <w:rFonts w:ascii="Arial" w:eastAsia="Arial Unicode MS" w:hAnsi="Arial"/>
                <w:sz w:val="16"/>
              </w:rPr>
            </w:pPr>
            <w:r w:rsidRPr="00E07966">
              <w:rPr>
                <w:rFonts w:ascii="Arial" w:eastAsia="Arial Unicode MS" w:hAnsi="Arial"/>
                <w:sz w:val="16"/>
              </w:rPr>
              <w:t>2.4</w:t>
            </w:r>
          </w:p>
        </w:tc>
      </w:tr>
      <w:tr w:rsidR="00E07966" w:rsidRPr="00E07966" w:rsidTr="00E07966">
        <w:tc>
          <w:tcPr>
            <w:tcW w:w="3686" w:type="dxa"/>
            <w:noWrap/>
            <w:tcMar>
              <w:top w:w="13" w:type="dxa"/>
              <w:left w:w="13" w:type="dxa"/>
              <w:bottom w:w="0" w:type="dxa"/>
              <w:right w:w="13" w:type="dxa"/>
            </w:tcMar>
          </w:tcPr>
          <w:p w:rsidR="00E07966" w:rsidRPr="00E07966" w:rsidRDefault="00E07966" w:rsidP="00E07966">
            <w:pPr>
              <w:spacing w:before="90" w:after="90" w:line="240" w:lineRule="auto"/>
              <w:rPr>
                <w:rFonts w:ascii="Arial" w:eastAsia="Arial Unicode MS" w:hAnsi="Arial"/>
                <w:sz w:val="16"/>
              </w:rPr>
            </w:pPr>
            <w:r w:rsidRPr="00E07966">
              <w:rPr>
                <w:rFonts w:ascii="Arial" w:eastAsia="Arial Unicode MS" w:hAnsi="Arial"/>
                <w:sz w:val="16"/>
              </w:rPr>
              <w:t>Plant</w:t>
            </w:r>
          </w:p>
        </w:tc>
        <w:tc>
          <w:tcPr>
            <w:tcW w:w="3685" w:type="dxa"/>
            <w:noWrap/>
            <w:tcMar>
              <w:top w:w="13" w:type="dxa"/>
              <w:left w:w="13" w:type="dxa"/>
              <w:bottom w:w="0" w:type="dxa"/>
              <w:right w:w="13" w:type="dxa"/>
            </w:tcMar>
          </w:tcPr>
          <w:p w:rsidR="00E07966" w:rsidRPr="00E07966" w:rsidRDefault="00E07966" w:rsidP="00E07966">
            <w:pPr>
              <w:spacing w:before="90" w:after="90" w:line="240" w:lineRule="auto"/>
              <w:jc w:val="center"/>
              <w:rPr>
                <w:rFonts w:ascii="Arial" w:eastAsia="Arial Unicode MS" w:hAnsi="Arial"/>
                <w:sz w:val="16"/>
              </w:rPr>
            </w:pPr>
            <w:r w:rsidRPr="00E07966">
              <w:rPr>
                <w:rFonts w:ascii="Arial" w:eastAsia="Arial Unicode MS" w:hAnsi="Arial"/>
                <w:sz w:val="16"/>
              </w:rPr>
              <w:t>5.5</w:t>
            </w:r>
          </w:p>
        </w:tc>
      </w:tr>
      <w:tr w:rsidR="00E07966" w:rsidRPr="00E07966" w:rsidTr="00E07966">
        <w:tc>
          <w:tcPr>
            <w:tcW w:w="3686" w:type="dxa"/>
            <w:noWrap/>
            <w:tcMar>
              <w:top w:w="13" w:type="dxa"/>
              <w:left w:w="13" w:type="dxa"/>
              <w:bottom w:w="0" w:type="dxa"/>
              <w:right w:w="13" w:type="dxa"/>
            </w:tcMar>
          </w:tcPr>
          <w:p w:rsidR="00E07966" w:rsidRPr="00E07966" w:rsidRDefault="00E07966" w:rsidP="00E07966">
            <w:pPr>
              <w:spacing w:before="90" w:after="90" w:line="240" w:lineRule="auto"/>
              <w:rPr>
                <w:rFonts w:ascii="Arial" w:eastAsia="Arial Unicode MS" w:hAnsi="Arial"/>
                <w:sz w:val="16"/>
              </w:rPr>
            </w:pPr>
            <w:r w:rsidRPr="00E07966">
              <w:rPr>
                <w:rFonts w:ascii="Arial" w:eastAsia="Arial Unicode MS" w:hAnsi="Arial"/>
                <w:sz w:val="16"/>
              </w:rPr>
              <w:t>Exploration Decline</w:t>
            </w:r>
          </w:p>
        </w:tc>
        <w:tc>
          <w:tcPr>
            <w:tcW w:w="3685" w:type="dxa"/>
            <w:noWrap/>
            <w:tcMar>
              <w:top w:w="13" w:type="dxa"/>
              <w:left w:w="13" w:type="dxa"/>
              <w:bottom w:w="0" w:type="dxa"/>
              <w:right w:w="13" w:type="dxa"/>
            </w:tcMar>
          </w:tcPr>
          <w:p w:rsidR="00E07966" w:rsidRPr="00E07966" w:rsidRDefault="00E07966" w:rsidP="00E07966">
            <w:pPr>
              <w:spacing w:before="90" w:after="90" w:line="240" w:lineRule="auto"/>
              <w:jc w:val="center"/>
              <w:rPr>
                <w:rFonts w:ascii="Arial" w:eastAsia="Arial Unicode MS" w:hAnsi="Arial"/>
                <w:sz w:val="16"/>
              </w:rPr>
            </w:pPr>
            <w:r w:rsidRPr="00E07966">
              <w:rPr>
                <w:rFonts w:ascii="Arial" w:eastAsia="Arial Unicode MS" w:hAnsi="Arial"/>
                <w:sz w:val="16"/>
              </w:rPr>
              <w:t>5</w:t>
            </w:r>
          </w:p>
        </w:tc>
      </w:tr>
      <w:tr w:rsidR="00E07966" w:rsidRPr="00E07966" w:rsidTr="00E07966">
        <w:tc>
          <w:tcPr>
            <w:tcW w:w="3686" w:type="dxa"/>
            <w:noWrap/>
            <w:tcMar>
              <w:top w:w="13" w:type="dxa"/>
              <w:left w:w="13" w:type="dxa"/>
              <w:bottom w:w="0" w:type="dxa"/>
              <w:right w:w="13" w:type="dxa"/>
            </w:tcMar>
          </w:tcPr>
          <w:p w:rsidR="00E07966" w:rsidRPr="00E07966" w:rsidRDefault="00E07966" w:rsidP="00E07966">
            <w:pPr>
              <w:spacing w:before="90" w:after="90" w:line="240" w:lineRule="auto"/>
              <w:rPr>
                <w:rFonts w:ascii="Arial" w:eastAsia="Arial Unicode MS" w:hAnsi="Arial"/>
                <w:sz w:val="16"/>
              </w:rPr>
            </w:pPr>
            <w:r w:rsidRPr="00E07966">
              <w:rPr>
                <w:rFonts w:ascii="Arial" w:eastAsia="Arial Unicode MS" w:hAnsi="Arial"/>
                <w:sz w:val="16"/>
              </w:rPr>
              <w:t>Non-designated workers</w:t>
            </w:r>
          </w:p>
        </w:tc>
        <w:tc>
          <w:tcPr>
            <w:tcW w:w="3685" w:type="dxa"/>
            <w:noWrap/>
            <w:tcMar>
              <w:top w:w="13" w:type="dxa"/>
              <w:left w:w="13" w:type="dxa"/>
              <w:bottom w:w="0" w:type="dxa"/>
              <w:right w:w="13" w:type="dxa"/>
            </w:tcMar>
          </w:tcPr>
          <w:p w:rsidR="00E07966" w:rsidRPr="00E07966" w:rsidRDefault="00E07966" w:rsidP="00E07966">
            <w:pPr>
              <w:spacing w:before="90" w:after="90" w:line="240" w:lineRule="auto"/>
              <w:jc w:val="center"/>
              <w:rPr>
                <w:rFonts w:ascii="Arial" w:eastAsia="Arial Unicode MS" w:hAnsi="Arial"/>
                <w:sz w:val="16"/>
              </w:rPr>
            </w:pPr>
            <w:r w:rsidRPr="00E07966">
              <w:rPr>
                <w:rFonts w:ascii="Arial" w:eastAsia="Arial Unicode MS" w:hAnsi="Arial"/>
                <w:sz w:val="16"/>
              </w:rPr>
              <w:t>2</w:t>
            </w:r>
          </w:p>
        </w:tc>
      </w:tr>
      <w:tr w:rsidR="00E07966" w:rsidRPr="00E07966" w:rsidTr="00E07966">
        <w:tc>
          <w:tcPr>
            <w:tcW w:w="3686" w:type="dxa"/>
            <w:noWrap/>
            <w:tcMar>
              <w:top w:w="13" w:type="dxa"/>
              <w:left w:w="13" w:type="dxa"/>
              <w:bottom w:w="0" w:type="dxa"/>
              <w:right w:w="13" w:type="dxa"/>
            </w:tcMar>
          </w:tcPr>
          <w:p w:rsidR="00E07966" w:rsidRPr="00E07966" w:rsidRDefault="00E07966" w:rsidP="00E07966">
            <w:pPr>
              <w:spacing w:before="90" w:after="90" w:line="240" w:lineRule="auto"/>
              <w:rPr>
                <w:rFonts w:ascii="Arial" w:eastAsia="Arial Unicode MS" w:hAnsi="Arial"/>
                <w:sz w:val="16"/>
              </w:rPr>
            </w:pPr>
            <w:r w:rsidRPr="00E07966">
              <w:rPr>
                <w:rFonts w:ascii="Arial" w:eastAsia="Arial Unicode MS" w:hAnsi="Arial"/>
                <w:sz w:val="16"/>
              </w:rPr>
              <w:t>Workers under the age of 18</w:t>
            </w:r>
          </w:p>
        </w:tc>
        <w:tc>
          <w:tcPr>
            <w:tcW w:w="3685" w:type="dxa"/>
            <w:noWrap/>
            <w:tcMar>
              <w:top w:w="13" w:type="dxa"/>
              <w:left w:w="13" w:type="dxa"/>
              <w:bottom w:w="0" w:type="dxa"/>
              <w:right w:w="13" w:type="dxa"/>
            </w:tcMar>
          </w:tcPr>
          <w:p w:rsidR="00E07966" w:rsidRPr="00E07966" w:rsidRDefault="00E07966" w:rsidP="00E07966">
            <w:pPr>
              <w:spacing w:before="90" w:after="90" w:line="240" w:lineRule="auto"/>
              <w:jc w:val="center"/>
              <w:rPr>
                <w:rFonts w:ascii="Arial" w:eastAsia="Arial Unicode MS" w:hAnsi="Arial"/>
                <w:sz w:val="16"/>
              </w:rPr>
            </w:pPr>
            <w:r w:rsidRPr="00E07966">
              <w:rPr>
                <w:rFonts w:ascii="Arial" w:eastAsia="Arial Unicode MS" w:hAnsi="Arial"/>
                <w:sz w:val="16"/>
              </w:rPr>
              <w:t>2</w:t>
            </w:r>
          </w:p>
        </w:tc>
      </w:tr>
      <w:tr w:rsidR="00E07966" w:rsidRPr="00E07966" w:rsidTr="00E07966">
        <w:tc>
          <w:tcPr>
            <w:tcW w:w="3686" w:type="dxa"/>
            <w:tcBorders>
              <w:bottom w:val="single" w:sz="8" w:space="0" w:color="C0C0C0"/>
            </w:tcBorders>
            <w:noWrap/>
            <w:tcMar>
              <w:top w:w="13" w:type="dxa"/>
              <w:left w:w="13" w:type="dxa"/>
              <w:bottom w:w="0" w:type="dxa"/>
              <w:right w:w="13" w:type="dxa"/>
            </w:tcMar>
          </w:tcPr>
          <w:p w:rsidR="00E07966" w:rsidRPr="00E07966" w:rsidRDefault="00E07966" w:rsidP="00E07966">
            <w:pPr>
              <w:spacing w:before="90" w:after="90" w:line="240" w:lineRule="auto"/>
              <w:rPr>
                <w:rFonts w:ascii="Arial" w:eastAsia="Arial Unicode MS" w:hAnsi="Arial"/>
                <w:sz w:val="16"/>
              </w:rPr>
            </w:pPr>
            <w:r w:rsidRPr="00E07966">
              <w:rPr>
                <w:rFonts w:ascii="Arial" w:eastAsia="Arial Unicode MS" w:hAnsi="Arial"/>
                <w:sz w:val="16"/>
              </w:rPr>
              <w:t>Members of the public</w:t>
            </w:r>
          </w:p>
        </w:tc>
        <w:tc>
          <w:tcPr>
            <w:tcW w:w="3685" w:type="dxa"/>
            <w:tcBorders>
              <w:bottom w:val="single" w:sz="8" w:space="0" w:color="C0C0C0"/>
            </w:tcBorders>
            <w:noWrap/>
            <w:tcMar>
              <w:top w:w="13" w:type="dxa"/>
              <w:left w:w="13" w:type="dxa"/>
              <w:bottom w:w="0" w:type="dxa"/>
              <w:right w:w="13" w:type="dxa"/>
            </w:tcMar>
          </w:tcPr>
          <w:p w:rsidR="00E07966" w:rsidRPr="00E07966" w:rsidRDefault="00E07966" w:rsidP="00E07966">
            <w:pPr>
              <w:spacing w:before="90" w:after="90" w:line="240" w:lineRule="auto"/>
              <w:jc w:val="center"/>
              <w:rPr>
                <w:rFonts w:ascii="Arial" w:eastAsia="Arial Unicode MS" w:hAnsi="Arial"/>
                <w:sz w:val="16"/>
              </w:rPr>
            </w:pPr>
            <w:r w:rsidRPr="00E07966">
              <w:rPr>
                <w:rFonts w:ascii="Arial" w:eastAsia="Arial Unicode MS" w:hAnsi="Arial"/>
                <w:sz w:val="16"/>
              </w:rPr>
              <w:t>0.3</w:t>
            </w:r>
          </w:p>
        </w:tc>
      </w:tr>
    </w:tbl>
    <w:p w:rsidR="00E07966" w:rsidRPr="00E07966" w:rsidRDefault="00E07966" w:rsidP="00E07966">
      <w:pPr>
        <w:pStyle w:val="Heading3"/>
      </w:pPr>
      <w:r w:rsidRPr="00E07966">
        <w:t>3.6.2</w:t>
      </w:r>
      <w:r w:rsidR="00A45892">
        <w:tab/>
      </w:r>
      <w:r w:rsidRPr="00E07966">
        <w:tab/>
        <w:t>On</w:t>
      </w:r>
      <w:r w:rsidR="000A218C">
        <w:t>-</w:t>
      </w:r>
      <w:r w:rsidRPr="00E07966">
        <w:t>site and off</w:t>
      </w:r>
      <w:r w:rsidR="000A218C">
        <w:t>-</w:t>
      </w:r>
      <w:r w:rsidRPr="00E07966">
        <w:t>site radiation exposure at Ranger</w:t>
      </w:r>
    </w:p>
    <w:p w:rsidR="00E07966" w:rsidRPr="00E07966" w:rsidRDefault="00E07966" w:rsidP="00E07966">
      <w:pPr>
        <w:pStyle w:val="Heading4"/>
      </w:pPr>
      <w:r w:rsidRPr="00E07966">
        <w:t>3.6.2.1</w:t>
      </w:r>
      <w:r w:rsidRPr="00E07966">
        <w:tab/>
        <w:t>Radiological exposure of employees</w:t>
      </w:r>
    </w:p>
    <w:p w:rsidR="00E07966" w:rsidRPr="00E07966" w:rsidRDefault="00E07966" w:rsidP="00E07966">
      <w:pPr>
        <w:rPr>
          <w:noProof/>
        </w:rPr>
      </w:pPr>
      <w:r w:rsidRPr="00E07966">
        <w:rPr>
          <w:noProof/>
        </w:rPr>
        <w:t>The three primary pathways of radiation exposure to workers at Ranger are:</w:t>
      </w:r>
    </w:p>
    <w:p w:rsidR="00E07966" w:rsidRPr="00E07966" w:rsidRDefault="00E07966" w:rsidP="00E07966">
      <w:pPr>
        <w:pStyle w:val="bulletlist1"/>
        <w:rPr>
          <w:noProof/>
        </w:rPr>
      </w:pPr>
      <w:r w:rsidRPr="00E07966">
        <w:rPr>
          <w:noProof/>
        </w:rPr>
        <w:t>inhalation of radioactive dust</w:t>
      </w:r>
    </w:p>
    <w:p w:rsidR="00E07966" w:rsidRPr="00E07966" w:rsidRDefault="00E07966" w:rsidP="00E07966">
      <w:pPr>
        <w:pStyle w:val="bulletlist1"/>
        <w:rPr>
          <w:noProof/>
        </w:rPr>
      </w:pPr>
      <w:r w:rsidRPr="00E07966">
        <w:rPr>
          <w:noProof/>
        </w:rPr>
        <w:t>exposure to external gamma radiation</w:t>
      </w:r>
    </w:p>
    <w:p w:rsidR="00E07966" w:rsidRPr="00E07966" w:rsidRDefault="00E07966" w:rsidP="00E07966">
      <w:pPr>
        <w:pStyle w:val="bulletlist1"/>
        <w:rPr>
          <w:noProof/>
        </w:rPr>
      </w:pPr>
      <w:r w:rsidRPr="00E07966">
        <w:rPr>
          <w:noProof/>
        </w:rPr>
        <w:t>inhalation of radon decay products (RDP).</w:t>
      </w:r>
    </w:p>
    <w:p w:rsidR="00E07966" w:rsidRPr="00E07966" w:rsidRDefault="00E07966" w:rsidP="00E07966">
      <w:pPr>
        <w:rPr>
          <w:noProof/>
        </w:rPr>
      </w:pPr>
      <w:r w:rsidRPr="00E07966">
        <w:rPr>
          <w:noProof/>
        </w:rPr>
        <w:t>Table 3.1</w:t>
      </w:r>
      <w:r w:rsidR="00FA5FFA">
        <w:rPr>
          <w:noProof/>
        </w:rPr>
        <w:t>3</w:t>
      </w:r>
      <w:r w:rsidRPr="00E07966">
        <w:rPr>
          <w:noProof/>
        </w:rPr>
        <w:t xml:space="preserve"> shows the annual doses received by designated and non-designated workers in 2013, and a comparison with the average doses from the year before as reported by ERA. The average and maximum radiation doses received by designated workers in the 2013 calendar year were approximately 7% and 33% respectively of the recommended ICRP (2007</w:t>
      </w:r>
      <w:r w:rsidRPr="00E07966">
        <w:rPr>
          <w:noProof/>
          <w:vertAlign w:val="superscript"/>
        </w:rPr>
        <w:footnoteReference w:id="6"/>
      </w:r>
      <w:r w:rsidRPr="00E07966">
        <w:rPr>
          <w:noProof/>
        </w:rPr>
        <w:t xml:space="preserve">) annual dose limits. </w:t>
      </w:r>
      <w:r>
        <w:rPr>
          <w:noProof/>
        </w:rPr>
        <w:br/>
      </w:r>
    </w:p>
    <w:tbl>
      <w:tblPr>
        <w:tblW w:w="7371" w:type="dxa"/>
        <w:tblLayout w:type="fixed"/>
        <w:tblCellMar>
          <w:left w:w="0" w:type="dxa"/>
          <w:right w:w="0" w:type="dxa"/>
        </w:tblCellMar>
        <w:tblLook w:val="0000"/>
      </w:tblPr>
      <w:tblGrid>
        <w:gridCol w:w="1808"/>
        <w:gridCol w:w="1372"/>
        <w:gridCol w:w="1373"/>
        <w:gridCol w:w="1372"/>
        <w:gridCol w:w="1446"/>
      </w:tblGrid>
      <w:tr w:rsidR="00E07966" w:rsidRPr="00E07966" w:rsidTr="00E07966">
        <w:tc>
          <w:tcPr>
            <w:tcW w:w="7371" w:type="dxa"/>
            <w:gridSpan w:val="5"/>
            <w:shd w:val="clear" w:color="auto" w:fill="D9D9D9"/>
            <w:noWrap/>
            <w:tcMar>
              <w:top w:w="0" w:type="dxa"/>
              <w:left w:w="0" w:type="dxa"/>
              <w:bottom w:w="0" w:type="dxa"/>
              <w:right w:w="0" w:type="dxa"/>
            </w:tcMar>
          </w:tcPr>
          <w:p w:rsidR="00E07966" w:rsidRPr="00E07966" w:rsidRDefault="00E07966" w:rsidP="00FA5FFA">
            <w:pPr>
              <w:keepNext/>
              <w:spacing w:before="120" w:after="120" w:line="240" w:lineRule="atLeast"/>
              <w:jc w:val="center"/>
              <w:rPr>
                <w:rFonts w:cs="Arial"/>
                <w:b/>
                <w:caps/>
                <w:sz w:val="18"/>
              </w:rPr>
            </w:pPr>
            <w:bookmarkStart w:id="225" w:name="_Toc146538420"/>
            <w:bookmarkStart w:id="226" w:name="_Toc176756058"/>
            <w:bookmarkStart w:id="227" w:name="_Toc272849722"/>
            <w:r w:rsidRPr="00E07966">
              <w:rPr>
                <w:rFonts w:cs="Arial"/>
                <w:b/>
                <w:caps/>
                <w:spacing w:val="-2"/>
                <w:sz w:val="18"/>
              </w:rPr>
              <w:t>Table 3.1</w:t>
            </w:r>
            <w:r w:rsidR="00FA5FFA">
              <w:rPr>
                <w:rFonts w:cs="Arial"/>
                <w:b/>
                <w:caps/>
                <w:spacing w:val="-2"/>
                <w:sz w:val="18"/>
              </w:rPr>
              <w:t>3</w:t>
            </w:r>
            <w:r w:rsidRPr="00E07966">
              <w:rPr>
                <w:rFonts w:cs="Arial"/>
                <w:b/>
                <w:caps/>
                <w:spacing w:val="-2"/>
                <w:sz w:val="18"/>
              </w:rPr>
              <w:t xml:space="preserve">  Annual radiation doses received by workers at ranger mine</w:t>
            </w:r>
            <w:bookmarkEnd w:id="225"/>
            <w:bookmarkEnd w:id="226"/>
            <w:bookmarkEnd w:id="227"/>
            <w:r w:rsidRPr="00E07966">
              <w:rPr>
                <w:rFonts w:cs="Arial"/>
                <w:b/>
                <w:caps/>
                <w:spacing w:val="-2"/>
                <w:sz w:val="18"/>
              </w:rPr>
              <w:t xml:space="preserve"> </w:t>
            </w:r>
          </w:p>
        </w:tc>
      </w:tr>
      <w:tr w:rsidR="00E07966" w:rsidRPr="00E07966" w:rsidTr="00E07966">
        <w:trPr>
          <w:cantSplit/>
        </w:trPr>
        <w:tc>
          <w:tcPr>
            <w:tcW w:w="1808" w:type="dxa"/>
            <w:noWrap/>
            <w:tcMar>
              <w:top w:w="13" w:type="dxa"/>
              <w:left w:w="13" w:type="dxa"/>
              <w:bottom w:w="0" w:type="dxa"/>
              <w:right w:w="13" w:type="dxa"/>
            </w:tcMar>
          </w:tcPr>
          <w:p w:rsidR="00E07966" w:rsidRPr="00E07966" w:rsidRDefault="00E07966" w:rsidP="00E07966">
            <w:pPr>
              <w:spacing w:before="90" w:after="90" w:line="240" w:lineRule="auto"/>
              <w:jc w:val="center"/>
              <w:rPr>
                <w:rFonts w:ascii="Arial" w:eastAsia="Arial Unicode MS" w:hAnsi="Arial"/>
                <w:b/>
                <w:sz w:val="16"/>
                <w:highlight w:val="yellow"/>
              </w:rPr>
            </w:pPr>
          </w:p>
        </w:tc>
        <w:tc>
          <w:tcPr>
            <w:tcW w:w="2745" w:type="dxa"/>
            <w:gridSpan w:val="2"/>
            <w:tcBorders>
              <w:bottom w:val="single" w:sz="8" w:space="0" w:color="C0C0C0"/>
            </w:tcBorders>
            <w:noWrap/>
            <w:tcMar>
              <w:top w:w="13" w:type="dxa"/>
              <w:left w:w="13" w:type="dxa"/>
              <w:bottom w:w="0" w:type="dxa"/>
              <w:right w:w="13" w:type="dxa"/>
            </w:tcMar>
          </w:tcPr>
          <w:p w:rsidR="00E07966" w:rsidRPr="00E07966" w:rsidRDefault="00E07966" w:rsidP="00E07966">
            <w:pPr>
              <w:spacing w:before="90" w:after="90" w:line="240" w:lineRule="auto"/>
              <w:jc w:val="center"/>
              <w:rPr>
                <w:rFonts w:ascii="Arial" w:eastAsia="Arial Unicode MS" w:hAnsi="Arial"/>
                <w:b/>
                <w:sz w:val="16"/>
              </w:rPr>
            </w:pPr>
            <w:r w:rsidRPr="00E07966">
              <w:rPr>
                <w:rFonts w:ascii="Arial" w:eastAsia="Arial Unicode MS" w:hAnsi="Arial"/>
                <w:b/>
                <w:sz w:val="16"/>
              </w:rPr>
              <w:t>Annual dose in 2012</w:t>
            </w:r>
          </w:p>
        </w:tc>
        <w:tc>
          <w:tcPr>
            <w:tcW w:w="2818" w:type="dxa"/>
            <w:gridSpan w:val="2"/>
            <w:tcBorders>
              <w:bottom w:val="single" w:sz="8" w:space="0" w:color="C0C0C0"/>
            </w:tcBorders>
            <w:noWrap/>
            <w:tcMar>
              <w:top w:w="13" w:type="dxa"/>
              <w:left w:w="13" w:type="dxa"/>
              <w:bottom w:w="0" w:type="dxa"/>
              <w:right w:w="13" w:type="dxa"/>
            </w:tcMar>
          </w:tcPr>
          <w:p w:rsidR="00E07966" w:rsidRPr="00E07966" w:rsidRDefault="00E07966" w:rsidP="00E07966">
            <w:pPr>
              <w:spacing w:before="90" w:after="90" w:line="240" w:lineRule="auto"/>
              <w:jc w:val="center"/>
              <w:rPr>
                <w:rFonts w:ascii="Arial" w:eastAsia="Arial Unicode MS" w:hAnsi="Arial"/>
                <w:b/>
                <w:sz w:val="16"/>
              </w:rPr>
            </w:pPr>
            <w:r w:rsidRPr="00E07966">
              <w:rPr>
                <w:rFonts w:ascii="Arial" w:eastAsia="Arial Unicode MS" w:hAnsi="Arial"/>
                <w:b/>
                <w:sz w:val="16"/>
              </w:rPr>
              <w:t>Annual dose in 2013</w:t>
            </w:r>
          </w:p>
        </w:tc>
      </w:tr>
      <w:tr w:rsidR="00E07966" w:rsidRPr="00E07966" w:rsidTr="00E07966">
        <w:tc>
          <w:tcPr>
            <w:tcW w:w="1808" w:type="dxa"/>
            <w:tcBorders>
              <w:bottom w:val="single" w:sz="8" w:space="0" w:color="C0C0C0"/>
            </w:tcBorders>
            <w:noWrap/>
            <w:tcMar>
              <w:top w:w="13" w:type="dxa"/>
              <w:left w:w="13" w:type="dxa"/>
              <w:bottom w:w="0" w:type="dxa"/>
              <w:right w:w="13" w:type="dxa"/>
            </w:tcMar>
          </w:tcPr>
          <w:p w:rsidR="00E07966" w:rsidRPr="00E07966" w:rsidRDefault="00E07966" w:rsidP="00E07966">
            <w:pPr>
              <w:spacing w:before="90" w:after="90" w:line="240" w:lineRule="auto"/>
              <w:jc w:val="center"/>
              <w:rPr>
                <w:rFonts w:ascii="Arial" w:eastAsia="Arial Unicode MS" w:hAnsi="Arial"/>
                <w:b/>
                <w:sz w:val="16"/>
                <w:highlight w:val="yellow"/>
              </w:rPr>
            </w:pPr>
          </w:p>
        </w:tc>
        <w:tc>
          <w:tcPr>
            <w:tcW w:w="1372" w:type="dxa"/>
            <w:tcBorders>
              <w:top w:val="single" w:sz="8" w:space="0" w:color="C0C0C0"/>
              <w:bottom w:val="single" w:sz="8" w:space="0" w:color="C0C0C0"/>
            </w:tcBorders>
            <w:noWrap/>
            <w:tcMar>
              <w:top w:w="13" w:type="dxa"/>
              <w:left w:w="13" w:type="dxa"/>
              <w:bottom w:w="0" w:type="dxa"/>
              <w:right w:w="13" w:type="dxa"/>
            </w:tcMar>
          </w:tcPr>
          <w:p w:rsidR="00E07966" w:rsidRPr="00E07966" w:rsidRDefault="00E07966" w:rsidP="00E07966">
            <w:pPr>
              <w:spacing w:before="90" w:after="90" w:line="240" w:lineRule="auto"/>
              <w:jc w:val="center"/>
              <w:rPr>
                <w:rFonts w:ascii="Arial" w:eastAsia="Arial Unicode MS" w:hAnsi="Arial"/>
                <w:b/>
                <w:sz w:val="16"/>
              </w:rPr>
            </w:pPr>
            <w:r w:rsidRPr="00E07966">
              <w:rPr>
                <w:rFonts w:ascii="Arial" w:eastAsia="Arial Unicode MS" w:hAnsi="Arial"/>
                <w:b/>
                <w:sz w:val="16"/>
              </w:rPr>
              <w:t>Average mSv</w:t>
            </w:r>
          </w:p>
        </w:tc>
        <w:tc>
          <w:tcPr>
            <w:tcW w:w="1373" w:type="dxa"/>
            <w:tcBorders>
              <w:top w:val="single" w:sz="8" w:space="0" w:color="C0C0C0"/>
              <w:bottom w:val="single" w:sz="8" w:space="0" w:color="C0C0C0"/>
            </w:tcBorders>
            <w:noWrap/>
            <w:tcMar>
              <w:top w:w="13" w:type="dxa"/>
              <w:left w:w="13" w:type="dxa"/>
              <w:bottom w:w="0" w:type="dxa"/>
              <w:right w:w="13" w:type="dxa"/>
            </w:tcMar>
          </w:tcPr>
          <w:p w:rsidR="00E07966" w:rsidRPr="00E07966" w:rsidRDefault="00E07966" w:rsidP="00E07966">
            <w:pPr>
              <w:spacing w:before="90" w:after="90" w:line="240" w:lineRule="auto"/>
              <w:jc w:val="center"/>
              <w:rPr>
                <w:rFonts w:ascii="Arial" w:eastAsia="Arial Unicode MS" w:hAnsi="Arial"/>
                <w:b/>
                <w:sz w:val="16"/>
              </w:rPr>
            </w:pPr>
            <w:r w:rsidRPr="00E07966">
              <w:rPr>
                <w:rFonts w:ascii="Arial" w:eastAsia="Arial Unicode MS" w:hAnsi="Arial"/>
                <w:b/>
                <w:sz w:val="16"/>
              </w:rPr>
              <w:t>Maximum mSv</w:t>
            </w:r>
          </w:p>
        </w:tc>
        <w:tc>
          <w:tcPr>
            <w:tcW w:w="1372" w:type="dxa"/>
            <w:tcBorders>
              <w:top w:val="single" w:sz="8" w:space="0" w:color="C0C0C0"/>
              <w:bottom w:val="single" w:sz="8" w:space="0" w:color="C0C0C0"/>
            </w:tcBorders>
            <w:noWrap/>
            <w:tcMar>
              <w:top w:w="13" w:type="dxa"/>
              <w:left w:w="13" w:type="dxa"/>
              <w:bottom w:w="0" w:type="dxa"/>
              <w:right w:w="13" w:type="dxa"/>
            </w:tcMar>
          </w:tcPr>
          <w:p w:rsidR="00E07966" w:rsidRPr="00E07966" w:rsidRDefault="00E07966" w:rsidP="00E07966">
            <w:pPr>
              <w:spacing w:before="90" w:after="90" w:line="240" w:lineRule="auto"/>
              <w:jc w:val="center"/>
              <w:rPr>
                <w:rFonts w:ascii="Arial" w:eastAsia="Arial Unicode MS" w:hAnsi="Arial"/>
                <w:b/>
                <w:sz w:val="16"/>
              </w:rPr>
            </w:pPr>
            <w:r w:rsidRPr="00E07966">
              <w:rPr>
                <w:rFonts w:ascii="Arial" w:eastAsia="Arial Unicode MS" w:hAnsi="Arial"/>
                <w:b/>
                <w:sz w:val="16"/>
              </w:rPr>
              <w:t>Average mSv</w:t>
            </w:r>
          </w:p>
        </w:tc>
        <w:tc>
          <w:tcPr>
            <w:tcW w:w="1446" w:type="dxa"/>
            <w:tcBorders>
              <w:top w:val="single" w:sz="8" w:space="0" w:color="C0C0C0"/>
              <w:bottom w:val="single" w:sz="8" w:space="0" w:color="C0C0C0"/>
            </w:tcBorders>
            <w:noWrap/>
            <w:tcMar>
              <w:top w:w="13" w:type="dxa"/>
              <w:left w:w="13" w:type="dxa"/>
              <w:bottom w:w="0" w:type="dxa"/>
              <w:right w:w="13" w:type="dxa"/>
            </w:tcMar>
          </w:tcPr>
          <w:p w:rsidR="00E07966" w:rsidRPr="00E07966" w:rsidRDefault="00E07966" w:rsidP="00E07966">
            <w:pPr>
              <w:spacing w:before="90" w:after="90" w:line="240" w:lineRule="auto"/>
              <w:jc w:val="center"/>
              <w:rPr>
                <w:rFonts w:ascii="Arial" w:eastAsia="Arial Unicode MS" w:hAnsi="Arial"/>
                <w:b/>
                <w:sz w:val="16"/>
              </w:rPr>
            </w:pPr>
            <w:r w:rsidRPr="00E07966">
              <w:rPr>
                <w:rFonts w:ascii="Arial" w:eastAsia="Arial Unicode MS" w:hAnsi="Arial"/>
                <w:b/>
                <w:sz w:val="16"/>
              </w:rPr>
              <w:t>Maximum mSv</w:t>
            </w:r>
          </w:p>
        </w:tc>
      </w:tr>
      <w:tr w:rsidR="00E07966" w:rsidRPr="00E07966" w:rsidTr="00E07966">
        <w:tc>
          <w:tcPr>
            <w:tcW w:w="1808" w:type="dxa"/>
            <w:tcBorders>
              <w:top w:val="single" w:sz="8" w:space="0" w:color="C0C0C0"/>
            </w:tcBorders>
            <w:noWrap/>
            <w:tcMar>
              <w:top w:w="13" w:type="dxa"/>
              <w:left w:w="13" w:type="dxa"/>
              <w:bottom w:w="0" w:type="dxa"/>
              <w:right w:w="13" w:type="dxa"/>
            </w:tcMar>
          </w:tcPr>
          <w:p w:rsidR="00E07966" w:rsidRPr="00E07966" w:rsidRDefault="00E07966" w:rsidP="00E07966">
            <w:pPr>
              <w:spacing w:before="90" w:after="90" w:line="240" w:lineRule="auto"/>
              <w:rPr>
                <w:rFonts w:ascii="Arial" w:eastAsia="Arial Unicode MS" w:hAnsi="Arial"/>
                <w:sz w:val="16"/>
              </w:rPr>
            </w:pPr>
            <w:r w:rsidRPr="00E07966">
              <w:rPr>
                <w:rFonts w:ascii="Arial" w:eastAsia="Arial Unicode MS" w:hAnsi="Arial"/>
                <w:sz w:val="16"/>
              </w:rPr>
              <w:t>Non-designated worker</w:t>
            </w:r>
          </w:p>
        </w:tc>
        <w:tc>
          <w:tcPr>
            <w:tcW w:w="1372" w:type="dxa"/>
            <w:tcBorders>
              <w:top w:val="single" w:sz="8" w:space="0" w:color="C0C0C0"/>
            </w:tcBorders>
            <w:noWrap/>
            <w:tcMar>
              <w:top w:w="13" w:type="dxa"/>
              <w:left w:w="13" w:type="dxa"/>
              <w:bottom w:w="0" w:type="dxa"/>
              <w:right w:w="13" w:type="dxa"/>
            </w:tcMar>
          </w:tcPr>
          <w:p w:rsidR="00E07966" w:rsidRPr="00E07966" w:rsidRDefault="00E07966" w:rsidP="00E07966">
            <w:pPr>
              <w:spacing w:before="90" w:after="90" w:line="240" w:lineRule="auto"/>
              <w:jc w:val="center"/>
              <w:rPr>
                <w:rFonts w:ascii="Arial" w:eastAsia="Arial Unicode MS" w:hAnsi="Arial"/>
                <w:sz w:val="16"/>
              </w:rPr>
            </w:pPr>
            <w:r w:rsidRPr="00E07966">
              <w:rPr>
                <w:rFonts w:ascii="Arial" w:eastAsia="Arial Unicode MS" w:hAnsi="Arial"/>
                <w:sz w:val="16"/>
              </w:rPr>
              <w:t>Not calculated</w:t>
            </w:r>
            <w:r w:rsidRPr="00E07966">
              <w:rPr>
                <w:rFonts w:ascii="Arial" w:eastAsia="Arial Unicode MS" w:hAnsi="Arial"/>
                <w:snapToGrid w:val="0"/>
                <w:color w:val="000000"/>
                <w:position w:val="4"/>
                <w:sz w:val="11"/>
                <w:szCs w:val="0"/>
                <w:u w:color="000000"/>
              </w:rPr>
              <w:t>1</w:t>
            </w:r>
          </w:p>
        </w:tc>
        <w:tc>
          <w:tcPr>
            <w:tcW w:w="1373" w:type="dxa"/>
            <w:tcBorders>
              <w:top w:val="single" w:sz="8" w:space="0" w:color="C0C0C0"/>
            </w:tcBorders>
            <w:noWrap/>
            <w:tcMar>
              <w:top w:w="13" w:type="dxa"/>
              <w:left w:w="13" w:type="dxa"/>
              <w:bottom w:w="0" w:type="dxa"/>
              <w:right w:w="13" w:type="dxa"/>
            </w:tcMar>
          </w:tcPr>
          <w:p w:rsidR="00E07966" w:rsidRPr="00E07966" w:rsidRDefault="00E07966" w:rsidP="00E07966">
            <w:pPr>
              <w:spacing w:before="90" w:after="90" w:line="240" w:lineRule="auto"/>
              <w:jc w:val="center"/>
              <w:rPr>
                <w:rFonts w:ascii="Arial" w:eastAsia="Arial Unicode MS" w:hAnsi="Arial"/>
                <w:sz w:val="16"/>
              </w:rPr>
            </w:pPr>
            <w:r w:rsidRPr="00E07966">
              <w:rPr>
                <w:rFonts w:ascii="Arial" w:eastAsia="Arial Unicode MS" w:hAnsi="Arial"/>
                <w:sz w:val="16"/>
              </w:rPr>
              <w:t>1.0</w:t>
            </w:r>
          </w:p>
        </w:tc>
        <w:tc>
          <w:tcPr>
            <w:tcW w:w="1372" w:type="dxa"/>
            <w:tcBorders>
              <w:top w:val="single" w:sz="8" w:space="0" w:color="C0C0C0"/>
            </w:tcBorders>
            <w:shd w:val="clear" w:color="auto" w:fill="auto"/>
            <w:noWrap/>
            <w:tcMar>
              <w:top w:w="13" w:type="dxa"/>
              <w:left w:w="13" w:type="dxa"/>
              <w:bottom w:w="0" w:type="dxa"/>
              <w:right w:w="13" w:type="dxa"/>
            </w:tcMar>
          </w:tcPr>
          <w:p w:rsidR="00E07966" w:rsidRPr="00E07966" w:rsidRDefault="00E07966" w:rsidP="00E07966">
            <w:pPr>
              <w:spacing w:before="90" w:after="90" w:line="240" w:lineRule="auto"/>
              <w:jc w:val="center"/>
              <w:rPr>
                <w:rFonts w:ascii="Arial" w:eastAsia="Arial Unicode MS" w:hAnsi="Arial"/>
                <w:sz w:val="16"/>
              </w:rPr>
            </w:pPr>
            <w:r w:rsidRPr="00E07966">
              <w:rPr>
                <w:rFonts w:ascii="Arial" w:eastAsia="Arial Unicode MS" w:hAnsi="Arial"/>
                <w:sz w:val="16"/>
              </w:rPr>
              <w:t>Not calculated</w:t>
            </w:r>
            <w:r w:rsidRPr="00E07966">
              <w:rPr>
                <w:rFonts w:ascii="Arial" w:eastAsia="Arial Unicode MS" w:hAnsi="Arial"/>
                <w:snapToGrid w:val="0"/>
                <w:color w:val="000000"/>
                <w:position w:val="4"/>
                <w:sz w:val="11"/>
                <w:szCs w:val="0"/>
                <w:u w:color="000000"/>
              </w:rPr>
              <w:t>1</w:t>
            </w:r>
          </w:p>
        </w:tc>
        <w:tc>
          <w:tcPr>
            <w:tcW w:w="1446" w:type="dxa"/>
            <w:tcBorders>
              <w:top w:val="single" w:sz="8" w:space="0" w:color="C0C0C0"/>
            </w:tcBorders>
            <w:shd w:val="clear" w:color="auto" w:fill="auto"/>
            <w:noWrap/>
            <w:tcMar>
              <w:top w:w="13" w:type="dxa"/>
              <w:left w:w="13" w:type="dxa"/>
              <w:bottom w:w="0" w:type="dxa"/>
              <w:right w:w="13" w:type="dxa"/>
            </w:tcMar>
          </w:tcPr>
          <w:p w:rsidR="00E07966" w:rsidRPr="00E07966" w:rsidRDefault="00E07966" w:rsidP="00E07966">
            <w:pPr>
              <w:spacing w:before="90" w:after="90" w:line="240" w:lineRule="auto"/>
              <w:ind w:right="288"/>
              <w:jc w:val="center"/>
              <w:rPr>
                <w:rFonts w:ascii="Arial" w:eastAsia="Arial Unicode MS" w:hAnsi="Arial"/>
                <w:sz w:val="16"/>
              </w:rPr>
            </w:pPr>
            <w:r w:rsidRPr="00E07966">
              <w:rPr>
                <w:rFonts w:ascii="Arial" w:eastAsia="Arial Unicode MS" w:hAnsi="Arial"/>
                <w:sz w:val="16"/>
              </w:rPr>
              <w:t>1.9</w:t>
            </w:r>
          </w:p>
        </w:tc>
      </w:tr>
      <w:tr w:rsidR="00E07966" w:rsidRPr="00E07966" w:rsidTr="00E07966">
        <w:tc>
          <w:tcPr>
            <w:tcW w:w="1808" w:type="dxa"/>
            <w:tcBorders>
              <w:bottom w:val="single" w:sz="8" w:space="0" w:color="C0C0C0"/>
            </w:tcBorders>
            <w:noWrap/>
            <w:tcMar>
              <w:top w:w="13" w:type="dxa"/>
              <w:left w:w="13" w:type="dxa"/>
              <w:bottom w:w="0" w:type="dxa"/>
              <w:right w:w="13" w:type="dxa"/>
            </w:tcMar>
          </w:tcPr>
          <w:p w:rsidR="00E07966" w:rsidRPr="00E07966" w:rsidRDefault="00E07966" w:rsidP="00E07966">
            <w:pPr>
              <w:spacing w:before="90" w:after="90" w:line="240" w:lineRule="auto"/>
              <w:rPr>
                <w:rFonts w:ascii="Arial" w:eastAsia="Arial Unicode MS" w:hAnsi="Arial"/>
                <w:sz w:val="16"/>
              </w:rPr>
            </w:pPr>
            <w:r w:rsidRPr="00E07966">
              <w:rPr>
                <w:rFonts w:ascii="Arial" w:eastAsia="Arial Unicode MS" w:hAnsi="Arial"/>
                <w:sz w:val="16"/>
              </w:rPr>
              <w:t>Designated worker</w:t>
            </w:r>
          </w:p>
        </w:tc>
        <w:tc>
          <w:tcPr>
            <w:tcW w:w="1372" w:type="dxa"/>
            <w:tcBorders>
              <w:bottom w:val="single" w:sz="8" w:space="0" w:color="C0C0C0"/>
            </w:tcBorders>
            <w:noWrap/>
            <w:tcMar>
              <w:top w:w="13" w:type="dxa"/>
              <w:left w:w="13" w:type="dxa"/>
              <w:bottom w:w="0" w:type="dxa"/>
              <w:right w:w="13" w:type="dxa"/>
            </w:tcMar>
          </w:tcPr>
          <w:p w:rsidR="00E07966" w:rsidRPr="00E07966" w:rsidRDefault="00E07966" w:rsidP="00E07966">
            <w:pPr>
              <w:spacing w:before="90" w:after="90" w:line="240" w:lineRule="auto"/>
              <w:jc w:val="center"/>
              <w:rPr>
                <w:rFonts w:ascii="Arial" w:eastAsia="Arial Unicode MS" w:hAnsi="Arial"/>
                <w:sz w:val="16"/>
              </w:rPr>
            </w:pPr>
            <w:r w:rsidRPr="00E07966">
              <w:rPr>
                <w:rFonts w:ascii="Arial" w:eastAsia="Arial Unicode MS" w:hAnsi="Arial"/>
                <w:sz w:val="16"/>
              </w:rPr>
              <w:t>1.2</w:t>
            </w:r>
          </w:p>
        </w:tc>
        <w:tc>
          <w:tcPr>
            <w:tcW w:w="1373" w:type="dxa"/>
            <w:tcBorders>
              <w:bottom w:val="single" w:sz="8" w:space="0" w:color="C0C0C0"/>
            </w:tcBorders>
            <w:noWrap/>
            <w:tcMar>
              <w:top w:w="13" w:type="dxa"/>
              <w:left w:w="13" w:type="dxa"/>
              <w:bottom w:w="0" w:type="dxa"/>
              <w:right w:w="13" w:type="dxa"/>
            </w:tcMar>
          </w:tcPr>
          <w:p w:rsidR="00E07966" w:rsidRPr="00E07966" w:rsidRDefault="00E07966" w:rsidP="00E07966">
            <w:pPr>
              <w:spacing w:before="90" w:after="90" w:line="240" w:lineRule="auto"/>
              <w:jc w:val="center"/>
              <w:rPr>
                <w:rFonts w:ascii="Arial" w:eastAsia="Arial Unicode MS" w:hAnsi="Arial"/>
                <w:sz w:val="16"/>
              </w:rPr>
            </w:pPr>
            <w:r w:rsidRPr="00E07966">
              <w:rPr>
                <w:rFonts w:ascii="Arial" w:eastAsia="Arial Unicode MS" w:hAnsi="Arial"/>
                <w:sz w:val="16"/>
              </w:rPr>
              <w:t>4.5</w:t>
            </w:r>
          </w:p>
        </w:tc>
        <w:tc>
          <w:tcPr>
            <w:tcW w:w="1372" w:type="dxa"/>
            <w:tcBorders>
              <w:bottom w:val="single" w:sz="8" w:space="0" w:color="C0C0C0"/>
            </w:tcBorders>
            <w:shd w:val="clear" w:color="auto" w:fill="auto"/>
            <w:noWrap/>
            <w:tcMar>
              <w:top w:w="13" w:type="dxa"/>
              <w:left w:w="13" w:type="dxa"/>
              <w:bottom w:w="0" w:type="dxa"/>
              <w:right w:w="13" w:type="dxa"/>
            </w:tcMar>
          </w:tcPr>
          <w:p w:rsidR="00E07966" w:rsidRPr="00E07966" w:rsidRDefault="00E07966" w:rsidP="00E07966">
            <w:pPr>
              <w:spacing w:before="90" w:after="90" w:line="240" w:lineRule="auto"/>
              <w:jc w:val="center"/>
              <w:rPr>
                <w:rFonts w:ascii="Arial" w:eastAsia="Arial Unicode MS" w:hAnsi="Arial"/>
                <w:sz w:val="16"/>
              </w:rPr>
            </w:pPr>
            <w:r w:rsidRPr="00E07966">
              <w:rPr>
                <w:rFonts w:ascii="Arial" w:eastAsia="Arial Unicode MS" w:hAnsi="Arial"/>
                <w:sz w:val="16"/>
              </w:rPr>
              <w:t>1.4</w:t>
            </w:r>
          </w:p>
        </w:tc>
        <w:tc>
          <w:tcPr>
            <w:tcW w:w="1446" w:type="dxa"/>
            <w:tcBorders>
              <w:bottom w:val="single" w:sz="8" w:space="0" w:color="C0C0C0"/>
            </w:tcBorders>
            <w:shd w:val="clear" w:color="auto" w:fill="auto"/>
            <w:noWrap/>
            <w:tcMar>
              <w:top w:w="13" w:type="dxa"/>
              <w:left w:w="13" w:type="dxa"/>
              <w:bottom w:w="0" w:type="dxa"/>
              <w:right w:w="13" w:type="dxa"/>
            </w:tcMar>
          </w:tcPr>
          <w:p w:rsidR="00E07966" w:rsidRPr="00E07966" w:rsidRDefault="00E07966" w:rsidP="00E07966">
            <w:pPr>
              <w:spacing w:before="90" w:after="90" w:line="240" w:lineRule="auto"/>
              <w:ind w:right="288"/>
              <w:jc w:val="center"/>
              <w:rPr>
                <w:rFonts w:ascii="Arial" w:eastAsia="Arial Unicode MS" w:hAnsi="Arial"/>
                <w:sz w:val="16"/>
              </w:rPr>
            </w:pPr>
            <w:r w:rsidRPr="00E07966">
              <w:rPr>
                <w:rFonts w:ascii="Arial" w:eastAsia="Arial Unicode MS" w:hAnsi="Arial"/>
                <w:sz w:val="16"/>
              </w:rPr>
              <w:t>6.5</w:t>
            </w:r>
          </w:p>
        </w:tc>
      </w:tr>
    </w:tbl>
    <w:p w:rsidR="00E07966" w:rsidRPr="00E07966" w:rsidRDefault="00E07966" w:rsidP="00E07966">
      <w:pPr>
        <w:tabs>
          <w:tab w:val="left" w:pos="240"/>
        </w:tabs>
        <w:spacing w:before="60" w:after="180" w:line="180" w:lineRule="atLeast"/>
        <w:ind w:left="238" w:hanging="238"/>
        <w:rPr>
          <w:rFonts w:ascii="Arial" w:eastAsia="Arial Unicode MS" w:hAnsi="Arial"/>
          <w:sz w:val="14"/>
        </w:rPr>
      </w:pPr>
      <w:r w:rsidRPr="00E07966">
        <w:rPr>
          <w:rFonts w:ascii="Arial" w:eastAsia="Arial Unicode MS" w:hAnsi="Arial"/>
          <w:sz w:val="14"/>
        </w:rPr>
        <w:t>1</w:t>
      </w:r>
      <w:r w:rsidRPr="00E07966">
        <w:rPr>
          <w:rFonts w:ascii="Arial" w:eastAsia="Arial Unicode MS" w:hAnsi="Arial"/>
          <w:sz w:val="14"/>
        </w:rPr>
        <w:tab/>
        <w:t xml:space="preserve">A hypothetical maximum radiation dose to non-designated employees is calculated using the gamma exposure results of employees of the Emergency Services Group, and dust and radon results measured at the Acid Plant. Consequently, the dose is conservative and would exceed actual doses received by non-designated employees, and are hence considered maximum doses. </w:t>
      </w:r>
    </w:p>
    <w:p w:rsidR="001A7325" w:rsidRPr="00BC3B6F" w:rsidRDefault="00382F56" w:rsidP="001A7325">
      <w:pPr>
        <w:rPr>
          <w:spacing w:val="-2"/>
        </w:rPr>
      </w:pPr>
      <w:r w:rsidRPr="00BC3B6F">
        <w:rPr>
          <w:spacing w:val="-2"/>
        </w:rPr>
        <w:t xml:space="preserve">All work groups received their greatest dose from the external gamma pathway. As a result of higher gamma contribution, the average doses across </w:t>
      </w:r>
      <w:r>
        <w:rPr>
          <w:spacing w:val="-2"/>
        </w:rPr>
        <w:t>Ranger mine</w:t>
      </w:r>
      <w:r w:rsidRPr="00BC3B6F">
        <w:rPr>
          <w:spacing w:val="-2"/>
        </w:rPr>
        <w:t xml:space="preserve"> were</w:t>
      </w:r>
      <w:r>
        <w:rPr>
          <w:spacing w:val="-2"/>
        </w:rPr>
        <w:t xml:space="preserve"> </w:t>
      </w:r>
      <w:r w:rsidRPr="00BC3B6F">
        <w:rPr>
          <w:spacing w:val="-2"/>
        </w:rPr>
        <w:t xml:space="preserve">elevated </w:t>
      </w:r>
      <w:r>
        <w:rPr>
          <w:spacing w:val="-2"/>
        </w:rPr>
        <w:t>in 2013</w:t>
      </w:r>
      <w:r w:rsidRPr="00BC3B6F">
        <w:rPr>
          <w:spacing w:val="-2"/>
        </w:rPr>
        <w:t xml:space="preserve"> but remain very low compared to the limit of 20 mSv per annum.</w:t>
      </w:r>
      <w:r>
        <w:rPr>
          <w:spacing w:val="-2"/>
        </w:rPr>
        <w:t xml:space="preserve"> </w:t>
      </w:r>
      <w:r w:rsidRPr="00BC3B6F">
        <w:rPr>
          <w:spacing w:val="-2"/>
        </w:rPr>
        <w:t>The average dose for the year was 1.4 mSv. This is an increase over 2012 but</w:t>
      </w:r>
      <w:r>
        <w:rPr>
          <w:spacing w:val="-2"/>
        </w:rPr>
        <w:t xml:space="preserve"> </w:t>
      </w:r>
      <w:r w:rsidRPr="00BC3B6F">
        <w:rPr>
          <w:spacing w:val="-2"/>
        </w:rPr>
        <w:t>remains consistent with doses since 2004. Doses prior to 2004 were in the range of</w:t>
      </w:r>
      <w:r>
        <w:rPr>
          <w:spacing w:val="-2"/>
        </w:rPr>
        <w:t xml:space="preserve"> </w:t>
      </w:r>
      <w:r w:rsidRPr="00BC3B6F">
        <w:rPr>
          <w:spacing w:val="-2"/>
        </w:rPr>
        <w:t>1.5 mSv to 5.2 mSv.</w:t>
      </w:r>
      <w:r>
        <w:rPr>
          <w:spacing w:val="-2"/>
        </w:rPr>
        <w:t xml:space="preserve"> </w:t>
      </w:r>
      <w:proofErr w:type="gramStart"/>
      <w:r w:rsidR="001A7325" w:rsidRPr="00DF4DDB">
        <w:rPr>
          <w:spacing w:val="-2"/>
        </w:rPr>
        <w:t>An investigation into the doses indicate</w:t>
      </w:r>
      <w:proofErr w:type="gramEnd"/>
      <w:r w:rsidR="001A7325" w:rsidRPr="00DF4DDB">
        <w:rPr>
          <w:spacing w:val="-2"/>
        </w:rPr>
        <w:t xml:space="preserve"> that a</w:t>
      </w:r>
      <w:r w:rsidR="001A7325">
        <w:rPr>
          <w:spacing w:val="-2"/>
        </w:rPr>
        <w:t xml:space="preserve"> </w:t>
      </w:r>
      <w:r w:rsidR="001A7325" w:rsidRPr="00DF4DDB">
        <w:rPr>
          <w:spacing w:val="-2"/>
        </w:rPr>
        <w:t xml:space="preserve">change in </w:t>
      </w:r>
      <w:r w:rsidR="00464A00">
        <w:rPr>
          <w:spacing w:val="-2"/>
        </w:rPr>
        <w:t xml:space="preserve">the model of </w:t>
      </w:r>
      <w:r w:rsidR="001A7325" w:rsidRPr="00DF4DDB">
        <w:rPr>
          <w:spacing w:val="-2"/>
        </w:rPr>
        <w:t>TLD reader and associated systems was the reason behind this apparent</w:t>
      </w:r>
      <w:r w:rsidR="001A7325">
        <w:rPr>
          <w:spacing w:val="-2"/>
        </w:rPr>
        <w:t xml:space="preserve"> </w:t>
      </w:r>
      <w:r w:rsidR="001A7325" w:rsidRPr="00DF4DDB">
        <w:rPr>
          <w:spacing w:val="-2"/>
        </w:rPr>
        <w:t>increase</w:t>
      </w:r>
      <w:r w:rsidR="001A7325">
        <w:rPr>
          <w:spacing w:val="-2"/>
        </w:rPr>
        <w:t xml:space="preserve"> in gamma contribution.</w:t>
      </w:r>
    </w:p>
    <w:p w:rsidR="001A7325" w:rsidRDefault="001A7325" w:rsidP="001A7325">
      <w:pPr>
        <w:rPr>
          <w:spacing w:val="-2"/>
        </w:rPr>
      </w:pPr>
      <w:r w:rsidRPr="00BC3B6F">
        <w:rPr>
          <w:spacing w:val="-2"/>
        </w:rPr>
        <w:t xml:space="preserve">The maximum dose </w:t>
      </w:r>
      <w:r>
        <w:rPr>
          <w:spacing w:val="-2"/>
        </w:rPr>
        <w:t>in 2013</w:t>
      </w:r>
      <w:r w:rsidRPr="00BC3B6F">
        <w:rPr>
          <w:spacing w:val="-2"/>
        </w:rPr>
        <w:t xml:space="preserve"> was 6.5 mSv and is higher than that observed in 2012.</w:t>
      </w:r>
      <w:r>
        <w:rPr>
          <w:spacing w:val="-2"/>
        </w:rPr>
        <w:t xml:space="preserve"> </w:t>
      </w:r>
      <w:r w:rsidRPr="00BC3B6F">
        <w:rPr>
          <w:spacing w:val="-2"/>
        </w:rPr>
        <w:t>It belonged to a Processing Production Operator</w:t>
      </w:r>
      <w:r>
        <w:rPr>
          <w:spacing w:val="-2"/>
        </w:rPr>
        <w:t>;</w:t>
      </w:r>
      <w:r w:rsidRPr="00BC3B6F">
        <w:rPr>
          <w:spacing w:val="-2"/>
        </w:rPr>
        <w:t xml:space="preserve"> 6.2 mSv was from gamma</w:t>
      </w:r>
      <w:r>
        <w:rPr>
          <w:spacing w:val="-2"/>
        </w:rPr>
        <w:t xml:space="preserve"> </w:t>
      </w:r>
      <w:r w:rsidRPr="00BC3B6F">
        <w:rPr>
          <w:spacing w:val="-2"/>
        </w:rPr>
        <w:t>exposure, 0.17 mSv from RDP exposure and 0.14 mSv from dust exposure.</w:t>
      </w:r>
    </w:p>
    <w:p w:rsidR="00382F56" w:rsidRPr="00382F56" w:rsidRDefault="00382F56" w:rsidP="00692CCC">
      <w:pPr>
        <w:pStyle w:val="Heading4"/>
        <w:rPr>
          <w:lang w:val="en-US"/>
        </w:rPr>
      </w:pPr>
      <w:r w:rsidRPr="00382F56">
        <w:rPr>
          <w:lang w:val="en-US"/>
        </w:rPr>
        <w:t>3.6.2.2</w:t>
      </w:r>
      <w:r w:rsidRPr="00382F56">
        <w:rPr>
          <w:lang w:val="en-US"/>
        </w:rPr>
        <w:tab/>
        <w:t>Radiological exposure of the public</w:t>
      </w:r>
    </w:p>
    <w:p w:rsidR="00382F56" w:rsidRPr="00382F56" w:rsidRDefault="00382F56" w:rsidP="00382F56">
      <w:pPr>
        <w:rPr>
          <w:spacing w:val="-2"/>
        </w:rPr>
      </w:pPr>
      <w:r w:rsidRPr="00382F56">
        <w:rPr>
          <w:spacing w:val="-2"/>
        </w:rPr>
        <w:t>National radiation protection standards require that the annual radiation dose received by a member of the public from practices such as uranium mining and milling must not exceed 1 mSv. This dose is on top of the radiation dose received naturally, which averages approximately 1.5 mSv per year in Australia, but w</w:t>
      </w:r>
      <w:r w:rsidR="00990CD6">
        <w:rPr>
          <w:spacing w:val="-2"/>
        </w:rPr>
        <w:t>hich ranges from 1–</w:t>
      </w:r>
      <w:r w:rsidRPr="00382F56">
        <w:rPr>
          <w:spacing w:val="-2"/>
        </w:rPr>
        <w:t>10 mSv per year, depending on location.</w:t>
      </w:r>
    </w:p>
    <w:p w:rsidR="00382F56" w:rsidRPr="00382F56" w:rsidRDefault="00382F56" w:rsidP="00382F56">
      <w:pPr>
        <w:rPr>
          <w:spacing w:val="-2"/>
        </w:rPr>
      </w:pPr>
      <w:r w:rsidRPr="00382F56">
        <w:rPr>
          <w:spacing w:val="-2"/>
        </w:rPr>
        <w:t xml:space="preserve">Ranger uranium mine is the main potential source of above background radiation dose to members of the public in the ARR. The two main pathways of potential radiation exposure to the public during the operational phase of Ranger mine are inhalation and ingestion. The inhalation pathway results from radionuclides released to the air from the minesite, while the ingestion pathway is caused by the uptake of radionuclides into bush foods from the Magela Creek system downstream of the mine. </w:t>
      </w:r>
    </w:p>
    <w:p w:rsidR="00382F56" w:rsidRPr="00382F56" w:rsidRDefault="00382F56" w:rsidP="00382F56">
      <w:pPr>
        <w:pStyle w:val="Heading5"/>
      </w:pPr>
      <w:r w:rsidRPr="00382F56">
        <w:t>Inhalation pathway</w:t>
      </w:r>
    </w:p>
    <w:p w:rsidR="00382F56" w:rsidRPr="00382F56" w:rsidRDefault="00382F56" w:rsidP="00382F56">
      <w:pPr>
        <w:rPr>
          <w:spacing w:val="-2"/>
        </w:rPr>
      </w:pPr>
      <w:r w:rsidRPr="00382F56">
        <w:rPr>
          <w:spacing w:val="-2"/>
        </w:rPr>
        <w:t>SSD measures concentrations of radon progeny and dust-bound long-lived alpha activity (LLAA) radionuclides in air at Jabiru town and near the Mudginberri community at Four Gates Road radon station. Jabiru town and Mudginberri community are the main areas of permanent habitation in the vicinity of the Ranger mine and Jabiluka.</w:t>
      </w:r>
    </w:p>
    <w:p w:rsidR="00382F56" w:rsidRPr="00382F56" w:rsidRDefault="00382F56" w:rsidP="00382F56">
      <w:pPr>
        <w:rPr>
          <w:spacing w:val="-2"/>
        </w:rPr>
      </w:pPr>
      <w:r w:rsidRPr="00382F56">
        <w:rPr>
          <w:spacing w:val="-2"/>
        </w:rPr>
        <w:t>Figures 3.38 and 3.39 show hourly and quarterly average radon progeny potential alpha energy concentration (PAEC) monitoring data from Jabiru town and near Mudginberri community, respectively, for the 2013 calendar year. Gaps in the data are due to instrument maintenance and data quality issues.</w:t>
      </w:r>
    </w:p>
    <w:p w:rsidR="00BD69E1" w:rsidRPr="00BD69E1" w:rsidRDefault="00BD69E1" w:rsidP="00692CCC">
      <w:pPr>
        <w:spacing w:after="120" w:line="280" w:lineRule="atLeast"/>
        <w:jc w:val="center"/>
        <w:rPr>
          <w:rFonts w:ascii="Garamond" w:hAnsi="Garamond"/>
          <w:sz w:val="24"/>
        </w:rPr>
      </w:pPr>
      <w:r w:rsidRPr="00BD69E1">
        <w:rPr>
          <w:rFonts w:ascii="Garamond" w:hAnsi="Garamond"/>
          <w:noProof/>
          <w:sz w:val="24"/>
          <w:lang w:eastAsia="en-AU"/>
        </w:rPr>
        <w:drawing>
          <wp:inline distT="0" distB="0" distL="0" distR="0">
            <wp:extent cx="4755859" cy="2576946"/>
            <wp:effectExtent l="19050" t="0" r="6641" b="0"/>
            <wp:docPr id="22"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2" cstate="screen"/>
                    <a:srcRect/>
                    <a:stretch>
                      <a:fillRect/>
                    </a:stretch>
                  </pic:blipFill>
                  <pic:spPr bwMode="auto">
                    <a:xfrm>
                      <a:off x="0" y="0"/>
                      <a:ext cx="4763057" cy="2580846"/>
                    </a:xfrm>
                    <a:prstGeom prst="rect">
                      <a:avLst/>
                    </a:prstGeom>
                    <a:noFill/>
                    <a:ln w="9525">
                      <a:noFill/>
                      <a:miter lim="800000"/>
                      <a:headEnd/>
                      <a:tailEnd/>
                    </a:ln>
                  </pic:spPr>
                </pic:pic>
              </a:graphicData>
            </a:graphic>
          </wp:inline>
        </w:drawing>
      </w:r>
    </w:p>
    <w:p w:rsidR="00BD69E1" w:rsidRPr="00BD69E1" w:rsidRDefault="00BD69E1" w:rsidP="00BD69E1">
      <w:pPr>
        <w:pStyle w:val="figurecaption"/>
      </w:pPr>
      <w:r w:rsidRPr="00BD69E1">
        <w:rPr>
          <w:b/>
        </w:rPr>
        <w:t>Figure 3.38</w:t>
      </w:r>
      <w:r w:rsidRPr="00BD69E1">
        <w:t xml:space="preserve">  Hourly (black crosses) and quarterly average (grey columns) radon progeny PAEC in air at Jabiru town in 2013</w:t>
      </w:r>
      <w:r w:rsidR="00990CD6">
        <w:t>.</w:t>
      </w:r>
    </w:p>
    <w:p w:rsidR="00BD69E1" w:rsidRPr="00BD69E1" w:rsidRDefault="00BD69E1" w:rsidP="00692CCC">
      <w:pPr>
        <w:spacing w:after="120" w:line="280" w:lineRule="atLeast"/>
        <w:jc w:val="center"/>
        <w:rPr>
          <w:rFonts w:ascii="Garamond" w:hAnsi="Garamond"/>
          <w:sz w:val="24"/>
        </w:rPr>
      </w:pPr>
      <w:r w:rsidRPr="00BD69E1">
        <w:rPr>
          <w:rFonts w:ascii="Garamond" w:hAnsi="Garamond"/>
          <w:noProof/>
          <w:sz w:val="24"/>
          <w:lang w:eastAsia="en-AU"/>
        </w:rPr>
        <w:drawing>
          <wp:inline distT="0" distB="0" distL="0" distR="0">
            <wp:extent cx="4152900" cy="2250234"/>
            <wp:effectExtent l="19050" t="0" r="0" b="0"/>
            <wp:docPr id="10095"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3" cstate="screen"/>
                    <a:srcRect/>
                    <a:stretch>
                      <a:fillRect/>
                    </a:stretch>
                  </pic:blipFill>
                  <pic:spPr bwMode="auto">
                    <a:xfrm>
                      <a:off x="0" y="0"/>
                      <a:ext cx="4152900" cy="2250234"/>
                    </a:xfrm>
                    <a:prstGeom prst="rect">
                      <a:avLst/>
                    </a:prstGeom>
                    <a:noFill/>
                    <a:ln w="9525">
                      <a:noFill/>
                      <a:miter lim="800000"/>
                      <a:headEnd/>
                      <a:tailEnd/>
                    </a:ln>
                  </pic:spPr>
                </pic:pic>
              </a:graphicData>
            </a:graphic>
          </wp:inline>
        </w:drawing>
      </w:r>
    </w:p>
    <w:p w:rsidR="00BD69E1" w:rsidRPr="00BD69E1" w:rsidRDefault="00BD69E1" w:rsidP="00BD69E1">
      <w:pPr>
        <w:pStyle w:val="figurecaption"/>
      </w:pPr>
      <w:r w:rsidRPr="00BD69E1">
        <w:rPr>
          <w:b/>
        </w:rPr>
        <w:t xml:space="preserve">Figure 3.39 </w:t>
      </w:r>
      <w:r w:rsidRPr="00BD69E1">
        <w:t xml:space="preserve"> Hourly (black crosses) and quarterly average (grey columns) radon progeny PAEC in air at Four Gates Road radon station near Mudginberri community in 2013</w:t>
      </w:r>
      <w:r w:rsidR="00890EFC">
        <w:t>.</w:t>
      </w:r>
    </w:p>
    <w:p w:rsidR="00B25FCC" w:rsidRPr="00382F56" w:rsidRDefault="00B25FCC" w:rsidP="00B25FCC">
      <w:pPr>
        <w:rPr>
          <w:spacing w:val="-2"/>
        </w:rPr>
      </w:pPr>
      <w:r w:rsidRPr="00382F56">
        <w:rPr>
          <w:spacing w:val="-2"/>
        </w:rPr>
        <w:t>The spikiness in the hourly PAEC data reflects the normal diurnal pattern in radon progeny concentrations in surface air. Higher concentrations typically occur in the early morning around sunrise when atmospheric conditions tend to be most stable. Thereafter</w:t>
      </w:r>
      <w:r>
        <w:rPr>
          <w:spacing w:val="-2"/>
        </w:rPr>
        <w:t>,</w:t>
      </w:r>
      <w:r w:rsidRPr="00382F56">
        <w:rPr>
          <w:spacing w:val="-2"/>
        </w:rPr>
        <w:t xml:space="preserve"> the surface air becomes mixed by convection (solar heating) and advection (wind), which disperses the radon progeny into a larger atmospheric volume.</w:t>
      </w:r>
    </w:p>
    <w:p w:rsidR="00B25FCC" w:rsidRPr="00382F56" w:rsidRDefault="00B25FCC" w:rsidP="00B25FCC">
      <w:pPr>
        <w:rPr>
          <w:spacing w:val="-2"/>
        </w:rPr>
      </w:pPr>
      <w:r w:rsidRPr="00382F56">
        <w:rPr>
          <w:spacing w:val="-2"/>
        </w:rPr>
        <w:t>The quarterly average PAEC results show the typical wet-dry seasonal trend, with higher concentrations occurring in the second and third quarter of the year (dry season) and lower concentrations occurring in the first and fourth quarter of the year (wet season). The effect of rainfall is to suppress radon exhalation from the soil surface and thus decrease the radon progeny PAEC in air.</w:t>
      </w:r>
    </w:p>
    <w:p w:rsidR="00382F56" w:rsidRDefault="00382F56" w:rsidP="00382F56">
      <w:r>
        <w:t>Table 3.1</w:t>
      </w:r>
      <w:r w:rsidR="00FA5FFA">
        <w:t>4</w:t>
      </w:r>
      <w:r>
        <w:t xml:space="preserve"> provides a summary of annual average radon progeny PAEC in air and estimated doses to the public, as well as comparison with values reported by ERA for Jabiru town. The total annual effective dose from radon progeny in air, which includes contribution from natural background, has been estimated to be 0.405 mSv at Jabiru town and 0.382 mSv at Mudginberri. </w:t>
      </w:r>
    </w:p>
    <w:tbl>
      <w:tblPr>
        <w:tblW w:w="7513" w:type="dxa"/>
        <w:tblInd w:w="13" w:type="dxa"/>
        <w:tblLayout w:type="fixed"/>
        <w:tblCellMar>
          <w:left w:w="0" w:type="dxa"/>
          <w:right w:w="0" w:type="dxa"/>
        </w:tblCellMar>
        <w:tblLook w:val="0000"/>
      </w:tblPr>
      <w:tblGrid>
        <w:gridCol w:w="2562"/>
        <w:gridCol w:w="2410"/>
        <w:gridCol w:w="2541"/>
      </w:tblGrid>
      <w:tr w:rsidR="00382F56" w:rsidRPr="00382F56" w:rsidTr="00382F56">
        <w:tc>
          <w:tcPr>
            <w:tcW w:w="7513" w:type="dxa"/>
            <w:gridSpan w:val="3"/>
            <w:shd w:val="clear" w:color="auto" w:fill="D9D9D9"/>
            <w:noWrap/>
            <w:tcMar>
              <w:top w:w="13" w:type="dxa"/>
              <w:left w:w="13" w:type="dxa"/>
              <w:bottom w:w="0" w:type="dxa"/>
              <w:right w:w="13" w:type="dxa"/>
            </w:tcMar>
          </w:tcPr>
          <w:p w:rsidR="00382F56" w:rsidRPr="00382F56" w:rsidRDefault="00382F56" w:rsidP="00FA5FFA">
            <w:pPr>
              <w:keepNext/>
              <w:spacing w:before="120" w:after="120" w:line="240" w:lineRule="atLeast"/>
              <w:jc w:val="center"/>
              <w:rPr>
                <w:rFonts w:cs="Arial"/>
                <w:b/>
                <w:caps/>
                <w:sz w:val="18"/>
              </w:rPr>
            </w:pPr>
            <w:bookmarkStart w:id="228" w:name="_Toc383522710"/>
            <w:r w:rsidRPr="00382F56">
              <w:rPr>
                <w:rFonts w:cs="Arial"/>
                <w:b/>
                <w:caps/>
                <w:sz w:val="18"/>
              </w:rPr>
              <w:t>Table 3.1</w:t>
            </w:r>
            <w:r w:rsidR="00FA5FFA">
              <w:rPr>
                <w:rFonts w:cs="Arial"/>
                <w:b/>
                <w:caps/>
                <w:sz w:val="18"/>
              </w:rPr>
              <w:t>4</w:t>
            </w:r>
            <w:r w:rsidRPr="00382F56">
              <w:rPr>
                <w:rFonts w:cs="Arial"/>
                <w:b/>
                <w:caps/>
                <w:sz w:val="18"/>
              </w:rPr>
              <w:t xml:space="preserve">  </w:t>
            </w:r>
            <w:r w:rsidRPr="00382F56">
              <w:rPr>
                <w:rFonts w:cs="Arial"/>
                <w:b/>
                <w:caps/>
                <w:sz w:val="18"/>
                <w:lang w:val="en-US"/>
              </w:rPr>
              <w:t>Radon progeny PAEC in air and estimated doses to the public at Jabiru town and Mudginberri during 2013</w:t>
            </w:r>
            <w:bookmarkEnd w:id="228"/>
            <w:r w:rsidRPr="00382F56">
              <w:rPr>
                <w:rFonts w:cs="Arial"/>
                <w:b/>
                <w:caps/>
                <w:sz w:val="18"/>
                <w:lang w:val="en-US"/>
              </w:rPr>
              <w:t>*</w:t>
            </w:r>
          </w:p>
        </w:tc>
      </w:tr>
      <w:tr w:rsidR="00382F56" w:rsidRPr="00382F56" w:rsidTr="00382F56">
        <w:tc>
          <w:tcPr>
            <w:tcW w:w="2562" w:type="dxa"/>
            <w:tcBorders>
              <w:bottom w:val="single" w:sz="4" w:space="0" w:color="C0C0C0"/>
            </w:tcBorders>
            <w:noWrap/>
            <w:tcMar>
              <w:top w:w="13" w:type="dxa"/>
              <w:left w:w="13" w:type="dxa"/>
              <w:bottom w:w="0" w:type="dxa"/>
              <w:right w:w="13" w:type="dxa"/>
            </w:tcMar>
          </w:tcPr>
          <w:p w:rsidR="00382F56" w:rsidRPr="00382F56" w:rsidRDefault="00382F56" w:rsidP="00382F56">
            <w:pPr>
              <w:spacing w:before="60" w:after="60" w:line="240" w:lineRule="auto"/>
              <w:jc w:val="center"/>
              <w:rPr>
                <w:rFonts w:ascii="Arial" w:eastAsia="Arial Unicode MS" w:hAnsi="Arial"/>
                <w:b/>
                <w:sz w:val="16"/>
              </w:rPr>
            </w:pPr>
          </w:p>
        </w:tc>
        <w:tc>
          <w:tcPr>
            <w:tcW w:w="2410" w:type="dxa"/>
            <w:tcBorders>
              <w:bottom w:val="single" w:sz="4" w:space="0" w:color="C0C0C0"/>
            </w:tcBorders>
          </w:tcPr>
          <w:p w:rsidR="00382F56" w:rsidRPr="00382F56" w:rsidRDefault="00382F56" w:rsidP="00382F56">
            <w:pPr>
              <w:spacing w:before="60" w:after="60" w:line="240" w:lineRule="auto"/>
              <w:jc w:val="center"/>
              <w:rPr>
                <w:rFonts w:ascii="Arial" w:eastAsia="Arial Unicode MS" w:hAnsi="Arial"/>
                <w:b/>
                <w:sz w:val="16"/>
              </w:rPr>
            </w:pPr>
            <w:r w:rsidRPr="00382F56">
              <w:rPr>
                <w:rFonts w:ascii="Arial" w:eastAsia="Arial Unicode MS" w:hAnsi="Arial"/>
                <w:b/>
                <w:sz w:val="16"/>
              </w:rPr>
              <w:t>Jabiru town</w:t>
            </w:r>
          </w:p>
        </w:tc>
        <w:tc>
          <w:tcPr>
            <w:tcW w:w="2541" w:type="dxa"/>
            <w:tcBorders>
              <w:bottom w:val="single" w:sz="4" w:space="0" w:color="C0C0C0"/>
            </w:tcBorders>
            <w:noWrap/>
            <w:tcMar>
              <w:top w:w="13" w:type="dxa"/>
              <w:left w:w="13" w:type="dxa"/>
              <w:bottom w:w="0" w:type="dxa"/>
              <w:right w:w="13" w:type="dxa"/>
            </w:tcMar>
          </w:tcPr>
          <w:p w:rsidR="00382F56" w:rsidRPr="00382F56" w:rsidRDefault="00382F56" w:rsidP="00382F56">
            <w:pPr>
              <w:spacing w:before="60" w:after="60" w:line="240" w:lineRule="auto"/>
              <w:jc w:val="center"/>
              <w:rPr>
                <w:rFonts w:ascii="Arial" w:eastAsia="Arial Unicode MS" w:hAnsi="Arial"/>
                <w:b/>
                <w:sz w:val="16"/>
              </w:rPr>
            </w:pPr>
            <w:r w:rsidRPr="00382F56">
              <w:rPr>
                <w:rFonts w:ascii="Arial" w:eastAsia="Arial Unicode MS" w:hAnsi="Arial"/>
                <w:b/>
                <w:sz w:val="16"/>
              </w:rPr>
              <w:t>Mudginberri</w:t>
            </w:r>
          </w:p>
        </w:tc>
      </w:tr>
      <w:tr w:rsidR="00382F56" w:rsidRPr="00382F56" w:rsidTr="00382F56">
        <w:tc>
          <w:tcPr>
            <w:tcW w:w="2562" w:type="dxa"/>
            <w:tcBorders>
              <w:top w:val="single" w:sz="4" w:space="0" w:color="C0C0C0"/>
            </w:tcBorders>
            <w:noWrap/>
            <w:tcMar>
              <w:top w:w="13" w:type="dxa"/>
              <w:left w:w="13" w:type="dxa"/>
              <w:bottom w:w="0" w:type="dxa"/>
              <w:right w:w="13" w:type="dxa"/>
            </w:tcMar>
          </w:tcPr>
          <w:p w:rsidR="00382F56" w:rsidRPr="00382F56" w:rsidRDefault="00382F56" w:rsidP="00160591">
            <w:pPr>
              <w:spacing w:before="60" w:after="60" w:line="220" w:lineRule="atLeast"/>
              <w:rPr>
                <w:rFonts w:ascii="Arial" w:eastAsia="Arial Unicode MS" w:hAnsi="Arial"/>
                <w:sz w:val="16"/>
                <w:szCs w:val="16"/>
              </w:rPr>
            </w:pPr>
            <w:r w:rsidRPr="00382F56">
              <w:rPr>
                <w:rFonts w:ascii="Arial" w:eastAsia="Arial Unicode MS" w:hAnsi="Arial"/>
                <w:sz w:val="16"/>
                <w:szCs w:val="16"/>
              </w:rPr>
              <w:t>Annual average PAEC [</w:t>
            </w:r>
            <w:r w:rsidRPr="00382F56">
              <w:rPr>
                <w:rFonts w:ascii="Arial" w:eastAsia="Arial Unicode MS" w:hAnsi="Arial" w:cs="Arial"/>
                <w:sz w:val="16"/>
                <w:szCs w:val="16"/>
              </w:rPr>
              <w:t>µ</w:t>
            </w:r>
            <w:r w:rsidRPr="00382F56">
              <w:rPr>
                <w:rFonts w:ascii="Arial" w:eastAsia="Arial Unicode MS" w:hAnsi="Arial"/>
                <w:sz w:val="16"/>
                <w:szCs w:val="16"/>
              </w:rPr>
              <w:t>J</w:t>
            </w:r>
            <w:r w:rsidR="00160591">
              <w:rPr>
                <w:rFonts w:ascii="Arial" w:eastAsia="Arial Unicode MS" w:hAnsi="Arial"/>
                <w:sz w:val="16"/>
                <w:szCs w:val="16"/>
              </w:rPr>
              <w:t xml:space="preserve"> </w:t>
            </w:r>
            <w:r w:rsidRPr="00382F56">
              <w:rPr>
                <w:rFonts w:ascii="Arial" w:eastAsia="Arial Unicode MS" w:hAnsi="Arial"/>
                <w:sz w:val="16"/>
                <w:szCs w:val="16"/>
              </w:rPr>
              <w:t>m</w:t>
            </w:r>
            <w:r w:rsidR="00160591" w:rsidRPr="00160591">
              <w:rPr>
                <w:rFonts w:ascii="Arial" w:eastAsia="Arial Unicode MS" w:hAnsi="Arial"/>
                <w:snapToGrid w:val="0"/>
                <w:color w:val="000000"/>
                <w:position w:val="4"/>
                <w:sz w:val="11"/>
                <w:szCs w:val="0"/>
                <w:u w:color="000000"/>
              </w:rPr>
              <w:t>-</w:t>
            </w:r>
            <w:r w:rsidRPr="00382F56">
              <w:rPr>
                <w:rFonts w:ascii="Arial" w:eastAsia="Arial Unicode MS" w:hAnsi="Arial"/>
                <w:snapToGrid w:val="0"/>
                <w:color w:val="000000"/>
                <w:position w:val="4"/>
                <w:sz w:val="11"/>
                <w:szCs w:val="0"/>
                <w:u w:color="000000"/>
              </w:rPr>
              <w:t>3</w:t>
            </w:r>
            <w:r w:rsidRPr="00382F56">
              <w:rPr>
                <w:rFonts w:ascii="Arial" w:eastAsia="Arial Unicode MS" w:hAnsi="Arial"/>
                <w:sz w:val="16"/>
                <w:szCs w:val="16"/>
              </w:rPr>
              <w:t>]</w:t>
            </w:r>
          </w:p>
        </w:tc>
        <w:tc>
          <w:tcPr>
            <w:tcW w:w="2410" w:type="dxa"/>
            <w:tcBorders>
              <w:top w:val="single" w:sz="4" w:space="0" w:color="C0C0C0"/>
            </w:tcBorders>
          </w:tcPr>
          <w:p w:rsidR="00382F56" w:rsidRPr="00382F56" w:rsidRDefault="00382F56" w:rsidP="00382F56">
            <w:pPr>
              <w:spacing w:before="60" w:after="60" w:line="220" w:lineRule="atLeast"/>
              <w:jc w:val="center"/>
              <w:rPr>
                <w:rFonts w:ascii="Arial" w:eastAsia="Arial Unicode MS" w:hAnsi="Arial"/>
                <w:sz w:val="16"/>
                <w:szCs w:val="16"/>
              </w:rPr>
            </w:pPr>
            <w:r w:rsidRPr="00382F56">
              <w:rPr>
                <w:rFonts w:ascii="Arial" w:eastAsia="Arial Unicode MS" w:hAnsi="Arial"/>
                <w:sz w:val="16"/>
              </w:rPr>
              <w:t>0.042 (0.045)</w:t>
            </w:r>
          </w:p>
        </w:tc>
        <w:tc>
          <w:tcPr>
            <w:tcW w:w="2541" w:type="dxa"/>
            <w:tcBorders>
              <w:top w:val="single" w:sz="4" w:space="0" w:color="C0C0C0"/>
            </w:tcBorders>
            <w:noWrap/>
            <w:tcMar>
              <w:top w:w="13" w:type="dxa"/>
              <w:left w:w="13" w:type="dxa"/>
              <w:bottom w:w="0" w:type="dxa"/>
              <w:right w:w="13" w:type="dxa"/>
            </w:tcMar>
          </w:tcPr>
          <w:p w:rsidR="00382F56" w:rsidRPr="00382F56" w:rsidRDefault="00382F56" w:rsidP="00382F56">
            <w:pPr>
              <w:spacing w:before="60" w:after="60" w:line="220" w:lineRule="atLeast"/>
              <w:jc w:val="center"/>
              <w:rPr>
                <w:rFonts w:ascii="Arial" w:eastAsia="Arial Unicode MS" w:hAnsi="Arial"/>
                <w:sz w:val="16"/>
                <w:szCs w:val="16"/>
              </w:rPr>
            </w:pPr>
            <w:r w:rsidRPr="00382F56">
              <w:rPr>
                <w:rFonts w:ascii="Arial" w:eastAsia="Arial Unicode MS" w:hAnsi="Arial"/>
                <w:sz w:val="16"/>
              </w:rPr>
              <w:t>0.040</w:t>
            </w:r>
          </w:p>
        </w:tc>
      </w:tr>
      <w:tr w:rsidR="00382F56" w:rsidRPr="00382F56" w:rsidTr="00382F56">
        <w:trPr>
          <w:trHeight w:val="329"/>
        </w:trPr>
        <w:tc>
          <w:tcPr>
            <w:tcW w:w="2562" w:type="dxa"/>
            <w:noWrap/>
            <w:tcMar>
              <w:top w:w="13" w:type="dxa"/>
              <w:left w:w="13" w:type="dxa"/>
              <w:bottom w:w="0" w:type="dxa"/>
              <w:right w:w="13" w:type="dxa"/>
            </w:tcMar>
          </w:tcPr>
          <w:p w:rsidR="00382F56" w:rsidRPr="00382F56" w:rsidRDefault="00382F56" w:rsidP="00382F56">
            <w:pPr>
              <w:spacing w:before="60" w:after="60" w:line="220" w:lineRule="atLeast"/>
              <w:rPr>
                <w:rFonts w:ascii="Arial" w:eastAsia="Arial Unicode MS" w:hAnsi="Arial"/>
                <w:sz w:val="16"/>
              </w:rPr>
            </w:pPr>
            <w:r w:rsidRPr="00382F56">
              <w:rPr>
                <w:rFonts w:ascii="Arial" w:eastAsia="Arial Unicode MS" w:hAnsi="Arial"/>
                <w:sz w:val="16"/>
              </w:rPr>
              <w:t xml:space="preserve">Total annual dose [mSv] </w:t>
            </w:r>
          </w:p>
        </w:tc>
        <w:tc>
          <w:tcPr>
            <w:tcW w:w="2410" w:type="dxa"/>
          </w:tcPr>
          <w:p w:rsidR="00382F56" w:rsidRPr="00382F56" w:rsidRDefault="00382F56" w:rsidP="00382F56">
            <w:pPr>
              <w:spacing w:before="60" w:after="60" w:line="220" w:lineRule="atLeast"/>
              <w:jc w:val="center"/>
              <w:rPr>
                <w:rFonts w:ascii="Arial" w:eastAsia="Arial Unicode MS" w:hAnsi="Arial"/>
                <w:sz w:val="16"/>
                <w:szCs w:val="16"/>
              </w:rPr>
            </w:pPr>
            <w:r w:rsidRPr="00382F56">
              <w:rPr>
                <w:rFonts w:ascii="Arial" w:eastAsia="Arial Unicode MS" w:hAnsi="Arial"/>
                <w:sz w:val="16"/>
              </w:rPr>
              <w:t>0.405 (0.530)</w:t>
            </w:r>
          </w:p>
        </w:tc>
        <w:tc>
          <w:tcPr>
            <w:tcW w:w="2541" w:type="dxa"/>
            <w:noWrap/>
            <w:tcMar>
              <w:top w:w="13" w:type="dxa"/>
              <w:left w:w="13" w:type="dxa"/>
              <w:bottom w:w="0" w:type="dxa"/>
              <w:right w:w="13" w:type="dxa"/>
            </w:tcMar>
          </w:tcPr>
          <w:p w:rsidR="00382F56" w:rsidRPr="00382F56" w:rsidRDefault="00382F56" w:rsidP="00382F56">
            <w:pPr>
              <w:spacing w:before="60" w:after="60" w:line="220" w:lineRule="atLeast"/>
              <w:jc w:val="center"/>
              <w:rPr>
                <w:rFonts w:ascii="Arial" w:eastAsia="Arial Unicode MS" w:hAnsi="Arial"/>
                <w:sz w:val="16"/>
                <w:szCs w:val="16"/>
              </w:rPr>
            </w:pPr>
            <w:r w:rsidRPr="00382F56">
              <w:rPr>
                <w:rFonts w:ascii="Arial" w:eastAsia="Arial Unicode MS" w:hAnsi="Arial"/>
                <w:sz w:val="16"/>
              </w:rPr>
              <w:t>0.382</w:t>
            </w:r>
          </w:p>
        </w:tc>
      </w:tr>
      <w:tr w:rsidR="00382F56" w:rsidRPr="00382F56" w:rsidTr="00382F56">
        <w:trPr>
          <w:trHeight w:val="329"/>
        </w:trPr>
        <w:tc>
          <w:tcPr>
            <w:tcW w:w="2562" w:type="dxa"/>
            <w:tcBorders>
              <w:bottom w:val="single" w:sz="4" w:space="0" w:color="C0C0C0"/>
            </w:tcBorders>
            <w:noWrap/>
            <w:tcMar>
              <w:top w:w="13" w:type="dxa"/>
              <w:left w:w="13" w:type="dxa"/>
              <w:bottom w:w="0" w:type="dxa"/>
              <w:right w:w="13" w:type="dxa"/>
            </w:tcMar>
          </w:tcPr>
          <w:p w:rsidR="00382F56" w:rsidRPr="00382F56" w:rsidRDefault="00382F56" w:rsidP="00382F56">
            <w:pPr>
              <w:spacing w:before="60" w:after="60" w:line="220" w:lineRule="atLeast"/>
              <w:rPr>
                <w:rFonts w:ascii="Arial" w:eastAsia="Arial Unicode MS" w:hAnsi="Arial"/>
                <w:sz w:val="16"/>
              </w:rPr>
            </w:pPr>
            <w:r w:rsidRPr="00382F56">
              <w:rPr>
                <w:rFonts w:ascii="Arial" w:eastAsia="Arial Unicode MS" w:hAnsi="Arial"/>
                <w:sz w:val="16"/>
              </w:rPr>
              <w:t>Mine-derived dose** [mSv]</w:t>
            </w:r>
          </w:p>
        </w:tc>
        <w:tc>
          <w:tcPr>
            <w:tcW w:w="2410" w:type="dxa"/>
            <w:tcBorders>
              <w:bottom w:val="single" w:sz="4" w:space="0" w:color="C0C0C0"/>
            </w:tcBorders>
          </w:tcPr>
          <w:p w:rsidR="00382F56" w:rsidRPr="00382F56" w:rsidRDefault="00382F56" w:rsidP="00382F56">
            <w:pPr>
              <w:spacing w:before="60" w:after="60" w:line="220" w:lineRule="atLeast"/>
              <w:jc w:val="center"/>
              <w:rPr>
                <w:rFonts w:ascii="Arial" w:eastAsia="Arial Unicode MS" w:hAnsi="Arial"/>
                <w:sz w:val="16"/>
                <w:szCs w:val="16"/>
              </w:rPr>
            </w:pPr>
            <w:r w:rsidRPr="00382F56">
              <w:rPr>
                <w:rFonts w:ascii="Arial" w:eastAsia="Arial Unicode MS" w:hAnsi="Arial"/>
                <w:sz w:val="16"/>
              </w:rPr>
              <w:t>0.055 (0.031)</w:t>
            </w:r>
          </w:p>
        </w:tc>
        <w:tc>
          <w:tcPr>
            <w:tcW w:w="2541" w:type="dxa"/>
            <w:tcBorders>
              <w:bottom w:val="single" w:sz="4" w:space="0" w:color="C0C0C0"/>
            </w:tcBorders>
            <w:noWrap/>
            <w:tcMar>
              <w:top w:w="13" w:type="dxa"/>
              <w:left w:w="13" w:type="dxa"/>
              <w:bottom w:w="0" w:type="dxa"/>
              <w:right w:w="13" w:type="dxa"/>
            </w:tcMar>
          </w:tcPr>
          <w:p w:rsidR="00382F56" w:rsidRPr="00382F56" w:rsidRDefault="00382F56" w:rsidP="00382F56">
            <w:pPr>
              <w:spacing w:before="60" w:after="60" w:line="220" w:lineRule="atLeast"/>
              <w:jc w:val="center"/>
              <w:rPr>
                <w:rFonts w:ascii="Arial" w:eastAsia="Arial Unicode MS" w:hAnsi="Arial"/>
                <w:sz w:val="16"/>
                <w:szCs w:val="16"/>
              </w:rPr>
            </w:pPr>
            <w:r w:rsidRPr="00382F56">
              <w:rPr>
                <w:rFonts w:ascii="Arial" w:eastAsia="Arial Unicode MS" w:hAnsi="Arial"/>
                <w:sz w:val="16"/>
              </w:rPr>
              <w:t>0.002</w:t>
            </w:r>
          </w:p>
        </w:tc>
      </w:tr>
    </w:tbl>
    <w:p w:rsidR="00382F56" w:rsidRPr="00382F56" w:rsidRDefault="00382F56" w:rsidP="00382F56">
      <w:pPr>
        <w:tabs>
          <w:tab w:val="left" w:pos="240"/>
        </w:tabs>
        <w:spacing w:before="60" w:after="180" w:line="180" w:lineRule="atLeast"/>
        <w:ind w:left="238" w:hanging="238"/>
        <w:rPr>
          <w:rFonts w:ascii="Arial" w:eastAsia="Arial Unicode MS" w:hAnsi="Arial"/>
          <w:sz w:val="14"/>
          <w:lang w:val="en-US"/>
        </w:rPr>
      </w:pPr>
      <w:r w:rsidRPr="00382F56">
        <w:rPr>
          <w:rFonts w:ascii="Arial" w:eastAsia="Arial Unicode MS" w:hAnsi="Arial"/>
          <w:sz w:val="14"/>
          <w:lang w:val="en-US"/>
        </w:rPr>
        <w:t>*</w:t>
      </w:r>
      <w:r w:rsidRPr="00382F56">
        <w:rPr>
          <w:rFonts w:ascii="Arial" w:eastAsia="Arial Unicode MS" w:hAnsi="Arial"/>
          <w:sz w:val="14"/>
          <w:lang w:val="en-US"/>
        </w:rPr>
        <w:tab/>
        <w:t>Values in brackets refer to data from the ERA Radiation Protection and Atmospheric Monitoring Program Report for the Year Ending 31 December 2013.</w:t>
      </w:r>
    </w:p>
    <w:p w:rsidR="00382F56" w:rsidRPr="00382F56" w:rsidRDefault="00382F56" w:rsidP="00382F56">
      <w:pPr>
        <w:tabs>
          <w:tab w:val="left" w:pos="240"/>
        </w:tabs>
        <w:spacing w:before="60" w:after="180" w:line="180" w:lineRule="atLeast"/>
        <w:ind w:left="238" w:hanging="238"/>
        <w:rPr>
          <w:rFonts w:ascii="Arial" w:eastAsia="Arial Unicode MS" w:hAnsi="Arial"/>
          <w:sz w:val="14"/>
          <w:lang w:val="en-US"/>
        </w:rPr>
      </w:pPr>
      <w:r w:rsidRPr="00382F56">
        <w:rPr>
          <w:rFonts w:ascii="Arial" w:eastAsia="Arial Unicode MS" w:hAnsi="Arial"/>
          <w:sz w:val="14"/>
          <w:lang w:val="en-US"/>
        </w:rPr>
        <w:t>**</w:t>
      </w:r>
      <w:r w:rsidRPr="00382F56">
        <w:rPr>
          <w:rFonts w:ascii="Arial" w:eastAsia="Arial Unicode MS" w:hAnsi="Arial"/>
          <w:sz w:val="14"/>
          <w:lang w:val="en-US"/>
        </w:rPr>
        <w:tab/>
        <w:t xml:space="preserve">The radon progeny PAEC difference used in the SSD mine-derived dose calculation was </w:t>
      </w:r>
      <w:proofErr w:type="gramStart"/>
      <w:r w:rsidRPr="00382F56">
        <w:rPr>
          <w:rFonts w:ascii="Arial" w:eastAsia="Arial Unicode MS" w:hAnsi="Arial"/>
          <w:sz w:val="14"/>
          <w:lang w:val="en-US"/>
        </w:rPr>
        <w:t xml:space="preserve">0.024 </w:t>
      </w:r>
      <w:r w:rsidRPr="00382F56">
        <w:rPr>
          <w:rFonts w:ascii="Arial" w:eastAsia="Arial Unicode MS" w:hAnsi="Arial" w:cs="Arial"/>
          <w:sz w:val="14"/>
          <w:lang w:val="en-US"/>
        </w:rPr>
        <w:t>µ</w:t>
      </w:r>
      <w:r w:rsidRPr="00382F56">
        <w:rPr>
          <w:rFonts w:ascii="Arial" w:eastAsia="Arial Unicode MS" w:hAnsi="Arial"/>
          <w:sz w:val="14"/>
          <w:lang w:val="en-US"/>
        </w:rPr>
        <w:t>J/m</w:t>
      </w:r>
      <w:r w:rsidRPr="00382F56">
        <w:rPr>
          <w:rFonts w:ascii="Arial" w:eastAsia="Arial Unicode MS" w:hAnsi="Arial"/>
          <w:snapToGrid w:val="0"/>
          <w:color w:val="000000"/>
          <w:position w:val="3"/>
          <w:sz w:val="9"/>
          <w:szCs w:val="0"/>
          <w:u w:color="000000"/>
          <w:lang w:val="en-US"/>
        </w:rPr>
        <w:t>3</w:t>
      </w:r>
      <w:r w:rsidRPr="00382F56">
        <w:rPr>
          <w:rFonts w:ascii="Arial" w:eastAsia="Arial Unicode MS" w:hAnsi="Arial"/>
          <w:sz w:val="14"/>
          <w:lang w:val="en-US"/>
        </w:rPr>
        <w:t xml:space="preserve"> for Jabiru town</w:t>
      </w:r>
      <w:proofErr w:type="gramEnd"/>
      <w:r w:rsidRPr="00382F56">
        <w:rPr>
          <w:rFonts w:ascii="Arial" w:eastAsia="Arial Unicode MS" w:hAnsi="Arial"/>
          <w:sz w:val="14"/>
          <w:lang w:val="en-US"/>
        </w:rPr>
        <w:t xml:space="preserve"> and 0.009 </w:t>
      </w:r>
      <w:r w:rsidRPr="00382F56">
        <w:rPr>
          <w:rFonts w:ascii="Arial" w:eastAsia="Arial Unicode MS" w:hAnsi="Arial" w:cs="Arial"/>
          <w:sz w:val="14"/>
          <w:lang w:val="en-US"/>
        </w:rPr>
        <w:t>µ</w:t>
      </w:r>
      <w:r w:rsidRPr="00382F56">
        <w:rPr>
          <w:rFonts w:ascii="Arial" w:eastAsia="Arial Unicode MS" w:hAnsi="Arial"/>
          <w:sz w:val="14"/>
          <w:lang w:val="en-US"/>
        </w:rPr>
        <w:t>J</w:t>
      </w:r>
      <w:r w:rsidR="00160591">
        <w:rPr>
          <w:rFonts w:ascii="Arial" w:eastAsia="Arial Unicode MS" w:hAnsi="Arial"/>
          <w:sz w:val="14"/>
          <w:lang w:val="en-US"/>
        </w:rPr>
        <w:t xml:space="preserve"> </w:t>
      </w:r>
      <w:r w:rsidRPr="00382F56">
        <w:rPr>
          <w:rFonts w:ascii="Arial" w:eastAsia="Arial Unicode MS" w:hAnsi="Arial"/>
          <w:sz w:val="14"/>
          <w:lang w:val="en-US"/>
        </w:rPr>
        <w:t>m</w:t>
      </w:r>
      <w:r w:rsidR="00160591" w:rsidRPr="00160591">
        <w:rPr>
          <w:rFonts w:ascii="Arial" w:eastAsia="Arial Unicode MS" w:hAnsi="Arial"/>
          <w:snapToGrid w:val="0"/>
          <w:color w:val="000000"/>
          <w:position w:val="3"/>
          <w:sz w:val="9"/>
          <w:szCs w:val="0"/>
          <w:u w:color="000000"/>
          <w:lang w:val="en-US"/>
        </w:rPr>
        <w:t>-</w:t>
      </w:r>
      <w:r w:rsidRPr="00382F56">
        <w:rPr>
          <w:rFonts w:ascii="Arial" w:eastAsia="Arial Unicode MS" w:hAnsi="Arial"/>
          <w:snapToGrid w:val="0"/>
          <w:color w:val="000000"/>
          <w:position w:val="3"/>
          <w:sz w:val="9"/>
          <w:szCs w:val="0"/>
          <w:u w:color="000000"/>
          <w:lang w:val="en-US"/>
        </w:rPr>
        <w:t>3</w:t>
      </w:r>
      <w:r w:rsidRPr="00382F56">
        <w:rPr>
          <w:rFonts w:ascii="Arial" w:eastAsia="Arial Unicode MS" w:hAnsi="Arial"/>
          <w:sz w:val="14"/>
          <w:lang w:val="en-US"/>
        </w:rPr>
        <w:t xml:space="preserve"> for Mudginberri.</w:t>
      </w:r>
    </w:p>
    <w:p w:rsidR="00B25FCC" w:rsidRDefault="00B25FCC" w:rsidP="00382F56">
      <w:r>
        <w:t>This total annual dose has been estimated from the product of the annual average radon progeny PAEC in air, the radon progeny dose conversion factor of 0.0011 mSv per µJ∙h m</w:t>
      </w:r>
      <w:r w:rsidRPr="00160591">
        <w:rPr>
          <w:snapToGrid w:val="0"/>
          <w:color w:val="000000"/>
          <w:position w:val="5"/>
          <w:sz w:val="13"/>
          <w:szCs w:val="0"/>
          <w:u w:color="000000"/>
        </w:rPr>
        <w:t>-</w:t>
      </w:r>
      <w:r w:rsidRPr="000B4B9C">
        <w:rPr>
          <w:snapToGrid w:val="0"/>
          <w:color w:val="000000"/>
          <w:position w:val="5"/>
          <w:sz w:val="13"/>
          <w:szCs w:val="0"/>
          <w:u w:color="000000"/>
        </w:rPr>
        <w:t>3</w:t>
      </w:r>
      <w:r>
        <w:t xml:space="preserve"> recommended by the ICRP and the assumed full year occupancy of 8 760 hours.</w:t>
      </w:r>
    </w:p>
    <w:p w:rsidR="00382F56" w:rsidRDefault="00382F56" w:rsidP="00382F56">
      <w:r>
        <w:t>The mine-derived annual dose from radon progeny in air has been estimated to be 0.055 mSv at Jabiru town and 0.002 mSv at Mudginberri. This dose is dependent on wind direction and has been estimated from the difference in average radon progeny PAEC in air when the wind was from the direction of the mine and when the wind was from directions other than the mine. Hourly wind direction data for 2013 were obtained from the Bureau of Meteorology</w:t>
      </w:r>
      <w:r w:rsidR="00AF0B08">
        <w:t xml:space="preserve"> (BoM)</w:t>
      </w:r>
      <w:r>
        <w:t xml:space="preserve"> weather station at Jabiru Airport. Analysis of these data suggests that the wind was from the direction of the mine for 2 029 hours during the year at Jabiru town (90–110 degree sector) and 210 hours during the year at Mudginberri (140–160 degree sector).</w:t>
      </w:r>
    </w:p>
    <w:p w:rsidR="00382F56" w:rsidRDefault="00382F56" w:rsidP="00382F56">
      <w:r>
        <w:t>Differences between the SSD and ERA radon progeny PAEC results and public dose estimates for Jabiru town are most likely due to differences in monitoring regime. Whereas SSD aims to monitor continuous hourly radon progeny PAEC in air over the full year, the ERA regime is based on a minimum requirement of one week per month continuous monitoring.</w:t>
      </w:r>
    </w:p>
    <w:p w:rsidR="00382F56" w:rsidRDefault="00382F56" w:rsidP="00382F56">
      <w:r w:rsidRPr="00CB3EED">
        <w:t xml:space="preserve">Figures </w:t>
      </w:r>
      <w:r>
        <w:t>3.40</w:t>
      </w:r>
      <w:r w:rsidRPr="00CB3EED">
        <w:t xml:space="preserve"> and </w:t>
      </w:r>
      <w:r>
        <w:t>3.41 show measured and quarterly average concentrations of dust-bound LLAA radionuclides in air at Jabiru town and near Mudginberri community, respectively, for 2013. Gaps in the data are due to instrument maintenance and data quality issues.</w:t>
      </w:r>
    </w:p>
    <w:p w:rsidR="000C5426" w:rsidRDefault="000C5426" w:rsidP="00382F56"/>
    <w:p w:rsidR="00BD69E1" w:rsidRPr="00BD69E1" w:rsidRDefault="00BD69E1" w:rsidP="00692CCC">
      <w:pPr>
        <w:spacing w:after="120" w:line="280" w:lineRule="atLeast"/>
        <w:jc w:val="center"/>
        <w:rPr>
          <w:rFonts w:ascii="Garamond" w:hAnsi="Garamond"/>
          <w:sz w:val="24"/>
        </w:rPr>
      </w:pPr>
      <w:r w:rsidRPr="00BD69E1">
        <w:rPr>
          <w:rFonts w:ascii="Garamond" w:hAnsi="Garamond"/>
          <w:noProof/>
          <w:sz w:val="24"/>
          <w:lang w:eastAsia="en-AU"/>
        </w:rPr>
        <w:drawing>
          <wp:inline distT="0" distB="0" distL="0" distR="0">
            <wp:extent cx="4733059" cy="2404618"/>
            <wp:effectExtent l="19050" t="0" r="0" b="0"/>
            <wp:docPr id="1010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4" cstate="screen"/>
                    <a:srcRect/>
                    <a:stretch>
                      <a:fillRect/>
                    </a:stretch>
                  </pic:blipFill>
                  <pic:spPr bwMode="auto">
                    <a:xfrm>
                      <a:off x="0" y="0"/>
                      <a:ext cx="4736230" cy="2406229"/>
                    </a:xfrm>
                    <a:prstGeom prst="rect">
                      <a:avLst/>
                    </a:prstGeom>
                    <a:noFill/>
                    <a:ln w="9525">
                      <a:noFill/>
                      <a:miter lim="800000"/>
                      <a:headEnd/>
                      <a:tailEnd/>
                    </a:ln>
                  </pic:spPr>
                </pic:pic>
              </a:graphicData>
            </a:graphic>
          </wp:inline>
        </w:drawing>
      </w:r>
    </w:p>
    <w:p w:rsidR="00BD69E1" w:rsidRPr="00BD69E1" w:rsidRDefault="00BD69E1" w:rsidP="00630309">
      <w:pPr>
        <w:pStyle w:val="figurecaption"/>
      </w:pPr>
      <w:r w:rsidRPr="00BD69E1">
        <w:rPr>
          <w:b/>
        </w:rPr>
        <w:t>Figure 3.40</w:t>
      </w:r>
      <w:r w:rsidRPr="00BD69E1">
        <w:t xml:space="preserve">  Measured (black lines) and quarterly average (grey columns) concentrations of dust-bound LLAA radionuclides in air at Jabiru town in 2013</w:t>
      </w:r>
      <w:r w:rsidR="00422FB5">
        <w:t>.</w:t>
      </w:r>
    </w:p>
    <w:p w:rsidR="00382F56" w:rsidRPr="00382F56" w:rsidRDefault="00272B62" w:rsidP="00382F56">
      <w:pPr>
        <w:spacing w:after="120" w:line="260" w:lineRule="atLeast"/>
        <w:jc w:val="center"/>
        <w:rPr>
          <w:lang w:val="en-US"/>
        </w:rPr>
      </w:pPr>
      <w:r w:rsidRPr="00272B62">
        <w:rPr>
          <w:noProof/>
          <w:lang w:eastAsia="en-AU"/>
        </w:rPr>
        <w:drawing>
          <wp:inline distT="0" distB="0" distL="0" distR="0">
            <wp:extent cx="4751841" cy="2410691"/>
            <wp:effectExtent l="19050" t="0" r="0" b="0"/>
            <wp:docPr id="10098"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95" cstate="screen"/>
                    <a:srcRect/>
                    <a:stretch>
                      <a:fillRect/>
                    </a:stretch>
                  </pic:blipFill>
                  <pic:spPr bwMode="auto">
                    <a:xfrm>
                      <a:off x="0" y="0"/>
                      <a:ext cx="4754903" cy="2412244"/>
                    </a:xfrm>
                    <a:prstGeom prst="rect">
                      <a:avLst/>
                    </a:prstGeom>
                    <a:noFill/>
                    <a:ln w="9525">
                      <a:noFill/>
                      <a:miter lim="800000"/>
                      <a:headEnd/>
                      <a:tailEnd/>
                    </a:ln>
                  </pic:spPr>
                </pic:pic>
              </a:graphicData>
            </a:graphic>
          </wp:inline>
        </w:drawing>
      </w:r>
    </w:p>
    <w:p w:rsidR="00382F56" w:rsidRDefault="00382F56" w:rsidP="00630309">
      <w:pPr>
        <w:pStyle w:val="figurecaption"/>
      </w:pPr>
      <w:bookmarkStart w:id="229" w:name="_Toc383605626"/>
      <w:r w:rsidRPr="00BC1839">
        <w:rPr>
          <w:b/>
        </w:rPr>
        <w:t xml:space="preserve">Figure 3.41  </w:t>
      </w:r>
      <w:r w:rsidRPr="00BC1839">
        <w:t>Measured (black lines) and quarterly average (grey columns) concentrations of dust-bound LLAA radionuclides in air at Four Gates Road radon station near the Mudginberri community in 2013</w:t>
      </w:r>
      <w:bookmarkEnd w:id="229"/>
      <w:r w:rsidR="00422FB5">
        <w:t>.</w:t>
      </w:r>
    </w:p>
    <w:p w:rsidR="00890EFC" w:rsidRPr="00382F56" w:rsidRDefault="00890EFC" w:rsidP="00890EFC">
      <w:r w:rsidRPr="00382F56">
        <w:t>Table 3.1</w:t>
      </w:r>
      <w:r>
        <w:t>5</w:t>
      </w:r>
      <w:r w:rsidRPr="00382F56">
        <w:t xml:space="preserve"> provides a summary of annual average LLAA radionuclide concentration and estimated total and mine-related doses to the public. The total annual effective dose from dust-bound LLAA radionuclides, which includes contribution from natural background, has been estimated to be 0.007 mSv at Jabiru town and 0.005 mSv at Mudginberri. This total annual dose has been estimated by calculating the time weighted annual average LLAA concentration from the individual samples and then multiplying with a dose conversion factor of 0.0061 mSv</w:t>
      </w:r>
      <w:r>
        <w:t xml:space="preserve"> Bqα</w:t>
      </w:r>
      <w:r w:rsidRPr="00160591">
        <w:rPr>
          <w:snapToGrid w:val="0"/>
          <w:color w:val="000000"/>
          <w:position w:val="5"/>
          <w:sz w:val="13"/>
          <w:szCs w:val="0"/>
          <w:u w:color="000000"/>
        </w:rPr>
        <w:t>-1</w:t>
      </w:r>
      <w:r>
        <w:t>, breathing rate of 0.75 m</w:t>
      </w:r>
      <w:r w:rsidRPr="00160591">
        <w:rPr>
          <w:snapToGrid w:val="0"/>
          <w:color w:val="000000"/>
          <w:position w:val="5"/>
          <w:sz w:val="13"/>
          <w:szCs w:val="0"/>
          <w:u w:color="000000"/>
        </w:rPr>
        <w:t>3</w:t>
      </w:r>
      <w:r>
        <w:t xml:space="preserve"> </w:t>
      </w:r>
      <w:r w:rsidRPr="00382F56">
        <w:t>h</w:t>
      </w:r>
      <w:r w:rsidRPr="00D72E9C">
        <w:rPr>
          <w:vertAlign w:val="superscript"/>
        </w:rPr>
        <w:t xml:space="preserve">-1 </w:t>
      </w:r>
      <w:r w:rsidRPr="00382F56">
        <w:t>and assumed full year occupancy of 8 760 hours.</w:t>
      </w:r>
    </w:p>
    <w:tbl>
      <w:tblPr>
        <w:tblW w:w="7513" w:type="dxa"/>
        <w:tblInd w:w="13" w:type="dxa"/>
        <w:tblBorders>
          <w:insideV w:val="single" w:sz="8" w:space="0" w:color="C0C0C0"/>
        </w:tblBorders>
        <w:tblLayout w:type="fixed"/>
        <w:tblCellMar>
          <w:left w:w="0" w:type="dxa"/>
          <w:right w:w="0" w:type="dxa"/>
        </w:tblCellMar>
        <w:tblLook w:val="0000"/>
      </w:tblPr>
      <w:tblGrid>
        <w:gridCol w:w="2562"/>
        <w:gridCol w:w="2410"/>
        <w:gridCol w:w="2541"/>
      </w:tblGrid>
      <w:tr w:rsidR="00B9755F" w:rsidRPr="00B9755F" w:rsidTr="00B9755F">
        <w:tc>
          <w:tcPr>
            <w:tcW w:w="7513" w:type="dxa"/>
            <w:gridSpan w:val="3"/>
            <w:tcBorders>
              <w:top w:val="nil"/>
              <w:bottom w:val="nil"/>
            </w:tcBorders>
            <w:shd w:val="clear" w:color="auto" w:fill="D9D9D9"/>
            <w:noWrap/>
            <w:tcMar>
              <w:top w:w="13" w:type="dxa"/>
              <w:left w:w="13" w:type="dxa"/>
              <w:bottom w:w="0" w:type="dxa"/>
              <w:right w:w="13" w:type="dxa"/>
            </w:tcMar>
          </w:tcPr>
          <w:p w:rsidR="00B9755F" w:rsidRPr="00B9755F" w:rsidRDefault="00B9755F" w:rsidP="00FA5FFA">
            <w:pPr>
              <w:keepNext/>
              <w:spacing w:before="120" w:after="120" w:line="240" w:lineRule="atLeast"/>
              <w:jc w:val="center"/>
              <w:rPr>
                <w:rFonts w:cs="Arial"/>
                <w:b/>
                <w:caps/>
                <w:sz w:val="18"/>
              </w:rPr>
            </w:pPr>
            <w:bookmarkStart w:id="230" w:name="_Toc383522711"/>
            <w:r w:rsidRPr="00B9755F">
              <w:rPr>
                <w:rFonts w:cs="Arial"/>
                <w:b/>
                <w:caps/>
                <w:sz w:val="18"/>
              </w:rPr>
              <w:t>Table 3.1</w:t>
            </w:r>
            <w:r w:rsidR="00FA5FFA">
              <w:rPr>
                <w:rFonts w:cs="Arial"/>
                <w:b/>
                <w:caps/>
                <w:sz w:val="18"/>
              </w:rPr>
              <w:t>5</w:t>
            </w:r>
            <w:r w:rsidRPr="00B9755F">
              <w:rPr>
                <w:rFonts w:cs="Arial"/>
                <w:b/>
                <w:caps/>
                <w:sz w:val="18"/>
              </w:rPr>
              <w:t xml:space="preserve">  LLAA radionuclide concentrations </w:t>
            </w:r>
            <w:r w:rsidRPr="00B9755F">
              <w:rPr>
                <w:rFonts w:cs="Arial"/>
                <w:b/>
                <w:caps/>
                <w:sz w:val="18"/>
                <w:lang w:val="en-US"/>
              </w:rPr>
              <w:t>in air and estimated doses to the public at Jabiru town and Mudginberri in 2013</w:t>
            </w:r>
            <w:bookmarkEnd w:id="230"/>
          </w:p>
        </w:tc>
      </w:tr>
      <w:tr w:rsidR="00B9755F" w:rsidRPr="00B9755F" w:rsidTr="00B9755F">
        <w:tc>
          <w:tcPr>
            <w:tcW w:w="2562" w:type="dxa"/>
            <w:tcBorders>
              <w:top w:val="nil"/>
              <w:bottom w:val="single" w:sz="4" w:space="0" w:color="C0C0C0"/>
              <w:right w:val="nil"/>
            </w:tcBorders>
            <w:noWrap/>
            <w:tcMar>
              <w:top w:w="13" w:type="dxa"/>
              <w:left w:w="13" w:type="dxa"/>
              <w:bottom w:w="0" w:type="dxa"/>
              <w:right w:w="13" w:type="dxa"/>
            </w:tcMar>
          </w:tcPr>
          <w:p w:rsidR="00B9755F" w:rsidRPr="00B9755F" w:rsidRDefault="00B9755F" w:rsidP="00B9755F">
            <w:pPr>
              <w:spacing w:before="60" w:after="60" w:line="240" w:lineRule="auto"/>
              <w:jc w:val="center"/>
              <w:rPr>
                <w:rFonts w:ascii="Arial" w:eastAsia="Arial Unicode MS" w:hAnsi="Arial"/>
                <w:b/>
                <w:sz w:val="16"/>
              </w:rPr>
            </w:pPr>
          </w:p>
        </w:tc>
        <w:tc>
          <w:tcPr>
            <w:tcW w:w="2410" w:type="dxa"/>
            <w:tcBorders>
              <w:top w:val="nil"/>
              <w:left w:val="nil"/>
              <w:bottom w:val="single" w:sz="4" w:space="0" w:color="C0C0C0"/>
              <w:right w:val="nil"/>
            </w:tcBorders>
          </w:tcPr>
          <w:p w:rsidR="00B9755F" w:rsidRPr="00B9755F" w:rsidRDefault="00B9755F" w:rsidP="00B9755F">
            <w:pPr>
              <w:spacing w:before="60" w:after="60" w:line="240" w:lineRule="auto"/>
              <w:jc w:val="center"/>
              <w:rPr>
                <w:rFonts w:ascii="Arial" w:eastAsia="Arial Unicode MS" w:hAnsi="Arial"/>
                <w:b/>
                <w:sz w:val="16"/>
              </w:rPr>
            </w:pPr>
            <w:r w:rsidRPr="00B9755F">
              <w:rPr>
                <w:rFonts w:ascii="Arial" w:eastAsia="Arial Unicode MS" w:hAnsi="Arial"/>
                <w:b/>
                <w:sz w:val="16"/>
              </w:rPr>
              <w:t>Jabiru town</w:t>
            </w:r>
          </w:p>
        </w:tc>
        <w:tc>
          <w:tcPr>
            <w:tcW w:w="2541" w:type="dxa"/>
            <w:tcBorders>
              <w:top w:val="nil"/>
              <w:left w:val="nil"/>
              <w:bottom w:val="single" w:sz="4" w:space="0" w:color="C0C0C0"/>
            </w:tcBorders>
            <w:noWrap/>
            <w:tcMar>
              <w:top w:w="13" w:type="dxa"/>
              <w:left w:w="13" w:type="dxa"/>
              <w:bottom w:w="0" w:type="dxa"/>
              <w:right w:w="13" w:type="dxa"/>
            </w:tcMar>
          </w:tcPr>
          <w:p w:rsidR="00B9755F" w:rsidRPr="00B9755F" w:rsidRDefault="00B9755F" w:rsidP="00B9755F">
            <w:pPr>
              <w:spacing w:before="60" w:after="60" w:line="240" w:lineRule="auto"/>
              <w:jc w:val="center"/>
              <w:rPr>
                <w:rFonts w:ascii="Arial" w:eastAsia="Arial Unicode MS" w:hAnsi="Arial"/>
                <w:b/>
                <w:sz w:val="16"/>
              </w:rPr>
            </w:pPr>
            <w:r w:rsidRPr="00B9755F">
              <w:rPr>
                <w:rFonts w:ascii="Arial" w:eastAsia="Arial Unicode MS" w:hAnsi="Arial"/>
                <w:b/>
                <w:sz w:val="16"/>
              </w:rPr>
              <w:t>Mudginberri</w:t>
            </w:r>
          </w:p>
        </w:tc>
      </w:tr>
      <w:tr w:rsidR="00B9755F" w:rsidRPr="00B9755F" w:rsidTr="00B9755F">
        <w:tc>
          <w:tcPr>
            <w:tcW w:w="2562" w:type="dxa"/>
            <w:tcBorders>
              <w:top w:val="single" w:sz="4" w:space="0" w:color="C0C0C0"/>
              <w:right w:val="nil"/>
            </w:tcBorders>
            <w:noWrap/>
            <w:tcMar>
              <w:top w:w="13" w:type="dxa"/>
              <w:left w:w="13" w:type="dxa"/>
              <w:bottom w:w="0" w:type="dxa"/>
              <w:right w:w="13" w:type="dxa"/>
            </w:tcMar>
          </w:tcPr>
          <w:p w:rsidR="00B9755F" w:rsidRPr="00B9755F" w:rsidRDefault="00B9755F" w:rsidP="00160591">
            <w:pPr>
              <w:spacing w:before="60" w:after="60" w:line="220" w:lineRule="atLeast"/>
              <w:rPr>
                <w:rFonts w:ascii="Arial" w:eastAsia="Arial Unicode MS" w:hAnsi="Arial"/>
                <w:sz w:val="16"/>
              </w:rPr>
            </w:pPr>
            <w:r w:rsidRPr="00B9755F">
              <w:rPr>
                <w:rFonts w:ascii="Arial" w:eastAsia="Arial Unicode MS" w:hAnsi="Arial"/>
                <w:sz w:val="16"/>
              </w:rPr>
              <w:t>Annual average PAEC [</w:t>
            </w:r>
            <w:r w:rsidRPr="00B9755F">
              <w:rPr>
                <w:rFonts w:ascii="Arial" w:eastAsia="Arial Unicode MS" w:hAnsi="Arial" w:cs="Arial"/>
                <w:sz w:val="16"/>
              </w:rPr>
              <w:t>µ</w:t>
            </w:r>
            <w:r w:rsidRPr="00B9755F">
              <w:rPr>
                <w:rFonts w:ascii="Arial" w:eastAsia="Arial Unicode MS" w:hAnsi="Arial"/>
                <w:sz w:val="16"/>
              </w:rPr>
              <w:t>J</w:t>
            </w:r>
            <w:r w:rsidR="00160591">
              <w:rPr>
                <w:rFonts w:ascii="Arial" w:eastAsia="Arial Unicode MS" w:hAnsi="Arial"/>
                <w:sz w:val="16"/>
              </w:rPr>
              <w:t xml:space="preserve"> </w:t>
            </w:r>
            <w:r w:rsidRPr="00B9755F">
              <w:rPr>
                <w:rFonts w:ascii="Arial" w:eastAsia="Arial Unicode MS" w:hAnsi="Arial"/>
                <w:sz w:val="16"/>
              </w:rPr>
              <w:t>m</w:t>
            </w:r>
            <w:r w:rsidR="00160591" w:rsidRPr="00160591">
              <w:rPr>
                <w:rFonts w:ascii="Arial" w:eastAsia="Arial Unicode MS" w:hAnsi="Arial"/>
                <w:snapToGrid w:val="0"/>
                <w:color w:val="000000"/>
                <w:position w:val="4"/>
                <w:sz w:val="11"/>
                <w:szCs w:val="0"/>
                <w:u w:color="000000"/>
              </w:rPr>
              <w:t>-</w:t>
            </w:r>
            <w:r w:rsidRPr="00B9755F">
              <w:rPr>
                <w:rFonts w:ascii="Arial" w:eastAsia="Arial Unicode MS" w:hAnsi="Arial"/>
                <w:snapToGrid w:val="0"/>
                <w:color w:val="000000"/>
                <w:position w:val="4"/>
                <w:sz w:val="11"/>
                <w:szCs w:val="0"/>
                <w:u w:color="000000"/>
              </w:rPr>
              <w:t>3</w:t>
            </w:r>
            <w:r w:rsidRPr="00B9755F">
              <w:rPr>
                <w:rFonts w:ascii="Arial" w:eastAsia="Arial Unicode MS" w:hAnsi="Arial"/>
                <w:sz w:val="16"/>
              </w:rPr>
              <w:t>]</w:t>
            </w:r>
          </w:p>
        </w:tc>
        <w:tc>
          <w:tcPr>
            <w:tcW w:w="2410" w:type="dxa"/>
            <w:tcBorders>
              <w:top w:val="single" w:sz="4" w:space="0" w:color="C0C0C0"/>
              <w:left w:val="nil"/>
              <w:right w:val="nil"/>
            </w:tcBorders>
          </w:tcPr>
          <w:p w:rsidR="00B9755F" w:rsidRPr="00B9755F" w:rsidRDefault="00B9755F" w:rsidP="00B9755F">
            <w:pPr>
              <w:spacing w:before="60" w:after="60" w:line="220" w:lineRule="atLeast"/>
              <w:jc w:val="center"/>
              <w:rPr>
                <w:rFonts w:ascii="Arial" w:eastAsia="Arial Unicode MS" w:hAnsi="Arial"/>
                <w:sz w:val="16"/>
              </w:rPr>
            </w:pPr>
            <w:r w:rsidRPr="00B9755F">
              <w:rPr>
                <w:rFonts w:ascii="Arial" w:eastAsia="Arial Unicode MS" w:hAnsi="Arial" w:cs="Arial"/>
                <w:sz w:val="16"/>
              </w:rPr>
              <w:t>1.7×</w:t>
            </w:r>
            <w:r w:rsidRPr="00B9755F">
              <w:rPr>
                <w:rFonts w:ascii="Arial" w:eastAsia="Arial Unicode MS" w:hAnsi="Arial"/>
                <w:sz w:val="16"/>
              </w:rPr>
              <w:t>10</w:t>
            </w:r>
            <w:r w:rsidRPr="00B9755F">
              <w:rPr>
                <w:rFonts w:ascii="Arial" w:eastAsia="Arial Unicode MS" w:hAnsi="Arial"/>
                <w:snapToGrid w:val="0"/>
                <w:color w:val="000000"/>
                <w:position w:val="4"/>
                <w:sz w:val="11"/>
                <w:szCs w:val="0"/>
                <w:u w:color="000000"/>
              </w:rPr>
              <w:t>-4</w:t>
            </w:r>
          </w:p>
        </w:tc>
        <w:tc>
          <w:tcPr>
            <w:tcW w:w="2541" w:type="dxa"/>
            <w:tcBorders>
              <w:top w:val="single" w:sz="4" w:space="0" w:color="C0C0C0"/>
              <w:left w:val="nil"/>
            </w:tcBorders>
            <w:noWrap/>
            <w:tcMar>
              <w:top w:w="13" w:type="dxa"/>
              <w:left w:w="13" w:type="dxa"/>
              <w:bottom w:w="0" w:type="dxa"/>
              <w:right w:w="13" w:type="dxa"/>
            </w:tcMar>
          </w:tcPr>
          <w:p w:rsidR="00B9755F" w:rsidRPr="00B9755F" w:rsidRDefault="00B9755F" w:rsidP="00B9755F">
            <w:pPr>
              <w:spacing w:before="60" w:after="60" w:line="220" w:lineRule="atLeast"/>
              <w:jc w:val="center"/>
              <w:rPr>
                <w:rFonts w:ascii="Arial" w:eastAsia="Arial Unicode MS" w:hAnsi="Arial"/>
                <w:sz w:val="16"/>
              </w:rPr>
            </w:pPr>
            <w:r w:rsidRPr="00B9755F">
              <w:rPr>
                <w:rFonts w:ascii="Arial" w:eastAsia="Arial Unicode MS" w:hAnsi="Arial" w:cs="Arial"/>
                <w:sz w:val="16"/>
              </w:rPr>
              <w:t>1.3×</w:t>
            </w:r>
            <w:r w:rsidRPr="00B9755F">
              <w:rPr>
                <w:rFonts w:ascii="Arial" w:eastAsia="Arial Unicode MS" w:hAnsi="Arial"/>
                <w:sz w:val="16"/>
              </w:rPr>
              <w:t>10</w:t>
            </w:r>
            <w:r w:rsidRPr="00B9755F">
              <w:rPr>
                <w:rFonts w:ascii="Arial" w:eastAsia="Arial Unicode MS" w:hAnsi="Arial"/>
                <w:snapToGrid w:val="0"/>
                <w:color w:val="000000"/>
                <w:position w:val="4"/>
                <w:sz w:val="11"/>
                <w:szCs w:val="0"/>
                <w:u w:color="000000"/>
              </w:rPr>
              <w:t>-4</w:t>
            </w:r>
          </w:p>
        </w:tc>
      </w:tr>
      <w:tr w:rsidR="00B9755F" w:rsidRPr="00B9755F" w:rsidTr="00B9755F">
        <w:trPr>
          <w:trHeight w:val="329"/>
        </w:trPr>
        <w:tc>
          <w:tcPr>
            <w:tcW w:w="2562" w:type="dxa"/>
            <w:tcBorders>
              <w:bottom w:val="nil"/>
              <w:right w:val="nil"/>
            </w:tcBorders>
            <w:noWrap/>
            <w:tcMar>
              <w:top w:w="13" w:type="dxa"/>
              <w:left w:w="13" w:type="dxa"/>
              <w:bottom w:w="0" w:type="dxa"/>
              <w:right w:w="13" w:type="dxa"/>
            </w:tcMar>
          </w:tcPr>
          <w:p w:rsidR="00B9755F" w:rsidRPr="00B9755F" w:rsidRDefault="00B9755F" w:rsidP="00B9755F">
            <w:pPr>
              <w:spacing w:before="60" w:after="60" w:line="220" w:lineRule="atLeast"/>
              <w:rPr>
                <w:rFonts w:ascii="Arial" w:eastAsia="Arial Unicode MS" w:hAnsi="Arial"/>
                <w:sz w:val="16"/>
              </w:rPr>
            </w:pPr>
            <w:r w:rsidRPr="00B9755F">
              <w:rPr>
                <w:rFonts w:ascii="Arial" w:eastAsia="Arial Unicode MS" w:hAnsi="Arial"/>
                <w:sz w:val="16"/>
              </w:rPr>
              <w:t xml:space="preserve">Total annual dose [mSv] </w:t>
            </w:r>
          </w:p>
        </w:tc>
        <w:tc>
          <w:tcPr>
            <w:tcW w:w="2410" w:type="dxa"/>
            <w:tcBorders>
              <w:left w:val="nil"/>
              <w:bottom w:val="nil"/>
              <w:right w:val="nil"/>
            </w:tcBorders>
          </w:tcPr>
          <w:p w:rsidR="00B9755F" w:rsidRPr="00B9755F" w:rsidRDefault="00B9755F" w:rsidP="00B9755F">
            <w:pPr>
              <w:spacing w:before="60" w:after="60" w:line="220" w:lineRule="atLeast"/>
              <w:jc w:val="center"/>
              <w:rPr>
                <w:rFonts w:ascii="Arial" w:eastAsia="Arial Unicode MS" w:hAnsi="Arial"/>
                <w:sz w:val="16"/>
              </w:rPr>
            </w:pPr>
            <w:r w:rsidRPr="00B9755F">
              <w:rPr>
                <w:rFonts w:ascii="Arial" w:eastAsia="Arial Unicode MS" w:hAnsi="Arial"/>
                <w:sz w:val="16"/>
              </w:rPr>
              <w:t>0.007</w:t>
            </w:r>
          </w:p>
        </w:tc>
        <w:tc>
          <w:tcPr>
            <w:tcW w:w="2541" w:type="dxa"/>
            <w:tcBorders>
              <w:left w:val="nil"/>
              <w:bottom w:val="nil"/>
            </w:tcBorders>
            <w:noWrap/>
            <w:tcMar>
              <w:top w:w="13" w:type="dxa"/>
              <w:left w:w="13" w:type="dxa"/>
              <w:bottom w:w="0" w:type="dxa"/>
              <w:right w:w="13" w:type="dxa"/>
            </w:tcMar>
          </w:tcPr>
          <w:p w:rsidR="00B9755F" w:rsidRPr="00B9755F" w:rsidRDefault="00B9755F" w:rsidP="00B9755F">
            <w:pPr>
              <w:spacing w:before="60" w:after="60" w:line="220" w:lineRule="atLeast"/>
              <w:jc w:val="center"/>
              <w:rPr>
                <w:rFonts w:ascii="Arial" w:eastAsia="Arial Unicode MS" w:hAnsi="Arial"/>
                <w:sz w:val="16"/>
              </w:rPr>
            </w:pPr>
            <w:r w:rsidRPr="00B9755F">
              <w:rPr>
                <w:rFonts w:ascii="Arial" w:eastAsia="Arial Unicode MS" w:hAnsi="Arial"/>
                <w:sz w:val="16"/>
              </w:rPr>
              <w:t>0.005</w:t>
            </w:r>
          </w:p>
        </w:tc>
      </w:tr>
      <w:tr w:rsidR="00B9755F" w:rsidRPr="00B9755F" w:rsidTr="00B9755F">
        <w:trPr>
          <w:trHeight w:val="329"/>
        </w:trPr>
        <w:tc>
          <w:tcPr>
            <w:tcW w:w="2562" w:type="dxa"/>
            <w:tcBorders>
              <w:bottom w:val="single" w:sz="4" w:space="0" w:color="C0C0C0"/>
              <w:right w:val="nil"/>
            </w:tcBorders>
            <w:noWrap/>
            <w:tcMar>
              <w:top w:w="13" w:type="dxa"/>
              <w:left w:w="13" w:type="dxa"/>
              <w:bottom w:w="0" w:type="dxa"/>
              <w:right w:w="13" w:type="dxa"/>
            </w:tcMar>
          </w:tcPr>
          <w:p w:rsidR="00B9755F" w:rsidRPr="00B9755F" w:rsidRDefault="00B9755F" w:rsidP="00B9755F">
            <w:pPr>
              <w:spacing w:before="60" w:after="60" w:line="220" w:lineRule="atLeast"/>
              <w:rPr>
                <w:rFonts w:ascii="Arial" w:eastAsia="Arial Unicode MS" w:hAnsi="Arial"/>
                <w:sz w:val="16"/>
              </w:rPr>
            </w:pPr>
            <w:r w:rsidRPr="00B9755F">
              <w:rPr>
                <w:rFonts w:ascii="Arial" w:eastAsia="Arial Unicode MS" w:hAnsi="Arial"/>
                <w:sz w:val="16"/>
              </w:rPr>
              <w:t>Mine-related dose* [mSv]</w:t>
            </w:r>
          </w:p>
        </w:tc>
        <w:tc>
          <w:tcPr>
            <w:tcW w:w="2410" w:type="dxa"/>
            <w:tcBorders>
              <w:left w:val="nil"/>
              <w:bottom w:val="single" w:sz="4" w:space="0" w:color="C0C0C0"/>
              <w:right w:val="nil"/>
            </w:tcBorders>
          </w:tcPr>
          <w:p w:rsidR="00B9755F" w:rsidRPr="00B9755F" w:rsidRDefault="00B9755F" w:rsidP="00B9755F">
            <w:pPr>
              <w:spacing w:before="60" w:after="60" w:line="220" w:lineRule="atLeast"/>
              <w:jc w:val="center"/>
              <w:rPr>
                <w:rFonts w:ascii="Arial" w:eastAsia="Arial Unicode MS" w:hAnsi="Arial"/>
                <w:sz w:val="16"/>
              </w:rPr>
            </w:pPr>
            <w:r w:rsidRPr="00B9755F">
              <w:rPr>
                <w:rFonts w:ascii="Arial" w:eastAsia="Arial Unicode MS" w:hAnsi="Arial"/>
                <w:sz w:val="16"/>
              </w:rPr>
              <w:t>1</w:t>
            </w:r>
            <w:r w:rsidRPr="00B9755F">
              <w:rPr>
                <w:rFonts w:ascii="Arial" w:eastAsia="Arial Unicode MS" w:hAnsi="Arial" w:cs="Arial"/>
                <w:sz w:val="16"/>
              </w:rPr>
              <w:t>×</w:t>
            </w:r>
            <w:r w:rsidRPr="00B9755F">
              <w:rPr>
                <w:rFonts w:ascii="Arial" w:eastAsia="Arial Unicode MS" w:hAnsi="Arial"/>
                <w:sz w:val="16"/>
              </w:rPr>
              <w:t>10</w:t>
            </w:r>
            <w:r w:rsidRPr="00B9755F">
              <w:rPr>
                <w:rFonts w:ascii="Arial" w:eastAsia="Arial Unicode MS" w:hAnsi="Arial"/>
                <w:snapToGrid w:val="0"/>
                <w:color w:val="000000"/>
                <w:position w:val="4"/>
                <w:sz w:val="11"/>
                <w:szCs w:val="0"/>
                <w:u w:color="000000"/>
              </w:rPr>
              <w:t>-3</w:t>
            </w:r>
          </w:p>
        </w:tc>
        <w:tc>
          <w:tcPr>
            <w:tcW w:w="2541" w:type="dxa"/>
            <w:tcBorders>
              <w:left w:val="nil"/>
              <w:bottom w:val="single" w:sz="4" w:space="0" w:color="C0C0C0"/>
            </w:tcBorders>
            <w:noWrap/>
            <w:tcMar>
              <w:top w:w="13" w:type="dxa"/>
              <w:left w:w="13" w:type="dxa"/>
              <w:bottom w:w="0" w:type="dxa"/>
              <w:right w:w="13" w:type="dxa"/>
            </w:tcMar>
          </w:tcPr>
          <w:p w:rsidR="00B9755F" w:rsidRPr="00B9755F" w:rsidRDefault="00B9755F" w:rsidP="00B9755F">
            <w:pPr>
              <w:spacing w:before="60" w:after="60" w:line="220" w:lineRule="atLeast"/>
              <w:jc w:val="center"/>
              <w:rPr>
                <w:rFonts w:ascii="Arial" w:eastAsia="Arial Unicode MS" w:hAnsi="Arial"/>
                <w:sz w:val="16"/>
              </w:rPr>
            </w:pPr>
            <w:r w:rsidRPr="00B9755F">
              <w:rPr>
                <w:rFonts w:ascii="Arial" w:eastAsia="Arial Unicode MS" w:hAnsi="Arial" w:cs="Arial"/>
                <w:sz w:val="16"/>
              </w:rPr>
              <w:t>3×</w:t>
            </w:r>
            <w:r w:rsidRPr="00B9755F">
              <w:rPr>
                <w:rFonts w:ascii="Arial" w:eastAsia="Arial Unicode MS" w:hAnsi="Arial"/>
                <w:sz w:val="16"/>
              </w:rPr>
              <w:t>10</w:t>
            </w:r>
            <w:r w:rsidRPr="00B9755F">
              <w:rPr>
                <w:rFonts w:ascii="Arial" w:eastAsia="Arial Unicode MS" w:hAnsi="Arial"/>
                <w:snapToGrid w:val="0"/>
                <w:color w:val="000000"/>
                <w:position w:val="4"/>
                <w:sz w:val="11"/>
                <w:szCs w:val="0"/>
                <w:u w:color="000000"/>
              </w:rPr>
              <w:t>-5</w:t>
            </w:r>
          </w:p>
        </w:tc>
      </w:tr>
    </w:tbl>
    <w:p w:rsidR="00B9755F" w:rsidRPr="00B9755F" w:rsidRDefault="00B9755F" w:rsidP="00B9755F">
      <w:pPr>
        <w:tabs>
          <w:tab w:val="left" w:pos="240"/>
        </w:tabs>
        <w:spacing w:before="60" w:after="180" w:line="180" w:lineRule="atLeast"/>
        <w:ind w:left="238" w:hanging="238"/>
        <w:rPr>
          <w:rFonts w:ascii="Arial" w:eastAsia="Arial Unicode MS" w:hAnsi="Arial"/>
          <w:sz w:val="14"/>
        </w:rPr>
      </w:pPr>
      <w:r w:rsidRPr="00B9755F">
        <w:rPr>
          <w:rFonts w:ascii="Arial" w:eastAsia="Arial Unicode MS" w:hAnsi="Arial"/>
          <w:sz w:val="14"/>
        </w:rPr>
        <w:t>*</w:t>
      </w:r>
      <w:r w:rsidRPr="00B9755F">
        <w:rPr>
          <w:rFonts w:ascii="Arial" w:eastAsia="Arial Unicode MS" w:hAnsi="Arial"/>
          <w:sz w:val="14"/>
        </w:rPr>
        <w:tab/>
        <w:t>Calculated from the assumption that the ratio of mine-related to total annual dose from dust is the same as that for radon progeny.</w:t>
      </w:r>
    </w:p>
    <w:p w:rsidR="00B9755F" w:rsidRPr="00B9755F" w:rsidRDefault="00B9755F" w:rsidP="00B9755F">
      <w:pPr>
        <w:rPr>
          <w:lang w:val="en-US"/>
        </w:rPr>
      </w:pPr>
      <w:r w:rsidRPr="00B9755F">
        <w:rPr>
          <w:lang w:val="en-US"/>
        </w:rPr>
        <w:t>The mine-related dose from dust-bound LLAA radionuclides has been estimated by assuming that the ratio of mine-related to total annual dose from dust is the same as that for radon progeny. This assumption is likely to result in an overestimate of the mine-related dose via the dust inhalation pathway. This is because dust in air should settle out much quicker as a function of distance from the mine compared with gaseous radon, meaning that the mine-related to total dose ratio for dust should be less than that for radon progeny.</w:t>
      </w:r>
    </w:p>
    <w:p w:rsidR="00B9755F" w:rsidRPr="00B9755F" w:rsidRDefault="00B9755F" w:rsidP="00EB6393">
      <w:pPr>
        <w:pStyle w:val="Heading5"/>
      </w:pPr>
      <w:r w:rsidRPr="00B9755F">
        <w:t>Ingestion pathway</w:t>
      </w:r>
    </w:p>
    <w:p w:rsidR="00DE5AE1" w:rsidRPr="00B9755F" w:rsidRDefault="00DE5AE1" w:rsidP="00DE5AE1">
      <w:r w:rsidRPr="00B9755F">
        <w:t xml:space="preserve">SSD routinely monitors the aquatic aspects of the ingestion pathway and collects and analyses mussels for both radionuclides and heavy metals each year at Mudginberri Billabong and every three years at Sandy Billabong (control site in the Nourlangie catchment). Local </w:t>
      </w:r>
      <w:r>
        <w:t>indigenous</w:t>
      </w:r>
      <w:r w:rsidRPr="00B9755F">
        <w:t xml:space="preserve"> people have historically expressed concern about radionuclides in mussels from Mudginberri Billabong as these are a regularly consumed bush food item. The SSD’s monitoring focuses on </w:t>
      </w:r>
      <w:r w:rsidRPr="00DE5AE1">
        <w:rPr>
          <w:vertAlign w:val="superscript"/>
        </w:rPr>
        <w:t>226</w:t>
      </w:r>
      <w:r w:rsidRPr="00B9755F">
        <w:t xml:space="preserve">Ra as it has been shown that </w:t>
      </w:r>
      <w:r w:rsidRPr="00DE5AE1">
        <w:rPr>
          <w:vertAlign w:val="superscript"/>
          <w:lang w:val="en-US"/>
        </w:rPr>
        <w:t>226</w:t>
      </w:r>
      <w:r w:rsidRPr="00B9755F">
        <w:rPr>
          <w:lang w:val="en-US"/>
        </w:rPr>
        <w:t>Ra in mussels is the biggest potential contributor to mine-related ingestion dose</w:t>
      </w:r>
      <w:r w:rsidRPr="00B9755F">
        <w:t xml:space="preserve">. The </w:t>
      </w:r>
      <w:r w:rsidRPr="00DE5AE1">
        <w:rPr>
          <w:vertAlign w:val="superscript"/>
          <w:lang w:val="en-US"/>
        </w:rPr>
        <w:t>226</w:t>
      </w:r>
      <w:r w:rsidRPr="00B9755F">
        <w:rPr>
          <w:lang w:val="en-US"/>
        </w:rPr>
        <w:t xml:space="preserve">Ra </w:t>
      </w:r>
      <w:r w:rsidRPr="00B9755F">
        <w:t xml:space="preserve">activity concentration in Magela Creek waters is routinely monitored by both ERA and the Supervising Scientist and its limit is based on potential dietary uptake of </w:t>
      </w:r>
      <w:r w:rsidRPr="00DE5AE1">
        <w:rPr>
          <w:vertAlign w:val="superscript"/>
          <w:lang w:val="en-US"/>
        </w:rPr>
        <w:t>226</w:t>
      </w:r>
      <w:r w:rsidRPr="00B9755F">
        <w:rPr>
          <w:lang w:val="en-US"/>
        </w:rPr>
        <w:t xml:space="preserve">Ra </w:t>
      </w:r>
      <w:r w:rsidRPr="00B9755F">
        <w:t xml:space="preserve">by the </w:t>
      </w:r>
      <w:r w:rsidR="000A08E4">
        <w:t>Indigenous</w:t>
      </w:r>
      <w:r w:rsidRPr="00B9755F">
        <w:t xml:space="preserve"> people downstream of the mine. To this end</w:t>
      </w:r>
      <w:r>
        <w:t>,</w:t>
      </w:r>
      <w:r w:rsidRPr="00B9755F">
        <w:t xml:space="preserve"> no increase of </w:t>
      </w:r>
      <w:r w:rsidRPr="00DE5AE1">
        <w:rPr>
          <w:vertAlign w:val="superscript"/>
          <w:lang w:val="en-US"/>
        </w:rPr>
        <w:t>226</w:t>
      </w:r>
      <w:r w:rsidRPr="00B9755F">
        <w:rPr>
          <w:lang w:val="en-US"/>
        </w:rPr>
        <w:t>Ra activity concentrations in Magela Creek downstream of the mine has been observed (see section 3.2.3.1).</w:t>
      </w:r>
    </w:p>
    <w:p w:rsidR="00B9755F" w:rsidRPr="00B9755F" w:rsidRDefault="00B9755F" w:rsidP="00B9755F">
      <w:pPr>
        <w:rPr>
          <w:lang w:val="en-US"/>
        </w:rPr>
      </w:pPr>
      <w:r w:rsidRPr="00B9755F">
        <w:t xml:space="preserve">Based upon the measured activity concentrations of </w:t>
      </w:r>
      <w:r w:rsidR="00DE5AE1" w:rsidRPr="00DE5AE1">
        <w:rPr>
          <w:vertAlign w:val="superscript"/>
          <w:lang w:val="en-US"/>
        </w:rPr>
        <w:t>226</w:t>
      </w:r>
      <w:r w:rsidR="00DE5AE1" w:rsidRPr="00B9755F">
        <w:rPr>
          <w:lang w:val="en-US"/>
        </w:rPr>
        <w:t>Ra</w:t>
      </w:r>
      <w:r w:rsidRPr="00B9755F">
        <w:t xml:space="preserve"> and </w:t>
      </w:r>
      <w:r w:rsidR="00DE5AE1" w:rsidRPr="00DE5AE1">
        <w:rPr>
          <w:vertAlign w:val="superscript"/>
          <w:lang w:val="en-US"/>
        </w:rPr>
        <w:t>210</w:t>
      </w:r>
      <w:r w:rsidR="00DE5AE1" w:rsidRPr="00B9755F">
        <w:rPr>
          <w:lang w:val="en-US"/>
        </w:rPr>
        <w:t>Pb</w:t>
      </w:r>
      <w:r w:rsidRPr="00B9755F">
        <w:t xml:space="preserve"> in mussel flesh and the age distribution of the mussels collected in 2013 (see Section 3.2.3.2), an average annual committed effective dose from ingestion of these isotopes can be calculated for a 10-year old child who eats 2 kg (wet weight) of mussel flesh from Mudginberri Billabong. This dose amounted to 0.15 mSv in 2013. </w:t>
      </w:r>
      <w:r w:rsidRPr="00B9755F">
        <w:rPr>
          <w:lang w:val="en-US"/>
        </w:rPr>
        <w:t xml:space="preserve">Figure 3.42 shows the doses from </w:t>
      </w:r>
      <w:r w:rsidR="00DE5AE1" w:rsidRPr="00DE5AE1">
        <w:rPr>
          <w:vertAlign w:val="superscript"/>
          <w:lang w:val="en-US"/>
        </w:rPr>
        <w:t>226</w:t>
      </w:r>
      <w:r w:rsidR="00DE5AE1" w:rsidRPr="00B9755F">
        <w:rPr>
          <w:lang w:val="en-US"/>
        </w:rPr>
        <w:t>Ra</w:t>
      </w:r>
      <w:r w:rsidRPr="00B9755F">
        <w:rPr>
          <w:lang w:val="en-US"/>
        </w:rPr>
        <w:t xml:space="preserve"> and </w:t>
      </w:r>
      <w:r w:rsidRPr="00DE5AE1">
        <w:rPr>
          <w:vertAlign w:val="superscript"/>
          <w:lang w:val="en-US"/>
        </w:rPr>
        <w:t>210</w:t>
      </w:r>
      <w:r w:rsidRPr="00B9755F">
        <w:rPr>
          <w:lang w:val="en-US"/>
        </w:rPr>
        <w:t xml:space="preserve">Pb ingestion estimated for individual years, and the median, 80 and 95 percentiles for all collections. </w:t>
      </w:r>
    </w:p>
    <w:p w:rsidR="00B9755F" w:rsidRPr="00B9755F" w:rsidRDefault="00B9755F" w:rsidP="00B9755F">
      <w:pPr>
        <w:rPr>
          <w:lang w:val="en-US"/>
        </w:rPr>
      </w:pPr>
      <w:r w:rsidRPr="00B9755F">
        <w:t xml:space="preserve">The difference between </w:t>
      </w:r>
      <w:r w:rsidRPr="006F17E8">
        <w:rPr>
          <w:vertAlign w:val="superscript"/>
        </w:rPr>
        <w:t>226</w:t>
      </w:r>
      <w:r w:rsidRPr="00B9755F">
        <w:t xml:space="preserve">Ra activity concentrations measured in Magela Creek upstream and downstream of the Ranger mine is only very small (see section 3.2.3.1), and findings from previously reported research show that </w:t>
      </w:r>
      <w:r w:rsidRPr="00B9755F">
        <w:rPr>
          <w:lang w:val="en-US"/>
        </w:rPr>
        <w:t xml:space="preserve">mussel </w:t>
      </w:r>
      <w:r w:rsidR="006F17E8" w:rsidRPr="006F17E8">
        <w:rPr>
          <w:vertAlign w:val="superscript"/>
        </w:rPr>
        <w:t>226</w:t>
      </w:r>
      <w:r w:rsidR="006F17E8" w:rsidRPr="00B9755F">
        <w:t>Ra</w:t>
      </w:r>
      <w:r w:rsidRPr="00B9755F">
        <w:t xml:space="preserve"> </w:t>
      </w:r>
      <w:r w:rsidRPr="00B9755F">
        <w:rPr>
          <w:lang w:val="en-US"/>
        </w:rPr>
        <w:t>activity loads in Mudginberri Billabong are currently due to natural catchment rather than mining influences</w:t>
      </w:r>
      <w:r w:rsidRPr="00B9755F">
        <w:t>. Consequently, the ingestion</w:t>
      </w:r>
      <w:r w:rsidRPr="00B9755F">
        <w:rPr>
          <w:lang w:val="en-US"/>
        </w:rPr>
        <w:t xml:space="preserve"> dose reported here is almost exclusively from natural background contributions and would be received irrespective of the operation of the Ranger mine. </w:t>
      </w:r>
    </w:p>
    <w:p w:rsidR="006F17E8" w:rsidRPr="00B9755F" w:rsidRDefault="006F17E8" w:rsidP="006F17E8">
      <w:r w:rsidRPr="00B9755F">
        <w:t xml:space="preserve">With the rehabilitation of Ranger there will be radiological protection issues associated with the use of the land by local </w:t>
      </w:r>
      <w:r w:rsidR="000A08E4">
        <w:t>Indigenous</w:t>
      </w:r>
      <w:r w:rsidRPr="00B9755F">
        <w:t xml:space="preserve"> people and a shift towards terrestrial food sources. These foodstuffs include both terrestrial animals and plants. Data on activity concentrations in bushfoods and environmental media from the ARR sampled by </w:t>
      </w:r>
      <w:r w:rsidRPr="00641D0D">
        <w:rPr>
          <w:b/>
          <w:i/>
          <w:sz w:val="23"/>
          <w:szCs w:val="23"/>
        </w:rPr>
        <w:t>eriss</w:t>
      </w:r>
      <w:r w:rsidRPr="00B9755F">
        <w:rPr>
          <w:sz w:val="24"/>
          <w:szCs w:val="24"/>
        </w:rPr>
        <w:t xml:space="preserve"> </w:t>
      </w:r>
      <w:r w:rsidRPr="00B9755F">
        <w:t>and other organisation</w:t>
      </w:r>
      <w:r>
        <w:t>s</w:t>
      </w:r>
      <w:r w:rsidRPr="00B9755F">
        <w:t xml:space="preserve"> over the past 30 years have now been consolidated into a consistent, quality controlled database (described in the 2010–11 Supervising Scientist Annual Report). This database (the BRUCE tool) provides a central data repository and facilitates calculation of radionuclide concentration ratios for bushfoods and calculation of ingestion doses for members of the public from consumption of these </w:t>
      </w:r>
      <w:r w:rsidRPr="0095511F">
        <w:t>bushfoods. Chapter 4.</w:t>
      </w:r>
      <w:r w:rsidR="0095511F" w:rsidRPr="0095511F">
        <w:t>6</w:t>
      </w:r>
      <w:r w:rsidRPr="0095511F">
        <w:t xml:space="preserve"> summarises</w:t>
      </w:r>
      <w:r w:rsidRPr="00B9755F">
        <w:t xml:space="preserve"> the concentration ratios and shows how they are used to determine post-rehabilitation doses from the ingestion of traditional terrestrial bushfoods. The database is also continuously populated with metal concentration data for various bushfoods collected in the ARR. Some typical metal concentration data for fish and freshwater mussels from Mudginberri Billabong are shown in section 3.2.3.2 of this report.</w:t>
      </w:r>
    </w:p>
    <w:p w:rsidR="00E61DD7" w:rsidRPr="00E61DD7" w:rsidRDefault="00E61DD7" w:rsidP="00E61DD7">
      <w:pPr>
        <w:spacing w:after="120" w:line="260" w:lineRule="atLeast"/>
        <w:jc w:val="center"/>
        <w:rPr>
          <w:lang w:val="en-US"/>
        </w:rPr>
      </w:pPr>
      <w:r w:rsidRPr="00E61DD7">
        <w:rPr>
          <w:noProof/>
          <w:lang w:eastAsia="en-AU"/>
        </w:rPr>
        <w:drawing>
          <wp:inline distT="0" distB="0" distL="0" distR="0">
            <wp:extent cx="4641273" cy="3032934"/>
            <wp:effectExtent l="0" t="0" r="6927" b="0"/>
            <wp:docPr id="101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6" cstate="screen"/>
                    <a:srcRect t="2367" r="12274" b="3846"/>
                    <a:stretch>
                      <a:fillRect/>
                    </a:stretch>
                  </pic:blipFill>
                  <pic:spPr bwMode="auto">
                    <a:xfrm>
                      <a:off x="0" y="0"/>
                      <a:ext cx="4652579" cy="3040322"/>
                    </a:xfrm>
                    <a:prstGeom prst="rect">
                      <a:avLst/>
                    </a:prstGeom>
                    <a:noFill/>
                    <a:ln w="9525">
                      <a:noFill/>
                      <a:miter lim="800000"/>
                      <a:headEnd/>
                      <a:tailEnd/>
                    </a:ln>
                  </pic:spPr>
                </pic:pic>
              </a:graphicData>
            </a:graphic>
          </wp:inline>
        </w:drawing>
      </w:r>
    </w:p>
    <w:p w:rsidR="00E61DD7" w:rsidRPr="00E61DD7" w:rsidRDefault="00E61DD7" w:rsidP="00630309">
      <w:pPr>
        <w:pStyle w:val="figurecaption"/>
        <w:rPr>
          <w:snapToGrid w:val="0"/>
          <w:color w:val="000000"/>
          <w:position w:val="5"/>
          <w:sz w:val="13"/>
          <w:szCs w:val="0"/>
          <w:u w:color="000000"/>
          <w:lang w:eastAsia="en-AU"/>
        </w:rPr>
      </w:pPr>
      <w:bookmarkStart w:id="231" w:name="_Toc383605627"/>
      <w:r w:rsidRPr="00E61DD7">
        <w:rPr>
          <w:b/>
        </w:rPr>
        <w:t>Figure 3.42</w:t>
      </w:r>
      <w:r w:rsidRPr="00E61DD7">
        <w:t xml:space="preserve">  Annual committed effective doses (point data) from </w:t>
      </w:r>
      <w:r w:rsidRPr="00E61DD7">
        <w:rPr>
          <w:snapToGrid w:val="0"/>
          <w:color w:val="000000"/>
          <w:position w:val="4"/>
          <w:sz w:val="12"/>
          <w:szCs w:val="0"/>
          <w:u w:color="000000"/>
        </w:rPr>
        <w:t>226</w:t>
      </w:r>
      <w:r w:rsidRPr="00E61DD7">
        <w:t xml:space="preserve">Ra and </w:t>
      </w:r>
      <w:r w:rsidRPr="00E61DD7">
        <w:rPr>
          <w:snapToGrid w:val="0"/>
          <w:color w:val="000000"/>
          <w:position w:val="4"/>
          <w:sz w:val="12"/>
          <w:szCs w:val="0"/>
          <w:u w:color="000000"/>
        </w:rPr>
        <w:t>210</w:t>
      </w:r>
      <w:r w:rsidRPr="00E61DD7">
        <w:t xml:space="preserve">Pb for a 10 year old child eating 2 kg of mussels from Mudginberri Billabong. The median for </w:t>
      </w:r>
      <w:r w:rsidRPr="00E61DD7">
        <w:rPr>
          <w:snapToGrid w:val="0"/>
          <w:color w:val="000000"/>
          <w:position w:val="4"/>
          <w:sz w:val="12"/>
          <w:szCs w:val="0"/>
          <w:u w:color="000000"/>
        </w:rPr>
        <w:t>226</w:t>
      </w:r>
      <w:r w:rsidRPr="00E61DD7">
        <w:t xml:space="preserve">Ra + </w:t>
      </w:r>
      <w:r w:rsidRPr="00E61DD7">
        <w:rPr>
          <w:snapToGrid w:val="0"/>
          <w:color w:val="000000"/>
          <w:position w:val="4"/>
          <w:sz w:val="12"/>
          <w:szCs w:val="0"/>
          <w:u w:color="000000"/>
        </w:rPr>
        <w:t>210</w:t>
      </w:r>
      <w:r w:rsidRPr="00E61DD7">
        <w:t>Pb for all the data (solid line), the 80</w:t>
      </w:r>
      <w:r w:rsidRPr="00E61DD7">
        <w:rPr>
          <w:snapToGrid w:val="0"/>
          <w:color w:val="000000"/>
          <w:position w:val="4"/>
          <w:sz w:val="12"/>
          <w:szCs w:val="0"/>
          <w:u w:color="000000"/>
        </w:rPr>
        <w:t>th</w:t>
      </w:r>
      <w:r w:rsidRPr="00E61DD7">
        <w:t xml:space="preserve"> percentile (dashed line) and 95</w:t>
      </w:r>
      <w:r w:rsidRPr="00E61DD7">
        <w:rPr>
          <w:snapToGrid w:val="0"/>
          <w:color w:val="000000"/>
          <w:position w:val="4"/>
          <w:sz w:val="12"/>
          <w:szCs w:val="0"/>
          <w:u w:color="000000"/>
          <w:vertAlign w:val="superscript"/>
        </w:rPr>
        <w:t>th</w:t>
      </w:r>
      <w:r w:rsidRPr="00E61DD7">
        <w:t xml:space="preserve"> percentile (dotted line) are shown for reference.</w:t>
      </w:r>
      <w:bookmarkEnd w:id="231"/>
    </w:p>
    <w:p w:rsidR="00E61DD7" w:rsidRPr="00E61DD7" w:rsidRDefault="00E61DD7" w:rsidP="00E61DD7">
      <w:pPr>
        <w:pStyle w:val="Heading3"/>
      </w:pPr>
      <w:bookmarkStart w:id="232" w:name="_Toc272771455"/>
      <w:bookmarkStart w:id="233" w:name="_Toc334196100"/>
      <w:bookmarkStart w:id="234" w:name="_Toc363824164"/>
      <w:r w:rsidRPr="00E61DD7">
        <w:t>3.6.3</w:t>
      </w:r>
      <w:r w:rsidRPr="00E61DD7">
        <w:tab/>
      </w:r>
      <w:r w:rsidR="00A45892">
        <w:tab/>
      </w:r>
      <w:r w:rsidRPr="00E61DD7">
        <w:t>Jabiluka</w:t>
      </w:r>
      <w:bookmarkEnd w:id="232"/>
      <w:bookmarkEnd w:id="233"/>
      <w:bookmarkEnd w:id="234"/>
    </w:p>
    <w:p w:rsidR="00E61DD7" w:rsidRPr="00E61DD7" w:rsidRDefault="00E61DD7" w:rsidP="00E61DD7">
      <w:pPr>
        <w:pStyle w:val="Heading4"/>
      </w:pPr>
      <w:r w:rsidRPr="00E61DD7">
        <w:t>3.6.3.1</w:t>
      </w:r>
      <w:r w:rsidRPr="00E61DD7">
        <w:tab/>
        <w:t>Radiological exposure of employees</w:t>
      </w:r>
    </w:p>
    <w:p w:rsidR="006F17E8" w:rsidRPr="00E61DD7" w:rsidRDefault="006F17E8" w:rsidP="006F17E8">
      <w:r w:rsidRPr="00E61DD7">
        <w:rPr>
          <w:lang w:val="en-US"/>
        </w:rPr>
        <w:t>The Jabiluka</w:t>
      </w:r>
      <w:r w:rsidRPr="00E61DD7">
        <w:t xml:space="preserve"> Authorisation</w:t>
      </w:r>
      <w:r w:rsidRPr="00E61DD7">
        <w:rPr>
          <w:lang w:val="en-US"/>
        </w:rPr>
        <w:t xml:space="preserve"> was revised in July 2003 and the statutory requirement of quarterly reporting of radiological monitoring data for Jabiluka was removed. The current</w:t>
      </w:r>
      <w:r w:rsidRPr="00E61DD7">
        <w:t xml:space="preserve"> Authorisation</w:t>
      </w:r>
      <w:r w:rsidRPr="00E61DD7">
        <w:rPr>
          <w:lang w:val="en-US"/>
        </w:rPr>
        <w:t xml:space="preserve"> requires reporting of radiation monitoring data only if any ground</w:t>
      </w:r>
      <w:r>
        <w:rPr>
          <w:lang w:val="en-US"/>
        </w:rPr>
        <w:t>-</w:t>
      </w:r>
      <w:r w:rsidRPr="00E61DD7">
        <w:rPr>
          <w:lang w:val="en-US"/>
        </w:rPr>
        <w:t>disturbing activities involving radioactive</w:t>
      </w:r>
      <w:r w:rsidRPr="00E61DD7">
        <w:t xml:space="preserve"> mineralisation</w:t>
      </w:r>
      <w:r w:rsidRPr="00E61DD7">
        <w:rPr>
          <w:lang w:val="en-US"/>
        </w:rPr>
        <w:t xml:space="preserve"> occur on site. No ground</w:t>
      </w:r>
      <w:r>
        <w:rPr>
          <w:lang w:val="en-US"/>
        </w:rPr>
        <w:t>-</w:t>
      </w:r>
      <w:r w:rsidRPr="00E61DD7">
        <w:rPr>
          <w:lang w:val="en-US"/>
        </w:rPr>
        <w:t xml:space="preserve">disturbing activities took place during this reporting period. </w:t>
      </w:r>
    </w:p>
    <w:p w:rsidR="00E61DD7" w:rsidRPr="00E61DD7" w:rsidRDefault="00E61DD7" w:rsidP="00E61DD7">
      <w:pPr>
        <w:pStyle w:val="Heading4"/>
        <w:rPr>
          <w:lang w:val="en-US"/>
        </w:rPr>
      </w:pPr>
      <w:r w:rsidRPr="00E61DD7">
        <w:rPr>
          <w:lang w:val="en-US"/>
        </w:rPr>
        <w:t>3.6.3.2</w:t>
      </w:r>
      <w:r w:rsidRPr="00E61DD7">
        <w:rPr>
          <w:lang w:val="en-US"/>
        </w:rPr>
        <w:tab/>
        <w:t>Radiological exposure of the public</w:t>
      </w:r>
    </w:p>
    <w:p w:rsidR="00E61DD7" w:rsidRPr="00E61DD7" w:rsidRDefault="00E61DD7" w:rsidP="00E61DD7">
      <w:r w:rsidRPr="00E61DD7">
        <w:t>The population group that may, in theory, receive a radiation dose due to activities at Jabiluka is a small community approximately 10 km south of Jabiluka at Mudginberri.</w:t>
      </w:r>
    </w:p>
    <w:p w:rsidR="00E61DD7" w:rsidRPr="00E61DD7" w:rsidRDefault="00E61DD7" w:rsidP="00E61DD7">
      <w:r w:rsidRPr="00E61DD7">
        <w:t xml:space="preserve">SSD has a permanent atmospheric monitoring station at Four Gates Road radon station, which is located a few kilometres west of Mudginberri. Radon progeny and dust-bound LLAA radionuclide concentrations are measured at the station. </w:t>
      </w:r>
    </w:p>
    <w:p w:rsidR="00E61DD7" w:rsidRPr="00E61DD7" w:rsidRDefault="00E61DD7" w:rsidP="00E61DD7">
      <w:r w:rsidRPr="00E61DD7">
        <w:t>Figures 3.3</w:t>
      </w:r>
      <w:r w:rsidR="0061567C">
        <w:t>9</w:t>
      </w:r>
      <w:r w:rsidRPr="00E61DD7">
        <w:t xml:space="preserve"> and 3.</w:t>
      </w:r>
      <w:r w:rsidR="0061567C">
        <w:t>41</w:t>
      </w:r>
      <w:r w:rsidRPr="00E61DD7">
        <w:t xml:space="preserve"> show radon progeny PAEC and dust-bound LLAA radionuclide concentrations measured in air at Four Gates Road radon station during 2013. Tables 3.1</w:t>
      </w:r>
      <w:r w:rsidR="00FA5FFA">
        <w:t>4</w:t>
      </w:r>
      <w:r w:rsidRPr="00E61DD7">
        <w:t xml:space="preserve"> and 3.1</w:t>
      </w:r>
      <w:r w:rsidR="00FA5FFA">
        <w:t>5</w:t>
      </w:r>
      <w:r w:rsidRPr="00E61DD7">
        <w:t xml:space="preserve"> provide public dose estimates for these exposure pathways for a person living at Mudginberri in 2013.</w:t>
      </w:r>
    </w:p>
    <w:p w:rsidR="00E61DD7" w:rsidRPr="00E61DD7" w:rsidRDefault="00E61DD7" w:rsidP="00E61DD7">
      <w:pPr>
        <w:pStyle w:val="Heading2"/>
      </w:pPr>
      <w:bookmarkStart w:id="235" w:name="_Toc272771456"/>
      <w:bookmarkStart w:id="236" w:name="_Toc334196101"/>
      <w:bookmarkStart w:id="237" w:name="_Toc363824165"/>
      <w:bookmarkStart w:id="238" w:name="_Toc399928183"/>
      <w:r w:rsidRPr="00E61DD7">
        <w:t>3.7</w:t>
      </w:r>
      <w:r w:rsidRPr="00E61DD7">
        <w:tab/>
        <w:t>EPBC assessment advice</w:t>
      </w:r>
      <w:bookmarkEnd w:id="235"/>
      <w:bookmarkEnd w:id="236"/>
      <w:bookmarkEnd w:id="237"/>
      <w:bookmarkEnd w:id="238"/>
    </w:p>
    <w:p w:rsidR="00E61DD7" w:rsidRPr="00E61DD7" w:rsidRDefault="00E61DD7" w:rsidP="000305D5">
      <w:r w:rsidRPr="00E61DD7">
        <w:t xml:space="preserve">SSD continues to provide advice to the Environment Assessment and Compliance Division of DoE on referrals submitted in accordance with the EPBC Act for new and expanding uranium mines. </w:t>
      </w:r>
    </w:p>
    <w:p w:rsidR="00E61DD7" w:rsidRPr="00E61DD7" w:rsidRDefault="00E61DD7" w:rsidP="00E61DD7">
      <w:r w:rsidRPr="00E61DD7">
        <w:t>During the reporting period SSD provided coordinated responses from SSD on the following assessment activities:</w:t>
      </w:r>
    </w:p>
    <w:p w:rsidR="00E61DD7" w:rsidRPr="00E61DD7" w:rsidRDefault="00E61DD7" w:rsidP="00E61DD7">
      <w:pPr>
        <w:pStyle w:val="bulletlist1"/>
      </w:pPr>
      <w:r w:rsidRPr="00E61DD7">
        <w:t>Kintyre Uranium Project, Environmental Rev</w:t>
      </w:r>
      <w:r w:rsidR="005D64D7">
        <w:t>iew Management Programme (ERMP)</w:t>
      </w:r>
      <w:r w:rsidRPr="00E61DD7">
        <w:t xml:space="preserve"> </w:t>
      </w:r>
    </w:p>
    <w:p w:rsidR="00E61DD7" w:rsidRPr="00E61DD7" w:rsidRDefault="00E61DD7" w:rsidP="00E61DD7">
      <w:pPr>
        <w:pStyle w:val="bulletlist1"/>
      </w:pPr>
      <w:r w:rsidRPr="00E61DD7">
        <w:t>Olympic Dam, Mine Closure</w:t>
      </w:r>
      <w:r w:rsidR="005D64D7">
        <w:t xml:space="preserve"> and Rehabilitation Plan (2013)</w:t>
      </w:r>
    </w:p>
    <w:p w:rsidR="00E61DD7" w:rsidRPr="00E61DD7" w:rsidRDefault="00E61DD7" w:rsidP="00E61DD7">
      <w:pPr>
        <w:pStyle w:val="bulletlist1"/>
      </w:pPr>
      <w:r w:rsidRPr="00E61DD7">
        <w:t>Referral of a proposed action for the extension to the Wiluna Uranium Pr</w:t>
      </w:r>
      <w:r w:rsidR="005D64D7">
        <w:t>oject</w:t>
      </w:r>
    </w:p>
    <w:p w:rsidR="00E61DD7" w:rsidRPr="00E61DD7" w:rsidRDefault="00E61DD7" w:rsidP="00E61DD7">
      <w:pPr>
        <w:pStyle w:val="bulletlist1"/>
      </w:pPr>
      <w:r w:rsidRPr="00E61DD7">
        <w:t>Ranger 3 Deeps underground mine Environmental Impact Statement guidelines</w:t>
      </w:r>
      <w:r w:rsidR="005D64D7">
        <w:t>.</w:t>
      </w:r>
    </w:p>
    <w:p w:rsidR="00202DC2" w:rsidRDefault="006F17E8" w:rsidP="00202DC2">
      <w:pPr>
        <w:sectPr w:rsidR="00202DC2" w:rsidSect="00903EA7">
          <w:footnotePr>
            <w:numRestart w:val="eachSect"/>
          </w:footnotePr>
          <w:pgSz w:w="10325" w:h="14573" w:code="13"/>
          <w:pgMar w:top="1440" w:right="1440" w:bottom="1440" w:left="1440" w:header="720" w:footer="720" w:gutter="0"/>
          <w:cols w:space="360"/>
          <w:noEndnote/>
        </w:sectPr>
      </w:pPr>
      <w:r>
        <w:t>A representative</w:t>
      </w:r>
      <w:r w:rsidR="00E61DD7" w:rsidRPr="00E61DD7">
        <w:t xml:space="preserve"> from SSD visited the Kintyre Uranium Project in April 2014 as part of a site visit involving representatives from Cameco, the Western Australian Environmental Protection Authority (EPA), Office of the EPA and Department of Mines and Petroleum. The purpose of this visit was to provide on-ground context and assist in clarification on matters raised during the ERMP assessment process. </w:t>
      </w:r>
    </w:p>
    <w:p w:rsidR="00951D35" w:rsidRPr="00204EBB" w:rsidRDefault="00204EBB" w:rsidP="00202DC2">
      <w:pPr>
        <w:pStyle w:val="Heading1"/>
      </w:pPr>
      <w:bookmarkStart w:id="239" w:name="_Toc399928184"/>
      <w:r w:rsidRPr="00204EBB">
        <w:t>4</w:t>
      </w:r>
      <w:r w:rsidR="00951D35" w:rsidRPr="00204EBB">
        <w:tab/>
        <w:t>Environmental research</w:t>
      </w:r>
      <w:bookmarkEnd w:id="239"/>
      <w:r w:rsidR="00951D35" w:rsidRPr="00204EBB">
        <w:t xml:space="preserve"> </w:t>
      </w:r>
    </w:p>
    <w:p w:rsidR="00982F65" w:rsidRPr="00F521FE" w:rsidRDefault="00982F65" w:rsidP="00982F65">
      <w:pPr>
        <w:pStyle w:val="Heading2"/>
      </w:pPr>
      <w:bookmarkStart w:id="240" w:name="_Toc399928185"/>
      <w:bookmarkStart w:id="241" w:name="_Toc85011069"/>
      <w:bookmarkStart w:id="242" w:name="_Toc365635527"/>
      <w:r w:rsidRPr="00F521FE">
        <w:t>4.1</w:t>
      </w:r>
      <w:r w:rsidRPr="00F521FE">
        <w:tab/>
        <w:t>Introduction</w:t>
      </w:r>
      <w:bookmarkEnd w:id="240"/>
    </w:p>
    <w:bookmarkEnd w:id="241"/>
    <w:p w:rsidR="00982F65" w:rsidRDefault="00982F65" w:rsidP="00982F65">
      <w:pPr>
        <w:rPr>
          <w:spacing w:val="-2"/>
        </w:rPr>
      </w:pPr>
      <w:r>
        <w:rPr>
          <w:spacing w:val="-2"/>
        </w:rPr>
        <w:t xml:space="preserve">The </w:t>
      </w:r>
      <w:r>
        <w:rPr>
          <w:i/>
          <w:iCs/>
          <w:spacing w:val="-2"/>
        </w:rPr>
        <w:t>Environment Protection (Alligator Rivers Region) Act 1978</w:t>
      </w:r>
      <w:r>
        <w:rPr>
          <w:spacing w:val="-2"/>
        </w:rPr>
        <w:t xml:space="preserve"> established the Alligator Rivers Region Research Institute (ARRRI) to undertake research into the environmental effects of uranium mining in the Alligator Rivers Region (see Map 1). The scope of the research program</w:t>
      </w:r>
      <w:r w:rsidR="00820CF1">
        <w:rPr>
          <w:spacing w:val="-2"/>
        </w:rPr>
        <w:t>me</w:t>
      </w:r>
      <w:r>
        <w:rPr>
          <w:spacing w:val="-2"/>
        </w:rPr>
        <w:t xml:space="preserve"> was widened in 1994 following amendments to the Act. The Alligator Rivers Region Research Institute was subsequently renamed the Environmental Research Institute of the Supervising Scientist (</w:t>
      </w:r>
      <w:r w:rsidRPr="00982F65">
        <w:rPr>
          <w:b/>
          <w:bCs/>
          <w:i/>
          <w:iCs/>
          <w:spacing w:val="-2"/>
          <w:sz w:val="23"/>
          <w:szCs w:val="23"/>
        </w:rPr>
        <w:t>eriss</w:t>
      </w:r>
      <w:r>
        <w:rPr>
          <w:spacing w:val="-2"/>
        </w:rPr>
        <w:t xml:space="preserve">). </w:t>
      </w:r>
    </w:p>
    <w:p w:rsidR="00982F65" w:rsidRDefault="00982F65" w:rsidP="00982F65">
      <w:pPr>
        <w:rPr>
          <w:spacing w:val="-2"/>
        </w:rPr>
      </w:pPr>
      <w:r>
        <w:t xml:space="preserve">The core work of </w:t>
      </w:r>
      <w:r w:rsidRPr="00982F65">
        <w:rPr>
          <w:b/>
          <w:bCs/>
          <w:i/>
          <w:iCs/>
          <w:spacing w:val="-2"/>
          <w:sz w:val="23"/>
          <w:szCs w:val="23"/>
        </w:rPr>
        <w:t>eriss</w:t>
      </w:r>
      <w:r>
        <w:t xml:space="preserve"> comprises develop</w:t>
      </w:r>
      <w:r w:rsidR="00C750F3">
        <w:t>ing</w:t>
      </w:r>
      <w:r>
        <w:t xml:space="preserve"> and refin</w:t>
      </w:r>
      <w:r w:rsidR="00C750F3">
        <w:t>ing</w:t>
      </w:r>
      <w:r>
        <w:t xml:space="preserve"> monitoring procedures and standards for the protection of people and the environment from the effects of uranium mining in the Alligator Rivers Region (ARR). The details and outcomes of the monitoring program</w:t>
      </w:r>
      <w:r w:rsidR="00820CF1">
        <w:t>me</w:t>
      </w:r>
      <w:r>
        <w:t xml:space="preserve">s are reported in chapter 3. The expertise of the Institute is also applied to conducting </w:t>
      </w:r>
      <w:r>
        <w:rPr>
          <w:spacing w:val="-2"/>
        </w:rPr>
        <w:t xml:space="preserve">research on the environmental protection of tropical rivers and their associated wetlands, </w:t>
      </w:r>
      <w:r w:rsidR="00C750F3">
        <w:rPr>
          <w:spacing w:val="-2"/>
        </w:rPr>
        <w:t xml:space="preserve">and </w:t>
      </w:r>
      <w:r>
        <w:rPr>
          <w:spacing w:val="-2"/>
        </w:rPr>
        <w:t>to providing advice to the Department and other government organisations on other relevant environmental issues as requested (see chapter 5)</w:t>
      </w:r>
      <w:r w:rsidR="00C750F3">
        <w:rPr>
          <w:spacing w:val="-2"/>
        </w:rPr>
        <w:t xml:space="preserve">. </w:t>
      </w:r>
      <w:proofErr w:type="gramStart"/>
      <w:r w:rsidR="00422FB5">
        <w:rPr>
          <w:b/>
          <w:bCs/>
          <w:i/>
          <w:iCs/>
          <w:spacing w:val="-2"/>
          <w:sz w:val="23"/>
          <w:szCs w:val="23"/>
        </w:rPr>
        <w:t>e</w:t>
      </w:r>
      <w:r w:rsidR="006E2436" w:rsidRPr="006E2436">
        <w:rPr>
          <w:b/>
          <w:bCs/>
          <w:i/>
          <w:iCs/>
          <w:spacing w:val="-2"/>
          <w:sz w:val="23"/>
          <w:szCs w:val="23"/>
        </w:rPr>
        <w:t>riss</w:t>
      </w:r>
      <w:proofErr w:type="gramEnd"/>
      <w:r w:rsidR="00BA08B4">
        <w:rPr>
          <w:b/>
          <w:bCs/>
          <w:i/>
          <w:iCs/>
          <w:spacing w:val="-2"/>
          <w:sz w:val="23"/>
          <w:szCs w:val="23"/>
        </w:rPr>
        <w:t xml:space="preserve"> </w:t>
      </w:r>
      <w:r w:rsidR="00C750F3">
        <w:rPr>
          <w:spacing w:val="-2"/>
        </w:rPr>
        <w:t xml:space="preserve">also </w:t>
      </w:r>
      <w:r w:rsidR="00BA08B4">
        <w:rPr>
          <w:spacing w:val="-2"/>
        </w:rPr>
        <w:t>provides</w:t>
      </w:r>
      <w:r>
        <w:rPr>
          <w:spacing w:val="-2"/>
        </w:rPr>
        <w:t xml:space="preserve"> (on a commercial basis) consultancy services that assist the management of water quality issues at other types of mines in the northern tropics. T</w:t>
      </w:r>
      <w:r>
        <w:t xml:space="preserve">his consultancy work is </w:t>
      </w:r>
      <w:r>
        <w:rPr>
          <w:spacing w:val="-2"/>
        </w:rPr>
        <w:t>limited</w:t>
      </w:r>
      <w:r>
        <w:t xml:space="preserve"> to activities that are strategically aligned to our core statutory responsibilities, and is subject to assessment to ensure that it does not constitute any conflict-of-interest with other work of the Department</w:t>
      </w:r>
      <w:r>
        <w:rPr>
          <w:spacing w:val="-2"/>
        </w:rPr>
        <w:t xml:space="preserve">. </w:t>
      </w:r>
    </w:p>
    <w:p w:rsidR="00982F65" w:rsidRDefault="00982F65" w:rsidP="00982F65">
      <w:r>
        <w:t xml:space="preserve">The content and outcomes of the </w:t>
      </w:r>
      <w:r w:rsidRPr="00982F65">
        <w:rPr>
          <w:b/>
          <w:bCs/>
          <w:i/>
          <w:iCs/>
          <w:spacing w:val="-2"/>
          <w:sz w:val="23"/>
          <w:szCs w:val="23"/>
        </w:rPr>
        <w:t>eriss</w:t>
      </w:r>
      <w:r>
        <w:t xml:space="preserve"> research program</w:t>
      </w:r>
      <w:r w:rsidR="00820CF1">
        <w:t>me</w:t>
      </w:r>
      <w:r>
        <w:t xml:space="preserve"> are assessed annually by ARRTC against identified Key Knowledge Needs (KKNs). These KKNs define the key research needs within each of the geographic domains in the ARR relating to monitoring, closure and rehabilitation for current (Ranger and Jabiluka), rehabilitated (Nabarlek) and legacy (South Alligator River Valley) sites. The charter and activities of ARRTC are described </w:t>
      </w:r>
      <w:r w:rsidRPr="00204EBB">
        <w:t xml:space="preserve">in chapter </w:t>
      </w:r>
      <w:r>
        <w:t xml:space="preserve">2 of this annual report and the current list of KKNs is provided for reference in Appendix 1. </w:t>
      </w:r>
    </w:p>
    <w:p w:rsidR="00982F65" w:rsidRDefault="00982F65" w:rsidP="00982F65">
      <w:proofErr w:type="gramStart"/>
      <w:r w:rsidRPr="00982F65">
        <w:rPr>
          <w:b/>
          <w:bCs/>
          <w:i/>
          <w:iCs/>
          <w:spacing w:val="-2"/>
          <w:sz w:val="23"/>
          <w:szCs w:val="23"/>
        </w:rPr>
        <w:t>eriss</w:t>
      </w:r>
      <w:proofErr w:type="gramEnd"/>
      <w:r>
        <w:t xml:space="preserve"> contributes to the addressing of each of the KKNs by applying a broad range of scientific expertise across the research fields of:</w:t>
      </w:r>
    </w:p>
    <w:p w:rsidR="00982F65" w:rsidRDefault="00982F65" w:rsidP="00982F65">
      <w:pPr>
        <w:pStyle w:val="bulletlist1"/>
        <w:numPr>
          <w:ilvl w:val="0"/>
          <w:numId w:val="2"/>
        </w:numPr>
        <w:tabs>
          <w:tab w:val="clear" w:pos="720"/>
          <w:tab w:val="left" w:pos="357"/>
        </w:tabs>
        <w:ind w:left="357" w:hanging="357"/>
      </w:pPr>
      <w:r>
        <w:t>ecotoxicology</w:t>
      </w:r>
    </w:p>
    <w:p w:rsidR="00982F65" w:rsidRDefault="00982F65" w:rsidP="00982F65">
      <w:pPr>
        <w:pStyle w:val="bulletlist1"/>
        <w:numPr>
          <w:ilvl w:val="0"/>
          <w:numId w:val="2"/>
        </w:numPr>
        <w:tabs>
          <w:tab w:val="clear" w:pos="720"/>
          <w:tab w:val="left" w:pos="357"/>
        </w:tabs>
        <w:ind w:left="357" w:hanging="357"/>
      </w:pPr>
      <w:r>
        <w:t>environmental radioactivity</w:t>
      </w:r>
    </w:p>
    <w:p w:rsidR="00982F65" w:rsidRDefault="00982F65" w:rsidP="00982F65">
      <w:pPr>
        <w:pStyle w:val="bulletlist1"/>
        <w:numPr>
          <w:ilvl w:val="0"/>
          <w:numId w:val="2"/>
        </w:numPr>
        <w:tabs>
          <w:tab w:val="clear" w:pos="720"/>
          <w:tab w:val="left" w:pos="357"/>
        </w:tabs>
        <w:ind w:left="357" w:hanging="357"/>
      </w:pPr>
      <w:r>
        <w:t>hydrologic, geomorphic and chemical processes</w:t>
      </w:r>
    </w:p>
    <w:p w:rsidR="00982F65" w:rsidRDefault="00982F65" w:rsidP="00982F65">
      <w:pPr>
        <w:pStyle w:val="bulletlist1"/>
        <w:numPr>
          <w:ilvl w:val="0"/>
          <w:numId w:val="2"/>
        </w:numPr>
        <w:tabs>
          <w:tab w:val="clear" w:pos="720"/>
          <w:tab w:val="left" w:pos="357"/>
        </w:tabs>
        <w:ind w:left="357" w:hanging="357"/>
      </w:pPr>
      <w:r>
        <w:t>aquatic ecology and ecosystem protection</w:t>
      </w:r>
    </w:p>
    <w:p w:rsidR="00982F65" w:rsidRDefault="00982F65" w:rsidP="00982F65">
      <w:pPr>
        <w:pStyle w:val="bulletlist1"/>
        <w:numPr>
          <w:ilvl w:val="0"/>
          <w:numId w:val="2"/>
        </w:numPr>
        <w:tabs>
          <w:tab w:val="clear" w:pos="720"/>
          <w:tab w:val="left" w:pos="357"/>
        </w:tabs>
        <w:ind w:left="357" w:hanging="357"/>
      </w:pPr>
      <w:proofErr w:type="gramStart"/>
      <w:r>
        <w:t>revegetation</w:t>
      </w:r>
      <w:proofErr w:type="gramEnd"/>
      <w:r>
        <w:t xml:space="preserve"> and landscape ecology</w:t>
      </w:r>
      <w:r w:rsidR="00C750F3">
        <w:t>.</w:t>
      </w:r>
    </w:p>
    <w:p w:rsidR="00B65F9C" w:rsidRPr="00A87328" w:rsidRDefault="00982F65" w:rsidP="00A00BA3">
      <w:r>
        <w:t xml:space="preserve">Highlights from the 2013–14 </w:t>
      </w:r>
      <w:r w:rsidRPr="00A63D1C">
        <w:rPr>
          <w:b/>
          <w:bCs/>
          <w:i/>
          <w:iCs/>
          <w:sz w:val="23"/>
          <w:szCs w:val="23"/>
        </w:rPr>
        <w:t>eriss</w:t>
      </w:r>
      <w:r>
        <w:t xml:space="preserve"> research program</w:t>
      </w:r>
      <w:r w:rsidR="00820CF1">
        <w:t>s</w:t>
      </w:r>
      <w:r>
        <w:t xml:space="preserve"> are presented in this chapter. Specifically, eight projects that cover all the above-listed research fields are discussed. They represent a snapshot of the broader research program</w:t>
      </w:r>
      <w:r w:rsidR="00820CF1">
        <w:t>me</w:t>
      </w:r>
      <w:r>
        <w:t xml:space="preserve"> within </w:t>
      </w:r>
      <w:r w:rsidR="00A63D1C" w:rsidRPr="00A63D1C">
        <w:rPr>
          <w:b/>
          <w:bCs/>
          <w:i/>
          <w:iCs/>
          <w:sz w:val="23"/>
          <w:szCs w:val="23"/>
        </w:rPr>
        <w:t>eriss</w:t>
      </w:r>
      <w:r>
        <w:t xml:space="preserve">, which covered almost 40 projects. Of these, six were completed, 13 were commenced and the remainder were continuing projects. The full research project suite is listed in </w:t>
      </w:r>
      <w:r w:rsidRPr="00204EBB">
        <w:t xml:space="preserve">Appendix </w:t>
      </w:r>
      <w:r>
        <w:t xml:space="preserve">4. The majority (~95%) of these projects were addressing issues associated with the current operational phase and/or proposed rehabilitation and post-rehabilitation phases of Ranger mine. </w:t>
      </w:r>
      <w:r>
        <w:rPr>
          <w:lang w:val="en-US"/>
        </w:rPr>
        <w:t xml:space="preserve">More comprehensive descriptions </w:t>
      </w:r>
      <w:r>
        <w:t xml:space="preserve">of </w:t>
      </w:r>
      <w:r w:rsidR="00A63D1C" w:rsidRPr="00A63D1C">
        <w:rPr>
          <w:b/>
          <w:bCs/>
          <w:i/>
          <w:iCs/>
          <w:sz w:val="23"/>
          <w:szCs w:val="23"/>
        </w:rPr>
        <w:t>eriss</w:t>
      </w:r>
      <w:r w:rsidR="00A63D1C">
        <w:t xml:space="preserve"> </w:t>
      </w:r>
      <w:r>
        <w:t xml:space="preserve">research are published in journal and conference papers and in the Supervising Scientist and Internal Report series. Publications by SSD staff in 2012–13 are listed in </w:t>
      </w:r>
      <w:r w:rsidRPr="00204EBB">
        <w:t xml:space="preserve">Appendix </w:t>
      </w:r>
      <w:r>
        <w:t xml:space="preserve">2, while presentations given during the year are listed in </w:t>
      </w:r>
      <w:r w:rsidRPr="00204EBB">
        <w:t xml:space="preserve">Appendix </w:t>
      </w:r>
      <w:r>
        <w:t xml:space="preserve">3. More information on the Division’s publications, including the full list of staff publications from 1978 to the end of June 2013, is available on the SSD website at </w:t>
      </w:r>
      <w:r w:rsidRPr="00F6248A">
        <w:t>www.environment.gov.au/ssd/publication</w:t>
      </w:r>
      <w:r>
        <w:t>s.</w:t>
      </w:r>
      <w:bookmarkEnd w:id="242"/>
    </w:p>
    <w:p w:rsidR="00A87328" w:rsidRDefault="00A87328" w:rsidP="00A87328">
      <w:pPr>
        <w:pStyle w:val="Heading2"/>
      </w:pPr>
      <w:bookmarkStart w:id="243" w:name="_Toc399928186"/>
      <w:r>
        <w:rPr>
          <w:lang w:eastAsia="en-AU"/>
        </w:rPr>
        <w:t>4.2</w:t>
      </w:r>
      <w:r>
        <w:rPr>
          <w:lang w:eastAsia="en-AU"/>
        </w:rPr>
        <w:tab/>
      </w:r>
      <w:r w:rsidRPr="004C782D">
        <w:rPr>
          <w:i/>
        </w:rPr>
        <w:t>Hydra viridissima</w:t>
      </w:r>
      <w:r>
        <w:t xml:space="preserve"> (Green hydra) rapidly recovers from exposure to multiple magnesium pulses</w:t>
      </w:r>
      <w:bookmarkEnd w:id="243"/>
    </w:p>
    <w:p w:rsidR="00A87328" w:rsidRDefault="00A87328" w:rsidP="00A87328">
      <w:pPr>
        <w:pStyle w:val="Heading3"/>
      </w:pPr>
      <w:bookmarkStart w:id="244" w:name="_Toc240277495"/>
      <w:r>
        <w:t xml:space="preserve">4.2.1  </w:t>
      </w:r>
      <w:bookmarkEnd w:id="244"/>
      <w:r>
        <w:t>Background</w:t>
      </w:r>
    </w:p>
    <w:p w:rsidR="004B01F6" w:rsidRDefault="00A87328" w:rsidP="007464A1">
      <w:r>
        <w:t>Magnesium (Mg) is more toxic to aquatic organisms inhabiting low ionic strength waters, such as those found in the sandy braided streams of northern Australia. Given this, a significant research effort has focussed on ensuring that discharges of Mg from Ranger uranium mine to adjacent creeks are well understood. This has resulted in the development and implementation of a site-specific water quality guideline trigger value (TV) framework for Mg.</w:t>
      </w:r>
      <w:r w:rsidR="007464A1">
        <w:t xml:space="preserve"> </w:t>
      </w:r>
      <w:r>
        <w:t>A long-term continuous electrical conductivity (EC) monitoring program</w:t>
      </w:r>
      <w:r w:rsidR="00820CF1">
        <w:t>me</w:t>
      </w:r>
      <w:r>
        <w:t xml:space="preserve"> has provided a high resolution temporal record of Mg concentrations in Magela Creek, as Mg concentrations can be reliably inferred from EC (Turner &amp; Jones 2010</w:t>
      </w:r>
      <w:r w:rsidR="007464A1">
        <w:rPr>
          <w:rStyle w:val="FootnoteReference"/>
        </w:rPr>
        <w:footnoteReference w:id="7"/>
      </w:r>
      <w:r w:rsidR="00704D58">
        <w:t>)</w:t>
      </w:r>
      <w:r>
        <w:t>. This record has been used to understand the potential exposure patterns of Mg to organisms in the environment. Generally, increases in Mg concentration occur as ‘pulses’ lasting minutes to hours. In contrast, the data used to derive the site-specific Mg TV was derived from continuous exposure toxicity tests where organisms were exposed for periods of three to six days (van Dam et al. 2010</w:t>
      </w:r>
      <w:r>
        <w:rPr>
          <w:rStyle w:val="FootnoteReference"/>
        </w:rPr>
        <w:footnoteReference w:id="8"/>
      </w:r>
      <w:r>
        <w:t>). To address this disparity, a duration-based TV for Mg in</w:t>
      </w:r>
      <w:r w:rsidR="00202DC2">
        <w:t xml:space="preserve"> </w:t>
      </w:r>
      <w:r w:rsidR="004B01F6">
        <w:t>Magela Creek was developed based on empirical pulse exposure data (Hogan et al. 2013</w:t>
      </w:r>
      <w:r w:rsidR="004B01F6">
        <w:rPr>
          <w:rStyle w:val="FootnoteReference"/>
        </w:rPr>
        <w:footnoteReference w:id="9"/>
      </w:r>
      <w:r w:rsidR="004B01F6">
        <w:t>). The use of this TV in a regulatory framework was described by Sinclair et al. (2013)</w:t>
      </w:r>
      <w:r w:rsidR="004B01F6">
        <w:rPr>
          <w:rStyle w:val="FootnoteReference"/>
        </w:rPr>
        <w:footnoteReference w:id="10"/>
      </w:r>
      <w:r w:rsidR="004B01F6">
        <w:t>.</w:t>
      </w:r>
    </w:p>
    <w:p w:rsidR="004B01F6" w:rsidRDefault="004B01F6" w:rsidP="004B01F6">
      <w:r w:rsidRPr="00847429">
        <w:t xml:space="preserve">A </w:t>
      </w:r>
      <w:r>
        <w:t xml:space="preserve">recognised </w:t>
      </w:r>
      <w:r w:rsidRPr="00847429">
        <w:t>lim</w:t>
      </w:r>
      <w:r>
        <w:t>itation of the duration-based TV</w:t>
      </w:r>
      <w:r w:rsidRPr="00847429">
        <w:t xml:space="preserve"> </w:t>
      </w:r>
      <w:r w:rsidR="006D1CC6">
        <w:t xml:space="preserve">method </w:t>
      </w:r>
      <w:r w:rsidRPr="00847429">
        <w:t xml:space="preserve">was that it </w:t>
      </w:r>
      <w:r w:rsidR="006D1CC6">
        <w:t>is</w:t>
      </w:r>
      <w:r w:rsidR="006D1CC6" w:rsidRPr="00847429">
        <w:t xml:space="preserve"> </w:t>
      </w:r>
      <w:r w:rsidRPr="00847429">
        <w:t>based on single pulse toxicity data. Hence, it was unknown if the organisms had fully recovered from a pulse exposure or if they carried damage</w:t>
      </w:r>
      <w:r>
        <w:t>,</w:t>
      </w:r>
      <w:r w:rsidRPr="00847429">
        <w:t xml:space="preserve"> resulting in higher sensitivity to subsequent pulses. </w:t>
      </w:r>
      <w:r>
        <w:t>M</w:t>
      </w:r>
      <w:r w:rsidRPr="00847429">
        <w:t xml:space="preserve">ultiple pulses </w:t>
      </w:r>
      <w:r>
        <w:t xml:space="preserve">were observed </w:t>
      </w:r>
      <w:r w:rsidRPr="00847429">
        <w:t>in the creek over short time</w:t>
      </w:r>
      <w:r>
        <w:t>-</w:t>
      </w:r>
      <w:r w:rsidRPr="00847429">
        <w:t>frames and, if organism recovery wa</w:t>
      </w:r>
      <w:r>
        <w:t>s slow or incomplete, then the T</w:t>
      </w:r>
      <w:r w:rsidRPr="00847429">
        <w:t>V could potentially be und</w:t>
      </w:r>
      <w:r>
        <w:t>er-protective.</w:t>
      </w:r>
    </w:p>
    <w:p w:rsidR="00A87328" w:rsidRDefault="00A87328" w:rsidP="004B01F6">
      <w:pPr>
        <w:keepLines/>
      </w:pPr>
      <w:r w:rsidRPr="00847429">
        <w:t>The present study</w:t>
      </w:r>
      <w:r>
        <w:t xml:space="preserve"> assessed</w:t>
      </w:r>
      <w:r w:rsidRPr="00847429">
        <w:t xml:space="preserve"> organism recovery time and the potential for carry-over toxicity for one species, the Green hydra (</w:t>
      </w:r>
      <w:r w:rsidRPr="00847429">
        <w:rPr>
          <w:i/>
        </w:rPr>
        <w:t>Hydra viridissima</w:t>
      </w:r>
      <w:r w:rsidRPr="00847429">
        <w:t>).</w:t>
      </w:r>
      <w:r>
        <w:t xml:space="preserve"> This species was chosen as </w:t>
      </w:r>
      <w:r>
        <w:rPr>
          <w:iCs/>
          <w:sz w:val="22"/>
          <w:szCs w:val="22"/>
        </w:rPr>
        <w:t xml:space="preserve">a </w:t>
      </w:r>
      <w:r w:rsidRPr="0067502C">
        <w:rPr>
          <w:iCs/>
        </w:rPr>
        <w:t>model organism as it was the second most sensitive of the local species to Mg and the test protocol allows for a simple assessment of recovery through a comparison of population growth rates after 96 h.</w:t>
      </w:r>
      <w:r w:rsidRPr="00847429">
        <w:t xml:space="preserve"> </w:t>
      </w:r>
      <w:r w:rsidRPr="00847429">
        <w:rPr>
          <w:i/>
        </w:rPr>
        <w:t>Hydra viridissima</w:t>
      </w:r>
      <w:r w:rsidRPr="00847429">
        <w:t xml:space="preserve"> was exposed to a range of multiple pulse scenarios relevant to </w:t>
      </w:r>
      <w:r>
        <w:t>the Ranger mine discharge,</w:t>
      </w:r>
      <w:r w:rsidRPr="00847429">
        <w:t xml:space="preserve"> allow</w:t>
      </w:r>
      <w:r>
        <w:t>ing</w:t>
      </w:r>
      <w:r w:rsidRPr="00847429">
        <w:t xml:space="preserve"> a comparison of biological responses between combinations of single and multiple Mg pulse</w:t>
      </w:r>
      <w:r>
        <w:t>s</w:t>
      </w:r>
      <w:r w:rsidRPr="00847429">
        <w:t xml:space="preserve"> with varying pulse and inter-pulse durations. The broader aim of the study was to generate data that informed t</w:t>
      </w:r>
      <w:r>
        <w:t>he use of the site-specific Mg T</w:t>
      </w:r>
      <w:r w:rsidRPr="00847429">
        <w:t>V framework when assessing multiple, closely-spaced pulses of Mg in Magela Creek.</w:t>
      </w:r>
    </w:p>
    <w:p w:rsidR="00A87328" w:rsidRDefault="00A87328" w:rsidP="00A87328">
      <w:pPr>
        <w:pStyle w:val="Heading3"/>
      </w:pPr>
      <w:r>
        <w:t>4.2.2  Methods</w:t>
      </w:r>
    </w:p>
    <w:p w:rsidR="00A87328" w:rsidRDefault="00A87328" w:rsidP="00A87328">
      <w:pPr>
        <w:pStyle w:val="Heading4"/>
      </w:pPr>
      <w:r>
        <w:t>4.2.2.1  Characterisation of Mg pulses in Magela Creek</w:t>
      </w:r>
    </w:p>
    <w:p w:rsidR="00A87328" w:rsidRDefault="00A87328" w:rsidP="00A87328">
      <w:r w:rsidRPr="00516786">
        <w:t>An analysis of the continuous monitoring EC</w:t>
      </w:r>
      <w:r>
        <w:t>/Mg</w:t>
      </w:r>
      <w:r w:rsidRPr="00516786">
        <w:t xml:space="preserve"> data was conducted to determine the frequency, magnitude and duration of pulses and inter-pulse periods </w:t>
      </w:r>
      <w:r>
        <w:t>observed</w:t>
      </w:r>
      <w:r w:rsidRPr="00516786">
        <w:t xml:space="preserve"> in Magela Creek </w:t>
      </w:r>
      <w:proofErr w:type="gramStart"/>
      <w:r w:rsidRPr="00516786">
        <w:t>between 2005</w:t>
      </w:r>
      <w:r>
        <w:t>–</w:t>
      </w:r>
      <w:r w:rsidRPr="00516786">
        <w:t>2012</w:t>
      </w:r>
      <w:proofErr w:type="gramEnd"/>
      <w:r w:rsidRPr="00516786">
        <w:t>. This information enabled environmentally relevant recovery periods to be tested.</w:t>
      </w:r>
    </w:p>
    <w:p w:rsidR="00A87328" w:rsidRDefault="00A87328" w:rsidP="00A87328">
      <w:pPr>
        <w:pStyle w:val="Heading4"/>
      </w:pPr>
      <w:r>
        <w:t>4.2.2.2  Toxicity testing</w:t>
      </w:r>
    </w:p>
    <w:p w:rsidR="00A87328" w:rsidRPr="00FE57DC" w:rsidRDefault="00A87328" w:rsidP="00A87328">
      <w:r>
        <w:t xml:space="preserve">All toxicity tests were conducted according to the standard </w:t>
      </w:r>
      <w:r w:rsidRPr="00FB2137">
        <w:rPr>
          <w:b/>
          <w:i/>
          <w:sz w:val="23"/>
          <w:szCs w:val="23"/>
        </w:rPr>
        <w:t>eriss</w:t>
      </w:r>
      <w:r w:rsidRPr="002A4C45">
        <w:rPr>
          <w:sz w:val="14"/>
        </w:rPr>
        <w:t xml:space="preserve"> </w:t>
      </w:r>
      <w:r>
        <w:t xml:space="preserve">protocol for the 96-h </w:t>
      </w:r>
      <w:r w:rsidRPr="001D6523">
        <w:rPr>
          <w:i/>
        </w:rPr>
        <w:t>H. viridissima</w:t>
      </w:r>
      <w:r>
        <w:t xml:space="preserve"> population growth rate test.</w:t>
      </w:r>
    </w:p>
    <w:p w:rsidR="00A87328" w:rsidRPr="008D6E9C" w:rsidRDefault="00A87328" w:rsidP="00A87328">
      <w:pPr>
        <w:pStyle w:val="Heading5"/>
      </w:pPr>
      <w:r>
        <w:t>Apparent recovery</w:t>
      </w:r>
    </w:p>
    <w:p w:rsidR="00A87328" w:rsidRDefault="00A87328" w:rsidP="00A87328">
      <w:r>
        <w:t xml:space="preserve">Apparent recovery is an assessment of when organisms appear to have recovered (in terms of growth rate) and does not indicate the potential for organisms to carry over damage that may cause them to be more sensitive to subsequent pulses. </w:t>
      </w:r>
      <w:r w:rsidRPr="00516786">
        <w:t>An estimate of apparent recovery was needed for the present study to provide guidance on the recovery periods to be</w:t>
      </w:r>
      <w:r>
        <w:t xml:space="preserve"> tested in the true</w:t>
      </w:r>
      <w:r w:rsidRPr="00516786">
        <w:t xml:space="preserve"> recovery experiments (see below). </w:t>
      </w:r>
      <w:r>
        <w:t>It was also used to determine if apparent recovery provided an accurate indication of true recovery having occurred.</w:t>
      </w:r>
    </w:p>
    <w:p w:rsidR="00A87328" w:rsidRDefault="00A87328" w:rsidP="00A87328">
      <w:r w:rsidRPr="00516786">
        <w:t>A</w:t>
      </w:r>
      <w:r>
        <w:t>pparent recovery data already existed for single 4-h Mg pulses as the growth rates of exposed hydra returned to that of controls within the standard 96-h test duration</w:t>
      </w:r>
      <w:r>
        <w:rPr>
          <w:snapToGrid w:val="0"/>
          <w:color w:val="000000"/>
          <w:szCs w:val="0"/>
          <w:u w:color="000000"/>
        </w:rPr>
        <w:t>.</w:t>
      </w:r>
      <w:r>
        <w:t xml:space="preserve"> As recovery from longer pulse exposures is usually more prolonged, a 24-h pulse </w:t>
      </w:r>
      <w:r w:rsidRPr="00516786">
        <w:t xml:space="preserve">test was </w:t>
      </w:r>
      <w:r>
        <w:t>conducted</w:t>
      </w:r>
      <w:r w:rsidRPr="00516786">
        <w:t xml:space="preserve"> and the duration extended until apparent recovery was observed </w:t>
      </w:r>
      <w:r w:rsidRPr="00747835">
        <w:t>(192–240 h</w:t>
      </w:r>
      <w:r w:rsidRPr="00516786">
        <w:t xml:space="preserve"> depending on treatment).</w:t>
      </w:r>
    </w:p>
    <w:p w:rsidR="00A87328" w:rsidRDefault="00A87328" w:rsidP="00A87328">
      <w:r>
        <w:t>Data from both the 4- and 24-h pulse recovery experiments</w:t>
      </w:r>
      <w:r w:rsidRPr="00516786">
        <w:t xml:space="preserve"> were incorporated into a control chart</w:t>
      </w:r>
      <w:r>
        <w:t>, which was used to calculate the time taken for the Mg-pulsed treatments to return</w:t>
      </w:r>
      <w:r w:rsidRPr="00516786">
        <w:t xml:space="preserve"> to growth rates</w:t>
      </w:r>
      <w:r>
        <w:t xml:space="preserve"> similar to controls.</w:t>
      </w:r>
    </w:p>
    <w:p w:rsidR="00A87328" w:rsidRDefault="00A87328" w:rsidP="00A87328">
      <w:pPr>
        <w:pStyle w:val="Heading5"/>
      </w:pPr>
      <w:r>
        <w:t>True recovery</w:t>
      </w:r>
    </w:p>
    <w:p w:rsidR="00A87328" w:rsidRDefault="00A87328" w:rsidP="00A87328">
      <w:r>
        <w:rPr>
          <w:iCs/>
        </w:rPr>
        <w:t>True recovery</w:t>
      </w:r>
      <w:r w:rsidRPr="00516786">
        <w:rPr>
          <w:iCs/>
        </w:rPr>
        <w:t xml:space="preserve"> was considered to have occurred when </w:t>
      </w:r>
      <w:r>
        <w:rPr>
          <w:iCs/>
        </w:rPr>
        <w:t xml:space="preserve">the </w:t>
      </w:r>
      <w:r w:rsidRPr="00516786">
        <w:rPr>
          <w:iCs/>
        </w:rPr>
        <w:t xml:space="preserve">hydra exhibited similar sensitivity to </w:t>
      </w:r>
      <w:r>
        <w:rPr>
          <w:iCs/>
        </w:rPr>
        <w:t>a</w:t>
      </w:r>
      <w:r w:rsidRPr="00516786">
        <w:rPr>
          <w:iCs/>
        </w:rPr>
        <w:t xml:space="preserve"> second pulse </w:t>
      </w:r>
      <w:r>
        <w:rPr>
          <w:iCs/>
        </w:rPr>
        <w:t>compared</w:t>
      </w:r>
      <w:r w:rsidRPr="00516786">
        <w:rPr>
          <w:iCs/>
        </w:rPr>
        <w:t xml:space="preserve"> to </w:t>
      </w:r>
      <w:r>
        <w:rPr>
          <w:iCs/>
        </w:rPr>
        <w:t>a single pulse</w:t>
      </w:r>
      <w:r w:rsidRPr="00516786">
        <w:rPr>
          <w:iCs/>
        </w:rPr>
        <w:t xml:space="preserve">. </w:t>
      </w:r>
      <w:r>
        <w:rPr>
          <w:iCs/>
        </w:rPr>
        <w:t>That is,</w:t>
      </w:r>
      <w:r w:rsidRPr="00516786">
        <w:rPr>
          <w:iCs/>
        </w:rPr>
        <w:t xml:space="preserve"> their ability to withstand a subsequent pulse was equal to their original sensitivity. </w:t>
      </w:r>
      <w:r w:rsidRPr="00516786">
        <w:t>In order to determine when true recovery occurred,</w:t>
      </w:r>
      <w:r w:rsidRPr="00516786">
        <w:rPr>
          <w:i/>
          <w:iCs/>
        </w:rPr>
        <w:t xml:space="preserve"> </w:t>
      </w:r>
      <w:r w:rsidRPr="00516786">
        <w:rPr>
          <w:iCs/>
        </w:rPr>
        <w:t>the hydra were</w:t>
      </w:r>
      <w:r w:rsidRPr="00516786">
        <w:t xml:space="preserve"> exposed to </w:t>
      </w:r>
      <w:r>
        <w:t>double</w:t>
      </w:r>
      <w:r w:rsidRPr="00516786">
        <w:t xml:space="preserve"> Mg pulses </w:t>
      </w:r>
      <w:r>
        <w:t xml:space="preserve">that were </w:t>
      </w:r>
      <w:r w:rsidRPr="00516786">
        <w:t>separated by different recovery periods.</w:t>
      </w:r>
      <w:r>
        <w:t xml:space="preserve"> Specifically</w:t>
      </w:r>
      <w:r w:rsidRPr="00E15BF3">
        <w:t xml:space="preserve">, </w:t>
      </w:r>
      <w:r w:rsidRPr="00E15BF3">
        <w:rPr>
          <w:i/>
        </w:rPr>
        <w:t>H. viridissima</w:t>
      </w:r>
      <w:r w:rsidRPr="00E15BF3">
        <w:t xml:space="preserve"> were exposed to 4-h Mg pulses of 790 and 1100 mg</w:t>
      </w:r>
      <w:r>
        <w:t xml:space="preserve"> </w:t>
      </w:r>
      <w:r w:rsidRPr="00E15BF3">
        <w:t>L</w:t>
      </w:r>
      <w:r w:rsidRPr="00001424">
        <w:rPr>
          <w:snapToGrid w:val="0"/>
          <w:color w:val="000000"/>
          <w:position w:val="5"/>
          <w:sz w:val="13"/>
          <w:szCs w:val="0"/>
          <w:u w:color="000000"/>
        </w:rPr>
        <w:t>-1</w:t>
      </w:r>
      <w:r w:rsidRPr="00E15BF3">
        <w:t xml:space="preserve"> separated by 2, 10, 18, 24, 48 and 72-h recovery periods. Twenty four-hour pulses of 570, 910 and 940 mg</w:t>
      </w:r>
      <w:r>
        <w:t xml:space="preserve"> </w:t>
      </w:r>
      <w:r w:rsidRPr="00E15BF3">
        <w:t>L</w:t>
      </w:r>
      <w:r w:rsidRPr="00001424">
        <w:rPr>
          <w:snapToGrid w:val="0"/>
          <w:color w:val="000000"/>
          <w:position w:val="5"/>
          <w:sz w:val="13"/>
          <w:szCs w:val="0"/>
          <w:u w:color="000000"/>
        </w:rPr>
        <w:t>-1</w:t>
      </w:r>
      <w:r w:rsidRPr="00E15BF3">
        <w:t xml:space="preserve"> were separated by 24, 48 and 168-h recovery periods.</w:t>
      </w:r>
    </w:p>
    <w:p w:rsidR="00A87328" w:rsidRDefault="00A87328" w:rsidP="00A87328">
      <w:pPr>
        <w:pStyle w:val="Heading5"/>
      </w:pPr>
      <w:r>
        <w:t>Multiple pulse scenarios</w:t>
      </w:r>
    </w:p>
    <w:p w:rsidR="00A87328" w:rsidRDefault="00A87328" w:rsidP="00A87328">
      <w:r w:rsidRPr="00BA3B7C">
        <w:t xml:space="preserve">This test aimed to compare treatments that could be considered equivalent in terms of total exposure duration and magnitude, but different in terms of the actual pulse and inter-pulse durations. </w:t>
      </w:r>
      <w:r>
        <w:t>The growth rates of the hydra were compared across six treatments</w:t>
      </w:r>
      <w:r w:rsidRPr="00BA3B7C">
        <w:t>.</w:t>
      </w:r>
      <w:r>
        <w:t xml:space="preserve"> </w:t>
      </w:r>
      <w:r w:rsidRPr="00BA3B7C">
        <w:t>The first four treatments exposed the hydra to 850 mg</w:t>
      </w:r>
      <w:r>
        <w:t xml:space="preserve"> L</w:t>
      </w:r>
      <w:r w:rsidRPr="005E50E3">
        <w:rPr>
          <w:vertAlign w:val="superscript"/>
        </w:rPr>
        <w:t>-1</w:t>
      </w:r>
      <w:r w:rsidRPr="00BA3B7C">
        <w:t xml:space="preserve"> Mg for an overall exposure of 24-h but under different pulse scenarios (i</w:t>
      </w:r>
      <w:r>
        <w:t>.</w:t>
      </w:r>
      <w:r w:rsidRPr="00BA3B7C">
        <w:t>e. 1 × 24 h pulse, 6 × 4 h pulses, 3 × 8 h pul</w:t>
      </w:r>
      <w:r>
        <w:t>ses and 4 × 6 h pulses</w:t>
      </w:r>
      <w:r w:rsidRPr="00BA3B7C">
        <w:t>). The 68-h continuous exposure to 300 mg</w:t>
      </w:r>
      <w:r>
        <w:t xml:space="preserve"> L</w:t>
      </w:r>
      <w:r w:rsidRPr="005E50E3">
        <w:rPr>
          <w:vertAlign w:val="superscript"/>
        </w:rPr>
        <w:t>-1</w:t>
      </w:r>
      <w:r w:rsidRPr="00BA3B7C">
        <w:t xml:space="preserve"> Mg was a time-weighted average comparison to the 6 × 4-</w:t>
      </w:r>
      <w:r>
        <w:t>h pulse exposure scenario. Alternatively,</w:t>
      </w:r>
      <w:r w:rsidRPr="00BA3B7C">
        <w:t xml:space="preserve"> the 68-h pulse exposure to 850 mg</w:t>
      </w:r>
      <w:r>
        <w:t xml:space="preserve"> L</w:t>
      </w:r>
      <w:r w:rsidRPr="005E50E3">
        <w:rPr>
          <w:vertAlign w:val="superscript"/>
        </w:rPr>
        <w:t>-1</w:t>
      </w:r>
      <w:r w:rsidRPr="00BA3B7C">
        <w:t xml:space="preserve"> mimicked a potential conservative application of the TV</w:t>
      </w:r>
      <w:r>
        <w:t>,</w:t>
      </w:r>
      <w:r w:rsidRPr="00BA3B7C">
        <w:t xml:space="preserve"> where the duration </w:t>
      </w:r>
      <w:r>
        <w:t>of</w:t>
      </w:r>
      <w:r w:rsidRPr="00BA3B7C">
        <w:t xml:space="preserve"> a series of Mg </w:t>
      </w:r>
      <w:r>
        <w:t>pulse-</w:t>
      </w:r>
      <w:r w:rsidRPr="00BA3B7C">
        <w:t>events is considered one long event.</w:t>
      </w:r>
    </w:p>
    <w:p w:rsidR="00CB74D0" w:rsidRPr="00CB74D0" w:rsidRDefault="00CB74D0" w:rsidP="00CB74D0">
      <w:pPr>
        <w:pStyle w:val="Heading3"/>
      </w:pPr>
      <w:r w:rsidRPr="00CB74D0">
        <w:t>4.2.3  Results</w:t>
      </w:r>
    </w:p>
    <w:p w:rsidR="00CB74D0" w:rsidRPr="00CB74D0" w:rsidRDefault="00CB74D0" w:rsidP="00CB74D0">
      <w:pPr>
        <w:rPr>
          <w:b/>
        </w:rPr>
      </w:pPr>
      <w:proofErr w:type="gramStart"/>
      <w:r w:rsidRPr="00CB74D0">
        <w:rPr>
          <w:b/>
        </w:rPr>
        <w:t>4.2.3.1  Cha</w:t>
      </w:r>
      <w:r w:rsidRPr="00CB74D0">
        <w:rPr>
          <w:rStyle w:val="Heading4Char"/>
        </w:rPr>
        <w:t>r</w:t>
      </w:r>
      <w:r w:rsidRPr="00CB74D0">
        <w:rPr>
          <w:b/>
        </w:rPr>
        <w:t>acterisation</w:t>
      </w:r>
      <w:proofErr w:type="gramEnd"/>
      <w:r w:rsidRPr="00CB74D0">
        <w:rPr>
          <w:b/>
        </w:rPr>
        <w:t xml:space="preserve"> of Mg pulses in Magela Creek</w:t>
      </w:r>
    </w:p>
    <w:p w:rsidR="00CB74D0" w:rsidRPr="00CB74D0" w:rsidRDefault="00CB74D0" w:rsidP="00CB74D0">
      <w:r w:rsidRPr="00CB74D0">
        <w:t xml:space="preserve">Seventy one Mg pulses were identified from the 2005–2006 wet </w:t>
      </w:r>
      <w:proofErr w:type="gramStart"/>
      <w:r w:rsidRPr="00CB74D0">
        <w:t>season</w:t>
      </w:r>
      <w:proofErr w:type="gramEnd"/>
      <w:r w:rsidRPr="00CB74D0">
        <w:t xml:space="preserve"> through to the </w:t>
      </w:r>
      <w:r w:rsidR="0071597A">
        <w:br/>
      </w:r>
      <w:r w:rsidRPr="00CB74D0">
        <w:t>2011–2012 wet season, with 95% of the pulse durations being &lt; 24 h and only 2 pulses with durations considered as chronic (&gt; 96 h). A large proportion of the pulses (60%) were within the 4–24-h duration range assessed in this study. Thirty six percent of pulses were shorter than 4 h and the remaining 4% were greater than 24 h in duration.</w:t>
      </w:r>
    </w:p>
    <w:p w:rsidR="00CB74D0" w:rsidRPr="00CB74D0" w:rsidRDefault="00CB74D0" w:rsidP="00CB74D0">
      <w:r w:rsidRPr="00CB74D0">
        <w:t xml:space="preserve">Inter-pulse periods were often short with the shortest lasting only 1.3 h. </w:t>
      </w:r>
      <w:proofErr w:type="gramStart"/>
      <w:r w:rsidRPr="00CB74D0">
        <w:t>Multiple</w:t>
      </w:r>
      <w:proofErr w:type="gramEnd"/>
      <w:r w:rsidRPr="00CB74D0">
        <w:t xml:space="preserve"> pulses often occurred within a short timeframe, with 30% of inter-pulse periods being &lt; 24 h duration, 50% &lt; 48 h duration and 60% &lt; 96 h duration. This further emphasised the need for this study and provided guidance on the recovery periods to be tested.</w:t>
      </w:r>
    </w:p>
    <w:p w:rsidR="00CB74D0" w:rsidRPr="00CB74D0" w:rsidRDefault="00CB74D0" w:rsidP="00CB74D0">
      <w:pPr>
        <w:pStyle w:val="Heading4"/>
      </w:pPr>
      <w:r w:rsidRPr="00CB74D0">
        <w:t>4.2.3.2  Toxicity testing</w:t>
      </w:r>
    </w:p>
    <w:p w:rsidR="00CB74D0" w:rsidRPr="00CB74D0" w:rsidRDefault="00CB74D0" w:rsidP="00CB74D0">
      <w:pPr>
        <w:pStyle w:val="Heading5"/>
      </w:pPr>
      <w:r w:rsidRPr="00CB74D0">
        <w:t>Apparent recovery</w:t>
      </w:r>
    </w:p>
    <w:p w:rsidR="00CB74D0" w:rsidRDefault="00CB74D0" w:rsidP="00CB74D0">
      <w:r w:rsidRPr="00CB74D0">
        <w:t>Recovery from 4-h Mg exposures appeared to have occurred prior to the first observation at 24 h for all but the highest survivable concentration tested (Figure 4.1). Time to apparent recovery for the highest survivable 4-h Mg exposure of 1300 mg L</w:t>
      </w:r>
      <w:r w:rsidR="00354324" w:rsidRPr="00354324">
        <w:rPr>
          <w:vertAlign w:val="superscript"/>
        </w:rPr>
        <w:t>-1</w:t>
      </w:r>
      <w:r w:rsidR="00354324" w:rsidRPr="00CB74D0">
        <w:t xml:space="preserve"> </w:t>
      </w:r>
      <w:r w:rsidRPr="00CB74D0">
        <w:t>was estimated to be between 72 and 96 h. The estimated times to apparent recovery after a single 24-h pulse were between 24 h and 48 h for 210, 420 and 630 mg L</w:t>
      </w:r>
      <w:r w:rsidRPr="00354324">
        <w:rPr>
          <w:vertAlign w:val="superscript"/>
        </w:rPr>
        <w:t>-1</w:t>
      </w:r>
      <w:r w:rsidRPr="00CB74D0">
        <w:t xml:space="preserve"> Mg; between </w:t>
      </w:r>
      <w:r w:rsidR="00354324">
        <w:t>72 h and 96 h for 860 mg L</w:t>
      </w:r>
      <w:r w:rsidR="00354324" w:rsidRPr="00354324">
        <w:rPr>
          <w:vertAlign w:val="superscript"/>
        </w:rPr>
        <w:t>-1</w:t>
      </w:r>
      <w:r w:rsidRPr="00CB74D0">
        <w:t xml:space="preserve"> Mg; and greater than 120 h for 1100 mgL</w:t>
      </w:r>
      <w:r w:rsidR="00354324" w:rsidRPr="00354324">
        <w:rPr>
          <w:vertAlign w:val="superscript"/>
        </w:rPr>
        <w:t>-1</w:t>
      </w:r>
      <w:r w:rsidR="00354324" w:rsidRPr="00CB74D0">
        <w:t xml:space="preserve"> </w:t>
      </w:r>
      <w:r w:rsidRPr="00CB74D0">
        <w:t>Mg. These results guided the recovery periods tested in the true recovery experiments.</w:t>
      </w:r>
    </w:p>
    <w:p w:rsidR="009903C9" w:rsidRPr="009903C9" w:rsidRDefault="00DC084F" w:rsidP="009903C9">
      <w:pPr>
        <w:spacing w:after="120" w:line="280" w:lineRule="atLeast"/>
        <w:jc w:val="center"/>
        <w:rPr>
          <w:rFonts w:ascii="Garamond" w:hAnsi="Garamond"/>
          <w:sz w:val="24"/>
        </w:rPr>
      </w:pPr>
      <w:r>
        <w:rPr>
          <w:rFonts w:ascii="Garamond" w:hAnsi="Garamond"/>
          <w:noProof/>
          <w:sz w:val="24"/>
          <w:lang w:eastAsia="en-AU"/>
        </w:rPr>
        <w:drawing>
          <wp:inline distT="0" distB="0" distL="0" distR="0">
            <wp:extent cx="4695825" cy="3156441"/>
            <wp:effectExtent l="19050" t="0" r="9525" b="0"/>
            <wp:docPr id="2" name="Picture 1" descr="graph.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raph.gif"/>
                    <pic:cNvPicPr/>
                  </pic:nvPicPr>
                  <pic:blipFill>
                    <a:blip r:embed="rId97" cstate="screen"/>
                    <a:stretch>
                      <a:fillRect/>
                    </a:stretch>
                  </pic:blipFill>
                  <pic:spPr>
                    <a:xfrm>
                      <a:off x="0" y="0"/>
                      <a:ext cx="4695825" cy="3156441"/>
                    </a:xfrm>
                    <a:prstGeom prst="rect">
                      <a:avLst/>
                    </a:prstGeom>
                  </pic:spPr>
                </pic:pic>
              </a:graphicData>
            </a:graphic>
          </wp:inline>
        </w:drawing>
      </w:r>
    </w:p>
    <w:p w:rsidR="00FB2137" w:rsidRPr="00FB2137" w:rsidRDefault="00FB2137" w:rsidP="004C64CF">
      <w:pPr>
        <w:pStyle w:val="figurecaption"/>
        <w:rPr>
          <w:szCs w:val="16"/>
        </w:rPr>
      </w:pPr>
      <w:r w:rsidRPr="00FB2137">
        <w:rPr>
          <w:b/>
          <w:szCs w:val="16"/>
        </w:rPr>
        <w:t xml:space="preserve">Figure 4.1  </w:t>
      </w:r>
      <w:r w:rsidRPr="00FB2137">
        <w:t xml:space="preserve">The time taken for </w:t>
      </w:r>
      <w:r w:rsidRPr="00FB2137">
        <w:rPr>
          <w:i/>
          <w:iCs/>
        </w:rPr>
        <w:t xml:space="preserve">Hydra viridissima </w:t>
      </w:r>
      <w:r w:rsidRPr="00FB2137">
        <w:t xml:space="preserve">to show apparent </w:t>
      </w:r>
      <w:r w:rsidR="00462477">
        <w:t>recovery. The 99% CI (71 &amp; 129</w:t>
      </w:r>
      <w:r w:rsidRPr="00FB2137">
        <w:t>%) represent the expected range for the percentage of mean control growth. When the treatment growth was within this range apparent recovery was considered to have occurred. Data was smoothed using a moving three day average.</w:t>
      </w:r>
    </w:p>
    <w:p w:rsidR="002B0907" w:rsidRPr="002B0907" w:rsidRDefault="002B0907" w:rsidP="002B0907">
      <w:pPr>
        <w:pStyle w:val="Heading5"/>
      </w:pPr>
      <w:r w:rsidRPr="002B0907">
        <w:t>True recovery</w:t>
      </w:r>
    </w:p>
    <w:p w:rsidR="00C87370" w:rsidRDefault="002B0907" w:rsidP="002B0907">
      <w:pPr>
        <w:rPr>
          <w:szCs w:val="16"/>
        </w:rPr>
      </w:pPr>
      <w:r w:rsidRPr="002B0907">
        <w:t xml:space="preserve">All organisms showed a statistically similar or reduced sensitivity to the second pulse when compared to the single pulse sensitivity (Figures 4.2 and 4.3). </w:t>
      </w:r>
      <w:r w:rsidR="00F23933" w:rsidRPr="00984A15">
        <w:rPr>
          <w:szCs w:val="16"/>
        </w:rPr>
        <w:t xml:space="preserve">An asterix </w:t>
      </w:r>
      <w:r w:rsidR="00F23933">
        <w:rPr>
          <w:szCs w:val="16"/>
        </w:rPr>
        <w:t xml:space="preserve">in the following figures </w:t>
      </w:r>
      <w:r w:rsidR="00F23933" w:rsidRPr="00984A15">
        <w:rPr>
          <w:szCs w:val="16"/>
        </w:rPr>
        <w:t>denotes significant differences (P &lt;0.05) between double and single pulse treatments, detected by Dunnett’s test.</w:t>
      </w:r>
    </w:p>
    <w:p w:rsidR="00521C01" w:rsidRDefault="00521C01" w:rsidP="00521C01">
      <w:r w:rsidRPr="00521C01">
        <w:t>This indicated that full recovery occurred prior to the exposure of the second pulse for the recovery periods tested. Where the result was unclear, a repeat test was conducted (Figures 4.2 b and 4.3b) to confirm the response.</w:t>
      </w:r>
    </w:p>
    <w:tbl>
      <w:tblPr>
        <w:tblStyle w:val="TableGrid"/>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6320"/>
      </w:tblGrid>
      <w:tr w:rsidR="007E1A85" w:rsidTr="00D15F96">
        <w:trPr>
          <w:trHeight w:val="4280"/>
          <w:jc w:val="center"/>
        </w:trPr>
        <w:tc>
          <w:tcPr>
            <w:tcW w:w="5916" w:type="dxa"/>
          </w:tcPr>
          <w:p w:rsidR="007E1A85" w:rsidRDefault="00F9111F" w:rsidP="00516C1D">
            <w:r>
              <w:rPr>
                <w:noProof/>
                <w:lang w:eastAsia="en-AU"/>
              </w:rPr>
              <w:pict>
                <v:shapetype id="_x0000_t202" coordsize="21600,21600" o:spt="202" path="m,l,21600r21600,l21600,xe">
                  <v:stroke joinstyle="miter"/>
                  <v:path gradientshapeok="t" o:connecttype="rect"/>
                </v:shapetype>
                <v:shape id="Text Box 9" o:spid="_x0000_s1026" type="#_x0000_t202" style="position:absolute;margin-left:219.9pt;margin-top:21.85pt;width:25.2pt;height:20.25pt;z-index:25174630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" filled="f" stroked="f">
                  <v:textbox>
                    <w:txbxContent>
                      <w:p w:rsidR="00A70C56" w:rsidRPr="00BA7E71" w:rsidRDefault="00A70C56" w:rsidP="007E1A85">
                        <w:pPr>
                          <w:rPr>
                            <w:rFonts w:asciiTheme="minorHAnsi" w:hAnsiTheme="minorHAnsi"/>
                            <w:sz w:val="24"/>
                            <w:szCs w:val="24"/>
                          </w:rPr>
                        </w:pPr>
                        <w:r w:rsidRPr="00BA7E71">
                          <w:rPr>
                            <w:rFonts w:asciiTheme="minorHAnsi" w:hAnsiTheme="minorHAnsi"/>
                            <w:sz w:val="24"/>
                            <w:szCs w:val="24"/>
                          </w:rPr>
                          <w:t>*</w:t>
                        </w:r>
                      </w:p>
                    </w:txbxContent>
                  </v:textbox>
                </v:shape>
              </w:pict>
            </w:r>
            <w:r w:rsidR="00516C1D">
              <w:rPr>
                <w:noProof/>
                <w:lang w:eastAsia="en-AU"/>
              </w:rPr>
              <w:drawing>
                <wp:anchor distT="0" distB="0" distL="114300" distR="114300" simplePos="0" relativeHeight="251745280" behindDoc="1" locked="0" layoutInCell="1" allowOverlap="1">
                  <wp:simplePos x="0" y="0"/>
                  <wp:positionH relativeFrom="column">
                    <wp:posOffset>85090</wp:posOffset>
                  </wp:positionH>
                  <wp:positionV relativeFrom="paragraph">
                    <wp:posOffset>-1270</wp:posOffset>
                  </wp:positionV>
                  <wp:extent cx="3856990" cy="2751455"/>
                  <wp:effectExtent l="19050" t="0" r="0" b="0"/>
                  <wp:wrapTopAndBottom/>
                  <wp:docPr id="39"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98" cstate="screen"/>
                          <a:srcRect/>
                          <a:stretch>
                            <a:fillRect/>
                          </a:stretch>
                        </pic:blipFill>
                        <pic:spPr bwMode="auto">
                          <a:xfrm>
                            <a:off x="0" y="0"/>
                            <a:ext cx="3856990" cy="2751455"/>
                          </a:xfrm>
                          <a:prstGeom prst="rect">
                            <a:avLst/>
                          </a:prstGeom>
                          <a:noFill/>
                          <a:ln w="9525">
                            <a:noFill/>
                            <a:miter lim="800000"/>
                            <a:headEnd/>
                            <a:tailEnd/>
                          </a:ln>
                        </pic:spPr>
                      </pic:pic>
                    </a:graphicData>
                  </a:graphic>
                </wp:anchor>
              </w:drawing>
            </w:r>
          </w:p>
        </w:tc>
      </w:tr>
    </w:tbl>
    <w:p w:rsidR="00521C01" w:rsidRDefault="007E1A85" w:rsidP="002B0907">
      <w:pPr>
        <w:rPr>
          <w:rFonts w:ascii="Arial" w:hAnsi="Arial" w:cs="Arial"/>
          <w:sz w:val="16"/>
          <w:szCs w:val="16"/>
        </w:rPr>
      </w:pPr>
      <w:r>
        <w:rPr>
          <w:rFonts w:ascii="Arial" w:hAnsi="Arial" w:cs="Arial"/>
          <w:b/>
          <w:sz w:val="16"/>
          <w:szCs w:val="16"/>
        </w:rPr>
        <w:br/>
      </w:r>
      <w:r w:rsidRPr="009903C9">
        <w:rPr>
          <w:rFonts w:ascii="Arial" w:hAnsi="Arial" w:cs="Arial"/>
          <w:b/>
          <w:sz w:val="16"/>
          <w:szCs w:val="16"/>
        </w:rPr>
        <w:t xml:space="preserve">Figure </w:t>
      </w:r>
      <w:proofErr w:type="gramStart"/>
      <w:r w:rsidRPr="009903C9">
        <w:rPr>
          <w:rFonts w:ascii="Arial" w:hAnsi="Arial" w:cs="Arial"/>
          <w:b/>
          <w:sz w:val="16"/>
          <w:szCs w:val="16"/>
        </w:rPr>
        <w:t xml:space="preserve">4.2  </w:t>
      </w:r>
      <w:r w:rsidRPr="009903C9">
        <w:rPr>
          <w:rFonts w:ascii="Arial" w:hAnsi="Arial" w:cs="Arial"/>
          <w:sz w:val="16"/>
          <w:szCs w:val="16"/>
        </w:rPr>
        <w:t>a</w:t>
      </w:r>
      <w:proofErr w:type="gramEnd"/>
      <w:r w:rsidRPr="009903C9">
        <w:rPr>
          <w:rFonts w:ascii="Arial" w:hAnsi="Arial" w:cs="Arial"/>
          <w:sz w:val="16"/>
          <w:szCs w:val="16"/>
        </w:rPr>
        <w:t xml:space="preserve">) Mean percentage of control growth rates of </w:t>
      </w:r>
      <w:r w:rsidRPr="009903C9">
        <w:rPr>
          <w:rFonts w:ascii="Arial" w:hAnsi="Arial" w:cs="Arial"/>
          <w:i/>
          <w:iCs/>
          <w:sz w:val="16"/>
          <w:szCs w:val="16"/>
        </w:rPr>
        <w:t>Hydra viridissima</w:t>
      </w:r>
      <w:r w:rsidRPr="009903C9">
        <w:rPr>
          <w:rFonts w:ascii="Arial" w:hAnsi="Arial" w:cs="Arial"/>
          <w:sz w:val="16"/>
          <w:szCs w:val="16"/>
        </w:rPr>
        <w:t xml:space="preserve"> after a single 4-h Mg pulse and a second 4-h Mg pulse after the nominated recovery periods. Error bars represent the standard error of the mean. Pulse magnitudes were 790 and 1100 mg L</w:t>
      </w:r>
      <w:r w:rsidRPr="00462477">
        <w:rPr>
          <w:rFonts w:ascii="Arial" w:hAnsi="Arial" w:cs="Arial"/>
          <w:snapToGrid w:val="0"/>
          <w:color w:val="000000"/>
          <w:position w:val="4"/>
          <w:sz w:val="16"/>
          <w:szCs w:val="16"/>
          <w:u w:color="000000"/>
          <w:vertAlign w:val="superscript"/>
        </w:rPr>
        <w:t>-1</w:t>
      </w:r>
      <w:r>
        <w:rPr>
          <w:rFonts w:ascii="Arial" w:hAnsi="Arial" w:cs="Arial"/>
          <w:sz w:val="16"/>
          <w:szCs w:val="16"/>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7661"/>
      </w:tblGrid>
      <w:tr w:rsidR="00516C1D" w:rsidTr="00516C1D">
        <w:tc>
          <w:tcPr>
            <w:tcW w:w="7661" w:type="dxa"/>
          </w:tcPr>
          <w:p w:rsidR="00516C1D" w:rsidRDefault="00F9111F" w:rsidP="002B0907">
            <w:pPr>
              <w:rPr>
                <w:rFonts w:ascii="Arial" w:hAnsi="Arial" w:cs="Arial"/>
                <w:sz w:val="16"/>
                <w:szCs w:val="16"/>
              </w:rPr>
            </w:pPr>
            <w:r>
              <w:rPr>
                <w:rFonts w:ascii="Arial" w:hAnsi="Arial" w:cs="Arial"/>
                <w:noProof/>
                <w:sz w:val="16"/>
                <w:szCs w:val="16"/>
                <w:lang w:eastAsia="en-AU"/>
              </w:rPr>
              <w:pict>
                <v:shape id="_x0000_s1027" type="#_x0000_t202" style="position:absolute;margin-left:243.25pt;margin-top:41.35pt;width:25.2pt;height:20.25pt;z-index:25175040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" filled="f" stroked="f">
                  <v:textbox>
                    <w:txbxContent>
                      <w:p w:rsidR="00A70C56" w:rsidRPr="00BA7E71" w:rsidRDefault="00A70C56" w:rsidP="004B2FC2">
                        <w:pPr>
                          <w:rPr>
                            <w:rFonts w:asciiTheme="minorHAnsi" w:hAnsiTheme="minorHAnsi"/>
                            <w:sz w:val="24"/>
                            <w:szCs w:val="24"/>
                          </w:rPr>
                        </w:pPr>
                        <w:r w:rsidRPr="00BA7E71">
                          <w:rPr>
                            <w:rFonts w:asciiTheme="minorHAnsi" w:hAnsiTheme="minorHAnsi"/>
                            <w:sz w:val="24"/>
                            <w:szCs w:val="24"/>
                          </w:rPr>
                          <w:t>*</w:t>
                        </w:r>
                      </w:p>
                    </w:txbxContent>
                  </v:textbox>
                </v:shape>
              </w:pict>
            </w:r>
            <w:r w:rsidR="007764EC">
              <w:rPr>
                <w:rFonts w:ascii="Arial" w:hAnsi="Arial" w:cs="Arial"/>
                <w:noProof/>
                <w:sz w:val="16"/>
                <w:szCs w:val="16"/>
                <w:lang w:eastAsia="en-AU"/>
              </w:rPr>
              <w:drawing>
                <wp:anchor distT="0" distB="0" distL="114300" distR="114300" simplePos="0" relativeHeight="251748352" behindDoc="1" locked="0" layoutInCell="1" allowOverlap="1">
                  <wp:simplePos x="0" y="0"/>
                  <wp:positionH relativeFrom="column">
                    <wp:posOffset>145415</wp:posOffset>
                  </wp:positionH>
                  <wp:positionV relativeFrom="paragraph">
                    <wp:posOffset>187325</wp:posOffset>
                  </wp:positionV>
                  <wp:extent cx="4376420" cy="2940050"/>
                  <wp:effectExtent l="19050" t="0" r="5080" b="0"/>
                  <wp:wrapTight wrapText="bothSides">
                    <wp:wrapPolygon edited="0">
                      <wp:start x="-94" y="0"/>
                      <wp:lineTo x="-94" y="21413"/>
                      <wp:lineTo x="21625" y="21413"/>
                      <wp:lineTo x="21625" y="0"/>
                      <wp:lineTo x="-94" y="0"/>
                    </wp:wrapPolygon>
                  </wp:wrapTight>
                  <wp:docPr id="46" name="Picture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99" cstate="screen"/>
                          <a:srcRect/>
                          <a:stretch>
                            <a:fillRect/>
                          </a:stretch>
                        </pic:blipFill>
                        <pic:spPr bwMode="auto">
                          <a:xfrm>
                            <a:off x="0" y="0"/>
                            <a:ext cx="4376420" cy="2940050"/>
                          </a:xfrm>
                          <a:prstGeom prst="rect">
                            <a:avLst/>
                          </a:prstGeom>
                          <a:noFill/>
                          <a:ln w="9525">
                            <a:noFill/>
                            <a:miter lim="800000"/>
                            <a:headEnd/>
                            <a:tailEnd/>
                          </a:ln>
                        </pic:spPr>
                      </pic:pic>
                    </a:graphicData>
                  </a:graphic>
                </wp:anchor>
              </w:drawing>
            </w:r>
          </w:p>
        </w:tc>
      </w:tr>
    </w:tbl>
    <w:p w:rsidR="00516C1D" w:rsidRPr="00984A15" w:rsidRDefault="007764EC" w:rsidP="00516C1D">
      <w:pPr>
        <w:pStyle w:val="figurecaption"/>
        <w:rPr>
          <w:szCs w:val="16"/>
        </w:rPr>
      </w:pPr>
      <w:r>
        <w:rPr>
          <w:b/>
          <w:szCs w:val="16"/>
        </w:rPr>
        <w:br/>
      </w:r>
      <w:r w:rsidR="00516C1D" w:rsidRPr="00984A15">
        <w:rPr>
          <w:b/>
          <w:szCs w:val="16"/>
        </w:rPr>
        <w:t>Figure 4.2</w:t>
      </w:r>
      <w:r w:rsidR="00516C1D" w:rsidRPr="00984A15">
        <w:rPr>
          <w:szCs w:val="16"/>
        </w:rPr>
        <w:t xml:space="preserve"> b) result of repeat experiment for 1100 mg L</w:t>
      </w:r>
      <w:r w:rsidR="00516C1D" w:rsidRPr="00462477">
        <w:rPr>
          <w:snapToGrid w:val="0"/>
          <w:color w:val="000000"/>
          <w:position w:val="4"/>
          <w:szCs w:val="16"/>
          <w:u w:color="000000"/>
          <w:vertAlign w:val="superscript"/>
        </w:rPr>
        <w:t>-1</w:t>
      </w:r>
      <w:r w:rsidR="00516C1D" w:rsidRPr="00984A15">
        <w:rPr>
          <w:szCs w:val="16"/>
        </w:rPr>
        <w:t xml:space="preserve"> Mg treatment. </w:t>
      </w:r>
    </w:p>
    <w:tbl>
      <w:tblPr>
        <w:tblStyle w:val="TableGrid"/>
        <w:tblW w:w="762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778"/>
        <w:gridCol w:w="1843"/>
      </w:tblGrid>
      <w:tr w:rsidR="00DC6ED8" w:rsidTr="00754BBD">
        <w:trPr>
          <w:trHeight w:val="2243"/>
        </w:trPr>
        <w:tc>
          <w:tcPr>
            <w:tcW w:w="5778" w:type="dxa"/>
          </w:tcPr>
          <w:p w:rsidR="00DC6ED8" w:rsidRDefault="00F9111F" w:rsidP="00654EDF">
            <w:pPr>
              <w:tabs>
                <w:tab w:val="center" w:pos="2781"/>
              </w:tabs>
              <w:rPr>
                <w:lang w:val="en-US"/>
              </w:rPr>
            </w:pPr>
            <w:r w:rsidRPr="00F9111F">
              <w:rPr>
                <w:rFonts w:ascii="Arial" w:hAnsi="Arial" w:cs="Arial"/>
                <w:b/>
                <w:noProof/>
                <w:sz w:val="16"/>
                <w:szCs w:val="16"/>
                <w:lang w:eastAsia="en-AU"/>
              </w:rPr>
              <w:pict>
                <v:shape id="Text Box 347" o:spid="_x0000_s1028" type="#_x0000_t202" style="position:absolute;margin-left:-11.15pt;margin-top:243.05pt;width:25.5pt;height:24.45pt;z-index:25175142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" stroked="f">
                  <v:textbox>
                    <w:txbxContent>
                      <w:p w:rsidR="00A70C56" w:rsidRPr="00E206EA" w:rsidRDefault="00A70C56" w:rsidP="007764EC">
                        <w:pPr>
                          <w:rPr>
                            <w:rFonts w:ascii="Arial" w:hAnsi="Arial" w:cs="Arial"/>
                            <w:sz w:val="16"/>
                            <w:szCs w:val="16"/>
                          </w:rPr>
                        </w:pPr>
                        <w:r w:rsidRPr="00E206EA">
                          <w:rPr>
                            <w:rFonts w:ascii="Arial" w:hAnsi="Arial" w:cs="Arial"/>
                            <w:sz w:val="16"/>
                            <w:szCs w:val="16"/>
                          </w:rPr>
                          <w:t>b)</w:t>
                        </w:r>
                      </w:p>
                    </w:txbxContent>
                  </v:textbox>
                </v:shape>
              </w:pict>
            </w:r>
            <w:r>
              <w:rPr>
                <w:noProof/>
                <w:lang w:eastAsia="en-AU"/>
              </w:rPr>
              <w:pict>
                <v:shape id="Text Box 330" o:spid="_x0000_s1029" type="#_x0000_t202" style="position:absolute;margin-left:-11.9pt;margin-top:-10.5pt;width:25.5pt;height:24.45pt;z-index:2517114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" stroked="f">
                  <v:textbox>
                    <w:txbxContent>
                      <w:p w:rsidR="00A70C56" w:rsidRPr="00E206EA" w:rsidRDefault="00A70C56" w:rsidP="00DC6ED8">
                        <w:pPr>
                          <w:rPr>
                            <w:rFonts w:ascii="Arial" w:hAnsi="Arial" w:cs="Arial"/>
                            <w:sz w:val="16"/>
                            <w:szCs w:val="16"/>
                          </w:rPr>
                        </w:pPr>
                        <w:r>
                          <w:rPr>
                            <w:rFonts w:ascii="Arial" w:hAnsi="Arial" w:cs="Arial"/>
                            <w:sz w:val="16"/>
                            <w:szCs w:val="16"/>
                          </w:rPr>
                          <w:t>a</w:t>
                        </w:r>
                        <w:r w:rsidRPr="00E206EA">
                          <w:rPr>
                            <w:rFonts w:ascii="Arial" w:hAnsi="Arial" w:cs="Arial"/>
                            <w:sz w:val="16"/>
                            <w:szCs w:val="16"/>
                          </w:rPr>
                          <w:t>)</w:t>
                        </w:r>
                      </w:p>
                    </w:txbxContent>
                  </v:textbox>
                </v:shape>
              </w:pict>
            </w:r>
            <w:r w:rsidR="00AD30D2">
              <w:rPr>
                <w:noProof/>
                <w:lang w:eastAsia="en-AU"/>
              </w:rPr>
              <w:drawing>
                <wp:anchor distT="0" distB="0" distL="114300" distR="114300" simplePos="0" relativeHeight="251707392" behindDoc="0" locked="0" layoutInCell="1" allowOverlap="1">
                  <wp:simplePos x="0" y="0"/>
                  <wp:positionH relativeFrom="margin">
                    <wp:posOffset>-19685</wp:posOffset>
                  </wp:positionH>
                  <wp:positionV relativeFrom="margin">
                    <wp:posOffset>3810</wp:posOffset>
                  </wp:positionV>
                  <wp:extent cx="3668395" cy="2924175"/>
                  <wp:effectExtent l="19050" t="0" r="8255" b="0"/>
                  <wp:wrapTopAndBottom/>
                  <wp:docPr id="35" name="Picture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0" cstate="screen"/>
                          <a:srcRect/>
                          <a:stretch>
                            <a:fillRect/>
                          </a:stretch>
                        </pic:blipFill>
                        <pic:spPr bwMode="auto">
                          <a:xfrm>
                            <a:off x="0" y="0"/>
                            <a:ext cx="3668395" cy="2924175"/>
                          </a:xfrm>
                          <a:prstGeom prst="rect">
                            <a:avLst/>
                          </a:prstGeom>
                          <a:noFill/>
                          <a:ln w="9525">
                            <a:noFill/>
                            <a:miter lim="800000"/>
                            <a:headEnd/>
                            <a:tailEnd/>
                          </a:ln>
                        </pic:spPr>
                      </pic:pic>
                    </a:graphicData>
                  </a:graphic>
                </wp:anchor>
              </w:drawing>
            </w:r>
            <w:r w:rsidR="00654EDF">
              <w:rPr>
                <w:lang w:val="en-US"/>
              </w:rPr>
              <w:tab/>
            </w:r>
          </w:p>
        </w:tc>
        <w:tc>
          <w:tcPr>
            <w:tcW w:w="1843" w:type="dxa"/>
          </w:tcPr>
          <w:p w:rsidR="00DC6ED8" w:rsidRDefault="00DC6ED8" w:rsidP="00DC6ED8">
            <w:pPr>
              <w:pStyle w:val="figurecaption"/>
              <w:jc w:val="left"/>
              <w:rPr>
                <w:b/>
              </w:rPr>
            </w:pPr>
          </w:p>
          <w:p w:rsidR="00DC6ED8" w:rsidRDefault="00DC6ED8" w:rsidP="00DC6ED8">
            <w:pPr>
              <w:pStyle w:val="figurecaption"/>
              <w:jc w:val="left"/>
            </w:pPr>
            <w:r w:rsidRPr="00CA5E0C">
              <w:rPr>
                <w:b/>
              </w:rPr>
              <w:t xml:space="preserve">Figure 4.3 </w:t>
            </w:r>
            <w:r w:rsidRPr="00CA5E0C">
              <w:t xml:space="preserve">a) Mean percentage of control growth rates of </w:t>
            </w:r>
            <w:r w:rsidRPr="00CA5E0C">
              <w:rPr>
                <w:i/>
                <w:iCs/>
              </w:rPr>
              <w:t xml:space="preserve">Hydra viridissima </w:t>
            </w:r>
            <w:r w:rsidRPr="00CA5E0C">
              <w:t>after a single 24-h magnesium pulse and a second 24-h magnesium pulse after the nominated recovery periods. Error bars represent the standard error of the mean. Pulse magnitudes were 570 and 910 mg L</w:t>
            </w:r>
            <w:r w:rsidRPr="00CA5E0C">
              <w:rPr>
                <w:vertAlign w:val="superscript"/>
              </w:rPr>
              <w:t>-1</w:t>
            </w:r>
            <w:r>
              <w:t>.</w:t>
            </w:r>
          </w:p>
          <w:p w:rsidR="00DC6ED8" w:rsidRDefault="00DC6ED8" w:rsidP="00DC6ED8">
            <w:pPr>
              <w:rPr>
                <w:lang w:val="en-US"/>
              </w:rPr>
            </w:pPr>
          </w:p>
        </w:tc>
      </w:tr>
      <w:tr w:rsidR="00DC6ED8" w:rsidTr="00754BBD">
        <w:trPr>
          <w:trHeight w:val="2330"/>
        </w:trPr>
        <w:tc>
          <w:tcPr>
            <w:tcW w:w="5778" w:type="dxa"/>
          </w:tcPr>
          <w:p w:rsidR="00DC6ED8" w:rsidRPr="00DC6ED8" w:rsidRDefault="00F9111F" w:rsidP="00DC6ED8">
            <w:pPr>
              <w:rPr>
                <w:rFonts w:ascii="Arial" w:hAnsi="Arial" w:cs="Arial"/>
                <w:sz w:val="16"/>
                <w:szCs w:val="16"/>
                <w:lang w:val="en-US"/>
              </w:rPr>
            </w:pPr>
            <w:r>
              <w:rPr>
                <w:rFonts w:ascii="Arial" w:hAnsi="Arial" w:cs="Arial"/>
                <w:noProof/>
                <w:sz w:val="16"/>
                <w:szCs w:val="16"/>
                <w:lang w:eastAsia="en-AU"/>
              </w:rPr>
              <w:pict>
                <v:shape id="_x0000_s1030" type="#_x0000_t202" style="position:absolute;margin-left:175.05pt;margin-top:-194.3pt;width:25.2pt;height:20.25pt;z-index:2517329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" filled="f" stroked="f">
                  <v:textbox>
                    <w:txbxContent>
                      <w:p w:rsidR="00A70C56" w:rsidRPr="00BA7E71" w:rsidRDefault="00A70C56" w:rsidP="004B2FC2">
                        <w:pPr>
                          <w:rPr>
                            <w:rFonts w:asciiTheme="minorHAnsi" w:hAnsiTheme="minorHAnsi"/>
                            <w:sz w:val="24"/>
                            <w:szCs w:val="24"/>
                          </w:rPr>
                        </w:pPr>
                        <w:r w:rsidRPr="00BA7E71">
                          <w:rPr>
                            <w:rFonts w:asciiTheme="minorHAnsi" w:hAnsiTheme="minorHAnsi"/>
                            <w:sz w:val="24"/>
                            <w:szCs w:val="24"/>
                          </w:rPr>
                          <w:t>*</w:t>
                        </w:r>
                      </w:p>
                    </w:txbxContent>
                  </v:textbox>
                </v:shape>
              </w:pict>
            </w:r>
            <w:r w:rsidR="00754BBD">
              <w:rPr>
                <w:rFonts w:ascii="Arial" w:hAnsi="Arial" w:cs="Arial"/>
                <w:b/>
                <w:noProof/>
                <w:sz w:val="16"/>
                <w:szCs w:val="16"/>
                <w:lang w:eastAsia="en-AU"/>
              </w:rPr>
              <w:drawing>
                <wp:anchor distT="0" distB="0" distL="114300" distR="114300" simplePos="0" relativeHeight="251709440" behindDoc="0" locked="0" layoutInCell="1" allowOverlap="1">
                  <wp:simplePos x="0" y="0"/>
                  <wp:positionH relativeFrom="column">
                    <wp:posOffset>209550</wp:posOffset>
                  </wp:positionH>
                  <wp:positionV relativeFrom="paragraph">
                    <wp:posOffset>-3810</wp:posOffset>
                  </wp:positionV>
                  <wp:extent cx="3536315" cy="2714625"/>
                  <wp:effectExtent l="19050" t="0" r="6985" b="0"/>
                  <wp:wrapThrough wrapText="bothSides">
                    <wp:wrapPolygon edited="0">
                      <wp:start x="-116" y="0"/>
                      <wp:lineTo x="-116" y="21373"/>
                      <wp:lineTo x="21643" y="21373"/>
                      <wp:lineTo x="21643" y="0"/>
                      <wp:lineTo x="-116" y="0"/>
                    </wp:wrapPolygon>
                  </wp:wrapThrough>
                  <wp:docPr id="37"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1" cstate="screen"/>
                          <a:srcRect/>
                          <a:stretch>
                            <a:fillRect/>
                          </a:stretch>
                        </pic:blipFill>
                        <pic:spPr bwMode="auto">
                          <a:xfrm>
                            <a:off x="0" y="0"/>
                            <a:ext cx="3536315" cy="2714625"/>
                          </a:xfrm>
                          <a:prstGeom prst="rect">
                            <a:avLst/>
                          </a:prstGeom>
                          <a:noFill/>
                          <a:ln w="9525">
                            <a:noFill/>
                            <a:miter lim="800000"/>
                            <a:headEnd/>
                            <a:tailEnd/>
                          </a:ln>
                        </pic:spPr>
                      </pic:pic>
                    </a:graphicData>
                  </a:graphic>
                </wp:anchor>
              </w:drawing>
            </w:r>
            <w:r>
              <w:rPr>
                <w:rFonts w:ascii="Arial" w:hAnsi="Arial" w:cs="Arial"/>
                <w:noProof/>
                <w:sz w:val="16"/>
                <w:szCs w:val="16"/>
                <w:lang w:eastAsia="en-AU"/>
              </w:rPr>
              <w:pict>
                <v:shape id="Text Box 329" o:spid="_x0000_s1031" type="#_x0000_t202" style="position:absolute;margin-left:-268.5pt;margin-top:5.5pt;width:25.5pt;height:24.4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" stroked="f">
                  <v:textbox>
                    <w:txbxContent>
                      <w:p w:rsidR="00A70C56" w:rsidRPr="00E206EA" w:rsidRDefault="00A70C56" w:rsidP="00DC6ED8">
                        <w:pPr>
                          <w:rPr>
                            <w:rFonts w:ascii="Arial" w:hAnsi="Arial" w:cs="Arial"/>
                            <w:sz w:val="16"/>
                            <w:szCs w:val="16"/>
                          </w:rPr>
                        </w:pPr>
                        <w:r w:rsidRPr="00E206EA">
                          <w:rPr>
                            <w:rFonts w:ascii="Arial" w:hAnsi="Arial" w:cs="Arial"/>
                            <w:sz w:val="16"/>
                            <w:szCs w:val="16"/>
                          </w:rPr>
                          <w:t>b)</w:t>
                        </w:r>
                      </w:p>
                    </w:txbxContent>
                  </v:textbox>
                </v:shape>
              </w:pict>
            </w:r>
          </w:p>
        </w:tc>
        <w:tc>
          <w:tcPr>
            <w:tcW w:w="1843" w:type="dxa"/>
          </w:tcPr>
          <w:p w:rsidR="00DC6ED8" w:rsidRDefault="00DC6ED8" w:rsidP="00DC6ED8">
            <w:pPr>
              <w:rPr>
                <w:rFonts w:ascii="Arial" w:hAnsi="Arial" w:cs="Arial"/>
                <w:b/>
                <w:sz w:val="16"/>
                <w:szCs w:val="16"/>
                <w:lang w:val="en-US"/>
              </w:rPr>
            </w:pPr>
          </w:p>
          <w:p w:rsidR="00DC6ED8" w:rsidRPr="00DC6ED8" w:rsidRDefault="00DC6ED8" w:rsidP="00F23933">
            <w:pPr>
              <w:rPr>
                <w:rFonts w:ascii="Arial" w:hAnsi="Arial" w:cs="Arial"/>
                <w:sz w:val="16"/>
                <w:szCs w:val="16"/>
                <w:lang w:val="en-US"/>
              </w:rPr>
            </w:pPr>
            <w:r w:rsidRPr="00DC6ED8">
              <w:rPr>
                <w:rFonts w:ascii="Arial" w:hAnsi="Arial" w:cs="Arial"/>
                <w:b/>
                <w:sz w:val="16"/>
                <w:szCs w:val="16"/>
                <w:lang w:val="en-US"/>
              </w:rPr>
              <w:t>Figure 4.3</w:t>
            </w:r>
            <w:r w:rsidRPr="00DC6ED8">
              <w:rPr>
                <w:rFonts w:ascii="Arial" w:hAnsi="Arial" w:cs="Arial"/>
                <w:sz w:val="16"/>
                <w:szCs w:val="16"/>
                <w:lang w:val="en-US"/>
              </w:rPr>
              <w:t xml:space="preserve"> b) result of repeat experiment for 910 mg L</w:t>
            </w:r>
            <w:r w:rsidRPr="00F8080C">
              <w:rPr>
                <w:rFonts w:ascii="Arial" w:hAnsi="Arial" w:cs="Arial"/>
                <w:sz w:val="16"/>
                <w:szCs w:val="16"/>
                <w:vertAlign w:val="superscript"/>
                <w:lang w:val="en-US"/>
              </w:rPr>
              <w:t>-1</w:t>
            </w:r>
            <w:r w:rsidRPr="00DC6ED8">
              <w:rPr>
                <w:rFonts w:ascii="Arial" w:hAnsi="Arial" w:cs="Arial"/>
                <w:sz w:val="16"/>
                <w:szCs w:val="16"/>
                <w:lang w:val="en-US"/>
              </w:rPr>
              <w:t xml:space="preserve"> treatment (measured Mg = 940 mg L</w:t>
            </w:r>
            <w:r w:rsidRPr="00F8080C">
              <w:rPr>
                <w:rFonts w:ascii="Arial" w:hAnsi="Arial" w:cs="Arial"/>
                <w:sz w:val="16"/>
                <w:szCs w:val="16"/>
                <w:vertAlign w:val="superscript"/>
                <w:lang w:val="en-US"/>
              </w:rPr>
              <w:t>-1</w:t>
            </w:r>
            <w:r w:rsidRPr="00DC6ED8">
              <w:rPr>
                <w:rFonts w:ascii="Arial" w:hAnsi="Arial" w:cs="Arial"/>
                <w:sz w:val="16"/>
                <w:szCs w:val="16"/>
                <w:lang w:val="en-US"/>
              </w:rPr>
              <w:t>).</w:t>
            </w:r>
          </w:p>
        </w:tc>
      </w:tr>
    </w:tbl>
    <w:p w:rsidR="00140070" w:rsidRDefault="00140070" w:rsidP="00140070">
      <w:pPr>
        <w:pStyle w:val="Heading5"/>
      </w:pPr>
      <w:r>
        <w:t>Multiple pulse scenarios</w:t>
      </w:r>
    </w:p>
    <w:p w:rsidR="00140070" w:rsidRDefault="00140070" w:rsidP="00140070">
      <w:r w:rsidRPr="00767323">
        <w:t>Five variations of equivalent time-weighted average concentrations were used to compare sensitivity of organisms after multiple pulses within a standard 96-h toxicity test. The sensitivity of the organisms to the multiple pulses generally corresponded with the time-weighted average response</w:t>
      </w:r>
      <w:r>
        <w:t>,</w:t>
      </w:r>
      <w:r w:rsidRPr="00767323">
        <w:t xml:space="preserve"> although </w:t>
      </w:r>
      <w:r>
        <w:t xml:space="preserve">the </w:t>
      </w:r>
      <w:r w:rsidRPr="00767323">
        <w:t>hydra</w:t>
      </w:r>
      <w:r>
        <w:t>’s</w:t>
      </w:r>
      <w:r w:rsidRPr="00767323">
        <w:t xml:space="preserve"> growth was statistically higher in two multiple pulse scenarios indicating that this species benefited</w:t>
      </w:r>
      <w:r>
        <w:t xml:space="preserve"> from recovery periods (Figure 4.</w:t>
      </w:r>
      <w:r w:rsidRPr="008A3E06">
        <w:t>4</w:t>
      </w:r>
      <w: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5778"/>
        <w:gridCol w:w="1883"/>
      </w:tblGrid>
      <w:tr w:rsidR="004B2FC2" w:rsidTr="007B4881">
        <w:tc>
          <w:tcPr>
            <w:tcW w:w="5778" w:type="dxa"/>
          </w:tcPr>
          <w:p w:rsidR="004B2FC2" w:rsidRDefault="004B2FC2" w:rsidP="00395345">
            <w:r>
              <w:rPr>
                <w:noProof/>
                <w:lang w:eastAsia="en-AU"/>
              </w:rPr>
              <w:drawing>
                <wp:anchor distT="0" distB="0" distL="114300" distR="114300" simplePos="0" relativeHeight="251731968" behindDoc="0" locked="0" layoutInCell="1" allowOverlap="1">
                  <wp:simplePos x="0" y="0"/>
                  <wp:positionH relativeFrom="column">
                    <wp:posOffset>-51435</wp:posOffset>
                  </wp:positionH>
                  <wp:positionV relativeFrom="paragraph">
                    <wp:posOffset>-635</wp:posOffset>
                  </wp:positionV>
                  <wp:extent cx="3685540" cy="3319780"/>
                  <wp:effectExtent l="19050" t="0" r="0" b="0"/>
                  <wp:wrapTopAndBottom/>
                  <wp:docPr id="63"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9"/>
                          <pic:cNvPicPr>
                            <a:picLocks noChangeAspect="1" noChangeArrowheads="1"/>
                          </pic:cNvPicPr>
                        </pic:nvPicPr>
                        <pic:blipFill>
                          <a:blip r:embed="rId102" cstate="screen"/>
                          <a:srcRect/>
                          <a:stretch>
                            <a:fillRect/>
                          </a:stretch>
                        </pic:blipFill>
                        <pic:spPr bwMode="auto">
                          <a:xfrm>
                            <a:off x="0" y="0"/>
                            <a:ext cx="3685540" cy="3319780"/>
                          </a:xfrm>
                          <a:prstGeom prst="rect">
                            <a:avLst/>
                          </a:prstGeom>
                          <a:noFill/>
                          <a:ln w="9525">
                            <a:noFill/>
                            <a:miter lim="800000"/>
                            <a:headEnd/>
                            <a:tailEnd/>
                          </a:ln>
                        </pic:spPr>
                      </pic:pic>
                    </a:graphicData>
                  </a:graphic>
                </wp:anchor>
              </w:drawing>
            </w:r>
          </w:p>
        </w:tc>
        <w:tc>
          <w:tcPr>
            <w:tcW w:w="1883" w:type="dxa"/>
          </w:tcPr>
          <w:p w:rsidR="004B2FC2" w:rsidRPr="00140070" w:rsidRDefault="004B2FC2" w:rsidP="00395345">
            <w:pPr>
              <w:spacing w:line="260" w:lineRule="atLeast"/>
              <w:rPr>
                <w:rFonts w:ascii="Garamond" w:hAnsi="Garamond"/>
                <w:lang w:val="en-US"/>
              </w:rPr>
            </w:pPr>
          </w:p>
          <w:p w:rsidR="004B2FC2" w:rsidRPr="000A722D" w:rsidRDefault="004B2FC2" w:rsidP="00395345">
            <w:pPr>
              <w:pStyle w:val="figurecaption"/>
              <w:jc w:val="left"/>
              <w:rPr>
                <w:szCs w:val="16"/>
              </w:rPr>
            </w:pPr>
            <w:r w:rsidRPr="000A722D">
              <w:rPr>
                <w:b/>
                <w:szCs w:val="16"/>
              </w:rPr>
              <w:t>Figure 4.4</w:t>
            </w:r>
            <w:r w:rsidRPr="000A722D">
              <w:rPr>
                <w:szCs w:val="16"/>
              </w:rPr>
              <w:t xml:space="preserve">  </w:t>
            </w:r>
            <w:r w:rsidRPr="000A722D">
              <w:rPr>
                <w:i/>
                <w:iCs/>
                <w:szCs w:val="16"/>
              </w:rPr>
              <w:t xml:space="preserve">Hydra viridissima </w:t>
            </w:r>
            <w:r w:rsidRPr="000A722D">
              <w:rPr>
                <w:szCs w:val="16"/>
              </w:rPr>
              <w:t>mean 96-h percentage of control growth rate after a 1 x 24 h, 6 x 4 h, 3 x 8 h and 4 x 6 h at 850 mg L</w:t>
            </w:r>
            <w:r w:rsidRPr="00F8080C">
              <w:rPr>
                <w:snapToGrid w:val="0"/>
                <w:color w:val="000000"/>
                <w:position w:val="4"/>
                <w:szCs w:val="16"/>
                <w:u w:color="000000"/>
                <w:vertAlign w:val="superscript"/>
              </w:rPr>
              <w:t>-1</w:t>
            </w:r>
            <w:r w:rsidRPr="000A722D">
              <w:rPr>
                <w:szCs w:val="16"/>
              </w:rPr>
              <w:t xml:space="preserve"> Mg pulses, a 1 x 68 h pulse at 300 mg L</w:t>
            </w:r>
            <w:r w:rsidRPr="00F8080C">
              <w:rPr>
                <w:snapToGrid w:val="0"/>
                <w:color w:val="000000"/>
                <w:position w:val="4"/>
                <w:szCs w:val="16"/>
                <w:u w:color="000000"/>
                <w:vertAlign w:val="superscript"/>
              </w:rPr>
              <w:t>-1</w:t>
            </w:r>
            <w:r w:rsidRPr="000A722D">
              <w:rPr>
                <w:szCs w:val="16"/>
              </w:rPr>
              <w:t xml:space="preserve"> Mg and 1 x 68 h at 850 mg L</w:t>
            </w:r>
            <w:r w:rsidRPr="00F8080C">
              <w:rPr>
                <w:snapToGrid w:val="0"/>
                <w:color w:val="000000"/>
                <w:position w:val="4"/>
                <w:szCs w:val="16"/>
                <w:u w:color="000000"/>
                <w:vertAlign w:val="superscript"/>
              </w:rPr>
              <w:t>-1</w:t>
            </w:r>
            <w:r w:rsidRPr="000A722D">
              <w:rPr>
                <w:szCs w:val="16"/>
              </w:rPr>
              <w:t xml:space="preserve"> Mg pulse. Significant differences between treatments are shown by differing letters, Tukey’s post-hoc test P &lt;0.001.</w:t>
            </w:r>
          </w:p>
          <w:p w:rsidR="004B2FC2" w:rsidRDefault="004B2FC2" w:rsidP="00395345"/>
        </w:tc>
      </w:tr>
    </w:tbl>
    <w:p w:rsidR="00140070" w:rsidRDefault="00140070" w:rsidP="00140070">
      <w:r w:rsidRPr="00767323">
        <w:t>The potential regulatory approach of applying a</w:t>
      </w:r>
      <w:r>
        <w:t xml:space="preserve"> total additive time, or the 68 </w:t>
      </w:r>
      <w:r w:rsidRPr="00767323">
        <w:t>h exposure to 850 mg</w:t>
      </w:r>
      <w:r>
        <w:t xml:space="preserve"> L</w:t>
      </w:r>
      <w:r w:rsidRPr="005E50E3">
        <w:rPr>
          <w:vertAlign w:val="superscript"/>
        </w:rPr>
        <w:t>-1</w:t>
      </w:r>
      <w:r w:rsidRPr="00767323">
        <w:t xml:space="preserve">, showed statistically lower percentage control growth at 5 ± 5% than all other treatments indicating that, based on the response of </w:t>
      </w:r>
      <w:r w:rsidRPr="00767323">
        <w:rPr>
          <w:i/>
        </w:rPr>
        <w:t>H. viridissima</w:t>
      </w:r>
      <w:r w:rsidRPr="00767323">
        <w:t xml:space="preserve"> alone, this would be an overly-conservative approach.</w:t>
      </w:r>
    </w:p>
    <w:p w:rsidR="00140070" w:rsidRDefault="00140070" w:rsidP="00140070">
      <w:pPr>
        <w:pStyle w:val="Heading3"/>
      </w:pPr>
      <w:r>
        <w:t>4.2.4  Conclusions</w:t>
      </w:r>
    </w:p>
    <w:p w:rsidR="00140070" w:rsidRPr="00BE1ED1" w:rsidRDefault="00140070" w:rsidP="00140070">
      <w:r>
        <w:t>Complete</w:t>
      </w:r>
      <w:r w:rsidRPr="00BE1ED1">
        <w:t xml:space="preserve"> recovery of </w:t>
      </w:r>
      <w:r w:rsidRPr="00BE1ED1">
        <w:rPr>
          <w:i/>
        </w:rPr>
        <w:t>H. viridissima</w:t>
      </w:r>
      <w:r w:rsidRPr="00BE1ED1">
        <w:t xml:space="preserve"> was observed for all Mg concentrations, pulse durations and recovery periods tested. This indicates that this species </w:t>
      </w:r>
      <w:r>
        <w:t>truly recovers</w:t>
      </w:r>
      <w:r w:rsidRPr="00BE1ED1">
        <w:t xml:space="preserve"> from Mg pulses and do</w:t>
      </w:r>
      <w:r>
        <w:t>es</w:t>
      </w:r>
      <w:r w:rsidRPr="00BE1ED1">
        <w:t xml:space="preserve"> not carry over any toxicity to subsequent pulses.</w:t>
      </w:r>
    </w:p>
    <w:p w:rsidR="00140070" w:rsidRPr="00A1547F" w:rsidRDefault="00140070" w:rsidP="00140070">
      <w:pPr>
        <w:rPr>
          <w:szCs w:val="24"/>
        </w:rPr>
      </w:pPr>
      <w:r>
        <w:rPr>
          <w:szCs w:val="24"/>
        </w:rPr>
        <w:t>True</w:t>
      </w:r>
      <w:r w:rsidRPr="00BE1ED1">
        <w:rPr>
          <w:szCs w:val="24"/>
        </w:rPr>
        <w:t xml:space="preserve"> recovery occurred more rapidly than expected based on observations of</w:t>
      </w:r>
      <w:r>
        <w:rPr>
          <w:szCs w:val="24"/>
        </w:rPr>
        <w:t xml:space="preserve"> apparent recovery from</w:t>
      </w:r>
      <w:r w:rsidRPr="00BE1ED1">
        <w:rPr>
          <w:szCs w:val="24"/>
        </w:rPr>
        <w:t xml:space="preserve"> single Mg pulse tests, demonstrating that apparent recovery is a conservative indicator of </w:t>
      </w:r>
      <w:r>
        <w:rPr>
          <w:szCs w:val="24"/>
        </w:rPr>
        <w:t>true</w:t>
      </w:r>
      <w:r w:rsidRPr="00BE1ED1">
        <w:rPr>
          <w:szCs w:val="24"/>
        </w:rPr>
        <w:t xml:space="preserve"> recovery for this species.</w:t>
      </w:r>
      <w:r w:rsidR="00A1547F">
        <w:rPr>
          <w:szCs w:val="24"/>
        </w:rPr>
        <w:t xml:space="preserve"> </w:t>
      </w:r>
      <w:r w:rsidRPr="00BE1ED1">
        <w:t xml:space="preserve">While additional organisms should be tested, </w:t>
      </w:r>
      <w:r>
        <w:t>the double pulse experiments suggest</w:t>
      </w:r>
      <w:r w:rsidRPr="00BE1ED1">
        <w:t xml:space="preserve"> that Mg pulses more than 24 h apart </w:t>
      </w:r>
      <w:r>
        <w:t xml:space="preserve">(i.e. the shortest recovery period tested for both pulse durations) </w:t>
      </w:r>
      <w:r w:rsidRPr="00BE1ED1">
        <w:t>may be considered as independent events when applying the TV in a regulatory framework.</w:t>
      </w:r>
    </w:p>
    <w:p w:rsidR="00140070" w:rsidRPr="00BE1ED1" w:rsidRDefault="00140070" w:rsidP="00140070">
      <w:pPr>
        <w:rPr>
          <w:szCs w:val="24"/>
        </w:rPr>
      </w:pPr>
      <w:r w:rsidRPr="00BE1ED1">
        <w:rPr>
          <w:i/>
          <w:szCs w:val="24"/>
        </w:rPr>
        <w:t>H</w:t>
      </w:r>
      <w:r>
        <w:rPr>
          <w:i/>
          <w:szCs w:val="24"/>
        </w:rPr>
        <w:t>ydra</w:t>
      </w:r>
      <w:r w:rsidRPr="00BE1ED1">
        <w:rPr>
          <w:i/>
          <w:szCs w:val="24"/>
        </w:rPr>
        <w:t xml:space="preserve"> viridissima</w:t>
      </w:r>
      <w:r w:rsidRPr="00BE1ED1">
        <w:rPr>
          <w:szCs w:val="24"/>
        </w:rPr>
        <w:t xml:space="preserve"> appear to be slightly less sensitive to multiple short pulses than one longer pulse of equivalent exposure. </w:t>
      </w:r>
      <w:r w:rsidR="00F23933">
        <w:rPr>
          <w:szCs w:val="24"/>
        </w:rPr>
        <w:t>T</w:t>
      </w:r>
      <w:r w:rsidRPr="00BE1ED1">
        <w:rPr>
          <w:szCs w:val="24"/>
        </w:rPr>
        <w:t xml:space="preserve">his indicates that </w:t>
      </w:r>
      <w:r w:rsidR="00F23933">
        <w:rPr>
          <w:szCs w:val="24"/>
        </w:rPr>
        <w:t xml:space="preserve">for this species, </w:t>
      </w:r>
      <w:r w:rsidRPr="00BE1ED1">
        <w:rPr>
          <w:szCs w:val="24"/>
        </w:rPr>
        <w:t>time weighted averaging may be a suitable approach when assessing the risk of multiple Mg pulses with inter-pulse periods &lt; 24 h apart.</w:t>
      </w:r>
    </w:p>
    <w:p w:rsidR="00140070" w:rsidRPr="00140070" w:rsidRDefault="00140070" w:rsidP="00140070">
      <w:pPr>
        <w:pStyle w:val="Heading3"/>
      </w:pPr>
      <w:r w:rsidRPr="00140070">
        <w:t>4.2.5  Further work</w:t>
      </w:r>
    </w:p>
    <w:p w:rsidR="00140070" w:rsidRPr="00140070" w:rsidRDefault="00140070" w:rsidP="00140070">
      <w:pPr>
        <w:rPr>
          <w:iCs/>
        </w:rPr>
      </w:pPr>
      <w:r w:rsidRPr="00140070">
        <w:t xml:space="preserve">This study focussed on one organism, and further toxicity testing on several species would be needed if changes to the application of the site-specific TV framework were to be recommended. Given the high sensitivity and slow apparent recovery from single pulse experiments using </w:t>
      </w:r>
      <w:r w:rsidRPr="00140070">
        <w:rPr>
          <w:i/>
          <w:iCs/>
        </w:rPr>
        <w:t xml:space="preserve">Moinodaphnia macleayi, </w:t>
      </w:r>
      <w:r w:rsidRPr="00140070">
        <w:rPr>
          <w:iCs/>
        </w:rPr>
        <w:t>this species is considered a priority test organism.</w:t>
      </w:r>
    </w:p>
    <w:p w:rsidR="00140070" w:rsidRPr="00140070" w:rsidRDefault="00140070" w:rsidP="00140070">
      <w:pPr>
        <w:pStyle w:val="Heading2"/>
      </w:pPr>
      <w:bookmarkStart w:id="245" w:name="_Toc399928187"/>
      <w:r w:rsidRPr="00140070">
        <w:t>4.3</w:t>
      </w:r>
      <w:r w:rsidRPr="00140070">
        <w:tab/>
        <w:t>Derivation of a water quality trigger value for manganese</w:t>
      </w:r>
      <w:bookmarkEnd w:id="245"/>
    </w:p>
    <w:p w:rsidR="00140070" w:rsidRPr="00140070" w:rsidRDefault="00140070" w:rsidP="00140070">
      <w:pPr>
        <w:pStyle w:val="Heading3"/>
      </w:pPr>
      <w:r w:rsidRPr="00140070">
        <w:t>4.3.1  Background</w:t>
      </w:r>
    </w:p>
    <w:p w:rsidR="00140070" w:rsidRPr="00140070" w:rsidRDefault="00140070" w:rsidP="00140070">
      <w:r w:rsidRPr="00140070">
        <w:t>Manganese (Mn) occurs at elevated concentrations in the mine waters of the Ranger uranium mine. Although, Mn is reported to be lower in toxicity compared to many other metals, the very soft-water of Magela Creek increases the risk of Mn being toxic to local organisms. Hence, site-specific water quality Trigger Values (TV) for Mn are needed for the mine’s current operations as well as for closure criteria for its rehabilitation targets. An assessment of the toxicity of Mn to local species has been ongoing since a preliminary study in 2008. Further context and past progress of this project have been previously reported in</w:t>
      </w:r>
      <w:r w:rsidR="00A1547F">
        <w:t xml:space="preserve"> </w:t>
      </w:r>
      <w:r w:rsidRPr="00140070">
        <w:t>Supervising Scientist’s annual research summaries and annual reports (Supervising Scientist 2014</w:t>
      </w:r>
      <w:r w:rsidRPr="00140070">
        <w:rPr>
          <w:vertAlign w:val="superscript"/>
        </w:rPr>
        <w:footnoteReference w:id="11"/>
      </w:r>
      <w:r w:rsidRPr="00140070">
        <w:t>).</w:t>
      </w:r>
    </w:p>
    <w:p w:rsidR="00140070" w:rsidRPr="0096413A" w:rsidRDefault="00140070" w:rsidP="00140070">
      <w:r w:rsidRPr="0096413A">
        <w:t xml:space="preserve">The </w:t>
      </w:r>
      <w:r>
        <w:t xml:space="preserve">Mn TV </w:t>
      </w:r>
      <w:r w:rsidRPr="0096413A">
        <w:t>project had the following aims:</w:t>
      </w:r>
    </w:p>
    <w:p w:rsidR="00140070" w:rsidRPr="0096413A" w:rsidRDefault="00140070" w:rsidP="009A289C">
      <w:pPr>
        <w:pStyle w:val="bulletlist2"/>
        <w:ind w:left="284" w:hanging="284"/>
      </w:pPr>
      <w:r w:rsidRPr="0096413A">
        <w:t xml:space="preserve">Assess the toxicity of manganese (Mn) in natural </w:t>
      </w:r>
      <w:r w:rsidR="009A289C">
        <w:t xml:space="preserve">Magela Creek water (NMCW; pH ~6 </w:t>
      </w:r>
      <w:r w:rsidRPr="0096413A">
        <w:t>6.5) to tropical freshwater species</w:t>
      </w:r>
      <w:r w:rsidR="0071597A">
        <w:t>,</w:t>
      </w:r>
      <w:r>
        <w:t xml:space="preserve"> and</w:t>
      </w:r>
    </w:p>
    <w:p w:rsidR="00140070" w:rsidRDefault="00140070" w:rsidP="00FB2137">
      <w:pPr>
        <w:pStyle w:val="bulletlist2"/>
        <w:ind w:hanging="924"/>
      </w:pPr>
      <w:r w:rsidRPr="0096413A">
        <w:t>Derive a site-specific water quality TV for Mn based on the toxicity data</w:t>
      </w:r>
      <w:r>
        <w:t>.</w:t>
      </w:r>
    </w:p>
    <w:p w:rsidR="00140070" w:rsidRDefault="00140070" w:rsidP="00140070">
      <w:pPr>
        <w:pStyle w:val="Heading3"/>
      </w:pPr>
      <w:r>
        <w:t>4.3.2  Methods</w:t>
      </w:r>
    </w:p>
    <w:p w:rsidR="00140070" w:rsidRPr="00E44D8F" w:rsidRDefault="00140070" w:rsidP="00140070">
      <w:r>
        <w:t>The toxicity of Mn was assessed using six local freshwater species. T</w:t>
      </w:r>
      <w:r w:rsidRPr="00E44D8F">
        <w:t xml:space="preserve">oxicity testing methods </w:t>
      </w:r>
      <w:r>
        <w:t xml:space="preserve">used have been </w:t>
      </w:r>
      <w:r w:rsidRPr="00E44D8F">
        <w:t xml:space="preserve">previously described </w:t>
      </w:r>
      <w:r>
        <w:t>and preliminary toxicity estimates previously provided</w:t>
      </w:r>
      <w:r>
        <w:rPr>
          <w:snapToGrid w:val="0"/>
          <w:color w:val="000000"/>
          <w:position w:val="5"/>
          <w:sz w:val="15"/>
          <w:szCs w:val="0"/>
          <w:u w:color="000000"/>
        </w:rPr>
        <w:t xml:space="preserve"> </w:t>
      </w:r>
      <w:r w:rsidRPr="00AB22FA">
        <w:rPr>
          <w:snapToGrid w:val="0"/>
          <w:color w:val="000000"/>
          <w:szCs w:val="0"/>
          <w:u w:color="000000"/>
        </w:rPr>
        <w:t>(</w:t>
      </w:r>
      <w:r>
        <w:rPr>
          <w:snapToGrid w:val="0"/>
          <w:color w:val="000000"/>
          <w:szCs w:val="0"/>
          <w:u w:color="000000"/>
        </w:rPr>
        <w:t>Supervising Scientist</w:t>
      </w:r>
      <w:r w:rsidRPr="00AB22FA">
        <w:rPr>
          <w:snapToGrid w:val="0"/>
          <w:color w:val="000000"/>
          <w:szCs w:val="0"/>
          <w:u w:color="000000"/>
        </w:rPr>
        <w:t xml:space="preserve"> 2014)</w:t>
      </w:r>
      <w:r>
        <w:rPr>
          <w:snapToGrid w:val="0"/>
          <w:color w:val="000000"/>
          <w:szCs w:val="0"/>
          <w:u w:color="000000"/>
        </w:rPr>
        <w:t>.</w:t>
      </w:r>
      <w:r w:rsidRPr="00E44D8F">
        <w:t xml:space="preserve"> </w:t>
      </w:r>
      <w:r>
        <w:t>The final toxicity estimates were used to derive a</w:t>
      </w:r>
      <w:r w:rsidRPr="00E44D8F">
        <w:t xml:space="preserve"> site-specific 99% </w:t>
      </w:r>
      <w:r>
        <w:t xml:space="preserve">species </w:t>
      </w:r>
      <w:r w:rsidRPr="00E44D8F">
        <w:t xml:space="preserve">protection TV using the </w:t>
      </w:r>
      <w:r w:rsidR="00CC4574">
        <w:t>s</w:t>
      </w:r>
      <w:r w:rsidRPr="00E44D8F">
        <w:t xml:space="preserve">pecies </w:t>
      </w:r>
      <w:r w:rsidR="00CC4574">
        <w:t>s</w:t>
      </w:r>
      <w:r w:rsidRPr="00E44D8F">
        <w:t xml:space="preserve">ensitivity </w:t>
      </w:r>
      <w:r w:rsidR="00CC4574">
        <w:t>d</w:t>
      </w:r>
      <w:r w:rsidRPr="00E44D8F">
        <w:t xml:space="preserve">istribution method. </w:t>
      </w:r>
      <w:r>
        <w:t>T</w:t>
      </w:r>
      <w:r w:rsidRPr="00E44D8F">
        <w:t xml:space="preserve">hree toxicity estimates </w:t>
      </w:r>
      <w:r w:rsidRPr="00B43B0C">
        <w:t>(Peters et al</w:t>
      </w:r>
      <w:r>
        <w:t>.</w:t>
      </w:r>
      <w:r w:rsidRPr="00B43B0C">
        <w:t xml:space="preserve"> 2011</w:t>
      </w:r>
      <w:r>
        <w:rPr>
          <w:rStyle w:val="FootnoteReference"/>
        </w:rPr>
        <w:footnoteReference w:id="12"/>
      </w:r>
      <w:r w:rsidRPr="00B43B0C">
        <w:t>)</w:t>
      </w:r>
      <w:r w:rsidRPr="00E44D8F">
        <w:t xml:space="preserve"> from international studies with physico-chemical conditions closely related to Magela Creek were </w:t>
      </w:r>
      <w:r>
        <w:t xml:space="preserve">identified in the literature. These were </w:t>
      </w:r>
      <w:r w:rsidRPr="00E44D8F">
        <w:t>added to the local species dataset</w:t>
      </w:r>
      <w:r>
        <w:t xml:space="preserve"> to increase the sample size and statistical rigour of the </w:t>
      </w:r>
      <w:r w:rsidR="00CC4574">
        <w:t>method</w:t>
      </w:r>
      <w:r w:rsidRPr="00E44D8F">
        <w:t>.</w:t>
      </w:r>
    </w:p>
    <w:p w:rsidR="00140070" w:rsidRDefault="00140070" w:rsidP="00140070">
      <w:pPr>
        <w:pStyle w:val="Heading3"/>
      </w:pPr>
      <w:r>
        <w:t>4.3.3  Toxicity</w:t>
      </w:r>
    </w:p>
    <w:p w:rsidR="00140070" w:rsidRPr="00E44D8F" w:rsidRDefault="00140070" w:rsidP="00140070">
      <w:r w:rsidRPr="00E44D8F">
        <w:t xml:space="preserve">Manganese toxicity estimates varied markedly between the six local tropical freshwater species (see Table </w:t>
      </w:r>
      <w:r>
        <w:t>4.</w:t>
      </w:r>
      <w:r w:rsidRPr="00E44D8F">
        <w:t xml:space="preserve">1 for final toxicity estimates). </w:t>
      </w:r>
      <w:r w:rsidRPr="00E44D8F">
        <w:rPr>
          <w:i/>
        </w:rPr>
        <w:t xml:space="preserve">Hydra viridissima </w:t>
      </w:r>
      <w:r w:rsidRPr="00E44D8F">
        <w:t xml:space="preserve">was the second most sensitive species reported in the literature after the freshwater amphipod, </w:t>
      </w:r>
      <w:r w:rsidRPr="00E44D8F">
        <w:rPr>
          <w:i/>
        </w:rPr>
        <w:t>Hyalella azteca</w:t>
      </w:r>
      <w:r w:rsidRPr="00E44D8F">
        <w:t xml:space="preserve"> (IC10 = 100 µg L</w:t>
      </w:r>
      <w:r w:rsidRPr="00391D5A">
        <w:rPr>
          <w:snapToGrid w:val="0"/>
          <w:color w:val="000000"/>
          <w:position w:val="5"/>
          <w:sz w:val="15"/>
          <w:szCs w:val="0"/>
          <w:u w:color="000000"/>
        </w:rPr>
        <w:t>-1</w:t>
      </w:r>
      <w:r w:rsidRPr="00E44D8F">
        <w:t>). The order of sensitivity of the six species to Mn was:</w:t>
      </w:r>
    </w:p>
    <w:p w:rsidR="00140070" w:rsidRDefault="00140070" w:rsidP="00140070">
      <w:pPr>
        <w:rPr>
          <w:i/>
        </w:rPr>
      </w:pPr>
      <w:proofErr w:type="gramStart"/>
      <w:r w:rsidRPr="00E44D8F">
        <w:rPr>
          <w:i/>
        </w:rPr>
        <w:t>H. viridissima</w:t>
      </w:r>
      <w:r w:rsidRPr="00E44D8F">
        <w:t xml:space="preserve"> &gt;</w:t>
      </w:r>
      <w:r w:rsidRPr="00E44D8F">
        <w:rPr>
          <w:i/>
        </w:rPr>
        <w:t xml:space="preserve"> A. cumingi</w:t>
      </w:r>
      <w:r w:rsidRPr="00E44D8F">
        <w:t xml:space="preserve"> &gt;</w:t>
      </w:r>
      <w:r w:rsidRPr="00E44D8F">
        <w:rPr>
          <w:i/>
        </w:rPr>
        <w:t>M. macleayi</w:t>
      </w:r>
      <w:r w:rsidRPr="00E44D8F">
        <w:t xml:space="preserve"> &gt;&gt; </w:t>
      </w:r>
      <w:r w:rsidRPr="00E44D8F">
        <w:rPr>
          <w:i/>
        </w:rPr>
        <w:t>L. aequinoctialis</w:t>
      </w:r>
      <w:r w:rsidRPr="00E44D8F">
        <w:t xml:space="preserve"> &gt; </w:t>
      </w:r>
      <w:r w:rsidRPr="00E44D8F">
        <w:rPr>
          <w:i/>
        </w:rPr>
        <w:t>Chlorella</w:t>
      </w:r>
      <w:r w:rsidRPr="00E44D8F">
        <w:t xml:space="preserve"> sp. &gt;&gt; </w:t>
      </w:r>
      <w:r w:rsidRPr="00E44D8F">
        <w:rPr>
          <w:i/>
        </w:rPr>
        <w:t xml:space="preserve">M. </w:t>
      </w:r>
      <w:r>
        <w:rPr>
          <w:i/>
        </w:rPr>
        <w:t>m</w:t>
      </w:r>
      <w:r w:rsidRPr="00E44D8F">
        <w:rPr>
          <w:i/>
        </w:rPr>
        <w:t>ogurnda.</w:t>
      </w:r>
      <w:proofErr w:type="gramEnd"/>
    </w:p>
    <w:tbl>
      <w:tblPr>
        <w:tblW w:w="7621" w:type="dxa"/>
        <w:tblLook w:val="0000"/>
      </w:tblPr>
      <w:tblGrid>
        <w:gridCol w:w="1969"/>
        <w:gridCol w:w="2108"/>
        <w:gridCol w:w="3544"/>
      </w:tblGrid>
      <w:tr w:rsidR="00A1547F" w:rsidRPr="004C64CF" w:rsidTr="00A1547F">
        <w:trPr>
          <w:trHeight w:val="264"/>
        </w:trPr>
        <w:tc>
          <w:tcPr>
            <w:tcW w:w="7621" w:type="dxa"/>
            <w:gridSpan w:val="3"/>
            <w:tcBorders>
              <w:top w:val="nil"/>
              <w:left w:val="nil"/>
              <w:bottom w:val="nil"/>
              <w:right w:val="nil"/>
            </w:tcBorders>
            <w:shd w:val="clear" w:color="auto" w:fill="D9D9D9"/>
            <w:noWrap/>
            <w:vAlign w:val="bottom"/>
          </w:tcPr>
          <w:p w:rsidR="00A1547F" w:rsidRPr="004C64CF" w:rsidRDefault="00A1547F" w:rsidP="00A1547F">
            <w:pPr>
              <w:pStyle w:val="tablecaption"/>
              <w:rPr>
                <w:lang w:eastAsia="en-AU"/>
              </w:rPr>
            </w:pPr>
            <w:r w:rsidRPr="004C64CF">
              <w:t xml:space="preserve">Table </w:t>
            </w:r>
            <w:proofErr w:type="gramStart"/>
            <w:r w:rsidRPr="004C64CF">
              <w:t>4.1  Final</w:t>
            </w:r>
            <w:proofErr w:type="gramEnd"/>
            <w:r w:rsidRPr="004C64CF">
              <w:t xml:space="preserve"> manganese toxicity estimates for the six tropical freshwater species.</w:t>
            </w:r>
          </w:p>
        </w:tc>
      </w:tr>
      <w:tr w:rsidR="00A1547F" w:rsidRPr="004C64CF" w:rsidTr="00A1547F">
        <w:trPr>
          <w:trHeight w:val="264"/>
        </w:trPr>
        <w:tc>
          <w:tcPr>
            <w:tcW w:w="1969" w:type="dxa"/>
            <w:tcBorders>
              <w:top w:val="nil"/>
              <w:left w:val="nil"/>
              <w:right w:val="nil"/>
            </w:tcBorders>
            <w:shd w:val="clear" w:color="auto" w:fill="auto"/>
            <w:noWrap/>
            <w:vAlign w:val="bottom"/>
          </w:tcPr>
          <w:p w:rsidR="00A1547F" w:rsidRPr="004C64CF" w:rsidRDefault="00A1547F" w:rsidP="00A1547F">
            <w:pPr>
              <w:spacing w:before="60" w:after="60" w:line="220" w:lineRule="atLeast"/>
              <w:rPr>
                <w:rFonts w:ascii="Arial" w:eastAsia="Arial Unicode MS" w:hAnsi="Arial"/>
                <w:b/>
                <w:sz w:val="16"/>
                <w:lang w:eastAsia="en-AU"/>
              </w:rPr>
            </w:pPr>
          </w:p>
        </w:tc>
        <w:tc>
          <w:tcPr>
            <w:tcW w:w="5652" w:type="dxa"/>
            <w:gridSpan w:val="2"/>
            <w:tcBorders>
              <w:top w:val="nil"/>
              <w:left w:val="nil"/>
              <w:bottom w:val="single" w:sz="8" w:space="0" w:color="C0C0C0"/>
              <w:right w:val="nil"/>
            </w:tcBorders>
            <w:shd w:val="clear" w:color="auto" w:fill="auto"/>
            <w:noWrap/>
            <w:vAlign w:val="bottom"/>
          </w:tcPr>
          <w:p w:rsidR="00A1547F" w:rsidRPr="004C64CF" w:rsidRDefault="00A1547F" w:rsidP="00A1547F">
            <w:pPr>
              <w:spacing w:before="60" w:after="60" w:line="220" w:lineRule="atLeast"/>
              <w:jc w:val="center"/>
              <w:rPr>
                <w:rFonts w:ascii="Arial" w:eastAsia="Arial Unicode MS" w:hAnsi="Arial"/>
                <w:b/>
                <w:sz w:val="16"/>
                <w:lang w:eastAsia="en-AU"/>
              </w:rPr>
            </w:pPr>
            <w:r w:rsidRPr="004C64CF">
              <w:rPr>
                <w:rFonts w:ascii="Arial" w:eastAsia="Arial Unicode MS" w:hAnsi="Arial"/>
                <w:b/>
                <w:sz w:val="16"/>
                <w:lang w:eastAsia="en-AU"/>
              </w:rPr>
              <w:t xml:space="preserve">Manganese </w:t>
            </w:r>
            <w:r w:rsidRPr="004C64CF">
              <w:rPr>
                <w:rFonts w:ascii="Arial" w:eastAsia="Arial Unicode MS" w:hAnsi="Arial"/>
                <w:b/>
                <w:snapToGrid w:val="0"/>
                <w:color w:val="000000"/>
                <w:sz w:val="16"/>
                <w:szCs w:val="0"/>
                <w:u w:color="000000"/>
                <w:lang w:eastAsia="en-AU"/>
              </w:rPr>
              <w:t>(</w:t>
            </w:r>
            <w:r w:rsidRPr="004C64CF">
              <w:rPr>
                <w:rFonts w:ascii="Arial" w:eastAsia="Arial Unicode MS" w:hAnsi="Arial" w:cs="Arial"/>
                <w:b/>
                <w:snapToGrid w:val="0"/>
                <w:color w:val="000000"/>
                <w:sz w:val="16"/>
                <w:szCs w:val="0"/>
                <w:u w:color="000000"/>
                <w:lang w:eastAsia="en-AU"/>
              </w:rPr>
              <w:t>µg L</w:t>
            </w:r>
            <w:r w:rsidRPr="004C64CF">
              <w:rPr>
                <w:rFonts w:ascii="Arial" w:eastAsia="Arial Unicode MS" w:hAnsi="Arial"/>
                <w:b/>
                <w:snapToGrid w:val="0"/>
                <w:color w:val="000000"/>
                <w:position w:val="4"/>
                <w:sz w:val="11"/>
                <w:szCs w:val="0"/>
                <w:u w:color="000000"/>
                <w:lang w:eastAsia="en-AU"/>
              </w:rPr>
              <w:t>-1</w:t>
            </w:r>
            <w:r w:rsidRPr="004C64CF">
              <w:rPr>
                <w:rFonts w:ascii="Arial" w:eastAsia="Arial Unicode MS" w:hAnsi="Arial"/>
                <w:b/>
                <w:snapToGrid w:val="0"/>
                <w:color w:val="000000"/>
                <w:sz w:val="16"/>
                <w:szCs w:val="0"/>
                <w:u w:color="000000"/>
                <w:lang w:eastAsia="en-AU"/>
              </w:rPr>
              <w:t>)</w:t>
            </w:r>
          </w:p>
        </w:tc>
      </w:tr>
      <w:tr w:rsidR="00A1547F" w:rsidRPr="004C64CF" w:rsidTr="00A1547F">
        <w:trPr>
          <w:trHeight w:val="264"/>
        </w:trPr>
        <w:tc>
          <w:tcPr>
            <w:tcW w:w="1969" w:type="dxa"/>
            <w:tcBorders>
              <w:left w:val="nil"/>
              <w:bottom w:val="single" w:sz="8" w:space="0" w:color="C0C0C0"/>
              <w:right w:val="nil"/>
            </w:tcBorders>
            <w:shd w:val="clear" w:color="auto" w:fill="auto"/>
            <w:noWrap/>
            <w:vAlign w:val="bottom"/>
          </w:tcPr>
          <w:p w:rsidR="00A1547F" w:rsidRPr="004C64CF" w:rsidRDefault="00A1547F" w:rsidP="00A1547F">
            <w:pPr>
              <w:spacing w:before="60" w:after="60" w:line="220" w:lineRule="atLeast"/>
              <w:rPr>
                <w:rFonts w:ascii="Arial" w:eastAsia="Arial Unicode MS" w:hAnsi="Arial"/>
                <w:b/>
                <w:sz w:val="16"/>
                <w:lang w:eastAsia="en-AU"/>
              </w:rPr>
            </w:pPr>
            <w:bookmarkStart w:id="246" w:name="_Hlk269112837"/>
            <w:r w:rsidRPr="004C64CF">
              <w:rPr>
                <w:rFonts w:ascii="Arial" w:eastAsia="Arial Unicode MS" w:hAnsi="Arial"/>
                <w:b/>
                <w:sz w:val="16"/>
                <w:lang w:eastAsia="en-AU"/>
              </w:rPr>
              <w:t xml:space="preserve">Species </w:t>
            </w:r>
          </w:p>
        </w:tc>
        <w:tc>
          <w:tcPr>
            <w:tcW w:w="2108" w:type="dxa"/>
            <w:tcBorders>
              <w:top w:val="nil"/>
              <w:left w:val="nil"/>
              <w:bottom w:val="single" w:sz="8" w:space="0" w:color="C0C0C0"/>
              <w:right w:val="nil"/>
            </w:tcBorders>
            <w:shd w:val="clear" w:color="auto" w:fill="auto"/>
            <w:noWrap/>
            <w:vAlign w:val="bottom"/>
          </w:tcPr>
          <w:p w:rsidR="00A1547F" w:rsidRPr="004C64CF" w:rsidRDefault="00A1547F" w:rsidP="00A1547F">
            <w:pPr>
              <w:spacing w:before="60" w:after="60" w:line="220" w:lineRule="atLeast"/>
              <w:jc w:val="center"/>
              <w:rPr>
                <w:rFonts w:ascii="Arial" w:eastAsia="Arial Unicode MS" w:hAnsi="Arial"/>
                <w:b/>
                <w:sz w:val="16"/>
                <w:lang w:eastAsia="en-AU"/>
              </w:rPr>
            </w:pPr>
            <w:r w:rsidRPr="004C64CF">
              <w:rPr>
                <w:rFonts w:ascii="Arial" w:eastAsia="Arial Unicode MS" w:hAnsi="Arial"/>
                <w:b/>
                <w:sz w:val="16"/>
                <w:lang w:eastAsia="en-AU"/>
              </w:rPr>
              <w:t>IC10</w:t>
            </w:r>
            <w:r w:rsidRPr="004C64CF">
              <w:rPr>
                <w:rFonts w:ascii="Arial" w:eastAsia="Arial Unicode MS" w:hAnsi="Arial"/>
                <w:b/>
                <w:snapToGrid w:val="0"/>
                <w:color w:val="000000"/>
                <w:position w:val="4"/>
                <w:sz w:val="11"/>
                <w:szCs w:val="0"/>
                <w:u w:color="000000"/>
                <w:lang w:eastAsia="en-AU"/>
              </w:rPr>
              <w:t>a</w:t>
            </w:r>
            <w:r w:rsidRPr="004C64CF">
              <w:rPr>
                <w:rFonts w:ascii="Arial" w:eastAsia="Arial Unicode MS" w:hAnsi="Arial"/>
                <w:b/>
                <w:snapToGrid w:val="0"/>
                <w:color w:val="000000"/>
                <w:sz w:val="16"/>
                <w:szCs w:val="0"/>
                <w:u w:color="000000"/>
                <w:lang w:eastAsia="en-AU"/>
              </w:rPr>
              <w:t xml:space="preserve"> </w:t>
            </w:r>
          </w:p>
        </w:tc>
        <w:tc>
          <w:tcPr>
            <w:tcW w:w="3544" w:type="dxa"/>
            <w:tcBorders>
              <w:top w:val="nil"/>
              <w:left w:val="nil"/>
              <w:bottom w:val="single" w:sz="8" w:space="0" w:color="C0C0C0"/>
              <w:right w:val="nil"/>
            </w:tcBorders>
            <w:shd w:val="clear" w:color="auto" w:fill="auto"/>
            <w:noWrap/>
            <w:vAlign w:val="bottom"/>
          </w:tcPr>
          <w:p w:rsidR="00A1547F" w:rsidRPr="004C64CF" w:rsidRDefault="00A1547F" w:rsidP="00A1547F">
            <w:pPr>
              <w:spacing w:before="60" w:after="60" w:line="220" w:lineRule="atLeast"/>
              <w:jc w:val="center"/>
              <w:rPr>
                <w:rFonts w:ascii="Arial" w:eastAsia="Arial Unicode MS" w:hAnsi="Arial"/>
                <w:b/>
                <w:sz w:val="16"/>
                <w:lang w:eastAsia="en-AU"/>
              </w:rPr>
            </w:pPr>
            <w:r w:rsidRPr="004C64CF">
              <w:rPr>
                <w:rFonts w:ascii="Arial" w:eastAsia="Arial Unicode MS" w:hAnsi="Arial"/>
                <w:b/>
                <w:sz w:val="16"/>
                <w:lang w:eastAsia="en-AU"/>
              </w:rPr>
              <w:t>IC50</w:t>
            </w:r>
            <w:r w:rsidRPr="004C64CF">
              <w:rPr>
                <w:rFonts w:ascii="Arial" w:eastAsia="Arial Unicode MS" w:hAnsi="Arial"/>
                <w:b/>
                <w:snapToGrid w:val="0"/>
                <w:color w:val="000000"/>
                <w:position w:val="4"/>
                <w:sz w:val="11"/>
                <w:szCs w:val="0"/>
                <w:u w:color="000000"/>
                <w:lang w:eastAsia="en-AU"/>
              </w:rPr>
              <w:t xml:space="preserve">a </w:t>
            </w:r>
          </w:p>
        </w:tc>
      </w:tr>
      <w:tr w:rsidR="00A1547F" w:rsidRPr="004C64CF" w:rsidTr="00A1547F">
        <w:trPr>
          <w:trHeight w:val="264"/>
        </w:trPr>
        <w:tc>
          <w:tcPr>
            <w:tcW w:w="1969" w:type="dxa"/>
            <w:tcBorders>
              <w:top w:val="single" w:sz="8" w:space="0" w:color="C0C0C0"/>
              <w:left w:val="nil"/>
              <w:bottom w:val="nil"/>
              <w:right w:val="nil"/>
            </w:tcBorders>
            <w:shd w:val="clear" w:color="auto" w:fill="auto"/>
            <w:noWrap/>
            <w:vAlign w:val="bottom"/>
          </w:tcPr>
          <w:p w:rsidR="00A1547F" w:rsidRPr="004C64CF" w:rsidRDefault="00A1547F" w:rsidP="00A1547F">
            <w:pPr>
              <w:spacing w:before="60" w:after="60" w:line="220" w:lineRule="atLeast"/>
              <w:rPr>
                <w:rFonts w:ascii="Arial" w:eastAsia="Arial Unicode MS" w:hAnsi="Arial"/>
                <w:i/>
                <w:iCs/>
                <w:sz w:val="16"/>
                <w:lang w:eastAsia="en-AU"/>
              </w:rPr>
            </w:pPr>
            <w:r w:rsidRPr="004C64CF">
              <w:rPr>
                <w:rFonts w:ascii="Arial" w:eastAsia="Arial Unicode MS" w:hAnsi="Arial"/>
                <w:i/>
                <w:iCs/>
                <w:sz w:val="16"/>
                <w:lang w:eastAsia="en-AU"/>
              </w:rPr>
              <w:t xml:space="preserve">Chlorella </w:t>
            </w:r>
            <w:r w:rsidRPr="004C64CF">
              <w:rPr>
                <w:rFonts w:ascii="Arial" w:eastAsia="Arial Unicode MS" w:hAnsi="Arial"/>
                <w:sz w:val="16"/>
                <w:lang w:eastAsia="en-AU"/>
              </w:rPr>
              <w:t>sp.</w:t>
            </w:r>
          </w:p>
        </w:tc>
        <w:tc>
          <w:tcPr>
            <w:tcW w:w="2108" w:type="dxa"/>
            <w:tcBorders>
              <w:top w:val="single" w:sz="8" w:space="0" w:color="C0C0C0"/>
              <w:left w:val="nil"/>
              <w:bottom w:val="nil"/>
              <w:right w:val="nil"/>
            </w:tcBorders>
            <w:shd w:val="clear" w:color="auto" w:fill="auto"/>
            <w:noWrap/>
          </w:tcPr>
          <w:p w:rsidR="00A1547F" w:rsidRPr="004C64CF" w:rsidRDefault="00A1547F" w:rsidP="00A1547F">
            <w:pPr>
              <w:spacing w:before="60" w:after="60" w:line="220" w:lineRule="atLeast"/>
              <w:jc w:val="center"/>
              <w:rPr>
                <w:rFonts w:ascii="Arial" w:eastAsia="Arial Unicode MS" w:hAnsi="Arial"/>
                <w:sz w:val="16"/>
                <w:lang w:eastAsia="en-AU"/>
              </w:rPr>
            </w:pPr>
            <w:r w:rsidRPr="004C64CF">
              <w:rPr>
                <w:rFonts w:ascii="Arial" w:eastAsia="Arial Unicode MS" w:hAnsi="Arial"/>
                <w:sz w:val="16"/>
                <w:lang w:eastAsia="en-AU"/>
              </w:rPr>
              <w:t>12000 (10000 – 14000)</w:t>
            </w:r>
          </w:p>
        </w:tc>
        <w:tc>
          <w:tcPr>
            <w:tcW w:w="3544" w:type="dxa"/>
            <w:tcBorders>
              <w:top w:val="single" w:sz="8" w:space="0" w:color="C0C0C0"/>
              <w:left w:val="nil"/>
              <w:bottom w:val="nil"/>
              <w:right w:val="nil"/>
            </w:tcBorders>
            <w:shd w:val="clear" w:color="auto" w:fill="auto"/>
            <w:noWrap/>
          </w:tcPr>
          <w:p w:rsidR="00A1547F" w:rsidRPr="004C64CF" w:rsidRDefault="00A1547F" w:rsidP="00A1547F">
            <w:pPr>
              <w:spacing w:before="60" w:after="60" w:line="220" w:lineRule="atLeast"/>
              <w:jc w:val="center"/>
              <w:rPr>
                <w:rFonts w:ascii="Arial" w:eastAsia="Arial Unicode MS" w:hAnsi="Arial"/>
                <w:sz w:val="16"/>
                <w:lang w:eastAsia="en-AU"/>
              </w:rPr>
            </w:pPr>
            <w:r w:rsidRPr="004C64CF">
              <w:rPr>
                <w:rFonts w:ascii="Arial" w:eastAsia="Arial Unicode MS" w:hAnsi="Arial"/>
                <w:sz w:val="16"/>
                <w:lang w:eastAsia="en-AU"/>
              </w:rPr>
              <w:t>60000 (55000 – 70000)</w:t>
            </w:r>
          </w:p>
        </w:tc>
      </w:tr>
      <w:tr w:rsidR="00A1547F" w:rsidRPr="004C64CF" w:rsidTr="00A1547F">
        <w:trPr>
          <w:trHeight w:val="264"/>
        </w:trPr>
        <w:tc>
          <w:tcPr>
            <w:tcW w:w="1969" w:type="dxa"/>
            <w:tcBorders>
              <w:top w:val="nil"/>
              <w:left w:val="nil"/>
              <w:bottom w:val="nil"/>
              <w:right w:val="nil"/>
            </w:tcBorders>
            <w:shd w:val="clear" w:color="auto" w:fill="auto"/>
            <w:noWrap/>
            <w:vAlign w:val="bottom"/>
          </w:tcPr>
          <w:p w:rsidR="00A1547F" w:rsidRPr="004C64CF" w:rsidRDefault="00A1547F" w:rsidP="00A1547F">
            <w:pPr>
              <w:spacing w:before="60" w:after="60" w:line="220" w:lineRule="atLeast"/>
              <w:rPr>
                <w:rFonts w:ascii="Arial" w:eastAsia="Arial Unicode MS" w:hAnsi="Arial"/>
                <w:i/>
                <w:iCs/>
                <w:sz w:val="16"/>
                <w:lang w:eastAsia="en-AU"/>
              </w:rPr>
            </w:pPr>
            <w:r w:rsidRPr="004C64CF">
              <w:rPr>
                <w:rFonts w:ascii="Arial" w:eastAsia="Arial Unicode MS" w:hAnsi="Arial"/>
                <w:i/>
                <w:iCs/>
                <w:sz w:val="16"/>
                <w:lang w:eastAsia="en-AU"/>
              </w:rPr>
              <w:t>Lemna aequinoctialis</w:t>
            </w:r>
          </w:p>
        </w:tc>
        <w:tc>
          <w:tcPr>
            <w:tcW w:w="2108" w:type="dxa"/>
            <w:tcBorders>
              <w:top w:val="nil"/>
              <w:left w:val="nil"/>
              <w:bottom w:val="nil"/>
              <w:right w:val="nil"/>
            </w:tcBorders>
            <w:shd w:val="clear" w:color="auto" w:fill="auto"/>
            <w:noWrap/>
            <w:vAlign w:val="bottom"/>
          </w:tcPr>
          <w:p w:rsidR="00A1547F" w:rsidRPr="004C64CF" w:rsidRDefault="00A1547F" w:rsidP="00A1547F">
            <w:pPr>
              <w:spacing w:before="60" w:after="60" w:line="220" w:lineRule="atLeast"/>
              <w:jc w:val="center"/>
              <w:rPr>
                <w:rFonts w:ascii="Arial" w:eastAsia="Arial Unicode MS" w:hAnsi="Arial"/>
                <w:sz w:val="16"/>
                <w:lang w:eastAsia="en-AU"/>
              </w:rPr>
            </w:pPr>
            <w:r w:rsidRPr="004C64CF">
              <w:rPr>
                <w:rFonts w:ascii="Arial" w:eastAsia="Arial Unicode MS" w:hAnsi="Arial"/>
                <w:sz w:val="16"/>
                <w:lang w:eastAsia="en-AU"/>
              </w:rPr>
              <w:t>2200 (910 – 3400)</w:t>
            </w:r>
          </w:p>
        </w:tc>
        <w:tc>
          <w:tcPr>
            <w:tcW w:w="3544" w:type="dxa"/>
            <w:tcBorders>
              <w:top w:val="nil"/>
              <w:left w:val="nil"/>
              <w:bottom w:val="nil"/>
              <w:right w:val="nil"/>
            </w:tcBorders>
            <w:shd w:val="clear" w:color="auto" w:fill="auto"/>
            <w:noWrap/>
            <w:vAlign w:val="bottom"/>
          </w:tcPr>
          <w:p w:rsidR="00A1547F" w:rsidRPr="004C64CF" w:rsidRDefault="00A1547F" w:rsidP="00A1547F">
            <w:pPr>
              <w:spacing w:before="60" w:after="60" w:line="220" w:lineRule="atLeast"/>
              <w:jc w:val="center"/>
              <w:rPr>
                <w:rFonts w:ascii="Arial" w:eastAsia="Arial Unicode MS" w:hAnsi="Arial"/>
                <w:sz w:val="16"/>
                <w:lang w:eastAsia="en-AU"/>
              </w:rPr>
            </w:pPr>
            <w:r w:rsidRPr="004C64CF">
              <w:rPr>
                <w:rFonts w:ascii="Arial" w:eastAsia="Arial Unicode MS" w:hAnsi="Arial"/>
                <w:sz w:val="16"/>
                <w:lang w:eastAsia="en-AU"/>
              </w:rPr>
              <w:t>11000 (9000 - 10000</w:t>
            </w:r>
          </w:p>
        </w:tc>
      </w:tr>
      <w:tr w:rsidR="00A1547F" w:rsidRPr="004C64CF" w:rsidTr="00A1547F">
        <w:trPr>
          <w:trHeight w:val="264"/>
        </w:trPr>
        <w:tc>
          <w:tcPr>
            <w:tcW w:w="1969" w:type="dxa"/>
            <w:tcBorders>
              <w:top w:val="nil"/>
              <w:left w:val="nil"/>
              <w:right w:val="nil"/>
            </w:tcBorders>
            <w:shd w:val="clear" w:color="auto" w:fill="auto"/>
            <w:noWrap/>
            <w:vAlign w:val="bottom"/>
          </w:tcPr>
          <w:p w:rsidR="00A1547F" w:rsidRPr="004C64CF" w:rsidRDefault="00A1547F" w:rsidP="00A1547F">
            <w:pPr>
              <w:spacing w:before="60" w:after="60" w:line="220" w:lineRule="atLeast"/>
              <w:rPr>
                <w:rFonts w:ascii="Arial" w:eastAsia="Arial Unicode MS" w:hAnsi="Arial"/>
                <w:i/>
                <w:iCs/>
                <w:sz w:val="16"/>
                <w:lang w:eastAsia="en-AU"/>
              </w:rPr>
            </w:pPr>
            <w:r w:rsidRPr="004C64CF">
              <w:rPr>
                <w:rFonts w:ascii="Arial" w:eastAsia="Arial Unicode MS" w:hAnsi="Arial"/>
                <w:i/>
                <w:iCs/>
                <w:sz w:val="16"/>
                <w:lang w:eastAsia="en-AU"/>
              </w:rPr>
              <w:t>Hydra viridissima</w:t>
            </w:r>
          </w:p>
        </w:tc>
        <w:tc>
          <w:tcPr>
            <w:tcW w:w="2108" w:type="dxa"/>
            <w:tcBorders>
              <w:top w:val="nil"/>
              <w:left w:val="nil"/>
              <w:right w:val="nil"/>
            </w:tcBorders>
            <w:shd w:val="clear" w:color="auto" w:fill="auto"/>
            <w:noWrap/>
            <w:vAlign w:val="bottom"/>
          </w:tcPr>
          <w:p w:rsidR="00A1547F" w:rsidRPr="004C64CF" w:rsidRDefault="00A1547F" w:rsidP="00A1547F">
            <w:pPr>
              <w:spacing w:before="60" w:after="60" w:line="220" w:lineRule="atLeast"/>
              <w:jc w:val="center"/>
              <w:rPr>
                <w:rFonts w:ascii="Arial" w:eastAsia="Arial Unicode MS" w:hAnsi="Arial"/>
                <w:sz w:val="16"/>
                <w:lang w:eastAsia="en-AU"/>
              </w:rPr>
            </w:pPr>
            <w:r w:rsidRPr="004C64CF">
              <w:rPr>
                <w:rFonts w:ascii="Arial" w:eastAsia="Arial Unicode MS" w:hAnsi="Arial"/>
                <w:sz w:val="16"/>
                <w:lang w:eastAsia="en-AU"/>
              </w:rPr>
              <w:t>140 (100 - 180)</w:t>
            </w:r>
          </w:p>
        </w:tc>
        <w:tc>
          <w:tcPr>
            <w:tcW w:w="3544" w:type="dxa"/>
            <w:tcBorders>
              <w:top w:val="nil"/>
              <w:left w:val="nil"/>
              <w:right w:val="nil"/>
            </w:tcBorders>
            <w:shd w:val="clear" w:color="auto" w:fill="auto"/>
            <w:noWrap/>
            <w:vAlign w:val="bottom"/>
          </w:tcPr>
          <w:p w:rsidR="00A1547F" w:rsidRPr="004C64CF" w:rsidRDefault="00A1547F" w:rsidP="00A1547F">
            <w:pPr>
              <w:spacing w:before="60" w:after="60" w:line="220" w:lineRule="atLeast"/>
              <w:jc w:val="center"/>
              <w:rPr>
                <w:rFonts w:ascii="Arial" w:eastAsia="Arial Unicode MS" w:hAnsi="Arial"/>
                <w:sz w:val="16"/>
                <w:lang w:eastAsia="en-AU"/>
              </w:rPr>
            </w:pPr>
            <w:r w:rsidRPr="004C64CF">
              <w:rPr>
                <w:rFonts w:ascii="Arial" w:eastAsia="Arial Unicode MS" w:hAnsi="Arial"/>
                <w:sz w:val="16"/>
                <w:lang w:eastAsia="en-AU"/>
              </w:rPr>
              <w:t>1380 (1200 - 1560)</w:t>
            </w:r>
          </w:p>
        </w:tc>
      </w:tr>
      <w:tr w:rsidR="00A1547F" w:rsidRPr="004C64CF" w:rsidTr="00A1547F">
        <w:trPr>
          <w:trHeight w:val="264"/>
        </w:trPr>
        <w:tc>
          <w:tcPr>
            <w:tcW w:w="1969" w:type="dxa"/>
            <w:tcBorders>
              <w:top w:val="nil"/>
              <w:left w:val="nil"/>
              <w:bottom w:val="nil"/>
              <w:right w:val="nil"/>
            </w:tcBorders>
            <w:shd w:val="clear" w:color="auto" w:fill="auto"/>
            <w:noWrap/>
            <w:vAlign w:val="bottom"/>
          </w:tcPr>
          <w:p w:rsidR="00A1547F" w:rsidRPr="004C64CF" w:rsidRDefault="00A1547F" w:rsidP="00A1547F">
            <w:pPr>
              <w:spacing w:before="60" w:after="60" w:line="220" w:lineRule="atLeast"/>
              <w:rPr>
                <w:rFonts w:ascii="Arial" w:eastAsia="Arial Unicode MS" w:hAnsi="Arial"/>
                <w:i/>
                <w:iCs/>
                <w:sz w:val="16"/>
                <w:lang w:eastAsia="en-AU"/>
              </w:rPr>
            </w:pPr>
            <w:r w:rsidRPr="004C64CF">
              <w:rPr>
                <w:rFonts w:ascii="Arial" w:eastAsia="Arial Unicode MS" w:hAnsi="Arial"/>
                <w:i/>
                <w:iCs/>
                <w:sz w:val="16"/>
                <w:lang w:eastAsia="en-AU"/>
              </w:rPr>
              <w:t>Moinodaphnia macleayi</w:t>
            </w:r>
          </w:p>
        </w:tc>
        <w:tc>
          <w:tcPr>
            <w:tcW w:w="2108" w:type="dxa"/>
            <w:tcBorders>
              <w:top w:val="nil"/>
              <w:left w:val="nil"/>
              <w:bottom w:val="nil"/>
              <w:right w:val="nil"/>
            </w:tcBorders>
            <w:shd w:val="clear" w:color="auto" w:fill="auto"/>
            <w:noWrap/>
            <w:vAlign w:val="bottom"/>
          </w:tcPr>
          <w:p w:rsidR="00A1547F" w:rsidRPr="004C64CF" w:rsidRDefault="00A1547F" w:rsidP="00A1547F">
            <w:pPr>
              <w:spacing w:before="60" w:after="60" w:line="220" w:lineRule="atLeast"/>
              <w:jc w:val="center"/>
              <w:rPr>
                <w:rFonts w:ascii="Arial" w:eastAsia="Arial Unicode MS" w:hAnsi="Arial"/>
                <w:sz w:val="16"/>
                <w:lang w:eastAsia="en-AU"/>
              </w:rPr>
            </w:pPr>
            <w:r w:rsidRPr="004C64CF">
              <w:rPr>
                <w:rFonts w:ascii="Arial" w:eastAsia="Arial Unicode MS" w:hAnsi="Arial"/>
                <w:sz w:val="16"/>
                <w:lang w:eastAsia="en-AU"/>
              </w:rPr>
              <w:t>610 (500 - 690)</w:t>
            </w:r>
          </w:p>
        </w:tc>
        <w:tc>
          <w:tcPr>
            <w:tcW w:w="3544" w:type="dxa"/>
            <w:tcBorders>
              <w:top w:val="nil"/>
              <w:left w:val="nil"/>
              <w:bottom w:val="nil"/>
              <w:right w:val="nil"/>
            </w:tcBorders>
            <w:shd w:val="clear" w:color="auto" w:fill="auto"/>
            <w:noWrap/>
            <w:vAlign w:val="bottom"/>
          </w:tcPr>
          <w:p w:rsidR="00A1547F" w:rsidRPr="004C64CF" w:rsidRDefault="00A1547F" w:rsidP="00A1547F">
            <w:pPr>
              <w:spacing w:before="60" w:after="60" w:line="220" w:lineRule="atLeast"/>
              <w:jc w:val="center"/>
              <w:rPr>
                <w:rFonts w:ascii="Arial" w:eastAsia="Arial Unicode MS" w:hAnsi="Arial"/>
                <w:sz w:val="16"/>
                <w:lang w:eastAsia="en-AU"/>
              </w:rPr>
            </w:pPr>
            <w:r w:rsidRPr="004C64CF">
              <w:rPr>
                <w:rFonts w:ascii="Arial" w:eastAsia="Arial Unicode MS" w:hAnsi="Arial"/>
                <w:sz w:val="16"/>
                <w:lang w:eastAsia="en-AU"/>
              </w:rPr>
              <w:t>1100 (1030 - 1170)</w:t>
            </w:r>
          </w:p>
        </w:tc>
      </w:tr>
      <w:tr w:rsidR="00A1547F" w:rsidRPr="004C64CF" w:rsidTr="00A1547F">
        <w:tblPrEx>
          <w:tblLook w:val="04A0"/>
        </w:tblPrEx>
        <w:tc>
          <w:tcPr>
            <w:tcW w:w="1969" w:type="dxa"/>
            <w:vAlign w:val="bottom"/>
          </w:tcPr>
          <w:p w:rsidR="00A1547F" w:rsidRPr="004C64CF" w:rsidRDefault="00A1547F" w:rsidP="00A1547F">
            <w:pPr>
              <w:spacing w:before="60" w:after="60" w:line="220" w:lineRule="atLeast"/>
              <w:rPr>
                <w:rFonts w:ascii="Arial" w:eastAsia="Arial Unicode MS" w:hAnsi="Arial"/>
                <w:i/>
                <w:iCs/>
                <w:sz w:val="16"/>
                <w:lang w:eastAsia="en-AU"/>
              </w:rPr>
            </w:pPr>
            <w:r w:rsidRPr="004C64CF">
              <w:rPr>
                <w:rFonts w:ascii="Arial" w:eastAsia="Arial Unicode MS" w:hAnsi="Arial"/>
                <w:i/>
                <w:iCs/>
                <w:sz w:val="16"/>
                <w:lang w:eastAsia="en-AU"/>
              </w:rPr>
              <w:t xml:space="preserve">Amerianna cumingi </w:t>
            </w:r>
          </w:p>
        </w:tc>
        <w:tc>
          <w:tcPr>
            <w:tcW w:w="2108" w:type="dxa"/>
            <w:vAlign w:val="bottom"/>
          </w:tcPr>
          <w:p w:rsidR="00A1547F" w:rsidRPr="004C64CF" w:rsidRDefault="00A1547F" w:rsidP="00A1547F">
            <w:pPr>
              <w:spacing w:before="60" w:after="60" w:line="220" w:lineRule="atLeast"/>
              <w:jc w:val="center"/>
              <w:rPr>
                <w:rFonts w:ascii="Arial" w:eastAsia="Arial Unicode MS" w:hAnsi="Arial"/>
                <w:sz w:val="16"/>
                <w:lang w:eastAsia="en-AU"/>
              </w:rPr>
            </w:pPr>
            <w:r w:rsidRPr="004C64CF">
              <w:rPr>
                <w:rFonts w:ascii="Arial" w:eastAsia="Arial Unicode MS" w:hAnsi="Arial"/>
                <w:sz w:val="16"/>
                <w:lang w:eastAsia="en-AU"/>
              </w:rPr>
              <w:t>340 (830 - 920)</w:t>
            </w:r>
          </w:p>
        </w:tc>
        <w:tc>
          <w:tcPr>
            <w:tcW w:w="3544" w:type="dxa"/>
            <w:vAlign w:val="bottom"/>
          </w:tcPr>
          <w:p w:rsidR="00A1547F" w:rsidRPr="004C64CF" w:rsidRDefault="00A1547F" w:rsidP="00A1547F">
            <w:pPr>
              <w:spacing w:before="60" w:after="60" w:line="220" w:lineRule="atLeast"/>
              <w:jc w:val="center"/>
              <w:rPr>
                <w:rFonts w:ascii="Arial" w:eastAsia="Arial Unicode MS" w:hAnsi="Arial"/>
                <w:sz w:val="16"/>
                <w:lang w:eastAsia="en-AU"/>
              </w:rPr>
            </w:pPr>
            <w:r w:rsidRPr="004C64CF">
              <w:rPr>
                <w:rFonts w:ascii="Arial" w:eastAsia="Arial Unicode MS" w:hAnsi="Arial"/>
                <w:sz w:val="16"/>
                <w:lang w:eastAsia="en-AU"/>
              </w:rPr>
              <w:t>5660 (2830 - 12660)</w:t>
            </w:r>
          </w:p>
        </w:tc>
      </w:tr>
      <w:tr w:rsidR="00A1547F" w:rsidRPr="004C64CF" w:rsidTr="00A1547F">
        <w:trPr>
          <w:trHeight w:val="264"/>
        </w:trPr>
        <w:tc>
          <w:tcPr>
            <w:tcW w:w="1969" w:type="dxa"/>
            <w:tcBorders>
              <w:top w:val="nil"/>
              <w:left w:val="nil"/>
              <w:bottom w:val="nil"/>
              <w:right w:val="nil"/>
            </w:tcBorders>
            <w:shd w:val="clear" w:color="auto" w:fill="auto"/>
            <w:noWrap/>
            <w:vAlign w:val="bottom"/>
          </w:tcPr>
          <w:p w:rsidR="00A1547F" w:rsidRPr="004C64CF" w:rsidRDefault="00A1547F" w:rsidP="00A1547F">
            <w:pPr>
              <w:spacing w:before="60" w:after="60" w:line="220" w:lineRule="atLeast"/>
              <w:rPr>
                <w:rFonts w:ascii="Arial" w:eastAsia="Arial Unicode MS" w:hAnsi="Arial"/>
                <w:i/>
                <w:iCs/>
                <w:sz w:val="16"/>
                <w:lang w:eastAsia="en-AU"/>
              </w:rPr>
            </w:pPr>
          </w:p>
        </w:tc>
        <w:tc>
          <w:tcPr>
            <w:tcW w:w="2108" w:type="dxa"/>
            <w:tcBorders>
              <w:top w:val="nil"/>
              <w:left w:val="nil"/>
              <w:bottom w:val="nil"/>
              <w:right w:val="nil"/>
            </w:tcBorders>
            <w:shd w:val="clear" w:color="auto" w:fill="auto"/>
            <w:noWrap/>
            <w:vAlign w:val="bottom"/>
          </w:tcPr>
          <w:p w:rsidR="00A1547F" w:rsidRPr="004C64CF" w:rsidRDefault="00A1547F" w:rsidP="00A1547F">
            <w:pPr>
              <w:spacing w:before="60" w:after="60" w:line="220" w:lineRule="atLeast"/>
              <w:jc w:val="center"/>
              <w:rPr>
                <w:rFonts w:ascii="Arial" w:eastAsia="Arial Unicode MS" w:hAnsi="Arial"/>
                <w:b/>
                <w:sz w:val="16"/>
                <w:lang w:eastAsia="en-AU"/>
              </w:rPr>
            </w:pPr>
            <w:r w:rsidRPr="004C64CF">
              <w:rPr>
                <w:rFonts w:ascii="Arial" w:eastAsia="Arial Unicode MS" w:hAnsi="Arial"/>
                <w:b/>
                <w:sz w:val="16"/>
                <w:lang w:eastAsia="en-AU"/>
              </w:rPr>
              <w:t>LC05</w:t>
            </w:r>
            <w:r w:rsidRPr="004C64CF">
              <w:rPr>
                <w:rFonts w:ascii="Arial" w:eastAsia="Arial Unicode MS" w:hAnsi="Arial"/>
                <w:b/>
                <w:snapToGrid w:val="0"/>
                <w:color w:val="000000"/>
                <w:position w:val="4"/>
                <w:sz w:val="11"/>
                <w:szCs w:val="0"/>
                <w:u w:color="000000"/>
                <w:lang w:eastAsia="en-AU"/>
              </w:rPr>
              <w:t xml:space="preserve">b </w:t>
            </w:r>
          </w:p>
        </w:tc>
        <w:tc>
          <w:tcPr>
            <w:tcW w:w="3544" w:type="dxa"/>
            <w:tcBorders>
              <w:top w:val="nil"/>
              <w:left w:val="nil"/>
              <w:bottom w:val="nil"/>
              <w:right w:val="nil"/>
            </w:tcBorders>
            <w:shd w:val="clear" w:color="auto" w:fill="auto"/>
            <w:noWrap/>
            <w:vAlign w:val="bottom"/>
          </w:tcPr>
          <w:p w:rsidR="00A1547F" w:rsidRPr="004C64CF" w:rsidRDefault="00A1547F" w:rsidP="00A1547F">
            <w:pPr>
              <w:spacing w:before="60" w:after="60" w:line="220" w:lineRule="atLeast"/>
              <w:jc w:val="center"/>
              <w:rPr>
                <w:rFonts w:ascii="Arial" w:eastAsia="Arial Unicode MS" w:hAnsi="Arial"/>
                <w:b/>
                <w:sz w:val="16"/>
                <w:lang w:eastAsia="en-AU"/>
              </w:rPr>
            </w:pPr>
            <w:r w:rsidRPr="004C64CF">
              <w:rPr>
                <w:rFonts w:ascii="Arial" w:eastAsia="Arial Unicode MS" w:hAnsi="Arial"/>
                <w:b/>
                <w:sz w:val="16"/>
                <w:lang w:eastAsia="en-AU"/>
              </w:rPr>
              <w:t>LC50</w:t>
            </w:r>
            <w:r w:rsidRPr="004C64CF">
              <w:rPr>
                <w:rFonts w:ascii="Arial" w:eastAsia="Arial Unicode MS" w:hAnsi="Arial"/>
                <w:b/>
                <w:snapToGrid w:val="0"/>
                <w:color w:val="000000"/>
                <w:position w:val="4"/>
                <w:sz w:val="11"/>
                <w:szCs w:val="0"/>
                <w:u w:color="000000"/>
                <w:lang w:eastAsia="en-AU"/>
              </w:rPr>
              <w:t>b</w:t>
            </w:r>
            <w:r w:rsidRPr="004C64CF">
              <w:rPr>
                <w:rFonts w:ascii="Arial" w:eastAsia="Arial Unicode MS" w:hAnsi="Arial"/>
                <w:b/>
                <w:snapToGrid w:val="0"/>
                <w:color w:val="000000"/>
                <w:sz w:val="16"/>
                <w:szCs w:val="0"/>
                <w:u w:color="000000"/>
                <w:lang w:eastAsia="en-AU"/>
              </w:rPr>
              <w:t xml:space="preserve"> </w:t>
            </w:r>
          </w:p>
        </w:tc>
      </w:tr>
      <w:tr w:rsidR="00A1547F" w:rsidRPr="004C64CF" w:rsidTr="00A1547F">
        <w:trPr>
          <w:trHeight w:val="264"/>
        </w:trPr>
        <w:tc>
          <w:tcPr>
            <w:tcW w:w="1969" w:type="dxa"/>
            <w:tcBorders>
              <w:top w:val="nil"/>
              <w:left w:val="nil"/>
              <w:bottom w:val="single" w:sz="8" w:space="0" w:color="C0C0C0"/>
              <w:right w:val="nil"/>
            </w:tcBorders>
            <w:shd w:val="clear" w:color="auto" w:fill="auto"/>
            <w:noWrap/>
            <w:vAlign w:val="bottom"/>
          </w:tcPr>
          <w:p w:rsidR="00A1547F" w:rsidRPr="004C64CF" w:rsidRDefault="00A1547F" w:rsidP="00A1547F">
            <w:pPr>
              <w:spacing w:before="60" w:after="60" w:line="220" w:lineRule="atLeast"/>
              <w:rPr>
                <w:rFonts w:ascii="Arial" w:eastAsia="Arial Unicode MS" w:hAnsi="Arial"/>
                <w:i/>
                <w:iCs/>
                <w:sz w:val="16"/>
                <w:lang w:eastAsia="en-AU"/>
              </w:rPr>
            </w:pPr>
            <w:r w:rsidRPr="004C64CF">
              <w:rPr>
                <w:rFonts w:ascii="Arial" w:eastAsia="Arial Unicode MS" w:hAnsi="Arial"/>
                <w:i/>
                <w:iCs/>
                <w:sz w:val="16"/>
                <w:lang w:eastAsia="en-AU"/>
              </w:rPr>
              <w:t>Mogurnda mogurnda</w:t>
            </w:r>
          </w:p>
        </w:tc>
        <w:tc>
          <w:tcPr>
            <w:tcW w:w="2108" w:type="dxa"/>
            <w:tcBorders>
              <w:top w:val="nil"/>
              <w:left w:val="nil"/>
              <w:bottom w:val="single" w:sz="8" w:space="0" w:color="C0C0C0"/>
              <w:right w:val="nil"/>
            </w:tcBorders>
            <w:shd w:val="clear" w:color="auto" w:fill="auto"/>
            <w:noWrap/>
            <w:vAlign w:val="bottom"/>
          </w:tcPr>
          <w:p w:rsidR="00A1547F" w:rsidRPr="004C64CF" w:rsidRDefault="00A1547F" w:rsidP="00A1547F">
            <w:pPr>
              <w:spacing w:before="60" w:after="60" w:line="220" w:lineRule="atLeast"/>
              <w:jc w:val="center"/>
              <w:rPr>
                <w:rFonts w:ascii="Arial" w:eastAsia="Arial Unicode MS" w:hAnsi="Arial"/>
                <w:sz w:val="16"/>
                <w:lang w:eastAsia="en-AU"/>
              </w:rPr>
            </w:pPr>
            <w:r w:rsidRPr="004C64CF">
              <w:rPr>
                <w:rFonts w:ascii="Arial" w:eastAsia="Arial Unicode MS" w:hAnsi="Arial"/>
                <w:sz w:val="16"/>
                <w:lang w:eastAsia="en-AU"/>
              </w:rPr>
              <w:t>80000 (40000 – 110000)</w:t>
            </w:r>
          </w:p>
        </w:tc>
        <w:tc>
          <w:tcPr>
            <w:tcW w:w="3544" w:type="dxa"/>
            <w:tcBorders>
              <w:top w:val="nil"/>
              <w:left w:val="nil"/>
              <w:bottom w:val="single" w:sz="8" w:space="0" w:color="C0C0C0"/>
              <w:right w:val="nil"/>
            </w:tcBorders>
            <w:shd w:val="clear" w:color="auto" w:fill="auto"/>
            <w:noWrap/>
            <w:vAlign w:val="bottom"/>
          </w:tcPr>
          <w:p w:rsidR="00A1547F" w:rsidRPr="004C64CF" w:rsidRDefault="00A1547F" w:rsidP="00A1547F">
            <w:pPr>
              <w:spacing w:before="60" w:after="60" w:line="220" w:lineRule="atLeast"/>
              <w:jc w:val="center"/>
              <w:rPr>
                <w:rFonts w:ascii="Arial" w:eastAsia="Arial Unicode MS" w:hAnsi="Arial"/>
                <w:sz w:val="16"/>
                <w:lang w:eastAsia="en-AU"/>
              </w:rPr>
            </w:pPr>
            <w:r w:rsidRPr="004C64CF">
              <w:rPr>
                <w:rFonts w:ascii="Arial" w:eastAsia="Arial Unicode MS" w:hAnsi="Arial"/>
                <w:sz w:val="16"/>
                <w:lang w:eastAsia="en-AU"/>
              </w:rPr>
              <w:t>240000 (200000 – 320000)</w:t>
            </w:r>
          </w:p>
        </w:tc>
      </w:tr>
    </w:tbl>
    <w:bookmarkEnd w:id="246"/>
    <w:p w:rsidR="00A1547F" w:rsidRPr="004C64CF" w:rsidRDefault="00A1547F" w:rsidP="00A1547F">
      <w:pPr>
        <w:tabs>
          <w:tab w:val="left" w:pos="240"/>
        </w:tabs>
        <w:spacing w:before="60" w:after="120" w:line="120" w:lineRule="atLeast"/>
        <w:rPr>
          <w:rFonts w:ascii="Arial" w:eastAsia="Arial Unicode MS" w:hAnsi="Arial"/>
          <w:sz w:val="14"/>
        </w:rPr>
      </w:pPr>
      <w:proofErr w:type="gramStart"/>
      <w:r w:rsidRPr="004C64CF">
        <w:rPr>
          <w:rFonts w:ascii="Arial" w:eastAsia="Arial Unicode MS" w:hAnsi="Arial"/>
          <w:snapToGrid w:val="0"/>
          <w:color w:val="000000"/>
          <w:position w:val="3"/>
          <w:sz w:val="9"/>
          <w:szCs w:val="0"/>
          <w:u w:color="000000"/>
        </w:rPr>
        <w:t>a</w:t>
      </w:r>
      <w:proofErr w:type="gramEnd"/>
      <w:r w:rsidRPr="004C64CF">
        <w:rPr>
          <w:rFonts w:ascii="Arial" w:eastAsia="Arial Unicode MS" w:hAnsi="Arial"/>
          <w:sz w:val="14"/>
        </w:rPr>
        <w:t xml:space="preserve"> IC10 and IC50: concentration resulting in 10% and 50% effect relative to the control response, respectively </w:t>
      </w:r>
    </w:p>
    <w:p w:rsidR="00A1547F" w:rsidRDefault="00A1547F" w:rsidP="00A1547F">
      <w:pPr>
        <w:tabs>
          <w:tab w:val="left" w:pos="240"/>
        </w:tabs>
        <w:spacing w:before="60" w:after="180" w:line="180" w:lineRule="atLeast"/>
        <w:ind w:left="238" w:hanging="238"/>
        <w:rPr>
          <w:rFonts w:ascii="Arial" w:eastAsia="Arial Unicode MS" w:hAnsi="Arial"/>
          <w:sz w:val="14"/>
        </w:rPr>
      </w:pPr>
      <w:proofErr w:type="gramStart"/>
      <w:r w:rsidRPr="004C64CF">
        <w:rPr>
          <w:rFonts w:ascii="Arial" w:eastAsia="Arial Unicode MS" w:hAnsi="Arial"/>
          <w:snapToGrid w:val="0"/>
          <w:color w:val="000000"/>
          <w:position w:val="3"/>
          <w:sz w:val="9"/>
          <w:szCs w:val="0"/>
          <w:u w:color="000000"/>
        </w:rPr>
        <w:t>b</w:t>
      </w:r>
      <w:proofErr w:type="gramEnd"/>
      <w:r w:rsidRPr="004C64CF">
        <w:rPr>
          <w:rFonts w:ascii="Arial" w:eastAsia="Arial Unicode MS" w:hAnsi="Arial"/>
          <w:sz w:val="14"/>
        </w:rPr>
        <w:t xml:space="preserve"> LC05 and LC50: concentration resulting in 5% and 50% mortality relative to the control response, respectively.</w:t>
      </w:r>
    </w:p>
    <w:p w:rsidR="00002411" w:rsidRPr="001C5E0D" w:rsidRDefault="00002411" w:rsidP="00002411">
      <w:pPr>
        <w:pStyle w:val="Heading3"/>
      </w:pPr>
      <w:r>
        <w:t xml:space="preserve">4.3.4  </w:t>
      </w:r>
      <w:r w:rsidRPr="001C5E0D">
        <w:t xml:space="preserve">Manganese water quality trigger value derivation </w:t>
      </w:r>
    </w:p>
    <w:p w:rsidR="00002411" w:rsidRDefault="00002411" w:rsidP="00002411">
      <w:pPr>
        <w:pStyle w:val="Normallist1"/>
        <w:ind w:left="0" w:firstLine="0"/>
        <w:jc w:val="both"/>
      </w:pPr>
      <w:r w:rsidRPr="001C5E0D">
        <w:t xml:space="preserve">The toxicity estimates from the natural Magela Creek water study (Table </w:t>
      </w:r>
      <w:r>
        <w:t>4.</w:t>
      </w:r>
      <w:r w:rsidRPr="001C5E0D">
        <w:t xml:space="preserve">1), along with international data </w:t>
      </w:r>
      <w:r w:rsidRPr="00AB22FA">
        <w:t>(Peters et al</w:t>
      </w:r>
      <w:r>
        <w:t>.</w:t>
      </w:r>
      <w:r w:rsidRPr="00AB22FA">
        <w:t xml:space="preserve"> 2011)</w:t>
      </w:r>
      <w:r w:rsidRPr="001C5E0D">
        <w:t xml:space="preserve"> from toxicity tests conducted in a natural water (Pinelands, New Jersey, USA) with a similar physico-chemistry to NMCW (i</w:t>
      </w:r>
      <w:r>
        <w:t>.</w:t>
      </w:r>
      <w:r w:rsidRPr="001C5E0D">
        <w:t>e</w:t>
      </w:r>
      <w:r>
        <w:t>. temperature = 24–</w:t>
      </w:r>
      <w:r w:rsidRPr="001C5E0D">
        <w:t>25°C, pH = 6.7, alkalinity = 8 mg L</w:t>
      </w:r>
      <w:r w:rsidRPr="005570EC">
        <w:rPr>
          <w:snapToGrid w:val="0"/>
          <w:color w:val="000000"/>
          <w:position w:val="5"/>
          <w:sz w:val="15"/>
          <w:szCs w:val="0"/>
          <w:u w:color="000000"/>
        </w:rPr>
        <w:t>-1</w:t>
      </w:r>
      <w:r w:rsidRPr="001C5E0D">
        <w:t>, hardness = 12 mg L</w:t>
      </w:r>
      <w:r w:rsidRPr="005570EC">
        <w:rPr>
          <w:snapToGrid w:val="0"/>
          <w:color w:val="000000"/>
          <w:position w:val="5"/>
          <w:sz w:val="15"/>
          <w:szCs w:val="0"/>
          <w:u w:color="000000"/>
        </w:rPr>
        <w:t>-1</w:t>
      </w:r>
      <w:r w:rsidRPr="001C5E0D">
        <w:t xml:space="preserve"> and DOC = 12 mg L</w:t>
      </w:r>
      <w:r w:rsidRPr="005570EC">
        <w:rPr>
          <w:snapToGrid w:val="0"/>
          <w:color w:val="000000"/>
          <w:position w:val="5"/>
          <w:sz w:val="15"/>
          <w:szCs w:val="0"/>
          <w:u w:color="000000"/>
        </w:rPr>
        <w:t>-1</w:t>
      </w:r>
      <w:r w:rsidRPr="001C5E0D">
        <w:t>) were used to construct a Species Sensitivity Distribution (SSD). Inc</w:t>
      </w:r>
      <w:r>
        <w:t>l</w:t>
      </w:r>
      <w:r w:rsidRPr="001C5E0D">
        <w:t xml:space="preserve">usion of the international data in the </w:t>
      </w:r>
      <w:r>
        <w:t>method</w:t>
      </w:r>
      <w:r w:rsidRPr="001C5E0D">
        <w:t xml:space="preserve"> </w:t>
      </w:r>
      <w:r>
        <w:t>improved</w:t>
      </w:r>
      <w:r w:rsidRPr="001C5E0D">
        <w:t xml:space="preserve"> the</w:t>
      </w:r>
      <w:r>
        <w:t xml:space="preserve"> fit of the distribution and the confidence intervals of the TV. </w:t>
      </w:r>
      <w:r w:rsidRPr="001C5E0D">
        <w:t xml:space="preserve">Both the European Commission and Australia recommend that a minimum of eight toxicity estimates are needed for a “high reliability” TV </w:t>
      </w:r>
      <w:r w:rsidRPr="00AB22FA">
        <w:t>(European Commission 2011</w:t>
      </w:r>
      <w:r>
        <w:rPr>
          <w:rStyle w:val="FootnoteReference"/>
        </w:rPr>
        <w:footnoteReference w:id="13"/>
      </w:r>
      <w:r w:rsidRPr="00AB22FA">
        <w:t>; Batley et al</w:t>
      </w:r>
      <w:r>
        <w:t>.</w:t>
      </w:r>
      <w:r w:rsidRPr="00AB22FA">
        <w:t xml:space="preserve"> 2014</w:t>
      </w:r>
      <w:r>
        <w:rPr>
          <w:rStyle w:val="FootnoteReference"/>
        </w:rPr>
        <w:footnoteReference w:id="14"/>
      </w:r>
      <w:r w:rsidRPr="00AB22FA">
        <w:t>)</w:t>
      </w:r>
      <w:r w:rsidRPr="001C5E0D">
        <w:t xml:space="preserve">.  </w:t>
      </w:r>
      <w:r>
        <w:t>These data result in a</w:t>
      </w:r>
      <w:r w:rsidRPr="001C5E0D">
        <w:t xml:space="preserve"> 99% </w:t>
      </w:r>
      <w:r>
        <w:t xml:space="preserve">species protection </w:t>
      </w:r>
      <w:r w:rsidRPr="001C5E0D">
        <w:t xml:space="preserve">TV </w:t>
      </w:r>
      <w:r>
        <w:t>of</w:t>
      </w:r>
      <w:r w:rsidRPr="001C5E0D">
        <w:t xml:space="preserve"> 73 µg L</w:t>
      </w:r>
      <w:r w:rsidRPr="00391D5A">
        <w:rPr>
          <w:snapToGrid w:val="0"/>
          <w:color w:val="000000"/>
          <w:position w:val="5"/>
          <w:sz w:val="15"/>
          <w:szCs w:val="0"/>
          <w:u w:color="000000"/>
        </w:rPr>
        <w:t>-1</w:t>
      </w:r>
      <w:r w:rsidRPr="001C5E0D">
        <w:t xml:space="preserve"> </w:t>
      </w:r>
      <w:r>
        <w:t>with</w:t>
      </w:r>
      <w:r w:rsidRPr="001C5E0D">
        <w:t xml:space="preserve"> </w:t>
      </w:r>
      <w:r>
        <w:t xml:space="preserve">lower </w:t>
      </w:r>
      <w:r w:rsidRPr="001C5E0D">
        <w:t>95</w:t>
      </w:r>
      <w:r>
        <w:t>% a</w:t>
      </w:r>
      <w:r w:rsidRPr="001C5E0D">
        <w:t>nd 80</w:t>
      </w:r>
      <w:r>
        <w:t xml:space="preserve">% </w:t>
      </w:r>
      <w:r w:rsidRPr="001C5E0D">
        <w:t xml:space="preserve">confidence intervals </w:t>
      </w:r>
      <w:r>
        <w:t>around the TV of</w:t>
      </w:r>
      <w:r w:rsidRPr="001C5E0D">
        <w:t xml:space="preserve"> 33 and 46 µg L</w:t>
      </w:r>
      <w:r w:rsidRPr="00391D5A">
        <w:rPr>
          <w:snapToGrid w:val="0"/>
          <w:color w:val="000000"/>
          <w:position w:val="5"/>
          <w:sz w:val="15"/>
          <w:szCs w:val="0"/>
          <w:u w:color="000000"/>
        </w:rPr>
        <w:t>-1</w:t>
      </w:r>
      <w:r w:rsidRPr="001C5E0D">
        <w:t>, re</w:t>
      </w:r>
      <w:r>
        <w:t>spectively (Figure 4.5</w:t>
      </w:r>
      <w:r w:rsidRPr="001C5E0D">
        <w:t>).</w:t>
      </w:r>
      <w:r w:rsidRPr="00391D5A">
        <w:t xml:space="preserve"> </w:t>
      </w:r>
      <w:r>
        <w:t>Hence, i</w:t>
      </w:r>
      <w:r w:rsidRPr="001C5E0D">
        <w:t xml:space="preserve">t </w:t>
      </w:r>
      <w:r>
        <w:t>wa</w:t>
      </w:r>
      <w:r w:rsidRPr="001C5E0D">
        <w:t>s recommended that a 99% protection TV of 75 µg L</w:t>
      </w:r>
      <w:r w:rsidRPr="00391D5A">
        <w:rPr>
          <w:snapToGrid w:val="0"/>
          <w:color w:val="000000"/>
          <w:position w:val="5"/>
          <w:sz w:val="15"/>
          <w:szCs w:val="0"/>
          <w:u w:color="000000"/>
        </w:rPr>
        <w:t>-1</w:t>
      </w:r>
      <w:r w:rsidRPr="001C5E0D">
        <w:t xml:space="preserve"> Mn be applied </w:t>
      </w:r>
      <w:r>
        <w:t xml:space="preserve">as the Limit </w:t>
      </w:r>
      <w:r w:rsidRPr="001C5E0D">
        <w:t xml:space="preserve">at MG009, with accompanying Focus and Action </w:t>
      </w:r>
      <w:r>
        <w:t>levels</w:t>
      </w:r>
      <w:r w:rsidRPr="001C5E0D">
        <w:t xml:space="preserve"> of 35 and 45 µg L</w:t>
      </w:r>
      <w:r w:rsidRPr="005570EC">
        <w:rPr>
          <w:snapToGrid w:val="0"/>
          <w:color w:val="000000"/>
          <w:position w:val="5"/>
          <w:sz w:val="15"/>
          <w:szCs w:val="0"/>
          <w:u w:color="000000"/>
        </w:rPr>
        <w:t>-1</w:t>
      </w:r>
      <w:r w:rsidRPr="001C5E0D">
        <w:t>, respectively.</w:t>
      </w:r>
    </w:p>
    <w:p w:rsidR="00A1547F" w:rsidRDefault="00130619" w:rsidP="00A1547F">
      <w:pPr>
        <w:pStyle w:val="figurecaption0"/>
        <w:jc w:val="center"/>
        <w:rPr>
          <w:b/>
        </w:rPr>
      </w:pPr>
      <w:r w:rsidRPr="00130619">
        <w:rPr>
          <w:rFonts w:ascii="Garamond" w:hAnsi="Garamond"/>
          <w:noProof/>
        </w:rPr>
        <w:drawing>
          <wp:inline distT="0" distB="0" distL="0" distR="0">
            <wp:extent cx="4438650" cy="3989784"/>
            <wp:effectExtent l="19050" t="0" r="0" b="0"/>
            <wp:docPr id="10107"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03" cstate="screen"/>
                    <a:srcRect/>
                    <a:stretch>
                      <a:fillRect/>
                    </a:stretch>
                  </pic:blipFill>
                  <pic:spPr bwMode="auto">
                    <a:xfrm>
                      <a:off x="0" y="0"/>
                      <a:ext cx="4440731" cy="3991655"/>
                    </a:xfrm>
                    <a:prstGeom prst="rect">
                      <a:avLst/>
                    </a:prstGeom>
                    <a:noFill/>
                    <a:ln w="9525">
                      <a:noFill/>
                      <a:miter lim="800000"/>
                      <a:headEnd/>
                      <a:tailEnd/>
                    </a:ln>
                  </pic:spPr>
                </pic:pic>
              </a:graphicData>
            </a:graphic>
          </wp:inline>
        </w:drawing>
      </w:r>
    </w:p>
    <w:p w:rsidR="00130619" w:rsidRPr="00130619" w:rsidRDefault="00130619" w:rsidP="00A1547F">
      <w:pPr>
        <w:pStyle w:val="figurecaption0"/>
      </w:pPr>
      <w:r w:rsidRPr="00A1547F">
        <w:rPr>
          <w:rStyle w:val="figurecaptionChar"/>
          <w:b/>
        </w:rPr>
        <w:t>Figure 4.5</w:t>
      </w:r>
      <w:r w:rsidRPr="00A1547F">
        <w:rPr>
          <w:rStyle w:val="figurecaptionChar"/>
        </w:rPr>
        <w:t xml:space="preserve"> Species Sensitivity Distribution of manganese toxicity estimates for the six local species, and including 3 toxicity estimates from international datasets (</w:t>
      </w:r>
      <w:r w:rsidRPr="00462477">
        <w:rPr>
          <w:rStyle w:val="figurecaptionChar"/>
          <w:i/>
        </w:rPr>
        <w:t>P. subcapitata</w:t>
      </w:r>
      <w:r w:rsidRPr="00A1547F">
        <w:rPr>
          <w:rStyle w:val="figurecaptionChar"/>
        </w:rPr>
        <w:t xml:space="preserve">, </w:t>
      </w:r>
      <w:r w:rsidRPr="00462477">
        <w:rPr>
          <w:rStyle w:val="figurecaptionChar"/>
          <w:i/>
        </w:rPr>
        <w:t>C. dubia</w:t>
      </w:r>
      <w:r w:rsidRPr="00A1547F">
        <w:rPr>
          <w:rStyle w:val="figurecaptionChar"/>
        </w:rPr>
        <w:t xml:space="preserve"> and </w:t>
      </w:r>
      <w:r w:rsidRPr="00462477">
        <w:rPr>
          <w:rStyle w:val="figurecaptionChar"/>
          <w:i/>
        </w:rPr>
        <w:t>P. promelas</w:t>
      </w:r>
      <w:r w:rsidRPr="00A1547F">
        <w:rPr>
          <w:rStyle w:val="figurecaptionChar"/>
        </w:rPr>
        <w:t>).</w:t>
      </w:r>
    </w:p>
    <w:p w:rsidR="00130619" w:rsidRPr="00130619" w:rsidRDefault="00130619" w:rsidP="00130619">
      <w:pPr>
        <w:pStyle w:val="Heading3"/>
      </w:pPr>
      <w:r w:rsidRPr="00130619">
        <w:t>4.3.5  Conclusions</w:t>
      </w:r>
    </w:p>
    <w:p w:rsidR="00FF4283" w:rsidRDefault="00130619" w:rsidP="00FF4283">
      <w:r w:rsidRPr="00130619">
        <w:t xml:space="preserve">The Mn trigger framework (Focus, Action, </w:t>
      </w:r>
      <w:proofErr w:type="gramStart"/>
      <w:r w:rsidRPr="00130619">
        <w:t>Limit</w:t>
      </w:r>
      <w:proofErr w:type="gramEnd"/>
      <w:r w:rsidRPr="00130619">
        <w:t xml:space="preserve">) recommended above was formally implemented into the Ranger regulatory framework </w:t>
      </w:r>
      <w:r>
        <w:t>prior to the wet season of 2013–</w:t>
      </w:r>
      <w:r w:rsidRPr="00130619">
        <w:t xml:space="preserve">14. The Mn toxicity and trigger value study will </w:t>
      </w:r>
      <w:r>
        <w:t>be externally published in 2014–</w:t>
      </w:r>
      <w:r w:rsidRPr="00130619">
        <w:t>15.</w:t>
      </w:r>
    </w:p>
    <w:p w:rsidR="00130619" w:rsidRPr="00130619" w:rsidRDefault="00BE1FEF" w:rsidP="00A940DC">
      <w:pPr>
        <w:ind w:left="567" w:hanging="567"/>
      </w:pPr>
      <w:r>
        <w:br w:type="page"/>
      </w:r>
      <w:bookmarkStart w:id="247" w:name="_Toc399928188"/>
      <w:r w:rsidR="00130619" w:rsidRPr="00FF4283">
        <w:rPr>
          <w:rStyle w:val="Heading2Char"/>
        </w:rPr>
        <w:t>4.4</w:t>
      </w:r>
      <w:r w:rsidR="00130619" w:rsidRPr="00FF4283">
        <w:rPr>
          <w:rStyle w:val="Heading2Char"/>
        </w:rPr>
        <w:tab/>
        <w:t>Environmental factors associated with toxicity monitoring in Magela and Gulungul Creeks</w:t>
      </w:r>
      <w:bookmarkEnd w:id="247"/>
    </w:p>
    <w:p w:rsidR="00130619" w:rsidRPr="00130619" w:rsidRDefault="00130619" w:rsidP="00A940DC">
      <w:pPr>
        <w:pStyle w:val="Heading3"/>
        <w:tabs>
          <w:tab w:val="clear" w:pos="641"/>
        </w:tabs>
        <w:ind w:left="567" w:hanging="567"/>
      </w:pPr>
      <w:bookmarkStart w:id="248" w:name="_Toc334196113"/>
      <w:r w:rsidRPr="00130619">
        <w:t>4.4.1</w:t>
      </w:r>
      <w:r w:rsidRPr="00130619">
        <w:tab/>
      </w:r>
      <w:r w:rsidR="00A940DC">
        <w:tab/>
      </w:r>
      <w:r w:rsidRPr="00130619">
        <w:t>Influences of different snail culturing conditions on the snail egg production response</w:t>
      </w:r>
      <w:bookmarkEnd w:id="248"/>
    </w:p>
    <w:p w:rsidR="00130619" w:rsidRPr="00D11855" w:rsidRDefault="00130619" w:rsidP="00130619">
      <w:pPr>
        <w:pStyle w:val="Heading4"/>
      </w:pPr>
      <w:r>
        <w:t>Background</w:t>
      </w:r>
    </w:p>
    <w:p w:rsidR="00130619" w:rsidRDefault="00F23933" w:rsidP="00130619">
      <w:r>
        <w:t>T</w:t>
      </w:r>
      <w:r w:rsidR="00130619" w:rsidRPr="00E00948">
        <w:t xml:space="preserve">he influence of </w:t>
      </w:r>
      <w:r w:rsidR="00130619" w:rsidRPr="00E00948">
        <w:rPr>
          <w:lang w:eastAsia="en-AU"/>
        </w:rPr>
        <w:t xml:space="preserve">culturing </w:t>
      </w:r>
      <w:proofErr w:type="gramStart"/>
      <w:r w:rsidR="00130619" w:rsidRPr="00E00948">
        <w:rPr>
          <w:lang w:eastAsia="en-AU"/>
        </w:rPr>
        <w:t>conditions</w:t>
      </w:r>
      <w:proofErr w:type="gramEnd"/>
      <w:r w:rsidR="00130619" w:rsidRPr="00E00948">
        <w:rPr>
          <w:lang w:eastAsia="en-AU"/>
        </w:rPr>
        <w:t xml:space="preserve"> </w:t>
      </w:r>
      <w:r w:rsidR="00130619" w:rsidRPr="00E00948">
        <w:t xml:space="preserve">under which snails are reared, </w:t>
      </w:r>
      <w:r>
        <w:t>i</w:t>
      </w:r>
      <w:r w:rsidR="00130619" w:rsidRPr="00E00948">
        <w:t>s a potential source of variability in egg production during wet season test exposures in the creeks</w:t>
      </w:r>
      <w:r>
        <w:t>.</w:t>
      </w:r>
      <w:r w:rsidR="00130619" w:rsidRPr="00E00948">
        <w:t xml:space="preserve"> </w:t>
      </w:r>
      <w:r>
        <w:t xml:space="preserve">This </w:t>
      </w:r>
      <w:r w:rsidR="00130619" w:rsidRPr="00E00948">
        <w:t>was described</w:t>
      </w:r>
      <w:r>
        <w:t xml:space="preserve"> i</w:t>
      </w:r>
      <w:r w:rsidRPr="00E00948">
        <w:t xml:space="preserve">n last year’s Supervising Scientist </w:t>
      </w:r>
      <w:r>
        <w:t>A</w:t>
      </w:r>
      <w:r w:rsidRPr="00E00948">
        <w:t xml:space="preserve">nnual </w:t>
      </w:r>
      <w:r>
        <w:t>R</w:t>
      </w:r>
      <w:r w:rsidRPr="00E00948">
        <w:t>eport (2012–2013)</w:t>
      </w:r>
      <w:r w:rsidR="00130619" w:rsidRPr="00E00948">
        <w:t xml:space="preserve">. Since the </w:t>
      </w:r>
      <w:r w:rsidR="00245881">
        <w:br/>
      </w:r>
      <w:r w:rsidR="00130619" w:rsidRPr="00E00948">
        <w:rPr>
          <w:lang w:eastAsia="en-AU"/>
        </w:rPr>
        <w:t xml:space="preserve">2011–12 wet </w:t>
      </w:r>
      <w:proofErr w:type="gramStart"/>
      <w:r w:rsidR="00130619" w:rsidRPr="00E00948">
        <w:rPr>
          <w:lang w:eastAsia="en-AU"/>
        </w:rPr>
        <w:t>season</w:t>
      </w:r>
      <w:proofErr w:type="gramEnd"/>
      <w:r w:rsidR="00130619" w:rsidRPr="00E00948">
        <w:rPr>
          <w:lang w:eastAsia="en-AU"/>
        </w:rPr>
        <w:t xml:space="preserve">, snail stocks for </w:t>
      </w:r>
      <w:r w:rsidR="00130619" w:rsidRPr="00E00948">
        <w:t xml:space="preserve">test exposures </w:t>
      </w:r>
      <w:r w:rsidR="00130619" w:rsidRPr="00E00948">
        <w:rPr>
          <w:lang w:eastAsia="en-AU"/>
        </w:rPr>
        <w:t xml:space="preserve">have been sourced from both </w:t>
      </w:r>
      <w:r>
        <w:rPr>
          <w:lang w:eastAsia="en-AU"/>
        </w:rPr>
        <w:t xml:space="preserve">shallow </w:t>
      </w:r>
      <w:r w:rsidR="00130619" w:rsidRPr="00E00948">
        <w:rPr>
          <w:lang w:eastAsia="en-AU"/>
        </w:rPr>
        <w:t xml:space="preserve">static shallow </w:t>
      </w:r>
      <w:r>
        <w:rPr>
          <w:lang w:eastAsia="en-AU"/>
        </w:rPr>
        <w:t xml:space="preserve">water </w:t>
      </w:r>
      <w:r w:rsidR="00130619" w:rsidRPr="00E00948">
        <w:rPr>
          <w:lang w:eastAsia="en-AU"/>
        </w:rPr>
        <w:t>containers and deep (~1.1 m) containers</w:t>
      </w:r>
      <w:r w:rsidR="00B4350E">
        <w:rPr>
          <w:lang w:eastAsia="en-AU"/>
        </w:rPr>
        <w:t xml:space="preserve"> with</w:t>
      </w:r>
      <w:r w:rsidR="00130619" w:rsidRPr="00E00948">
        <w:rPr>
          <w:lang w:eastAsia="en-AU"/>
        </w:rPr>
        <w:t xml:space="preserve"> a </w:t>
      </w:r>
      <w:r w:rsidR="00B4350E">
        <w:rPr>
          <w:lang w:eastAsia="en-AU"/>
        </w:rPr>
        <w:t xml:space="preserve">non-static </w:t>
      </w:r>
      <w:r w:rsidR="00130619" w:rsidRPr="00E00948">
        <w:rPr>
          <w:lang w:eastAsia="en-AU"/>
        </w:rPr>
        <w:t>Recirculating Aquaculture System (RAS).</w:t>
      </w:r>
      <w:r w:rsidR="00130619" w:rsidRPr="00DE6A43">
        <w:rPr>
          <w:color w:val="365F91" w:themeColor="accent1" w:themeShade="BF"/>
          <w:lang w:eastAsia="en-AU"/>
        </w:rPr>
        <w:t xml:space="preserve"> </w:t>
      </w:r>
      <w:r w:rsidR="00130619" w:rsidRPr="00E00948">
        <w:rPr>
          <w:lang w:eastAsia="en-AU"/>
        </w:rPr>
        <w:t xml:space="preserve">For the 2012–13 wet season testing, egg production </w:t>
      </w:r>
      <w:r w:rsidR="00130619">
        <w:rPr>
          <w:lang w:eastAsia="en-AU"/>
        </w:rPr>
        <w:t xml:space="preserve">was </w:t>
      </w:r>
      <w:r w:rsidR="00130619" w:rsidRPr="00E00948">
        <w:rPr>
          <w:lang w:eastAsia="en-AU"/>
        </w:rPr>
        <w:t>compare</w:t>
      </w:r>
      <w:r w:rsidR="00130619">
        <w:rPr>
          <w:lang w:eastAsia="en-AU"/>
        </w:rPr>
        <w:t>d</w:t>
      </w:r>
      <w:r w:rsidR="00130619" w:rsidRPr="00E00948">
        <w:rPr>
          <w:lang w:eastAsia="en-AU"/>
        </w:rPr>
        <w:t xml:space="preserve"> under routine creek testing conditions </w:t>
      </w:r>
      <w:r w:rsidR="00130619">
        <w:rPr>
          <w:lang w:eastAsia="en-AU"/>
        </w:rPr>
        <w:t>between</w:t>
      </w:r>
      <w:r w:rsidR="00130619" w:rsidRPr="00E00948">
        <w:rPr>
          <w:lang w:eastAsia="en-AU"/>
        </w:rPr>
        <w:t xml:space="preserve"> snails </w:t>
      </w:r>
      <w:r w:rsidR="00130619">
        <w:rPr>
          <w:lang w:eastAsia="en-AU"/>
        </w:rPr>
        <w:t xml:space="preserve">cultured under the two </w:t>
      </w:r>
      <w:r w:rsidR="00B4350E">
        <w:rPr>
          <w:lang w:eastAsia="en-AU"/>
        </w:rPr>
        <w:t xml:space="preserve">culture-water </w:t>
      </w:r>
      <w:r w:rsidR="00130619">
        <w:rPr>
          <w:lang w:eastAsia="en-AU"/>
        </w:rPr>
        <w:t>regimes.</w:t>
      </w:r>
      <w:r w:rsidR="00130619" w:rsidRPr="00250507">
        <w:t xml:space="preserve"> </w:t>
      </w:r>
      <w:r w:rsidR="00130619" w:rsidRPr="002A5279">
        <w:rPr>
          <w:lang w:eastAsia="en-AU"/>
        </w:rPr>
        <w:t>‘</w:t>
      </w:r>
      <w:r w:rsidR="00130619">
        <w:rPr>
          <w:lang w:eastAsia="en-AU"/>
        </w:rPr>
        <w:t>A</w:t>
      </w:r>
      <w:r w:rsidR="00130619" w:rsidRPr="002A5279">
        <w:rPr>
          <w:lang w:eastAsia="en-AU"/>
        </w:rPr>
        <w:t>ge’ of the snail cohort</w:t>
      </w:r>
      <w:r w:rsidR="00130619">
        <w:rPr>
          <w:lang w:eastAsia="en-AU"/>
        </w:rPr>
        <w:t>, as measured by</w:t>
      </w:r>
      <w:r w:rsidR="00130619" w:rsidRPr="002A5279">
        <w:rPr>
          <w:lang w:eastAsia="en-AU"/>
        </w:rPr>
        <w:t xml:space="preserve"> length of time from initial container seeding </w:t>
      </w:r>
      <w:r w:rsidR="00130619">
        <w:rPr>
          <w:lang w:eastAsia="en-AU"/>
        </w:rPr>
        <w:t xml:space="preserve">with egg masses </w:t>
      </w:r>
      <w:r w:rsidR="00130619" w:rsidRPr="002A5279">
        <w:rPr>
          <w:lang w:eastAsia="en-AU"/>
        </w:rPr>
        <w:t xml:space="preserve">to use of the snails in a toxicity monitoring test, </w:t>
      </w:r>
      <w:r w:rsidR="00130619">
        <w:rPr>
          <w:lang w:eastAsia="en-AU"/>
        </w:rPr>
        <w:t>was also examined</w:t>
      </w:r>
      <w:r w:rsidR="00B4350E">
        <w:rPr>
          <w:lang w:eastAsia="en-AU"/>
        </w:rPr>
        <w:t>.</w:t>
      </w:r>
      <w:r w:rsidR="00130619">
        <w:rPr>
          <w:lang w:eastAsia="en-AU"/>
        </w:rPr>
        <w:t xml:space="preserve"> </w:t>
      </w:r>
      <w:r w:rsidR="00B4350E">
        <w:rPr>
          <w:lang w:eastAsia="en-AU"/>
        </w:rPr>
        <w:t xml:space="preserve">However </w:t>
      </w:r>
      <w:r w:rsidR="00130619">
        <w:rPr>
          <w:lang w:eastAsia="en-AU"/>
        </w:rPr>
        <w:t>co</w:t>
      </w:r>
      <w:r w:rsidR="00130619" w:rsidRPr="002A5279">
        <w:rPr>
          <w:lang w:eastAsia="en-AU"/>
        </w:rPr>
        <w:t>ntinuous growth and recruitment of snails from the progeny of ensuing generations o</w:t>
      </w:r>
      <w:r w:rsidR="00130619">
        <w:rPr>
          <w:lang w:eastAsia="en-AU"/>
        </w:rPr>
        <w:t>f snails held in each container was not strictly controlled and so this aspect could not be properly assessed.</w:t>
      </w:r>
    </w:p>
    <w:p w:rsidR="00130619" w:rsidRDefault="00B4350E" w:rsidP="00130619">
      <w:pPr>
        <w:rPr>
          <w:lang w:eastAsia="en-AU"/>
        </w:rPr>
      </w:pPr>
      <w:r>
        <w:t>C</w:t>
      </w:r>
      <w:r w:rsidR="00130619" w:rsidRPr="009A73AF">
        <w:t xml:space="preserve">ontainer type (shallow/deep) was </w:t>
      </w:r>
      <w:r w:rsidR="00130619">
        <w:t xml:space="preserve">found to be </w:t>
      </w:r>
      <w:r w:rsidR="00130619" w:rsidRPr="009A73AF">
        <w:t>a highly significant source of variation in snail egg counts in the tests</w:t>
      </w:r>
      <w:r>
        <w:t xml:space="preserve">: </w:t>
      </w:r>
      <w:r w:rsidR="00130619" w:rsidRPr="009A73AF">
        <w:t xml:space="preserve"> snails sourced from shallow static containers produced more egg</w:t>
      </w:r>
      <w:r w:rsidR="00130619">
        <w:t>s</w:t>
      </w:r>
      <w:r w:rsidR="00130619" w:rsidRPr="009A73AF">
        <w:t xml:space="preserve"> than those from the deep (RAS) containers (P = 0.0001).</w:t>
      </w:r>
      <w:r w:rsidR="00130619">
        <w:t xml:space="preserve"> No ready explanation for this difference was provided at the time</w:t>
      </w:r>
      <w:r>
        <w:t xml:space="preserve"> </w:t>
      </w:r>
      <w:proofErr w:type="gramStart"/>
      <w:r>
        <w:t>However</w:t>
      </w:r>
      <w:proofErr w:type="gramEnd"/>
      <w:r>
        <w:t xml:space="preserve"> </w:t>
      </w:r>
      <w:r w:rsidR="00130619">
        <w:t xml:space="preserve">the more frequent dilution of RAS waters with reverse osmosis-filtered and tap (bore) waters </w:t>
      </w:r>
      <w:r>
        <w:t xml:space="preserve">may </w:t>
      </w:r>
      <w:r w:rsidR="00130619">
        <w:t xml:space="preserve">be removing nutrients and potential for algal food </w:t>
      </w:r>
      <w:r>
        <w:t xml:space="preserve">production </w:t>
      </w:r>
      <w:r w:rsidR="00130619">
        <w:t>in these containers.</w:t>
      </w:r>
    </w:p>
    <w:p w:rsidR="00130619" w:rsidRPr="009A73AF" w:rsidRDefault="00B4350E" w:rsidP="00130619">
      <w:r>
        <w:rPr>
          <w:lang w:eastAsia="en-AU"/>
        </w:rPr>
        <w:t>It was not always possible to attribute an egg count from each snail pair to a specific treatment type in the</w:t>
      </w:r>
      <w:r w:rsidR="00130619" w:rsidRPr="009A73AF">
        <w:rPr>
          <w:lang w:eastAsia="en-AU"/>
        </w:rPr>
        <w:t xml:space="preserve"> 2012–13 data analyses</w:t>
      </w:r>
      <w:r w:rsidR="008E5BFB">
        <w:rPr>
          <w:lang w:eastAsia="en-AU"/>
        </w:rPr>
        <w:t xml:space="preserve">. </w:t>
      </w:r>
      <w:r w:rsidR="00130619" w:rsidRPr="009A73AF">
        <w:rPr>
          <w:lang w:eastAsia="en-AU"/>
        </w:rPr>
        <w:t xml:space="preserve"> </w:t>
      </w:r>
      <w:r w:rsidR="008E5BFB">
        <w:rPr>
          <w:lang w:eastAsia="en-AU"/>
        </w:rPr>
        <w:t>This is</w:t>
      </w:r>
      <w:r w:rsidR="00130619" w:rsidRPr="009A73AF">
        <w:rPr>
          <w:lang w:eastAsia="en-AU"/>
        </w:rPr>
        <w:t xml:space="preserve"> because </w:t>
      </w:r>
      <w:r w:rsidR="008E5BFB">
        <w:rPr>
          <w:lang w:eastAsia="en-AU"/>
        </w:rPr>
        <w:t xml:space="preserve">snails were not necessarily sourced from the same culture-water regime when setting up </w:t>
      </w:r>
      <w:r w:rsidR="00130619" w:rsidRPr="009A73AF">
        <w:rPr>
          <w:lang w:eastAsia="en-AU"/>
        </w:rPr>
        <w:t>replicate pair</w:t>
      </w:r>
      <w:r w:rsidR="008E5BFB">
        <w:rPr>
          <w:lang w:eastAsia="en-AU"/>
        </w:rPr>
        <w:t>s</w:t>
      </w:r>
      <w:r w:rsidR="00130619" w:rsidRPr="009A73AF">
        <w:rPr>
          <w:lang w:eastAsia="en-AU"/>
        </w:rPr>
        <w:t xml:space="preserve"> of snails placed in each egg-laying chamber</w:t>
      </w:r>
      <w:r w:rsidR="008E5BFB">
        <w:rPr>
          <w:lang w:eastAsia="en-AU"/>
        </w:rPr>
        <w:t>.</w:t>
      </w:r>
    </w:p>
    <w:p w:rsidR="00130619" w:rsidRDefault="00130619" w:rsidP="00130619">
      <w:pPr>
        <w:pStyle w:val="Heading4"/>
        <w:rPr>
          <w:lang w:eastAsia="en-AU"/>
        </w:rPr>
      </w:pPr>
      <w:r>
        <w:t>M</w:t>
      </w:r>
      <w:r w:rsidRPr="00D11855">
        <w:t>ethods</w:t>
      </w:r>
    </w:p>
    <w:p w:rsidR="00130619" w:rsidRDefault="008E5BFB" w:rsidP="00130619">
      <w:pPr>
        <w:rPr>
          <w:lang w:eastAsia="en-AU"/>
        </w:rPr>
      </w:pPr>
      <w:r>
        <w:rPr>
          <w:lang w:eastAsia="en-AU"/>
        </w:rPr>
        <w:t xml:space="preserve">With improvements to the design used in the previous wet season, the effect of snail </w:t>
      </w:r>
      <w:r w:rsidR="00130619">
        <w:rPr>
          <w:lang w:eastAsia="en-AU"/>
        </w:rPr>
        <w:t xml:space="preserve">culturing treatments </w:t>
      </w:r>
      <w:r>
        <w:rPr>
          <w:lang w:eastAsia="en-AU"/>
        </w:rPr>
        <w:t xml:space="preserve">was </w:t>
      </w:r>
      <w:r w:rsidR="00130619">
        <w:rPr>
          <w:lang w:eastAsia="en-AU"/>
        </w:rPr>
        <w:t>further examined in the 2013–14 wet. Two broad treatment classes were adopted:</w:t>
      </w:r>
    </w:p>
    <w:p w:rsidR="00C97D34" w:rsidRDefault="00130619" w:rsidP="00C97D34">
      <w:pPr>
        <w:pStyle w:val="ListParagraph"/>
        <w:numPr>
          <w:ilvl w:val="0"/>
          <w:numId w:val="38"/>
        </w:numPr>
        <w:spacing w:after="120" w:line="260" w:lineRule="atLeast"/>
        <w:ind w:left="284" w:hanging="284"/>
        <w:rPr>
          <w:lang w:eastAsia="en-AU"/>
        </w:rPr>
      </w:pPr>
      <w:r w:rsidRPr="005C2BE6">
        <w:rPr>
          <w:bCs/>
          <w:iCs/>
          <w:lang w:eastAsia="en-AU"/>
        </w:rPr>
        <w:t>Deep recirculating aquaculture systems</w:t>
      </w:r>
      <w:r w:rsidRPr="008108F4">
        <w:rPr>
          <w:lang w:eastAsia="en-AU"/>
        </w:rPr>
        <w:t xml:space="preserve"> </w:t>
      </w:r>
      <w:r w:rsidRPr="005C2BE6">
        <w:rPr>
          <w:iCs/>
          <w:lang w:eastAsia="en-AU"/>
        </w:rPr>
        <w:t xml:space="preserve">(RAS) </w:t>
      </w:r>
      <w:r w:rsidRPr="008108F4">
        <w:rPr>
          <w:lang w:eastAsia="en-AU"/>
        </w:rPr>
        <w:t>(2500 L)</w:t>
      </w:r>
      <w:r>
        <w:rPr>
          <w:lang w:eastAsia="en-AU"/>
        </w:rPr>
        <w:t xml:space="preserve"> versus shallow static containers (1000 L), as used in previous years; and</w:t>
      </w:r>
      <w:r w:rsidR="00C97D34">
        <w:rPr>
          <w:lang w:eastAsia="en-AU"/>
        </w:rPr>
        <w:br/>
      </w:r>
    </w:p>
    <w:p w:rsidR="00130619" w:rsidRPr="00440EA9" w:rsidRDefault="00130619" w:rsidP="00A424F4">
      <w:pPr>
        <w:pStyle w:val="ListParagraph"/>
        <w:numPr>
          <w:ilvl w:val="0"/>
          <w:numId w:val="38"/>
        </w:numPr>
        <w:spacing w:line="260" w:lineRule="atLeast"/>
        <w:ind w:left="284" w:hanging="284"/>
        <w:rPr>
          <w:lang w:eastAsia="en-AU"/>
        </w:rPr>
      </w:pPr>
      <w:r>
        <w:rPr>
          <w:lang w:eastAsia="en-AU"/>
        </w:rPr>
        <w:t>Snail stocks established at the start of the wet season and</w:t>
      </w:r>
      <w:r w:rsidRPr="008D2DCE">
        <w:rPr>
          <w:lang w:eastAsia="en-AU"/>
        </w:rPr>
        <w:t xml:space="preserve"> self-replenishing </w:t>
      </w:r>
      <w:r>
        <w:rPr>
          <w:lang w:eastAsia="en-AU"/>
        </w:rPr>
        <w:t xml:space="preserve">throughout the ensuing wet season </w:t>
      </w:r>
      <w:r w:rsidRPr="008D2DCE">
        <w:rPr>
          <w:lang w:eastAsia="en-AU"/>
        </w:rPr>
        <w:t>(‘established’)</w:t>
      </w:r>
      <w:r>
        <w:rPr>
          <w:lang w:eastAsia="en-AU"/>
        </w:rPr>
        <w:t xml:space="preserve"> versus stocks</w:t>
      </w:r>
      <w:r w:rsidRPr="008D2DCE">
        <w:rPr>
          <w:lang w:eastAsia="en-AU"/>
        </w:rPr>
        <w:t xml:space="preserve"> re-established as </w:t>
      </w:r>
      <w:r>
        <w:rPr>
          <w:lang w:eastAsia="en-AU"/>
        </w:rPr>
        <w:t xml:space="preserve">new </w:t>
      </w:r>
      <w:r w:rsidRPr="008D2DCE">
        <w:rPr>
          <w:lang w:eastAsia="en-AU"/>
        </w:rPr>
        <w:t>‘cohorts’ at regular intervals</w:t>
      </w:r>
      <w:r>
        <w:rPr>
          <w:lang w:eastAsia="en-AU"/>
        </w:rPr>
        <w:t xml:space="preserve">. Established stocks developed mixed age classes over time, </w:t>
      </w:r>
      <w:r w:rsidRPr="00440EA9">
        <w:rPr>
          <w:lang w:eastAsia="en-AU"/>
        </w:rPr>
        <w:t>the oldest snails of which could span the entire wet season (230 days), while ‘cohort’ stocks contained snails between 53 and 112 days of age at the time of testing (Figure </w:t>
      </w:r>
      <w:r w:rsidRPr="007F263A">
        <w:t>4.6</w:t>
      </w:r>
      <w:r w:rsidRPr="00440EA9">
        <w:rPr>
          <w:lang w:eastAsia="en-AU"/>
        </w:rPr>
        <w:t>). Thus cohort snails were of known</w:t>
      </w:r>
      <w:r>
        <w:rPr>
          <w:lang w:eastAsia="en-AU"/>
        </w:rPr>
        <w:t>,</w:t>
      </w:r>
      <w:r w:rsidRPr="00440EA9">
        <w:rPr>
          <w:lang w:eastAsia="en-AU"/>
        </w:rPr>
        <w:t xml:space="preserve"> and on average younger</w:t>
      </w:r>
      <w:r>
        <w:rPr>
          <w:lang w:eastAsia="en-AU"/>
        </w:rPr>
        <w:t>,</w:t>
      </w:r>
      <w:r w:rsidRPr="00440EA9">
        <w:rPr>
          <w:lang w:eastAsia="en-AU"/>
        </w:rPr>
        <w:t xml:space="preserve"> age compared to established snails. Four consecutive cohorts were </w:t>
      </w:r>
      <w:r>
        <w:rPr>
          <w:lang w:eastAsia="en-AU"/>
        </w:rPr>
        <w:t>established</w:t>
      </w:r>
      <w:r w:rsidRPr="00440EA9">
        <w:rPr>
          <w:lang w:eastAsia="en-AU"/>
        </w:rPr>
        <w:t xml:space="preserve"> for wet season testing</w:t>
      </w:r>
      <w:r>
        <w:rPr>
          <w:lang w:eastAsia="en-AU"/>
        </w:rPr>
        <w:t xml:space="preserve">. </w:t>
      </w:r>
      <w:r w:rsidRPr="00DB711A">
        <w:rPr>
          <w:lang w:eastAsia="en-AU"/>
        </w:rPr>
        <w:t xml:space="preserve">Upper numeric values in the </w:t>
      </w:r>
      <w:r>
        <w:rPr>
          <w:lang w:eastAsia="en-AU"/>
        </w:rPr>
        <w:t>2</w:t>
      </w:r>
      <w:r w:rsidRPr="001C736B">
        <w:rPr>
          <w:vertAlign w:val="superscript"/>
          <w:lang w:eastAsia="en-AU"/>
        </w:rPr>
        <w:t>nd</w:t>
      </w:r>
      <w:r>
        <w:rPr>
          <w:lang w:eastAsia="en-AU"/>
        </w:rPr>
        <w:t xml:space="preserve"> </w:t>
      </w:r>
      <w:r w:rsidRPr="00DB711A">
        <w:rPr>
          <w:lang w:eastAsia="en-AU"/>
        </w:rPr>
        <w:t>horizon</w:t>
      </w:r>
      <w:r w:rsidR="003E1D83">
        <w:rPr>
          <w:lang w:eastAsia="en-AU"/>
        </w:rPr>
        <w:t>t</w:t>
      </w:r>
      <w:r w:rsidRPr="00DB711A">
        <w:rPr>
          <w:lang w:eastAsia="en-AU"/>
        </w:rPr>
        <w:t xml:space="preserve">al axis </w:t>
      </w:r>
      <w:r>
        <w:rPr>
          <w:lang w:eastAsia="en-AU"/>
        </w:rPr>
        <w:t xml:space="preserve">of </w:t>
      </w:r>
      <w:r w:rsidRPr="00440EA9">
        <w:rPr>
          <w:lang w:eastAsia="en-AU"/>
        </w:rPr>
        <w:t xml:space="preserve">Figure </w:t>
      </w:r>
      <w:r w:rsidRPr="007F263A">
        <w:t>4.</w:t>
      </w:r>
      <w:r>
        <w:t xml:space="preserve">6 delineate, and </w:t>
      </w:r>
      <w:r w:rsidRPr="00DB711A">
        <w:rPr>
          <w:lang w:eastAsia="en-AU"/>
        </w:rPr>
        <w:t>indicate age of</w:t>
      </w:r>
      <w:r>
        <w:rPr>
          <w:lang w:eastAsia="en-AU"/>
        </w:rPr>
        <w:t>,</w:t>
      </w:r>
      <w:r w:rsidRPr="00DB711A">
        <w:rPr>
          <w:lang w:eastAsia="en-AU"/>
        </w:rPr>
        <w:t xml:space="preserve"> cohorts </w:t>
      </w:r>
      <w:r>
        <w:rPr>
          <w:lang w:eastAsia="en-AU"/>
        </w:rPr>
        <w:t>used for testing.</w:t>
      </w:r>
    </w:p>
    <w:p w:rsidR="00130619" w:rsidRDefault="00130619" w:rsidP="00130619">
      <w:pPr>
        <w:rPr>
          <w:lang w:eastAsia="en-AU"/>
        </w:rPr>
      </w:pPr>
      <w:r w:rsidRPr="00440EA9">
        <w:rPr>
          <w:lang w:eastAsia="en-AU"/>
        </w:rPr>
        <w:t>It was possible to further compare egg production for snails</w:t>
      </w:r>
      <w:r>
        <w:rPr>
          <w:lang w:eastAsia="en-AU"/>
        </w:rPr>
        <w:t xml:space="preserve"> held in shallow containers by positioning these either under a broad open awning (‘outside’) or inside a walled-in portion of the same facility (‘inside’). Shallow containers held ‘inside’ were subject to darker day-time conditions (albeit unquantified) while the water temperature outside reached slightly higher day-time but slightly lower night-time water temperatures (± 0.5°C) (data not shown). Differences in egg production between these treatments could thereby indicate light and/or water temperature effects upon egg production.</w:t>
      </w:r>
    </w:p>
    <w:p w:rsidR="00130619" w:rsidRPr="00A424F4" w:rsidRDefault="00130619" w:rsidP="00130619">
      <w:pPr>
        <w:spacing w:line="260" w:lineRule="atLeast"/>
        <w:rPr>
          <w:lang w:eastAsia="en-AU"/>
        </w:rPr>
      </w:pPr>
      <w:r w:rsidRPr="00A424F4">
        <w:rPr>
          <w:lang w:eastAsia="en-AU"/>
        </w:rPr>
        <w:t xml:space="preserve">A total of six treatments were tested over the 2013–14 wet </w:t>
      </w:r>
      <w:proofErr w:type="gramStart"/>
      <w:r w:rsidRPr="00A424F4">
        <w:rPr>
          <w:lang w:eastAsia="en-AU"/>
        </w:rPr>
        <w:t>season</w:t>
      </w:r>
      <w:proofErr w:type="gramEnd"/>
      <w:r w:rsidRPr="00A424F4">
        <w:rPr>
          <w:lang w:eastAsia="en-AU"/>
        </w:rPr>
        <w:t>:</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235"/>
        <w:gridCol w:w="992"/>
        <w:gridCol w:w="1984"/>
      </w:tblGrid>
      <w:tr w:rsidR="006E2531" w:rsidRPr="00A424F4" w:rsidTr="00AF118F">
        <w:trPr>
          <w:trHeight w:val="283"/>
        </w:trPr>
        <w:tc>
          <w:tcPr>
            <w:tcW w:w="2235" w:type="dxa"/>
          </w:tcPr>
          <w:p w:rsidR="006E2531" w:rsidRPr="00A424F4" w:rsidRDefault="006E2531" w:rsidP="006E2531">
            <w:pPr>
              <w:numPr>
                <w:ilvl w:val="0"/>
                <w:numId w:val="39"/>
              </w:numPr>
              <w:spacing w:line="260" w:lineRule="atLeast"/>
              <w:contextualSpacing/>
              <w:rPr>
                <w:lang w:eastAsia="en-AU"/>
              </w:rPr>
            </w:pPr>
            <w:r w:rsidRPr="00A424F4">
              <w:rPr>
                <w:color w:val="000000"/>
                <w:szCs w:val="22"/>
              </w:rPr>
              <w:t>RAS - Deep</w:t>
            </w:r>
          </w:p>
        </w:tc>
        <w:tc>
          <w:tcPr>
            <w:tcW w:w="992" w:type="dxa"/>
          </w:tcPr>
          <w:p w:rsidR="006E2531" w:rsidRPr="00A424F4" w:rsidRDefault="006E2531" w:rsidP="006E2531">
            <w:pPr>
              <w:spacing w:line="260" w:lineRule="atLeast"/>
              <w:rPr>
                <w:lang w:eastAsia="en-AU"/>
              </w:rPr>
            </w:pPr>
            <w:r w:rsidRPr="00A424F4">
              <w:rPr>
                <w:color w:val="000000"/>
                <w:szCs w:val="22"/>
              </w:rPr>
              <w:t>Outside</w:t>
            </w:r>
          </w:p>
        </w:tc>
        <w:tc>
          <w:tcPr>
            <w:tcW w:w="1984" w:type="dxa"/>
          </w:tcPr>
          <w:p w:rsidR="006E2531" w:rsidRPr="00A424F4" w:rsidRDefault="006E2531" w:rsidP="006E2531">
            <w:pPr>
              <w:spacing w:line="260" w:lineRule="atLeast"/>
              <w:rPr>
                <w:lang w:eastAsia="en-AU"/>
              </w:rPr>
            </w:pPr>
            <w:r w:rsidRPr="00A424F4">
              <w:rPr>
                <w:color w:val="000000"/>
                <w:szCs w:val="22"/>
              </w:rPr>
              <w:t>Established at start</w:t>
            </w:r>
          </w:p>
        </w:tc>
      </w:tr>
      <w:tr w:rsidR="006E2531" w:rsidRPr="00A424F4" w:rsidTr="00AF118F">
        <w:trPr>
          <w:trHeight w:val="283"/>
        </w:trPr>
        <w:tc>
          <w:tcPr>
            <w:tcW w:w="2235" w:type="dxa"/>
          </w:tcPr>
          <w:p w:rsidR="006E2531" w:rsidRPr="00A424F4" w:rsidRDefault="006E2531" w:rsidP="006E2531">
            <w:pPr>
              <w:numPr>
                <w:ilvl w:val="0"/>
                <w:numId w:val="39"/>
              </w:numPr>
              <w:spacing w:line="260" w:lineRule="atLeast"/>
              <w:contextualSpacing/>
              <w:rPr>
                <w:lang w:eastAsia="en-AU"/>
              </w:rPr>
            </w:pPr>
            <w:r w:rsidRPr="00A424F4">
              <w:rPr>
                <w:color w:val="000000"/>
                <w:szCs w:val="22"/>
              </w:rPr>
              <w:t>RAS - Deep</w:t>
            </w:r>
          </w:p>
        </w:tc>
        <w:tc>
          <w:tcPr>
            <w:tcW w:w="992" w:type="dxa"/>
          </w:tcPr>
          <w:p w:rsidR="006E2531" w:rsidRPr="00A424F4" w:rsidRDefault="006E2531" w:rsidP="006E2531">
            <w:pPr>
              <w:spacing w:line="260" w:lineRule="atLeast"/>
              <w:rPr>
                <w:lang w:eastAsia="en-AU"/>
              </w:rPr>
            </w:pPr>
            <w:r w:rsidRPr="00A424F4">
              <w:rPr>
                <w:color w:val="000000"/>
                <w:szCs w:val="22"/>
              </w:rPr>
              <w:t>Outside</w:t>
            </w:r>
          </w:p>
        </w:tc>
        <w:tc>
          <w:tcPr>
            <w:tcW w:w="1984" w:type="dxa"/>
          </w:tcPr>
          <w:p w:rsidR="006E2531" w:rsidRPr="00A424F4" w:rsidRDefault="006E2531" w:rsidP="006E2531">
            <w:pPr>
              <w:spacing w:line="260" w:lineRule="atLeast"/>
              <w:rPr>
                <w:lang w:eastAsia="en-AU"/>
              </w:rPr>
            </w:pPr>
            <w:r w:rsidRPr="00A424F4">
              <w:rPr>
                <w:color w:val="000000"/>
                <w:szCs w:val="22"/>
              </w:rPr>
              <w:t>Cohorts</w:t>
            </w:r>
          </w:p>
        </w:tc>
      </w:tr>
      <w:tr w:rsidR="006E2531" w:rsidRPr="00A424F4" w:rsidTr="00AF118F">
        <w:trPr>
          <w:trHeight w:val="283"/>
        </w:trPr>
        <w:tc>
          <w:tcPr>
            <w:tcW w:w="2235" w:type="dxa"/>
          </w:tcPr>
          <w:p w:rsidR="006E2531" w:rsidRPr="00A424F4" w:rsidRDefault="006E2531" w:rsidP="006E2531">
            <w:pPr>
              <w:numPr>
                <w:ilvl w:val="0"/>
                <w:numId w:val="39"/>
              </w:numPr>
              <w:spacing w:line="260" w:lineRule="atLeast"/>
              <w:contextualSpacing/>
              <w:rPr>
                <w:lang w:eastAsia="en-AU"/>
              </w:rPr>
            </w:pPr>
            <w:r w:rsidRPr="00A424F4">
              <w:rPr>
                <w:color w:val="000000"/>
                <w:szCs w:val="22"/>
              </w:rPr>
              <w:t>Static shallow</w:t>
            </w:r>
          </w:p>
        </w:tc>
        <w:tc>
          <w:tcPr>
            <w:tcW w:w="992" w:type="dxa"/>
          </w:tcPr>
          <w:p w:rsidR="006E2531" w:rsidRPr="00A424F4" w:rsidRDefault="006E2531" w:rsidP="006E2531">
            <w:pPr>
              <w:spacing w:line="260" w:lineRule="atLeast"/>
              <w:rPr>
                <w:lang w:eastAsia="en-AU"/>
              </w:rPr>
            </w:pPr>
            <w:r w:rsidRPr="00A424F4">
              <w:rPr>
                <w:color w:val="000000"/>
                <w:szCs w:val="22"/>
              </w:rPr>
              <w:t>Outside</w:t>
            </w:r>
          </w:p>
        </w:tc>
        <w:tc>
          <w:tcPr>
            <w:tcW w:w="1984" w:type="dxa"/>
          </w:tcPr>
          <w:p w:rsidR="006E2531" w:rsidRPr="00A424F4" w:rsidRDefault="006E2531" w:rsidP="006E2531">
            <w:pPr>
              <w:spacing w:line="260" w:lineRule="atLeast"/>
              <w:rPr>
                <w:lang w:eastAsia="en-AU"/>
              </w:rPr>
            </w:pPr>
            <w:r w:rsidRPr="00A424F4">
              <w:rPr>
                <w:color w:val="000000"/>
                <w:szCs w:val="22"/>
              </w:rPr>
              <w:t>Established at start</w:t>
            </w:r>
          </w:p>
        </w:tc>
      </w:tr>
      <w:tr w:rsidR="006E2531" w:rsidRPr="00A424F4" w:rsidTr="00AF118F">
        <w:trPr>
          <w:trHeight w:val="283"/>
        </w:trPr>
        <w:tc>
          <w:tcPr>
            <w:tcW w:w="2235" w:type="dxa"/>
          </w:tcPr>
          <w:p w:rsidR="006E2531" w:rsidRPr="00A424F4" w:rsidRDefault="006E2531" w:rsidP="006E2531">
            <w:pPr>
              <w:numPr>
                <w:ilvl w:val="0"/>
                <w:numId w:val="39"/>
              </w:numPr>
              <w:spacing w:line="260" w:lineRule="atLeast"/>
              <w:contextualSpacing/>
              <w:rPr>
                <w:lang w:eastAsia="en-AU"/>
              </w:rPr>
            </w:pPr>
            <w:r w:rsidRPr="00A424F4">
              <w:rPr>
                <w:color w:val="000000"/>
                <w:szCs w:val="22"/>
              </w:rPr>
              <w:t>Static shallow</w:t>
            </w:r>
          </w:p>
        </w:tc>
        <w:tc>
          <w:tcPr>
            <w:tcW w:w="992" w:type="dxa"/>
          </w:tcPr>
          <w:p w:rsidR="006E2531" w:rsidRPr="00A424F4" w:rsidRDefault="006E2531" w:rsidP="006E2531">
            <w:pPr>
              <w:spacing w:line="260" w:lineRule="atLeast"/>
              <w:rPr>
                <w:lang w:eastAsia="en-AU"/>
              </w:rPr>
            </w:pPr>
            <w:r w:rsidRPr="00A424F4">
              <w:rPr>
                <w:color w:val="000000"/>
                <w:szCs w:val="22"/>
              </w:rPr>
              <w:t>Outside</w:t>
            </w:r>
          </w:p>
        </w:tc>
        <w:tc>
          <w:tcPr>
            <w:tcW w:w="1984" w:type="dxa"/>
          </w:tcPr>
          <w:p w:rsidR="006E2531" w:rsidRPr="00A424F4" w:rsidRDefault="006E2531" w:rsidP="006E2531">
            <w:pPr>
              <w:spacing w:line="260" w:lineRule="atLeast"/>
              <w:rPr>
                <w:lang w:eastAsia="en-AU"/>
              </w:rPr>
            </w:pPr>
            <w:r w:rsidRPr="00A424F4">
              <w:rPr>
                <w:color w:val="000000"/>
                <w:szCs w:val="22"/>
              </w:rPr>
              <w:t>Cohorts</w:t>
            </w:r>
          </w:p>
        </w:tc>
      </w:tr>
      <w:tr w:rsidR="006E2531" w:rsidRPr="00A424F4" w:rsidTr="00AF118F">
        <w:trPr>
          <w:trHeight w:val="283"/>
        </w:trPr>
        <w:tc>
          <w:tcPr>
            <w:tcW w:w="2235" w:type="dxa"/>
          </w:tcPr>
          <w:p w:rsidR="006E2531" w:rsidRPr="00A424F4" w:rsidRDefault="006E2531" w:rsidP="006E2531">
            <w:pPr>
              <w:numPr>
                <w:ilvl w:val="0"/>
                <w:numId w:val="39"/>
              </w:numPr>
              <w:spacing w:line="260" w:lineRule="atLeast"/>
              <w:contextualSpacing/>
              <w:rPr>
                <w:lang w:eastAsia="en-AU"/>
              </w:rPr>
            </w:pPr>
            <w:r w:rsidRPr="00A424F4">
              <w:rPr>
                <w:color w:val="000000"/>
                <w:szCs w:val="22"/>
              </w:rPr>
              <w:t>Static shallow</w:t>
            </w:r>
          </w:p>
        </w:tc>
        <w:tc>
          <w:tcPr>
            <w:tcW w:w="992" w:type="dxa"/>
          </w:tcPr>
          <w:p w:rsidR="006E2531" w:rsidRPr="00A424F4" w:rsidRDefault="006E2531" w:rsidP="006E2531">
            <w:pPr>
              <w:spacing w:line="260" w:lineRule="atLeast"/>
              <w:rPr>
                <w:lang w:eastAsia="en-AU"/>
              </w:rPr>
            </w:pPr>
            <w:r w:rsidRPr="00A424F4">
              <w:rPr>
                <w:lang w:eastAsia="en-AU"/>
              </w:rPr>
              <w:t>Inside</w:t>
            </w:r>
          </w:p>
        </w:tc>
        <w:tc>
          <w:tcPr>
            <w:tcW w:w="1984" w:type="dxa"/>
          </w:tcPr>
          <w:p w:rsidR="006E2531" w:rsidRPr="00A424F4" w:rsidRDefault="006E2531" w:rsidP="006E2531">
            <w:pPr>
              <w:spacing w:line="260" w:lineRule="atLeast"/>
              <w:rPr>
                <w:lang w:eastAsia="en-AU"/>
              </w:rPr>
            </w:pPr>
            <w:r w:rsidRPr="00A424F4">
              <w:rPr>
                <w:color w:val="000000"/>
                <w:szCs w:val="22"/>
              </w:rPr>
              <w:t>Established at start</w:t>
            </w:r>
          </w:p>
        </w:tc>
      </w:tr>
      <w:tr w:rsidR="006E2531" w:rsidRPr="00A424F4" w:rsidTr="00AF118F">
        <w:trPr>
          <w:trHeight w:val="283"/>
        </w:trPr>
        <w:tc>
          <w:tcPr>
            <w:tcW w:w="2235" w:type="dxa"/>
          </w:tcPr>
          <w:p w:rsidR="006E2531" w:rsidRPr="00A424F4" w:rsidRDefault="006E2531" w:rsidP="006E2531">
            <w:pPr>
              <w:numPr>
                <w:ilvl w:val="0"/>
                <w:numId w:val="39"/>
              </w:numPr>
              <w:spacing w:line="260" w:lineRule="atLeast"/>
              <w:contextualSpacing/>
              <w:rPr>
                <w:lang w:eastAsia="en-AU"/>
              </w:rPr>
            </w:pPr>
            <w:r w:rsidRPr="00A424F4">
              <w:rPr>
                <w:color w:val="000000"/>
                <w:szCs w:val="22"/>
              </w:rPr>
              <w:t>Static shallow</w:t>
            </w:r>
          </w:p>
        </w:tc>
        <w:tc>
          <w:tcPr>
            <w:tcW w:w="992" w:type="dxa"/>
          </w:tcPr>
          <w:p w:rsidR="006E2531" w:rsidRPr="00A424F4" w:rsidRDefault="006E2531" w:rsidP="006E2531">
            <w:pPr>
              <w:spacing w:line="260" w:lineRule="atLeast"/>
              <w:rPr>
                <w:lang w:eastAsia="en-AU"/>
              </w:rPr>
            </w:pPr>
            <w:r w:rsidRPr="00A424F4">
              <w:rPr>
                <w:color w:val="000000"/>
                <w:szCs w:val="22"/>
              </w:rPr>
              <w:t>Inside</w:t>
            </w:r>
          </w:p>
        </w:tc>
        <w:tc>
          <w:tcPr>
            <w:tcW w:w="1984" w:type="dxa"/>
          </w:tcPr>
          <w:p w:rsidR="006E2531" w:rsidRPr="00A424F4" w:rsidRDefault="006E2531" w:rsidP="006E2531">
            <w:pPr>
              <w:spacing w:line="260" w:lineRule="atLeast"/>
              <w:rPr>
                <w:lang w:eastAsia="en-AU"/>
              </w:rPr>
            </w:pPr>
            <w:r w:rsidRPr="00A424F4">
              <w:rPr>
                <w:color w:val="000000"/>
                <w:szCs w:val="22"/>
              </w:rPr>
              <w:t>Cohorts</w:t>
            </w:r>
          </w:p>
        </w:tc>
      </w:tr>
    </w:tbl>
    <w:p w:rsidR="00BE1FEF" w:rsidRDefault="00BE1FEF" w:rsidP="00AF118F"/>
    <w:p w:rsidR="00AF118F" w:rsidRDefault="00AF118F" w:rsidP="00AF118F">
      <w:pPr>
        <w:rPr>
          <w:lang w:eastAsia="en-AU"/>
        </w:rPr>
      </w:pPr>
      <w:r w:rsidRPr="00324DF0">
        <w:t>F</w:t>
      </w:r>
      <w:r w:rsidRPr="00324DF0">
        <w:rPr>
          <w:lang w:eastAsia="en-AU"/>
        </w:rPr>
        <w:t xml:space="preserve">or each toxicity monitoring test and each creek and site (upstream/downstream), replicate snail pairs were selected </w:t>
      </w:r>
      <w:r>
        <w:rPr>
          <w:lang w:eastAsia="en-AU"/>
        </w:rPr>
        <w:t xml:space="preserve">for testing </w:t>
      </w:r>
      <w:r w:rsidRPr="00324DF0">
        <w:rPr>
          <w:lang w:eastAsia="en-AU"/>
        </w:rPr>
        <w:t xml:space="preserve">in equal numbers from </w:t>
      </w:r>
      <w:r>
        <w:rPr>
          <w:lang w:eastAsia="en-AU"/>
        </w:rPr>
        <w:t xml:space="preserve">across </w:t>
      </w:r>
      <w:r w:rsidRPr="00324DF0">
        <w:rPr>
          <w:lang w:eastAsia="en-AU"/>
        </w:rPr>
        <w:t>the six treatments described above</w:t>
      </w:r>
      <w:r>
        <w:rPr>
          <w:lang w:eastAsia="en-AU"/>
        </w:rPr>
        <w:t xml:space="preserve"> (i</w:t>
      </w:r>
      <w:r w:rsidR="008D58BD">
        <w:rPr>
          <w:lang w:eastAsia="en-AU"/>
        </w:rPr>
        <w:t>.</w:t>
      </w:r>
      <w:r>
        <w:rPr>
          <w:lang w:eastAsia="en-AU"/>
        </w:rPr>
        <w:t>e. 3 snail pairs per treatment, per site)</w:t>
      </w:r>
      <w:r w:rsidRPr="00324DF0">
        <w:rPr>
          <w:lang w:eastAsia="en-AU"/>
        </w:rPr>
        <w:t>. Thus</w:t>
      </w:r>
      <w:r>
        <w:rPr>
          <w:lang w:eastAsia="en-AU"/>
        </w:rPr>
        <w:t>,</w:t>
      </w:r>
      <w:r w:rsidRPr="00324DF0">
        <w:rPr>
          <w:lang w:eastAsia="en-AU"/>
        </w:rPr>
        <w:t xml:space="preserve"> and unlike the 2012–13 wet </w:t>
      </w:r>
      <w:proofErr w:type="gramStart"/>
      <w:r w:rsidRPr="00324DF0">
        <w:rPr>
          <w:lang w:eastAsia="en-AU"/>
        </w:rPr>
        <w:t>sea</w:t>
      </w:r>
      <w:r>
        <w:rPr>
          <w:lang w:eastAsia="en-AU"/>
        </w:rPr>
        <w:t>s</w:t>
      </w:r>
      <w:r w:rsidRPr="00324DF0">
        <w:rPr>
          <w:lang w:eastAsia="en-AU"/>
        </w:rPr>
        <w:t>on</w:t>
      </w:r>
      <w:proofErr w:type="gramEnd"/>
      <w:r w:rsidRPr="00324DF0">
        <w:rPr>
          <w:lang w:eastAsia="en-AU"/>
        </w:rPr>
        <w:t xml:space="preserve">, each snail pair was sourced from the </w:t>
      </w:r>
      <w:r w:rsidRPr="00324DF0">
        <w:rPr>
          <w:i/>
          <w:lang w:eastAsia="en-AU"/>
        </w:rPr>
        <w:t>same</w:t>
      </w:r>
      <w:r w:rsidRPr="00324DF0">
        <w:rPr>
          <w:lang w:eastAsia="en-AU"/>
        </w:rPr>
        <w:t xml:space="preserve"> treatment.</w:t>
      </w:r>
      <w:r w:rsidRPr="00324DF0">
        <w:t xml:space="preserve"> </w:t>
      </w:r>
      <w:r>
        <w:t>T</w:t>
      </w:r>
      <w:r w:rsidRPr="00324DF0">
        <w:rPr>
          <w:lang w:eastAsia="en-AU"/>
        </w:rPr>
        <w:t xml:space="preserve">he total egg count arising from </w:t>
      </w:r>
      <w:r>
        <w:rPr>
          <w:lang w:eastAsia="en-AU"/>
        </w:rPr>
        <w:t>each</w:t>
      </w:r>
      <w:r w:rsidRPr="00324DF0">
        <w:rPr>
          <w:lang w:eastAsia="en-AU"/>
        </w:rPr>
        <w:t xml:space="preserve"> replicate snail pair was </w:t>
      </w:r>
      <w:r>
        <w:rPr>
          <w:lang w:eastAsia="en-AU"/>
        </w:rPr>
        <w:t>determined</w:t>
      </w:r>
      <w:r w:rsidRPr="00324DF0">
        <w:rPr>
          <w:lang w:eastAsia="en-AU"/>
        </w:rPr>
        <w:t>, with mean values</w:t>
      </w:r>
      <w:r>
        <w:rPr>
          <w:lang w:eastAsia="en-AU"/>
        </w:rPr>
        <w:t xml:space="preserve"> </w:t>
      </w:r>
      <w:r w:rsidRPr="00324DF0">
        <w:rPr>
          <w:lang w:eastAsia="en-AU"/>
        </w:rPr>
        <w:t xml:space="preserve">for </w:t>
      </w:r>
      <w:r>
        <w:rPr>
          <w:lang w:eastAsia="en-AU"/>
        </w:rPr>
        <w:t>all replicate pairs from each of the six</w:t>
      </w:r>
      <w:r w:rsidRPr="00324DF0">
        <w:rPr>
          <w:lang w:eastAsia="en-AU"/>
        </w:rPr>
        <w:t xml:space="preserve"> treatments plotted</w:t>
      </w:r>
      <w:r>
        <w:rPr>
          <w:lang w:eastAsia="en-AU"/>
        </w:rPr>
        <w:t xml:space="preserve"> for each test</w:t>
      </w:r>
      <w:r w:rsidRPr="00324DF0">
        <w:rPr>
          <w:lang w:eastAsia="en-AU"/>
        </w:rPr>
        <w:t xml:space="preserve"> in </w:t>
      </w:r>
      <w:r w:rsidRPr="00440EA9">
        <w:rPr>
          <w:lang w:eastAsia="en-AU"/>
        </w:rPr>
        <w:t>Figure </w:t>
      </w:r>
      <w:r>
        <w:t>4.6</w:t>
      </w:r>
      <w:r w:rsidRPr="00440EA9">
        <w:rPr>
          <w:lang w:eastAsia="en-AU"/>
        </w:rPr>
        <w:t xml:space="preserve">. </w:t>
      </w:r>
    </w:p>
    <w:p w:rsidR="00095141" w:rsidRPr="002F1C4C" w:rsidRDefault="00095141" w:rsidP="00095141">
      <w:pPr>
        <w:rPr>
          <w:lang w:eastAsia="en-AU"/>
        </w:rPr>
      </w:pPr>
      <w:r w:rsidRPr="00440EA9">
        <w:rPr>
          <w:lang w:eastAsia="en-AU"/>
        </w:rPr>
        <w:t xml:space="preserve">Analysis of variance (ANOVA) testing was used to examine egg number differences amongst the six </w:t>
      </w:r>
      <w:r>
        <w:rPr>
          <w:lang w:eastAsia="en-AU"/>
        </w:rPr>
        <w:t>treatments (see above</w:t>
      </w:r>
      <w:r w:rsidRPr="002F1C4C">
        <w:rPr>
          <w:lang w:eastAsia="en-AU"/>
        </w:rPr>
        <w:t>) for creeks combined and for separate creeks (from Figure </w:t>
      </w:r>
      <w:r>
        <w:t>4.6</w:t>
      </w:r>
      <w:r w:rsidRPr="002F1C4C">
        <w:rPr>
          <w:lang w:eastAsia="en-AU"/>
        </w:rPr>
        <w:t xml:space="preserve">). Container age varied with each test and so this factor was </w:t>
      </w:r>
      <w:r w:rsidRPr="002F1C4C">
        <w:t>unevenly distributed amongst container types and could only be nested within this factor. In the previous year’s a</w:t>
      </w:r>
      <w:r>
        <w:t>nalysis (Supervising Scientist Annual R</w:t>
      </w:r>
      <w:r w:rsidRPr="002F1C4C">
        <w:t xml:space="preserve">eport for 2012–2013; Section 4.4), snail size, snail weight, site (up/downstream) and test order were additional covariates or factors included in the analysis. </w:t>
      </w:r>
      <w:r>
        <w:t>For</w:t>
      </w:r>
      <w:r w:rsidRPr="002F1C4C">
        <w:t xml:space="preserve"> reasons outlined in the previous Annual Report</w:t>
      </w:r>
      <w:r>
        <w:t xml:space="preserve"> these covariates and factors were not considered in the current ANOVA. </w:t>
      </w:r>
    </w:p>
    <w:p w:rsidR="00095141" w:rsidRDefault="00095141" w:rsidP="00AF118F">
      <w:pPr>
        <w:rPr>
          <w:lang w:eastAsia="en-AU"/>
        </w:rPr>
      </w:pPr>
    </w:p>
    <w:p w:rsidR="00863CEB" w:rsidRDefault="00863CEB" w:rsidP="00863CEB">
      <w:pPr>
        <w:spacing w:line="260" w:lineRule="atLeast"/>
        <w:jc w:val="center"/>
        <w:rPr>
          <w:rFonts w:ascii="Garamond" w:hAnsi="Garamond"/>
          <w:lang w:eastAsia="en-AU"/>
        </w:rPr>
      </w:pPr>
      <w:r w:rsidRPr="00AF118F">
        <w:rPr>
          <w:rFonts w:ascii="Garamond" w:hAnsi="Garamond"/>
          <w:noProof/>
          <w:lang w:eastAsia="en-AU"/>
        </w:rPr>
        <w:drawing>
          <wp:inline distT="0" distB="0" distL="0" distR="0">
            <wp:extent cx="4162425" cy="5982324"/>
            <wp:effectExtent l="19050" t="0" r="9525" b="0"/>
            <wp:docPr id="6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4" cstate="screen"/>
                    <a:srcRect t="4191" r="5911"/>
                    <a:stretch>
                      <a:fillRect/>
                    </a:stretch>
                  </pic:blipFill>
                  <pic:spPr bwMode="auto">
                    <a:xfrm>
                      <a:off x="0" y="0"/>
                      <a:ext cx="4162425" cy="5982324"/>
                    </a:xfrm>
                    <a:prstGeom prst="rect">
                      <a:avLst/>
                    </a:prstGeom>
                    <a:noFill/>
                    <a:ln w="9525">
                      <a:noFill/>
                      <a:miter lim="800000"/>
                      <a:headEnd/>
                      <a:tailEnd/>
                    </a:ln>
                  </pic:spPr>
                </pic:pic>
              </a:graphicData>
            </a:graphic>
          </wp:inline>
        </w:drawing>
      </w:r>
    </w:p>
    <w:p w:rsidR="00863CEB" w:rsidRDefault="00863CEB" w:rsidP="00863CEB">
      <w:pPr>
        <w:pStyle w:val="figurecaption"/>
        <w:rPr>
          <w:lang w:eastAsia="en-AU"/>
        </w:rPr>
      </w:pPr>
      <w:r w:rsidRPr="00AF118F">
        <w:rPr>
          <w:b/>
        </w:rPr>
        <w:t>Figure 4.6</w:t>
      </w:r>
      <w:r w:rsidRPr="00AF118F">
        <w:t xml:space="preserve"> M</w:t>
      </w:r>
      <w:r w:rsidRPr="00AF118F">
        <w:rPr>
          <w:lang w:eastAsia="en-AU"/>
        </w:rPr>
        <w:t>ean egg count for replicate snail pairs (</w:t>
      </w:r>
      <w:r w:rsidRPr="00CA4BEC">
        <w:rPr>
          <w:i/>
          <w:lang w:eastAsia="en-AU"/>
        </w:rPr>
        <w:t>n</w:t>
      </w:r>
      <w:r w:rsidRPr="00AF118F">
        <w:rPr>
          <w:lang w:eastAsia="en-AU"/>
        </w:rPr>
        <w:t>=3) sourced from shallow static and deep RAS culture container types, and according to culture age (established and cohorts), for Magela and Gulungul toxicity monitoring tests conducted in the 2013–14 wet season. Horizontal axis shows the test order over the wet season, with M and G referring to Magela and Gulungul Creeks, respectively. Upper and lower numeric values in the 2</w:t>
      </w:r>
      <w:r w:rsidRPr="00AF118F">
        <w:rPr>
          <w:vertAlign w:val="superscript"/>
          <w:lang w:eastAsia="en-AU"/>
        </w:rPr>
        <w:t>nd</w:t>
      </w:r>
      <w:r w:rsidRPr="00AF118F">
        <w:rPr>
          <w:lang w:eastAsia="en-AU"/>
        </w:rPr>
        <w:t xml:space="preserve"> horizonal axis indicate age of cohorts and time since establishment, for ‘culture age’ treatments, respectively.</w:t>
      </w:r>
    </w:p>
    <w:p w:rsidR="00AF118F" w:rsidRPr="00AF118F" w:rsidRDefault="00AF118F" w:rsidP="00AF118F">
      <w:pPr>
        <w:pStyle w:val="Heading4"/>
        <w:rPr>
          <w:lang w:eastAsia="en-AU"/>
        </w:rPr>
      </w:pPr>
      <w:r w:rsidRPr="00AF118F">
        <w:rPr>
          <w:lang w:eastAsia="en-AU"/>
        </w:rPr>
        <w:t>Results</w:t>
      </w:r>
    </w:p>
    <w:p w:rsidR="00AF118F" w:rsidRPr="00AF118F" w:rsidRDefault="00AF118F" w:rsidP="00AF118F">
      <w:pPr>
        <w:rPr>
          <w:lang w:eastAsia="en-AU"/>
        </w:rPr>
      </w:pPr>
      <w:r w:rsidRPr="00AF118F">
        <w:rPr>
          <w:lang w:eastAsia="en-AU"/>
        </w:rPr>
        <w:t>ANOVA testing showed:</w:t>
      </w:r>
    </w:p>
    <w:p w:rsidR="00AF118F" w:rsidRPr="00AF118F" w:rsidRDefault="00AF118F" w:rsidP="007A35E1">
      <w:pPr>
        <w:numPr>
          <w:ilvl w:val="0"/>
          <w:numId w:val="40"/>
        </w:numPr>
        <w:ind w:left="284" w:hanging="284"/>
        <w:rPr>
          <w:lang w:val="en-US" w:eastAsia="en-AU"/>
        </w:rPr>
      </w:pPr>
      <w:r w:rsidRPr="00AF118F">
        <w:rPr>
          <w:lang w:eastAsia="en-AU"/>
        </w:rPr>
        <w:t>Snail egg number differed significantly amongst the three container-type treatments for creeks combined and creeks separate (P = 0.001). All (three) pairwise comparisons (including shallow inside versus shallow outside) showed highly significant differences for creeks combined and creeks separate (P = 0.001). Greater egg production followed the order shallow outside &gt; shallow inside &gt; deep (RAS), evident in the plotted data shown in Figure 4.6. This result supported the 2012–13 wet season analysis (Supervising Scientist Annual Report for 2012–2013; Section 4.4) which showed, similarly, greater egg production for snail pairs reared in shallow static containers compared to deep RAS containers.</w:t>
      </w:r>
    </w:p>
    <w:p w:rsidR="00AF118F" w:rsidRPr="00AF118F" w:rsidRDefault="00AF118F" w:rsidP="007A35E1">
      <w:pPr>
        <w:numPr>
          <w:ilvl w:val="0"/>
          <w:numId w:val="40"/>
        </w:numPr>
        <w:ind w:left="284" w:hanging="284"/>
        <w:rPr>
          <w:lang w:eastAsia="en-AU"/>
        </w:rPr>
      </w:pPr>
      <w:r w:rsidRPr="00AF118F">
        <w:rPr>
          <w:lang w:eastAsia="en-AU"/>
        </w:rPr>
        <w:t xml:space="preserve">Egg number differed significantly between established and cohort treatments for creeks combined and creeks separate (P &lt; 0.01). Cohort snails produced significantly greater numbers of eggs compared to established snails and this was most evident in the shallow outside treatment (Figure 4.6). </w:t>
      </w:r>
    </w:p>
    <w:p w:rsidR="00AF118F" w:rsidRPr="00AF118F" w:rsidRDefault="00AF118F" w:rsidP="007A35E1">
      <w:pPr>
        <w:numPr>
          <w:ilvl w:val="0"/>
          <w:numId w:val="40"/>
        </w:numPr>
        <w:ind w:left="284" w:hanging="284"/>
        <w:rPr>
          <w:lang w:eastAsia="en-AU"/>
        </w:rPr>
      </w:pPr>
      <w:r w:rsidRPr="00AF118F">
        <w:rPr>
          <w:lang w:eastAsia="en-AU"/>
        </w:rPr>
        <w:t>Actual container age (or maximum age for ‘established’ treatment), nested within the container age factor, was significant for each creek examined separate</w:t>
      </w:r>
      <w:r>
        <w:rPr>
          <w:lang w:eastAsia="en-AU"/>
        </w:rPr>
        <w:t xml:space="preserve">ly </w:t>
      </w:r>
      <w:r w:rsidRPr="00AF118F">
        <w:rPr>
          <w:lang w:eastAsia="en-AU"/>
        </w:rPr>
        <w:t>(P = 0.001). When the ‘established’ treatment was removed from analysis, with container age for just the ‘cohort’ treatment now nested within container type, the factor held a similar significance for each creek (P = 0.001). Examining Figure 4.6, it is evident that the egg production for cohort snail age 77 days in both the 2</w:t>
      </w:r>
      <w:r w:rsidRPr="00AF118F">
        <w:rPr>
          <w:vertAlign w:val="superscript"/>
          <w:lang w:eastAsia="en-AU"/>
        </w:rPr>
        <w:t>nd</w:t>
      </w:r>
      <w:r w:rsidRPr="00AF118F">
        <w:rPr>
          <w:lang w:eastAsia="en-AU"/>
        </w:rPr>
        <w:t xml:space="preserve"> and 3</w:t>
      </w:r>
      <w:r w:rsidRPr="00AF118F">
        <w:rPr>
          <w:vertAlign w:val="superscript"/>
          <w:lang w:eastAsia="en-AU"/>
        </w:rPr>
        <w:t>rd</w:t>
      </w:r>
      <w:r w:rsidRPr="00AF118F">
        <w:rPr>
          <w:lang w:eastAsia="en-AU"/>
        </w:rPr>
        <w:t xml:space="preserve"> cohorts, was particularly high, probably explaining the significance of this factor. While fecundity increases generally with snail size (Supervising Scientist Annual Report for 2012–2013; Section 4.4), it is also possible that fecundity has an interaction with snail age with greatest egg production observed at an intermediate age of snails (~77 days). This requires further investigation.</w:t>
      </w:r>
    </w:p>
    <w:p w:rsidR="007133D1" w:rsidRDefault="00AF118F" w:rsidP="00592034">
      <w:pPr>
        <w:rPr>
          <w:lang w:eastAsia="en-AU"/>
        </w:rPr>
      </w:pPr>
      <w:r w:rsidRPr="00AF118F">
        <w:rPr>
          <w:lang w:eastAsia="en-AU"/>
        </w:rPr>
        <w:t xml:space="preserve">The results of the 2013–14 husbandry investigation have practical implications that guide future snail culturing for routine toxicity monitoring in Magela and Gulungul creeks. Firstly, culturing snails in regular cohorts of known snail age appears to result in greater reproductive vigour. Moreover, the more resource-intensive </w:t>
      </w:r>
      <w:r w:rsidRPr="00AF118F">
        <w:rPr>
          <w:bCs/>
          <w:iCs/>
          <w:lang w:eastAsia="en-AU"/>
        </w:rPr>
        <w:t>recirculating aquaculture systems</w:t>
      </w:r>
      <w:r w:rsidRPr="00AF118F">
        <w:rPr>
          <w:lang w:eastAsia="en-AU"/>
        </w:rPr>
        <w:t xml:space="preserve"> is not providing obvious benefit in terms of snail egg production and could be re-considered in terms of future application. Finally, the results highlight the importance of allocating snails from a particular culturing treatment evenly to each of the paired sites in a toxicity monitoring test. If this is not done, the upstream-downstream difference value for the test may reflect an artefact of culture type, as opposed to its proper representation of detecting changes in water quality.</w:t>
      </w:r>
    </w:p>
    <w:p w:rsidR="00AF118F" w:rsidRPr="00AF118F" w:rsidRDefault="00592034" w:rsidP="00605797">
      <w:pPr>
        <w:pStyle w:val="Heading2"/>
        <w:tabs>
          <w:tab w:val="clear" w:pos="505"/>
          <w:tab w:val="left" w:pos="993"/>
        </w:tabs>
        <w:ind w:left="993" w:hanging="993"/>
        <w:rPr>
          <w:lang w:eastAsia="en-AU"/>
        </w:rPr>
      </w:pPr>
      <w:r w:rsidRPr="00AF118F">
        <w:rPr>
          <w:lang w:eastAsia="en-AU"/>
        </w:rPr>
        <w:t xml:space="preserve"> </w:t>
      </w:r>
      <w:bookmarkStart w:id="249" w:name="_Toc399928189"/>
      <w:r w:rsidR="00AF118F" w:rsidRPr="00AF118F">
        <w:rPr>
          <w:lang w:eastAsia="en-AU"/>
        </w:rPr>
        <w:t>4.4.2</w:t>
      </w:r>
      <w:r w:rsidR="00605797">
        <w:rPr>
          <w:lang w:eastAsia="en-AU"/>
        </w:rPr>
        <w:tab/>
      </w:r>
      <w:r w:rsidR="00AF118F" w:rsidRPr="00AF118F">
        <w:rPr>
          <w:lang w:eastAsia="en-AU"/>
        </w:rPr>
        <w:t>Influences of ambient water quality on the snail egg production response</w:t>
      </w:r>
      <w:bookmarkEnd w:id="249"/>
    </w:p>
    <w:p w:rsidR="00AF118F" w:rsidRPr="00AF118F" w:rsidRDefault="00AF118F" w:rsidP="00AF118F">
      <w:pPr>
        <w:rPr>
          <w:lang w:eastAsia="en-AU"/>
        </w:rPr>
      </w:pPr>
      <w:r w:rsidRPr="00AF118F">
        <w:rPr>
          <w:lang w:eastAsia="en-AU"/>
        </w:rPr>
        <w:t xml:space="preserve">As reported </w:t>
      </w:r>
      <w:r w:rsidRPr="003E1D83">
        <w:rPr>
          <w:lang w:eastAsia="en-AU"/>
        </w:rPr>
        <w:t>above (Section 3.2.3.2, Biological monitoring in Magela Creek), water temperature and electrical conductivity (EC) influence the snail egg laying response in Magela and Gulungul creeks. Continuous water quality data gathered from sondes at each of the monitoring sites since the 2006–07 wet season has enabled accurate and effective integration of water quality exposure conditions for each of the four-day toxicity monitoring tests. Measures of water temperature and EC used in data analyses represent the median of 10 minute continuous readings taken across the four-day exposure period at each of the creek sites. The collective water quality and egg production data gathered since the 2006–07 wet season are shown in Figure 4.7. As described in Section 3.2.3.2 of this re</w:t>
      </w:r>
      <w:r w:rsidRPr="00AF118F">
        <w:rPr>
          <w:lang w:eastAsia="en-AU"/>
        </w:rPr>
        <w:t>port, an interacting effect between water temperature and EC has been observed. As EC increases (generally across the range ~7-30 µS</w:t>
      </w:r>
      <w:r w:rsidR="00160591">
        <w:rPr>
          <w:lang w:eastAsia="en-AU"/>
        </w:rPr>
        <w:t xml:space="preserve"> </w:t>
      </w:r>
      <w:r w:rsidRPr="00AF118F">
        <w:rPr>
          <w:lang w:eastAsia="en-AU"/>
        </w:rPr>
        <w:t>cm</w:t>
      </w:r>
      <w:r w:rsidR="00160591" w:rsidRPr="00160591">
        <w:rPr>
          <w:snapToGrid w:val="0"/>
          <w:color w:val="000000"/>
          <w:position w:val="5"/>
          <w:sz w:val="13"/>
          <w:szCs w:val="0"/>
          <w:u w:color="000000"/>
          <w:lang w:eastAsia="en-AU"/>
        </w:rPr>
        <w:t>-1</w:t>
      </w:r>
      <w:r w:rsidRPr="00AF118F">
        <w:rPr>
          <w:lang w:eastAsia="en-AU"/>
        </w:rPr>
        <w:t>), snail egg production:</w:t>
      </w:r>
    </w:p>
    <w:p w:rsidR="00AF118F" w:rsidRPr="00AF118F" w:rsidRDefault="00AF118F" w:rsidP="00AF118F">
      <w:pPr>
        <w:pStyle w:val="bulletlist1"/>
        <w:rPr>
          <w:lang w:eastAsia="en-AU"/>
        </w:rPr>
      </w:pPr>
      <w:r w:rsidRPr="00AF118F">
        <w:rPr>
          <w:lang w:eastAsia="en-AU"/>
        </w:rPr>
        <w:t>increases at lower water temperature ranges (27–30°C), and</w:t>
      </w:r>
    </w:p>
    <w:p w:rsidR="00AF118F" w:rsidRPr="00AF118F" w:rsidRDefault="00AF118F" w:rsidP="00AF118F">
      <w:pPr>
        <w:pStyle w:val="bulletlist1"/>
        <w:rPr>
          <w:lang w:eastAsia="en-AU"/>
        </w:rPr>
      </w:pPr>
      <w:proofErr w:type="gramStart"/>
      <w:r w:rsidRPr="00AF118F">
        <w:rPr>
          <w:lang w:eastAsia="en-AU"/>
        </w:rPr>
        <w:t>decreases</w:t>
      </w:r>
      <w:proofErr w:type="gramEnd"/>
      <w:r w:rsidRPr="00AF118F">
        <w:rPr>
          <w:lang w:eastAsia="en-AU"/>
        </w:rPr>
        <w:t xml:space="preserve"> (i.e. negative effect) at higher water temperatures (&gt;</w:t>
      </w:r>
      <w:r w:rsidR="00160591">
        <w:rPr>
          <w:lang w:eastAsia="en-AU"/>
        </w:rPr>
        <w:t xml:space="preserve"> </w:t>
      </w:r>
      <w:r w:rsidRPr="00AF118F">
        <w:rPr>
          <w:lang w:eastAsia="en-AU"/>
        </w:rPr>
        <w:t>30°C) (see Figure 4.7).</w:t>
      </w:r>
    </w:p>
    <w:p w:rsidR="00AF118F" w:rsidRPr="00AF118F" w:rsidRDefault="00AF118F" w:rsidP="00AF118F">
      <w:pPr>
        <w:rPr>
          <w:lang w:eastAsia="en-AU"/>
        </w:rPr>
      </w:pPr>
      <w:r w:rsidRPr="00AF118F">
        <w:rPr>
          <w:lang w:eastAsia="en-AU"/>
        </w:rPr>
        <w:t>The increase in egg production with increasing EC at lower water temperature ranges (&lt;</w:t>
      </w:r>
      <w:r w:rsidR="00160591">
        <w:rPr>
          <w:lang w:eastAsia="en-AU"/>
        </w:rPr>
        <w:t> </w:t>
      </w:r>
      <w:r w:rsidRPr="00AF118F">
        <w:rPr>
          <w:lang w:eastAsia="en-AU"/>
        </w:rPr>
        <w:t>30°C) is highly significant and this relationship has generally strengthened in the past several years (cumulative results not provided). The decrease in egg production with increasing EC at higher water temperature ranges (30°C) is a weaker relationship that has fluctuated between significance (P &lt; 0.05) and non-significance after each wet season of accruing data gathered since 2011 (data also not provided).</w:t>
      </w:r>
    </w:p>
    <w:p w:rsidR="00AF118F" w:rsidRDefault="00AF118F" w:rsidP="00AF118F">
      <w:pPr>
        <w:pStyle w:val="figurecaption"/>
      </w:pPr>
      <w:r w:rsidRPr="004C7C47">
        <w:rPr>
          <w:rFonts w:ascii="Times New Roman" w:hAnsi="Times New Roman"/>
          <w:bCs w:val="0"/>
          <w:sz w:val="20"/>
          <w:lang w:val="en-AU" w:eastAsia="en-AU"/>
        </w:rPr>
        <w:drawing>
          <wp:inline distT="0" distB="0" distL="0" distR="0">
            <wp:extent cx="4757351" cy="2891361"/>
            <wp:effectExtent l="0" t="0" r="5149" b="0"/>
            <wp:docPr id="3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5" cstate="screen"/>
                    <a:srcRect/>
                    <a:stretch>
                      <a:fillRect/>
                    </a:stretch>
                  </pic:blipFill>
                  <pic:spPr bwMode="auto">
                    <a:xfrm>
                      <a:off x="0" y="0"/>
                      <a:ext cx="4762698" cy="2894611"/>
                    </a:xfrm>
                    <a:prstGeom prst="rect">
                      <a:avLst/>
                    </a:prstGeom>
                    <a:noFill/>
                    <a:ln w="9525">
                      <a:noFill/>
                      <a:miter lim="800000"/>
                      <a:headEnd/>
                      <a:tailEnd/>
                    </a:ln>
                  </pic:spPr>
                </pic:pic>
              </a:graphicData>
            </a:graphic>
          </wp:inline>
        </w:drawing>
      </w:r>
      <w:r w:rsidRPr="004C7C47">
        <w:rPr>
          <w:b/>
        </w:rPr>
        <w:t xml:space="preserve">Figure </w:t>
      </w:r>
      <w:r>
        <w:rPr>
          <w:b/>
        </w:rPr>
        <w:t>4.7</w:t>
      </w:r>
      <w:r w:rsidRPr="004C7C47">
        <w:t xml:space="preserve"> </w:t>
      </w:r>
      <w:bookmarkStart w:id="250" w:name="OLE_LINK1"/>
      <w:bookmarkStart w:id="251" w:name="OLE_LINK2"/>
      <w:r w:rsidRPr="004C7C47">
        <w:t>Relationships between mean snail egg number for each site</w:t>
      </w:r>
      <w:r>
        <w:t xml:space="preserve"> in Magela and Gulungul Creeks</w:t>
      </w:r>
      <w:r w:rsidRPr="004C7C47">
        <w:t>, and ambient electrical conductivity and water temperature over the four-day exposure test periods for wet seasons between 2006–07 and 2013–14.</w:t>
      </w:r>
      <w:bookmarkEnd w:id="250"/>
      <w:bookmarkEnd w:id="251"/>
    </w:p>
    <w:p w:rsidR="00AF118F" w:rsidRPr="003E1D83" w:rsidRDefault="00AF118F" w:rsidP="00AF118F">
      <w:pPr>
        <w:rPr>
          <w:bCs/>
        </w:rPr>
      </w:pPr>
      <w:r>
        <w:t xml:space="preserve">As discussed in </w:t>
      </w:r>
      <w:r w:rsidRPr="003E1D83">
        <w:t xml:space="preserve">Section 3.2.3.2, these water quality/egg production relationships as depicted in Figure 4.7, can usefully be applied to interpreting annual toxicity monitoring results in Magela and Gulungul creeks. The relationships have limited use in explaining the </w:t>
      </w:r>
      <w:r w:rsidRPr="003E1D83">
        <w:rPr>
          <w:i/>
        </w:rPr>
        <w:t>magnitude</w:t>
      </w:r>
      <w:r w:rsidRPr="003E1D83">
        <w:t xml:space="preserve"> of egg production at a site, but</w:t>
      </w:r>
      <w:r w:rsidRPr="003E1D83">
        <w:rPr>
          <w:lang w:eastAsia="en-AU"/>
        </w:rPr>
        <w:t xml:space="preserve"> can generally explain the </w:t>
      </w:r>
      <w:r w:rsidRPr="003E1D83">
        <w:rPr>
          <w:i/>
          <w:lang w:eastAsia="en-AU"/>
        </w:rPr>
        <w:t>difference</w:t>
      </w:r>
      <w:r w:rsidR="008E5BFB">
        <w:rPr>
          <w:lang w:eastAsia="en-AU"/>
        </w:rPr>
        <w:t>s</w:t>
      </w:r>
      <w:r w:rsidR="00BE1FEF">
        <w:rPr>
          <w:lang w:eastAsia="en-AU"/>
        </w:rPr>
        <w:t xml:space="preserve"> </w:t>
      </w:r>
      <w:r w:rsidRPr="003E1D83">
        <w:rPr>
          <w:lang w:eastAsia="en-AU"/>
        </w:rPr>
        <w:t xml:space="preserve">in egg production between the paired upstream and downstream sites. </w:t>
      </w:r>
      <w:r w:rsidR="00B4399B">
        <w:rPr>
          <w:lang w:eastAsia="en-AU"/>
        </w:rPr>
        <w:br/>
      </w:r>
      <w:r w:rsidRPr="003E1D83">
        <w:rPr>
          <w:bCs/>
        </w:rPr>
        <w:t>Of the 100 tests conducted from 2006</w:t>
      </w:r>
      <w:r w:rsidRPr="003E1D83">
        <w:t>–</w:t>
      </w:r>
      <w:r w:rsidRPr="003E1D83">
        <w:rPr>
          <w:bCs/>
        </w:rPr>
        <w:t xml:space="preserve">07 to the present, the </w:t>
      </w:r>
      <w:r w:rsidRPr="003E1D83">
        <w:rPr>
          <w:lang w:eastAsia="en-AU"/>
        </w:rPr>
        <w:t>difference in egg number between upstream and downstream sites</w:t>
      </w:r>
      <w:r w:rsidR="00BE1FEF">
        <w:rPr>
          <w:lang w:eastAsia="en-AU"/>
        </w:rPr>
        <w:t xml:space="preserve"> </w:t>
      </w:r>
      <w:r w:rsidRPr="003E1D83">
        <w:t>can be successfully predicted in more than 75% of tests for median water temperature &lt;30°C and in more than 65% of tests for median water temperature &gt;30°C. As noted in Section 3.2.3.2 above, a (4-day) downstream median EC in Magela and Gulungul creeks greater than 20 μS cm</w:t>
      </w:r>
      <w:r w:rsidRPr="003E1D83">
        <w:rPr>
          <w:snapToGrid w:val="0"/>
          <w:color w:val="000000"/>
          <w:position w:val="5"/>
          <w:sz w:val="15"/>
          <w:szCs w:val="0"/>
          <w:u w:color="000000"/>
        </w:rPr>
        <w:t>-1</w:t>
      </w:r>
      <w:r w:rsidRPr="003E1D83">
        <w:rPr>
          <w:snapToGrid w:val="0"/>
          <w:color w:val="000000"/>
          <w:szCs w:val="0"/>
          <w:u w:color="000000"/>
        </w:rPr>
        <w:t xml:space="preserve">, represents a value typically associated with mine waste water discharges. </w:t>
      </w:r>
      <w:r w:rsidRPr="003E1D83">
        <w:rPr>
          <w:bCs/>
        </w:rPr>
        <w:t>Of the 100 tests conducted since 2006</w:t>
      </w:r>
      <w:r w:rsidRPr="003E1D83">
        <w:t>–</w:t>
      </w:r>
      <w:r w:rsidRPr="003E1D83">
        <w:rPr>
          <w:bCs/>
        </w:rPr>
        <w:t>07 to the present:</w:t>
      </w:r>
    </w:p>
    <w:p w:rsidR="00AF118F" w:rsidRPr="003E1D83" w:rsidRDefault="00AF118F" w:rsidP="00AF118F">
      <w:pPr>
        <w:pStyle w:val="bulletlist1"/>
      </w:pPr>
      <w:r w:rsidRPr="003E1D83">
        <w:t>Higher downstream egg production was observed in 15% of the (over 100) tests where median water temperature &lt;30ºC and downstream EC values &gt;</w:t>
      </w:r>
      <w:r w:rsidR="00160591" w:rsidRPr="003E1D83">
        <w:t> </w:t>
      </w:r>
      <w:r w:rsidRPr="003E1D83">
        <w:t>20µS</w:t>
      </w:r>
      <w:r w:rsidR="00160591" w:rsidRPr="003E1D83">
        <w:t xml:space="preserve"> </w:t>
      </w:r>
      <w:r w:rsidRPr="003E1D83">
        <w:t>cm</w:t>
      </w:r>
      <w:r w:rsidR="00160591" w:rsidRPr="003E1D83">
        <w:rPr>
          <w:snapToGrid w:val="0"/>
          <w:color w:val="000000"/>
          <w:position w:val="5"/>
          <w:sz w:val="13"/>
          <w:szCs w:val="0"/>
          <w:u w:color="000000"/>
        </w:rPr>
        <w:t>-1</w:t>
      </w:r>
      <w:r w:rsidRPr="003E1D83">
        <w:t xml:space="preserve"> were observed, and</w:t>
      </w:r>
    </w:p>
    <w:p w:rsidR="00AF118F" w:rsidRPr="003E1D83" w:rsidRDefault="00AF118F" w:rsidP="00AF118F">
      <w:pPr>
        <w:pStyle w:val="bulletlist1"/>
      </w:pPr>
      <w:r w:rsidRPr="003E1D83">
        <w:t>Lower downstream egg production was observed in 9% of the (over 100) tests where median water temperature &gt;</w:t>
      </w:r>
      <w:r w:rsidR="00160591" w:rsidRPr="003E1D83">
        <w:t> </w:t>
      </w:r>
      <w:r w:rsidRPr="003E1D83">
        <w:t>30ºC and downstream EC values &gt;</w:t>
      </w:r>
      <w:r w:rsidR="00160591" w:rsidRPr="003E1D83">
        <w:t> </w:t>
      </w:r>
      <w:r w:rsidRPr="003E1D83">
        <w:t>20µS</w:t>
      </w:r>
      <w:r w:rsidR="00160591" w:rsidRPr="003E1D83">
        <w:t xml:space="preserve"> c</w:t>
      </w:r>
      <w:r w:rsidRPr="003E1D83">
        <w:t>m</w:t>
      </w:r>
      <w:r w:rsidR="00160591" w:rsidRPr="003E1D83">
        <w:rPr>
          <w:snapToGrid w:val="0"/>
          <w:color w:val="000000"/>
          <w:position w:val="5"/>
          <w:sz w:val="13"/>
          <w:szCs w:val="0"/>
          <w:u w:color="000000"/>
        </w:rPr>
        <w:t>-1</w:t>
      </w:r>
      <w:r w:rsidRPr="003E1D83">
        <w:t xml:space="preserve"> were observed. Seventy-five percent of these (high water temperature) tests were conducted in Magela Creek.</w:t>
      </w:r>
    </w:p>
    <w:p w:rsidR="00AF118F" w:rsidRPr="00FE7F63" w:rsidRDefault="00AF118F" w:rsidP="00AF118F">
      <w:r w:rsidRPr="003E1D83">
        <w:t>As noted in Section 3.2.3.2, at this stage these mine-related ‘effects’, representing enhancement in snail reproductive activity</w:t>
      </w:r>
      <w:r>
        <w:t xml:space="preserve"> in most cases, are not regarded as constituting environmental concern.</w:t>
      </w:r>
    </w:p>
    <w:p w:rsidR="00AF118F" w:rsidRPr="001618CC" w:rsidRDefault="00AF118F" w:rsidP="00AF118F">
      <w:pPr>
        <w:pStyle w:val="Heading3"/>
      </w:pPr>
      <w:r w:rsidRPr="001618CC">
        <w:t>4.4.3</w:t>
      </w:r>
      <w:r w:rsidRPr="001618CC">
        <w:tab/>
      </w:r>
      <w:r>
        <w:tab/>
      </w:r>
      <w:r w:rsidRPr="001618CC">
        <w:t>Conclusions</w:t>
      </w:r>
    </w:p>
    <w:p w:rsidR="00AF118F" w:rsidRDefault="00AF118F" w:rsidP="00AF118F">
      <w:r w:rsidRPr="008B112D">
        <w:t xml:space="preserve">Toxicity monitoring results for the </w:t>
      </w:r>
      <w:r w:rsidRPr="008B112D">
        <w:rPr>
          <w:lang w:eastAsia="en-AU"/>
        </w:rPr>
        <w:t xml:space="preserve">2013–14 wet </w:t>
      </w:r>
      <w:proofErr w:type="gramStart"/>
      <w:r w:rsidRPr="008B112D">
        <w:rPr>
          <w:lang w:eastAsia="en-AU"/>
        </w:rPr>
        <w:t>season</w:t>
      </w:r>
      <w:proofErr w:type="gramEnd"/>
      <w:r w:rsidRPr="008B112D">
        <w:rPr>
          <w:lang w:eastAsia="en-AU"/>
        </w:rPr>
        <w:t xml:space="preserve"> supported the findings from the 2012–13 wet season that snail culturing conditions have a significant influence upon the egg laying response in ensuing toxicity monitoring tests. In the previous </w:t>
      </w:r>
      <w:r w:rsidRPr="008B112D">
        <w:t xml:space="preserve">Supervising Scientist </w:t>
      </w:r>
      <w:r>
        <w:t>A</w:t>
      </w:r>
      <w:r w:rsidRPr="008B112D">
        <w:t xml:space="preserve">nnual </w:t>
      </w:r>
      <w:r>
        <w:t>R</w:t>
      </w:r>
      <w:r w:rsidRPr="008B112D">
        <w:t xml:space="preserve">eport for 2012–2013 (Section 4.4), it was suggested that </w:t>
      </w:r>
      <w:r w:rsidRPr="008B112D">
        <w:rPr>
          <w:lang w:eastAsia="en-AU"/>
        </w:rPr>
        <w:t xml:space="preserve">variation in snail egg counts observed in toxicity monitoring tests for </w:t>
      </w:r>
      <w:r w:rsidRPr="008B112D">
        <w:t>2012–2013 was mostly</w:t>
      </w:r>
      <w:r w:rsidRPr="008B112D">
        <w:rPr>
          <w:lang w:eastAsia="en-AU"/>
        </w:rPr>
        <w:t xml:space="preserve"> ambient water quality-related compared to </w:t>
      </w:r>
      <w:r w:rsidRPr="008B112D">
        <w:t xml:space="preserve">culture-related. </w:t>
      </w:r>
      <w:r>
        <w:t>This was based upon t</w:t>
      </w:r>
      <w:r>
        <w:rPr>
          <w:lang w:eastAsia="en-AU"/>
        </w:rPr>
        <w:t xml:space="preserve">he </w:t>
      </w:r>
      <w:r w:rsidRPr="006670F4">
        <w:t>proportion of the varia</w:t>
      </w:r>
      <w:r>
        <w:t xml:space="preserve">tion associated with treatments/factors from the </w:t>
      </w:r>
      <w:r>
        <w:rPr>
          <w:lang w:eastAsia="en-AU"/>
        </w:rPr>
        <w:t>ANOVA testing (described above). For the 2012–13 wet season, variation in snail egg counts accounted for by culture conditions was attributed to the factor container type and ambient creek water quality to test order. For these, variation associated with ambient water quality was about</w:t>
      </w:r>
      <w:r>
        <w:t xml:space="preserve"> 2.5 times greater than culture-type variation. </w:t>
      </w:r>
    </w:p>
    <w:p w:rsidR="00AF118F" w:rsidRDefault="00AF118F" w:rsidP="00AF118F">
      <w:pPr>
        <w:rPr>
          <w:lang w:eastAsia="en-AU"/>
        </w:rPr>
      </w:pPr>
      <w:r>
        <w:rPr>
          <w:lang w:eastAsia="en-AU"/>
        </w:rPr>
        <w:t xml:space="preserve">For the 2013–14 wet </w:t>
      </w:r>
      <w:proofErr w:type="gramStart"/>
      <w:r>
        <w:rPr>
          <w:lang w:eastAsia="en-AU"/>
        </w:rPr>
        <w:t>season</w:t>
      </w:r>
      <w:proofErr w:type="gramEnd"/>
      <w:r>
        <w:rPr>
          <w:lang w:eastAsia="en-AU"/>
        </w:rPr>
        <w:t>, factors associated with culture conditions included container type and container age. When variation within the ANOVA for these factors is combined and this value is compared to the variation associated with test order (data not provided here), variation associated with ‘ambient water quality’ is about</w:t>
      </w:r>
      <w:r>
        <w:t xml:space="preserve"> 2 times greater than culture-type variation for Gulungul Creek, but is the same order of variation and contribution as ambient water quality for Magela Creek</w:t>
      </w:r>
      <w:r>
        <w:rPr>
          <w:lang w:eastAsia="en-AU"/>
        </w:rPr>
        <w:t xml:space="preserve">. </w:t>
      </w:r>
    </w:p>
    <w:p w:rsidR="00AF118F" w:rsidRPr="008B112D" w:rsidRDefault="00AF118F" w:rsidP="00AF118F">
      <w:r w:rsidRPr="008B112D">
        <w:t xml:space="preserve">Such </w:t>
      </w:r>
      <w:r>
        <w:t xml:space="preserve">comparative </w:t>
      </w:r>
      <w:r w:rsidRPr="008B112D">
        <w:t>assessments</w:t>
      </w:r>
      <w:r>
        <w:t xml:space="preserve"> (culturing versus water quality)</w:t>
      </w:r>
      <w:r w:rsidRPr="008B112D">
        <w:t xml:space="preserve"> </w:t>
      </w:r>
      <w:r>
        <w:t xml:space="preserve">need to be </w:t>
      </w:r>
      <w:r w:rsidRPr="008B112D">
        <w:t xml:space="preserve">considered </w:t>
      </w:r>
      <w:r>
        <w:t xml:space="preserve">carefully, </w:t>
      </w:r>
      <w:r w:rsidRPr="008B112D">
        <w:t xml:space="preserve">because egg production measured and associated with the different culturing treatments is </w:t>
      </w:r>
      <w:r>
        <w:t xml:space="preserve">itself, a reflection of </w:t>
      </w:r>
      <w:r w:rsidRPr="008B112D">
        <w:t xml:space="preserve">creek </w:t>
      </w:r>
      <w:r>
        <w:t xml:space="preserve">water </w:t>
      </w:r>
      <w:r w:rsidRPr="008B112D">
        <w:t>exposures. Hence, culturing responses are not independent of the effects of exposure to creek water quality.</w:t>
      </w:r>
      <w:r>
        <w:t xml:space="preserve"> The best evidence that creek water quality is the more important contributor to the egg laying response is the fact that the pattern of response in Magela and Gulungul creeks is each relatively independent of one another over the wet season for each of the culturing treatments (Figure 4.6). An improved understanding of the relative influences of culturing versus water quality upon egg production would arise from a laboratory control, where water quality is held constant amongst consecutive tests, run in parallel with the toxicity monitoring tests.</w:t>
      </w:r>
    </w:p>
    <w:p w:rsidR="00AF118F" w:rsidRPr="001973C1" w:rsidRDefault="00AF118F" w:rsidP="00AF118F">
      <w:r w:rsidRPr="001973C1">
        <w:t xml:space="preserve">If culturing conditions are contributing to the overall magnitude of egg production in the creeks over the wet season, then snails sourced from the ‘outside’ static shallow containers in both the </w:t>
      </w:r>
      <w:r w:rsidRPr="001973C1">
        <w:rPr>
          <w:lang w:eastAsia="en-AU"/>
        </w:rPr>
        <w:t>2012–13 wet season (</w:t>
      </w:r>
      <w:r w:rsidRPr="001973C1">
        <w:t xml:space="preserve">Supervising Scientist annual report for 2012–2013, Figure 4.13) and </w:t>
      </w:r>
      <w:r w:rsidRPr="001973C1">
        <w:rPr>
          <w:lang w:eastAsia="en-AU"/>
        </w:rPr>
        <w:t>2013–14 wet season (Figure 4.</w:t>
      </w:r>
      <w:r>
        <w:rPr>
          <w:lang w:eastAsia="en-AU"/>
        </w:rPr>
        <w:t>6</w:t>
      </w:r>
      <w:r w:rsidRPr="001973C1">
        <w:rPr>
          <w:lang w:eastAsia="en-AU"/>
        </w:rPr>
        <w:t>) may be responsible for the high egg production observed in both seasons (</w:t>
      </w:r>
      <w:r w:rsidRPr="003E1D83">
        <w:rPr>
          <w:lang w:eastAsia="en-AU"/>
        </w:rPr>
        <w:t>Figure 3.28 current</w:t>
      </w:r>
      <w:r>
        <w:rPr>
          <w:lang w:eastAsia="en-AU"/>
        </w:rPr>
        <w:t xml:space="preserve"> report</w:t>
      </w:r>
      <w:r w:rsidRPr="001973C1">
        <w:rPr>
          <w:lang w:eastAsia="en-AU"/>
        </w:rPr>
        <w:t xml:space="preserve">). Lower overall egg production in the 2013–14 wet season compared to the previous wet season may be a consequence of the </w:t>
      </w:r>
      <w:r>
        <w:rPr>
          <w:lang w:eastAsia="en-AU"/>
        </w:rPr>
        <w:t xml:space="preserve">comparatively </w:t>
      </w:r>
      <w:r w:rsidRPr="001973C1">
        <w:rPr>
          <w:lang w:eastAsia="en-AU"/>
        </w:rPr>
        <w:t>lower egg production in snails sourced from the deep RAS containers in this wet season (Figure 4.</w:t>
      </w:r>
      <w:r>
        <w:rPr>
          <w:lang w:eastAsia="en-AU"/>
        </w:rPr>
        <w:t>6</w:t>
      </w:r>
      <w:r w:rsidRPr="001973C1">
        <w:rPr>
          <w:lang w:eastAsia="en-AU"/>
        </w:rPr>
        <w:t>) compared to the previous wet season (</w:t>
      </w:r>
      <w:r w:rsidRPr="001973C1">
        <w:t>Figure 4.13 from the 2012–2013 Annual Report).</w:t>
      </w:r>
    </w:p>
    <w:p w:rsidR="00AF118F" w:rsidRDefault="00AF118F" w:rsidP="00AF118F">
      <w:pPr>
        <w:pStyle w:val="Heading2"/>
      </w:pPr>
      <w:bookmarkStart w:id="252" w:name="_Toc399928190"/>
      <w:r>
        <w:rPr>
          <w:lang w:eastAsia="en-AU"/>
        </w:rPr>
        <w:t>4.5</w:t>
      </w:r>
      <w:r>
        <w:rPr>
          <w:lang w:eastAsia="en-AU"/>
        </w:rPr>
        <w:tab/>
      </w:r>
      <w:r>
        <w:t>Radon exhalation from a rehabilitated landform</w:t>
      </w:r>
      <w:bookmarkEnd w:id="252"/>
    </w:p>
    <w:p w:rsidR="00AF118F" w:rsidRDefault="00AF118F" w:rsidP="00AF118F">
      <w:pPr>
        <w:pStyle w:val="Heading3"/>
      </w:pPr>
      <w:r>
        <w:t>4.5.1  Introduction</w:t>
      </w:r>
    </w:p>
    <w:p w:rsidR="00AF118F" w:rsidRDefault="00AF118F" w:rsidP="00AF118F">
      <w:r>
        <w:t>The inhalation of radon decay products is to be included as an exposure pathway in the development of a radiological dose model to estimate above background doses to the public from the rehabilitated Ranger mine site. At Jabiru or Mudginberri, inhalation doses are unlikely to be of concern given that annual mine-derived doses received via the inhalation pathway for the operating mine site at present are less than 0.1 mSv (see chapter 3.6.2). However, people roaming the site after rehabilitation for hunting and gathering activities and camping on site, or in areas nearby, may be exposed to higher radon decay product concentrations. Knowledge of the radon exhalation fluxes from the surface of the substrate used to shape the landform is the first step to predict potential post-rehabilitation doses received via the inhalation of radon decay products.</w:t>
      </w:r>
    </w:p>
    <w:p w:rsidR="00AF118F" w:rsidRDefault="00AF118F" w:rsidP="00AF118F">
      <w:proofErr w:type="gramStart"/>
      <w:r>
        <w:t>Radon(</w:t>
      </w:r>
      <w:proofErr w:type="gramEnd"/>
      <w:r w:rsidR="00817B08" w:rsidRPr="00974DC5">
        <w:rPr>
          <w:vertAlign w:val="superscript"/>
          <w:lang w:val="en-US"/>
        </w:rPr>
        <w:t>222</w:t>
      </w:r>
      <w:r w:rsidR="00817B08" w:rsidRPr="0034555D">
        <w:rPr>
          <w:lang w:val="en-US"/>
        </w:rPr>
        <w:t>Rn</w:t>
      </w:r>
      <w:r>
        <w:t>) is part of the natural uranium decay chain and is produced by the decay of radium (</w:t>
      </w:r>
      <w:r>
        <w:rPr>
          <w:snapToGrid w:val="0"/>
          <w:color w:val="000000"/>
          <w:position w:val="5"/>
          <w:sz w:val="13"/>
          <w:szCs w:val="2"/>
        </w:rPr>
        <w:t>226</w:t>
      </w:r>
      <w:r>
        <w:t xml:space="preserve">Ra) in soil particles. It is a noble gas and some of the radon emanates from the particles, migrates through the soil pore space and eventually exhales from the soil surface. Radon exhalation depends on soil </w:t>
      </w:r>
      <w:r>
        <w:rPr>
          <w:snapToGrid w:val="0"/>
          <w:color w:val="000000"/>
          <w:position w:val="5"/>
          <w:sz w:val="13"/>
          <w:szCs w:val="2"/>
        </w:rPr>
        <w:t>226</w:t>
      </w:r>
      <w:r>
        <w:t xml:space="preserve">Ra activity concentration and the </w:t>
      </w:r>
      <w:r w:rsidR="00817B08" w:rsidRPr="00974DC5">
        <w:rPr>
          <w:vertAlign w:val="superscript"/>
          <w:lang w:val="en-US"/>
        </w:rPr>
        <w:t>222</w:t>
      </w:r>
      <w:r w:rsidR="00817B08" w:rsidRPr="0034555D">
        <w:rPr>
          <w:lang w:val="en-US"/>
        </w:rPr>
        <w:t>Rn</w:t>
      </w:r>
      <w:r>
        <w:t xml:space="preserve"> diffusion length, which in turn is influenced by soil porosity, moisture and particle size. Radon in air decays with a half life of 3.82 days to short-lived isotopes of the metals polonium (</w:t>
      </w:r>
      <w:r>
        <w:rPr>
          <w:snapToGrid w:val="0"/>
          <w:color w:val="000000"/>
          <w:position w:val="5"/>
          <w:sz w:val="13"/>
          <w:szCs w:val="2"/>
        </w:rPr>
        <w:t>218</w:t>
      </w:r>
      <w:r>
        <w:t xml:space="preserve">Po, </w:t>
      </w:r>
      <w:r>
        <w:rPr>
          <w:snapToGrid w:val="0"/>
          <w:color w:val="000000"/>
          <w:position w:val="5"/>
          <w:sz w:val="13"/>
          <w:szCs w:val="2"/>
        </w:rPr>
        <w:t>214</w:t>
      </w:r>
      <w:r>
        <w:t>Po), lead (</w:t>
      </w:r>
      <w:r>
        <w:rPr>
          <w:snapToGrid w:val="0"/>
          <w:color w:val="000000"/>
          <w:position w:val="5"/>
          <w:sz w:val="13"/>
          <w:szCs w:val="2"/>
        </w:rPr>
        <w:t>214</w:t>
      </w:r>
      <w:r>
        <w:t>Pb) and bismuth (</w:t>
      </w:r>
      <w:r>
        <w:rPr>
          <w:snapToGrid w:val="0"/>
          <w:color w:val="000000"/>
          <w:position w:val="5"/>
          <w:sz w:val="13"/>
          <w:szCs w:val="2"/>
        </w:rPr>
        <w:t>214</w:t>
      </w:r>
      <w:r>
        <w:t xml:space="preserve">Bi). It is these radon decay products, rather than the radon gas, that can deposit in the lungs and deliver a radiation dose upon inhalation. </w:t>
      </w:r>
    </w:p>
    <w:p w:rsidR="00AF118F" w:rsidRDefault="00AF118F" w:rsidP="00AF118F">
      <w:r>
        <w:t xml:space="preserve">Previous work has focussed on the Ranger trial landform to determine the seasonal and temporal changes in radon exhalation fluxes from different substrates (waste rock only and waste rock-laterite mix). Results were reported in the 2011–12 Supervising Scientist Annual Report and various </w:t>
      </w:r>
      <w:r w:rsidRPr="00AF118F">
        <w:rPr>
          <w:b/>
          <w:i/>
          <w:sz w:val="23"/>
          <w:szCs w:val="23"/>
        </w:rPr>
        <w:t>eriss</w:t>
      </w:r>
      <w:r>
        <w:t xml:space="preserve"> Research Summaries. In 2013–14, the focus was on the measurement of radon flux densities from various height radon columns, which were established at the Jabiru Field Station to experimentally determine the radon diffusion length for waste rock used to rehabilitate Ranger uranium mine. </w:t>
      </w:r>
    </w:p>
    <w:p w:rsidR="0034555D" w:rsidRDefault="0034555D" w:rsidP="0034555D">
      <w:pPr>
        <w:pStyle w:val="Heading3"/>
      </w:pPr>
      <w:r>
        <w:t>4.5.2  Methods</w:t>
      </w:r>
    </w:p>
    <w:p w:rsidR="0034555D" w:rsidRDefault="0034555D" w:rsidP="0034555D">
      <w:r>
        <w:t xml:space="preserve">Two sets of six 240 mm diameter PVC tube columns (Figure 4.8) were set up at the Jabiru Field Station in April 2013, in collaboration with Energy Resources of Australia Ltd and Safe Radiation, Brisbane. The columns were filled with waste rock from Ranger mine consisting of a 4:1 mix of rocks with a diameter of ~70 mm and rocks and gravel less than 40 mm, believed to reasonably represent the substrate that will be used as a cover material for the site. The six columns in each set covered a rock depth from 0.5 m to 3.0 m in 0.5 m intervals, with a 0.2 m deep head space left at the top of the columns. The open end of each column has a machined flange to attach a lid and connect to the </w:t>
      </w:r>
      <w:r>
        <w:rPr>
          <w:i/>
        </w:rPr>
        <w:t>Durridge</w:t>
      </w:r>
      <w:r>
        <w:t xml:space="preserve"> </w:t>
      </w:r>
      <w:r>
        <w:rPr>
          <w:i/>
        </w:rPr>
        <w:t>Rad7</w:t>
      </w:r>
      <w:r>
        <w:t xml:space="preserve"> radon detectors that measure the </w:t>
      </w:r>
      <w:r w:rsidR="00817B08" w:rsidRPr="00974DC5">
        <w:rPr>
          <w:vertAlign w:val="superscript"/>
          <w:lang w:val="en-US"/>
        </w:rPr>
        <w:t>222</w:t>
      </w:r>
      <w:r w:rsidR="00817B08" w:rsidRPr="0034555D">
        <w:rPr>
          <w:lang w:val="en-US"/>
        </w:rPr>
        <w:t>Rn</w:t>
      </w:r>
      <w:r>
        <w:t xml:space="preserve"> exhaling from the surface of the waste rock in the columns. </w:t>
      </w:r>
      <w:r w:rsidR="003D14A0" w:rsidRPr="00974DC5">
        <w:rPr>
          <w:vertAlign w:val="superscript"/>
          <w:lang w:val="en-US"/>
        </w:rPr>
        <w:t>222</w:t>
      </w:r>
      <w:r w:rsidR="003D14A0" w:rsidRPr="0034555D">
        <w:rPr>
          <w:lang w:val="en-US"/>
        </w:rPr>
        <w:t>Rn</w:t>
      </w:r>
      <w:r>
        <w:t xml:space="preserve"> activity flux density measurements were conducted in May 2013 and one year later, in April 2014, to investigate whether there is a change in diffusion length with time due to compaction effects of the material in the columns. In addition, the </w:t>
      </w:r>
      <w:r w:rsidR="00817B08" w:rsidRPr="00974DC5">
        <w:rPr>
          <w:vertAlign w:val="superscript"/>
          <w:lang w:val="en-US"/>
        </w:rPr>
        <w:t>22</w:t>
      </w:r>
      <w:r w:rsidR="00817B08">
        <w:rPr>
          <w:vertAlign w:val="superscript"/>
          <w:lang w:val="en-US"/>
        </w:rPr>
        <w:t>6</w:t>
      </w:r>
      <w:r w:rsidR="00817B08">
        <w:rPr>
          <w:lang w:val="en-US"/>
        </w:rPr>
        <w:t>Ra</w:t>
      </w:r>
      <w:r>
        <w:t xml:space="preserve"> activity concentration of the material used to fill each column was measured using scintillation detectors and gamma spectrometry.</w:t>
      </w:r>
    </w:p>
    <w:p w:rsidR="0034555D" w:rsidRPr="0034555D" w:rsidRDefault="0034555D" w:rsidP="0034555D">
      <w:pPr>
        <w:spacing w:line="260" w:lineRule="atLeast"/>
        <w:jc w:val="center"/>
        <w:rPr>
          <w:rFonts w:ascii="Garamond" w:hAnsi="Garamond"/>
        </w:rPr>
      </w:pPr>
      <w:r w:rsidRPr="0034555D">
        <w:rPr>
          <w:rFonts w:ascii="Garamond" w:hAnsi="Garamond"/>
          <w:noProof/>
          <w:lang w:eastAsia="en-AU"/>
        </w:rPr>
        <w:drawing>
          <wp:inline distT="0" distB="0" distL="0" distR="0">
            <wp:extent cx="3444134" cy="2628900"/>
            <wp:effectExtent l="19050" t="0" r="3916" b="0"/>
            <wp:docPr id="38"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cstate="screen"/>
                    <a:srcRect/>
                    <a:stretch>
                      <a:fillRect/>
                    </a:stretch>
                  </pic:blipFill>
                  <pic:spPr bwMode="auto">
                    <a:xfrm>
                      <a:off x="0" y="0"/>
                      <a:ext cx="3444134" cy="2628900"/>
                    </a:xfrm>
                    <a:prstGeom prst="rect">
                      <a:avLst/>
                    </a:prstGeom>
                    <a:noFill/>
                    <a:ln w="9525">
                      <a:noFill/>
                      <a:miter lim="800000"/>
                      <a:headEnd/>
                      <a:tailEnd/>
                    </a:ln>
                  </pic:spPr>
                </pic:pic>
              </a:graphicData>
            </a:graphic>
          </wp:inline>
        </w:drawing>
      </w:r>
    </w:p>
    <w:p w:rsidR="0034555D" w:rsidRPr="0034555D" w:rsidRDefault="0034555D" w:rsidP="0034555D">
      <w:pPr>
        <w:pStyle w:val="figurecaption0"/>
        <w:jc w:val="center"/>
        <w:rPr>
          <w:noProof/>
          <w:lang w:val="en-US"/>
        </w:rPr>
      </w:pPr>
      <w:r w:rsidRPr="0034555D">
        <w:rPr>
          <w:b/>
          <w:noProof/>
          <w:lang w:val="en-US"/>
        </w:rPr>
        <w:t xml:space="preserve">Figure 4.8  </w:t>
      </w:r>
      <w:r w:rsidRPr="0034555D">
        <w:rPr>
          <w:noProof/>
          <w:lang w:val="en-US"/>
        </w:rPr>
        <w:t xml:space="preserve">Set up of the radon columns at the Jabiru Field Station (photo: </w:t>
      </w:r>
      <w:r w:rsidRPr="0034555D">
        <w:rPr>
          <w:i/>
          <w:noProof/>
          <w:lang w:val="en-US"/>
        </w:rPr>
        <w:t>Safe Radation</w:t>
      </w:r>
      <w:r w:rsidRPr="0034555D">
        <w:rPr>
          <w:noProof/>
          <w:lang w:val="en-US"/>
        </w:rPr>
        <w:t xml:space="preserve"> 2013)</w:t>
      </w:r>
    </w:p>
    <w:p w:rsidR="0034555D" w:rsidRDefault="0034555D" w:rsidP="0034555D">
      <w:pPr>
        <w:rPr>
          <w:lang w:val="en-US"/>
        </w:rPr>
      </w:pPr>
      <w:r>
        <w:rPr>
          <w:lang w:val="en-US"/>
        </w:rPr>
        <w:t xml:space="preserve">The constant replenishment of </w:t>
      </w:r>
      <w:r w:rsidR="007E3A06" w:rsidRPr="00974DC5">
        <w:rPr>
          <w:vertAlign w:val="superscript"/>
          <w:lang w:val="en-US"/>
        </w:rPr>
        <w:t>222</w:t>
      </w:r>
      <w:r w:rsidR="007E3A06" w:rsidRPr="0034555D">
        <w:rPr>
          <w:lang w:val="en-US"/>
        </w:rPr>
        <w:t>Rn</w:t>
      </w:r>
      <w:r>
        <w:rPr>
          <w:lang w:val="en-US"/>
        </w:rPr>
        <w:t xml:space="preserve"> through the decay of </w:t>
      </w:r>
      <w:r w:rsidR="007E3A06" w:rsidRPr="00974DC5">
        <w:rPr>
          <w:vertAlign w:val="superscript"/>
          <w:lang w:val="en-US"/>
        </w:rPr>
        <w:t>22</w:t>
      </w:r>
      <w:r w:rsidR="007E3A06">
        <w:rPr>
          <w:vertAlign w:val="superscript"/>
          <w:lang w:val="en-US"/>
        </w:rPr>
        <w:t>6</w:t>
      </w:r>
      <w:r w:rsidR="007E3A06">
        <w:rPr>
          <w:lang w:val="en-US"/>
        </w:rPr>
        <w:t>Ra</w:t>
      </w:r>
      <w:r>
        <w:rPr>
          <w:lang w:val="en-US"/>
        </w:rPr>
        <w:t xml:space="preserve"> in the waste rock leads to the establishment of a </w:t>
      </w:r>
      <w:r w:rsidR="007E3A06" w:rsidRPr="00974DC5">
        <w:rPr>
          <w:vertAlign w:val="superscript"/>
          <w:lang w:val="en-US"/>
        </w:rPr>
        <w:t>222</w:t>
      </w:r>
      <w:r w:rsidR="007E3A06" w:rsidRPr="0034555D">
        <w:rPr>
          <w:lang w:val="en-US"/>
        </w:rPr>
        <w:t>Rn</w:t>
      </w:r>
      <w:r>
        <w:rPr>
          <w:lang w:val="en-US"/>
        </w:rPr>
        <w:t xml:space="preserve"> concentration gradient in the pore space of the waste rock columns. Measurements show </w:t>
      </w:r>
      <w:r w:rsidR="00817B08" w:rsidRPr="00974DC5">
        <w:rPr>
          <w:vertAlign w:val="superscript"/>
          <w:lang w:val="en-US"/>
        </w:rPr>
        <w:t>222</w:t>
      </w:r>
      <w:r w:rsidR="00817B08" w:rsidRPr="0034555D">
        <w:rPr>
          <w:lang w:val="en-US"/>
        </w:rPr>
        <w:t>Rn</w:t>
      </w:r>
      <w:r w:rsidR="00817B08">
        <w:rPr>
          <w:lang w:val="en-US"/>
        </w:rPr>
        <w:t xml:space="preserve"> </w:t>
      </w:r>
      <w:r>
        <w:rPr>
          <w:lang w:val="en-US"/>
        </w:rPr>
        <w:t>activity concentrations in the pore space in the order ~10</w:t>
      </w:r>
      <w:r>
        <w:rPr>
          <w:snapToGrid w:val="0"/>
          <w:color w:val="000000"/>
          <w:position w:val="5"/>
          <w:sz w:val="15"/>
          <w:szCs w:val="2"/>
          <w:lang w:val="en-US"/>
        </w:rPr>
        <w:t>5</w:t>
      </w:r>
      <w:r>
        <w:rPr>
          <w:lang w:val="en-US"/>
        </w:rPr>
        <w:t xml:space="preserve"> Bq·m</w:t>
      </w:r>
      <w:r>
        <w:rPr>
          <w:snapToGrid w:val="0"/>
          <w:color w:val="000000"/>
          <w:position w:val="5"/>
          <w:sz w:val="15"/>
          <w:szCs w:val="2"/>
          <w:lang w:val="en-US"/>
        </w:rPr>
        <w:t>-3</w:t>
      </w:r>
      <w:r>
        <w:rPr>
          <w:lang w:val="en-US"/>
        </w:rPr>
        <w:t xml:space="preserve"> at two metres below the surface and about 200 Bq·m</w:t>
      </w:r>
      <w:r>
        <w:rPr>
          <w:snapToGrid w:val="0"/>
          <w:color w:val="000000"/>
          <w:position w:val="5"/>
          <w:sz w:val="15"/>
          <w:szCs w:val="2"/>
          <w:lang w:val="en-US"/>
        </w:rPr>
        <w:t>-3</w:t>
      </w:r>
      <w:r>
        <w:rPr>
          <w:lang w:val="en-US"/>
        </w:rPr>
        <w:t xml:space="preserve"> at the surface. Radon diffuses along this concentration gradient and the </w:t>
      </w:r>
      <w:r w:rsidR="007E3A06" w:rsidRPr="00974DC5">
        <w:rPr>
          <w:vertAlign w:val="superscript"/>
          <w:lang w:val="en-US"/>
        </w:rPr>
        <w:t>222</w:t>
      </w:r>
      <w:r w:rsidR="007E3A06" w:rsidRPr="0034555D">
        <w:rPr>
          <w:lang w:val="en-US"/>
        </w:rPr>
        <w:t>Rn</w:t>
      </w:r>
      <w:r>
        <w:rPr>
          <w:lang w:val="en-US"/>
        </w:rPr>
        <w:t xml:space="preserve"> activity flux density from the surface of each of the columns is determined from the increase of the </w:t>
      </w:r>
      <w:r w:rsidR="007E3A06" w:rsidRPr="00974DC5">
        <w:rPr>
          <w:vertAlign w:val="superscript"/>
          <w:lang w:val="en-US"/>
        </w:rPr>
        <w:t>222</w:t>
      </w:r>
      <w:r w:rsidR="007E3A06" w:rsidRPr="0034555D">
        <w:rPr>
          <w:lang w:val="en-US"/>
        </w:rPr>
        <w:t>Rn</w:t>
      </w:r>
      <w:r>
        <w:rPr>
          <w:lang w:val="en-US"/>
        </w:rPr>
        <w:t xml:space="preserve"> activity concentration measured in air within the head space, after closing the column with the lid attached to the </w:t>
      </w:r>
      <w:r>
        <w:rPr>
          <w:i/>
          <w:lang w:val="en-US"/>
        </w:rPr>
        <w:t>Rad7</w:t>
      </w:r>
      <w:r>
        <w:rPr>
          <w:lang w:val="en-US"/>
        </w:rPr>
        <w:t xml:space="preserve"> instrument. </w:t>
      </w:r>
    </w:p>
    <w:p w:rsidR="0034555D" w:rsidRDefault="0034555D" w:rsidP="0034555D">
      <w:pPr>
        <w:rPr>
          <w:lang w:val="en-US"/>
        </w:rPr>
      </w:pPr>
      <w:r>
        <w:rPr>
          <w:lang w:val="en-US"/>
        </w:rPr>
        <w:t>Assuming that diffusion is the main process governing</w:t>
      </w:r>
      <w:r w:rsidR="007E3A06">
        <w:rPr>
          <w:lang w:val="en-US"/>
        </w:rPr>
        <w:t xml:space="preserve"> </w:t>
      </w:r>
      <w:r w:rsidR="007E3A06" w:rsidRPr="00974DC5">
        <w:rPr>
          <w:vertAlign w:val="superscript"/>
          <w:lang w:val="en-US"/>
        </w:rPr>
        <w:t>222</w:t>
      </w:r>
      <w:r w:rsidR="007E3A06" w:rsidRPr="0034555D">
        <w:rPr>
          <w:lang w:val="en-US"/>
        </w:rPr>
        <w:t>Rn</w:t>
      </w:r>
      <w:r w:rsidR="007E3A06">
        <w:rPr>
          <w:lang w:val="en-US"/>
        </w:rPr>
        <w:t xml:space="preserve"> </w:t>
      </w:r>
      <w:r>
        <w:rPr>
          <w:lang w:val="en-US"/>
        </w:rPr>
        <w:t xml:space="preserve">migration though the pore space, the following equation can be used to determine the diffusion length </w:t>
      </w:r>
      <w:r>
        <w:rPr>
          <w:i/>
          <w:lang w:val="en-US"/>
        </w:rPr>
        <w:t>L</w:t>
      </w:r>
      <w:r>
        <w:rPr>
          <w:lang w:val="en-US"/>
        </w:rPr>
        <w:t xml:space="preserve"> in the material:</w:t>
      </w:r>
    </w:p>
    <w:p w:rsidR="0034555D" w:rsidRDefault="0034555D" w:rsidP="0034555D">
      <w:pPr>
        <w:jc w:val="center"/>
        <w:rPr>
          <w:i/>
          <w:lang w:val="en-US"/>
        </w:rPr>
      </w:pPr>
      <w:r>
        <w:rPr>
          <w:i/>
          <w:lang w:val="en-US"/>
        </w:rPr>
        <w:t xml:space="preserve">Equation 1: </w:t>
      </w:r>
      <w:proofErr w:type="gramStart"/>
      <w:r>
        <w:rPr>
          <w:i/>
          <w:lang w:val="en-US"/>
        </w:rPr>
        <w:t>E(</w:t>
      </w:r>
      <w:proofErr w:type="gramEnd"/>
      <w:r>
        <w:rPr>
          <w:i/>
          <w:lang w:val="en-US"/>
        </w:rPr>
        <w:t>h) = E</w:t>
      </w:r>
      <w:r>
        <w:rPr>
          <w:i/>
          <w:snapToGrid w:val="0"/>
          <w:color w:val="000000"/>
          <w:position w:val="-5"/>
          <w:sz w:val="15"/>
          <w:szCs w:val="2"/>
          <w:lang w:val="en-US"/>
        </w:rPr>
        <w:t>∞</w:t>
      </w:r>
      <w:r>
        <w:rPr>
          <w:i/>
          <w:lang w:val="en-US"/>
        </w:rPr>
        <w:t>·tanh (h/L) = E</w:t>
      </w:r>
      <w:r>
        <w:rPr>
          <w:i/>
          <w:snapToGrid w:val="0"/>
          <w:color w:val="000000"/>
          <w:position w:val="-5"/>
          <w:sz w:val="15"/>
          <w:szCs w:val="2"/>
          <w:lang w:val="en-US"/>
        </w:rPr>
        <w:t>∞</w:t>
      </w:r>
      <w:r>
        <w:rPr>
          <w:i/>
          <w:lang w:val="en-US"/>
        </w:rPr>
        <w:t>·[(1-e</w:t>
      </w:r>
      <w:r>
        <w:rPr>
          <w:i/>
          <w:snapToGrid w:val="0"/>
          <w:color w:val="000000"/>
          <w:position w:val="5"/>
          <w:sz w:val="15"/>
          <w:szCs w:val="2"/>
          <w:lang w:val="en-US"/>
        </w:rPr>
        <w:t>-2h/L</w:t>
      </w:r>
      <w:r>
        <w:rPr>
          <w:i/>
          <w:lang w:val="en-US"/>
        </w:rPr>
        <w:t>)/(1+e</w:t>
      </w:r>
      <w:r>
        <w:rPr>
          <w:i/>
          <w:snapToGrid w:val="0"/>
          <w:color w:val="000000"/>
          <w:position w:val="5"/>
          <w:sz w:val="15"/>
          <w:szCs w:val="2"/>
          <w:lang w:val="en-US"/>
        </w:rPr>
        <w:t>-2h/L</w:t>
      </w:r>
      <w:r>
        <w:rPr>
          <w:i/>
          <w:lang w:val="en-US"/>
        </w:rPr>
        <w:t>)]</w:t>
      </w:r>
    </w:p>
    <w:p w:rsidR="0034555D" w:rsidRDefault="0034555D" w:rsidP="0034555D">
      <w:pPr>
        <w:rPr>
          <w:lang w:val="en-US"/>
        </w:rPr>
      </w:pPr>
      <w:proofErr w:type="gramStart"/>
      <w:r>
        <w:rPr>
          <w:lang w:val="en-US"/>
        </w:rPr>
        <w:t>where</w:t>
      </w:r>
      <w:proofErr w:type="gramEnd"/>
      <w:r>
        <w:rPr>
          <w:lang w:val="en-US"/>
        </w:rPr>
        <w:t xml:space="preserve"> </w:t>
      </w:r>
      <w:r>
        <w:rPr>
          <w:i/>
          <w:lang w:val="en-US"/>
        </w:rPr>
        <w:t>E(h)</w:t>
      </w:r>
      <w:r>
        <w:rPr>
          <w:lang w:val="en-US"/>
        </w:rPr>
        <w:t xml:space="preserve"> and </w:t>
      </w:r>
      <w:r>
        <w:rPr>
          <w:i/>
          <w:lang w:val="en-US"/>
        </w:rPr>
        <w:t>E</w:t>
      </w:r>
      <w:r>
        <w:rPr>
          <w:i/>
          <w:snapToGrid w:val="0"/>
          <w:color w:val="000000"/>
          <w:position w:val="-5"/>
          <w:sz w:val="15"/>
          <w:szCs w:val="2"/>
          <w:lang w:val="en-US"/>
        </w:rPr>
        <w:t>∞</w:t>
      </w:r>
      <w:r>
        <w:rPr>
          <w:lang w:val="en-US"/>
        </w:rPr>
        <w:t xml:space="preserve"> are the </w:t>
      </w:r>
      <w:r w:rsidR="007E3A06" w:rsidRPr="00974DC5">
        <w:rPr>
          <w:vertAlign w:val="superscript"/>
          <w:lang w:val="en-US"/>
        </w:rPr>
        <w:t>222</w:t>
      </w:r>
      <w:r w:rsidR="007E3A06" w:rsidRPr="0034555D">
        <w:rPr>
          <w:lang w:val="en-US"/>
        </w:rPr>
        <w:t>Rn</w:t>
      </w:r>
      <w:r>
        <w:rPr>
          <w:lang w:val="en-US"/>
        </w:rPr>
        <w:t xml:space="preserve"> activity flux densities in Bq·m</w:t>
      </w:r>
      <w:r>
        <w:rPr>
          <w:snapToGrid w:val="0"/>
          <w:color w:val="000000"/>
          <w:position w:val="5"/>
          <w:sz w:val="15"/>
          <w:szCs w:val="2"/>
          <w:lang w:val="en-US"/>
        </w:rPr>
        <w:t>-2</w:t>
      </w:r>
      <w:r>
        <w:rPr>
          <w:lang w:val="en-US"/>
        </w:rPr>
        <w:t>·s</w:t>
      </w:r>
      <w:r>
        <w:rPr>
          <w:snapToGrid w:val="0"/>
          <w:color w:val="000000"/>
          <w:position w:val="5"/>
          <w:sz w:val="15"/>
          <w:szCs w:val="2"/>
          <w:lang w:val="en-US"/>
        </w:rPr>
        <w:t>-1</w:t>
      </w:r>
      <w:r>
        <w:rPr>
          <w:lang w:val="en-US"/>
        </w:rPr>
        <w:t xml:space="preserve"> from a layer of thickness </w:t>
      </w:r>
      <w:r>
        <w:rPr>
          <w:i/>
          <w:lang w:val="en-US"/>
        </w:rPr>
        <w:t>h</w:t>
      </w:r>
      <w:r>
        <w:rPr>
          <w:lang w:val="en-US"/>
        </w:rPr>
        <w:t xml:space="preserve"> (in m) or an infinitely thick layer of a particular material, and </w:t>
      </w:r>
      <w:r>
        <w:rPr>
          <w:i/>
          <w:lang w:val="en-US"/>
        </w:rPr>
        <w:t>L</w:t>
      </w:r>
      <w:r>
        <w:rPr>
          <w:lang w:val="en-US"/>
        </w:rPr>
        <w:t xml:space="preserve"> is the diffusion length, or effective relaxation length, in m</w:t>
      </w:r>
      <w:r w:rsidR="003975F7">
        <w:rPr>
          <w:lang w:val="en-US"/>
        </w:rPr>
        <w:t>eters</w:t>
      </w:r>
      <w:r>
        <w:rPr>
          <w:lang w:val="en-US"/>
        </w:rPr>
        <w:t xml:space="preserve">. </w:t>
      </w:r>
    </w:p>
    <w:p w:rsidR="0034555D" w:rsidRDefault="0034555D" w:rsidP="0034555D">
      <w:pPr>
        <w:pStyle w:val="Heading3"/>
      </w:pPr>
      <w:r>
        <w:t>4.5.3  Results and Discussion</w:t>
      </w:r>
    </w:p>
    <w:p w:rsidR="0034555D" w:rsidRDefault="0034555D" w:rsidP="0034555D">
      <w:pPr>
        <w:rPr>
          <w:lang w:val="en-US"/>
        </w:rPr>
      </w:pPr>
      <w:r>
        <w:rPr>
          <w:lang w:val="en-US"/>
        </w:rPr>
        <w:t xml:space="preserve">The </w:t>
      </w:r>
      <w:r w:rsidR="007E3A06" w:rsidRPr="00974DC5">
        <w:rPr>
          <w:vertAlign w:val="superscript"/>
          <w:lang w:val="en-US"/>
        </w:rPr>
        <w:t>222</w:t>
      </w:r>
      <w:r w:rsidR="007E3A06" w:rsidRPr="0034555D">
        <w:rPr>
          <w:lang w:val="en-US"/>
        </w:rPr>
        <w:t>Rn</w:t>
      </w:r>
      <w:r>
        <w:rPr>
          <w:lang w:val="en-US"/>
        </w:rPr>
        <w:t xml:space="preserve"> activity concentration measured in the head space of a column is humidity corrected, as the relative humidity was generally above 30% during the measurements and the </w:t>
      </w:r>
      <w:r>
        <w:rPr>
          <w:i/>
          <w:lang w:val="en-US"/>
        </w:rPr>
        <w:t>Rad7</w:t>
      </w:r>
      <w:r>
        <w:rPr>
          <w:lang w:val="en-US"/>
        </w:rPr>
        <w:t xml:space="preserve"> gives low values for a relative humidity above 10%. </w:t>
      </w:r>
      <w:r>
        <w:t xml:space="preserve">Figure 4.9 shows a plot of the </w:t>
      </w:r>
      <w:r w:rsidR="007E3A06" w:rsidRPr="00974DC5">
        <w:rPr>
          <w:vertAlign w:val="superscript"/>
          <w:lang w:val="en-US"/>
        </w:rPr>
        <w:t>222</w:t>
      </w:r>
      <w:r w:rsidR="007E3A06" w:rsidRPr="0034555D">
        <w:rPr>
          <w:lang w:val="en-US"/>
        </w:rPr>
        <w:t>Rn</w:t>
      </w:r>
      <w:r>
        <w:rPr>
          <w:lang w:val="en-US"/>
        </w:rPr>
        <w:t xml:space="preserve"> activity flux densities from the various height columns, calculated from the increase of the </w:t>
      </w:r>
      <w:r w:rsidR="007E3A06" w:rsidRPr="00974DC5">
        <w:rPr>
          <w:vertAlign w:val="superscript"/>
          <w:lang w:val="en-US"/>
        </w:rPr>
        <w:t>222</w:t>
      </w:r>
      <w:r w:rsidR="007E3A06" w:rsidRPr="0034555D">
        <w:rPr>
          <w:lang w:val="en-US"/>
        </w:rPr>
        <w:t>Rn</w:t>
      </w:r>
      <w:r>
        <w:rPr>
          <w:lang w:val="en-US"/>
        </w:rPr>
        <w:t xml:space="preserve"> activity concentrations measured in the head space of the columns over time, plotted versus the column height. A curve of the form given in Equation 1 has been fitted to the calculated </w:t>
      </w:r>
      <w:r w:rsidR="007E3A06" w:rsidRPr="00974DC5">
        <w:rPr>
          <w:vertAlign w:val="superscript"/>
          <w:lang w:val="en-US"/>
        </w:rPr>
        <w:t>222</w:t>
      </w:r>
      <w:r w:rsidR="007E3A06" w:rsidRPr="0034555D">
        <w:rPr>
          <w:lang w:val="en-US"/>
        </w:rPr>
        <w:t>Rn</w:t>
      </w:r>
      <w:r>
        <w:rPr>
          <w:lang w:val="en-US"/>
        </w:rPr>
        <w:t xml:space="preserve"> activity flux densities from the various height columns. The coefficients </w:t>
      </w:r>
      <w:r>
        <w:rPr>
          <w:i/>
          <w:lang w:val="en-US"/>
        </w:rPr>
        <w:t>L</w:t>
      </w:r>
      <w:r>
        <w:rPr>
          <w:lang w:val="en-US"/>
        </w:rPr>
        <w:t xml:space="preserve"> and </w:t>
      </w:r>
      <w:r>
        <w:rPr>
          <w:i/>
          <w:lang w:val="en-US"/>
        </w:rPr>
        <w:t>E</w:t>
      </w:r>
      <w:r>
        <w:rPr>
          <w:i/>
          <w:snapToGrid w:val="0"/>
          <w:color w:val="000000"/>
          <w:position w:val="-5"/>
          <w:sz w:val="15"/>
          <w:szCs w:val="2"/>
          <w:lang w:val="en-US"/>
        </w:rPr>
        <w:t>∞</w:t>
      </w:r>
      <w:r>
        <w:rPr>
          <w:lang w:val="en-US"/>
        </w:rPr>
        <w:t xml:space="preserve"> were obtained through a Levenberg-Marquardt non-linear least square curve fit and the covariant matrix generated was used to determine the variance and coefficient of determination, R</w:t>
      </w:r>
      <w:r>
        <w:rPr>
          <w:snapToGrid w:val="0"/>
          <w:color w:val="000000"/>
          <w:position w:val="5"/>
          <w:sz w:val="15"/>
          <w:szCs w:val="2"/>
          <w:lang w:val="en-US"/>
        </w:rPr>
        <w:t>2</w:t>
      </w:r>
      <w:r>
        <w:rPr>
          <w:lang w:val="en-US"/>
        </w:rPr>
        <w:t>.</w:t>
      </w:r>
    </w:p>
    <w:p w:rsidR="0034555D" w:rsidRDefault="00245881" w:rsidP="0034555D">
      <w:pPr>
        <w:pStyle w:val="figurecaption"/>
        <w:jc w:val="both"/>
      </w:pPr>
      <w:r>
        <w:rPr>
          <w:b/>
        </w:rPr>
        <w:br/>
      </w:r>
      <w:r w:rsidR="0034555D">
        <w:rPr>
          <w:lang w:val="en-AU" w:eastAsia="en-AU"/>
        </w:rPr>
        <w:drawing>
          <wp:anchor distT="0" distB="0" distL="114300" distR="114300" simplePos="0" relativeHeight="251689984" behindDoc="0" locked="0" layoutInCell="1" allowOverlap="1">
            <wp:simplePos x="0" y="0"/>
            <wp:positionH relativeFrom="column">
              <wp:posOffset>60960</wp:posOffset>
            </wp:positionH>
            <wp:positionV relativeFrom="paragraph">
              <wp:posOffset>10160</wp:posOffset>
            </wp:positionV>
            <wp:extent cx="2548890" cy="2377440"/>
            <wp:effectExtent l="19050" t="0" r="3810" b="0"/>
            <wp:wrapSquare wrapText="bothSides"/>
            <wp:docPr id="41"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7" cstate="screen"/>
                    <a:srcRect t="6790"/>
                    <a:stretch>
                      <a:fillRect/>
                    </a:stretch>
                  </pic:blipFill>
                  <pic:spPr bwMode="auto">
                    <a:xfrm>
                      <a:off x="0" y="0"/>
                      <a:ext cx="2548890" cy="2377440"/>
                    </a:xfrm>
                    <a:prstGeom prst="rect">
                      <a:avLst/>
                    </a:prstGeom>
                    <a:noFill/>
                  </pic:spPr>
                </pic:pic>
              </a:graphicData>
            </a:graphic>
          </wp:anchor>
        </w:drawing>
      </w:r>
      <w:r w:rsidR="0034555D">
        <w:rPr>
          <w:b/>
        </w:rPr>
        <w:t>Figure 4.9</w:t>
      </w:r>
      <w:r w:rsidR="0034555D">
        <w:t xml:space="preserve"> </w:t>
      </w:r>
      <w:r w:rsidR="0034555D">
        <w:rPr>
          <w:snapToGrid w:val="0"/>
          <w:color w:val="000000"/>
          <w:position w:val="4"/>
          <w:sz w:val="11"/>
          <w:szCs w:val="2"/>
        </w:rPr>
        <w:t>222</w:t>
      </w:r>
      <w:r w:rsidR="0034555D">
        <w:t xml:space="preserve">Rn activity flux density E versus the height of waste rock in the columns from the April 2014 measurements. The circled data belong to column 2.5M2 and have been treated as outliers for the fit. A possible explanation for the higher </w:t>
      </w:r>
      <w:r w:rsidR="0034555D">
        <w:rPr>
          <w:snapToGrid w:val="0"/>
          <w:color w:val="000000"/>
          <w:position w:val="4"/>
          <w:sz w:val="11"/>
          <w:szCs w:val="2"/>
        </w:rPr>
        <w:t>222</w:t>
      </w:r>
      <w:r w:rsidR="0034555D">
        <w:t>Rn activity flux density could be a higher than estimated activity concentration of the material used to fill the column, due to heterogeneities in the waste rock. The solid line is a curve fit to the data of the form given in equation 1.</w:t>
      </w:r>
    </w:p>
    <w:p w:rsidR="00CB74D0" w:rsidRDefault="00CB74D0" w:rsidP="00A00BA3"/>
    <w:p w:rsidR="0034555D" w:rsidRDefault="0034555D" w:rsidP="00A00BA3"/>
    <w:p w:rsidR="0034555D" w:rsidRDefault="0034555D" w:rsidP="00A00BA3"/>
    <w:p w:rsidR="0034555D" w:rsidRPr="0034555D" w:rsidRDefault="0034555D" w:rsidP="0034555D">
      <w:r w:rsidRPr="0034555D">
        <w:t xml:space="preserve">From the fit to the experimentally derived data, a </w:t>
      </w:r>
      <w:r w:rsidR="007E3A06" w:rsidRPr="00974DC5">
        <w:rPr>
          <w:vertAlign w:val="superscript"/>
          <w:lang w:val="en-US"/>
        </w:rPr>
        <w:t>222</w:t>
      </w:r>
      <w:r w:rsidR="007E3A06" w:rsidRPr="0034555D">
        <w:rPr>
          <w:lang w:val="en-US"/>
        </w:rPr>
        <w:t>Rn</w:t>
      </w:r>
      <w:r w:rsidRPr="0034555D">
        <w:rPr>
          <w:lang w:val="en-US"/>
        </w:rPr>
        <w:t xml:space="preserve"> diffusion length </w:t>
      </w:r>
      <w:r w:rsidRPr="0034555D">
        <w:rPr>
          <w:i/>
          <w:lang w:val="en-US"/>
        </w:rPr>
        <w:t>L</w:t>
      </w:r>
      <w:r w:rsidRPr="0034555D">
        <w:rPr>
          <w:lang w:val="en-US"/>
        </w:rPr>
        <w:t xml:space="preserve"> of</w:t>
      </w:r>
      <w:r w:rsidRPr="0034555D">
        <w:t xml:space="preserve"> 1.8±0.2 m and a </w:t>
      </w:r>
      <w:r w:rsidR="007E3A06" w:rsidRPr="00974DC5">
        <w:rPr>
          <w:vertAlign w:val="superscript"/>
          <w:lang w:val="en-US"/>
        </w:rPr>
        <w:t>222</w:t>
      </w:r>
      <w:r w:rsidR="007E3A06" w:rsidRPr="0034555D">
        <w:rPr>
          <w:lang w:val="en-US"/>
        </w:rPr>
        <w:t>Rn</w:t>
      </w:r>
      <w:r w:rsidRPr="0034555D">
        <w:rPr>
          <w:lang w:val="en-US"/>
        </w:rPr>
        <w:t xml:space="preserve"> activity flux density </w:t>
      </w:r>
      <w:r w:rsidRPr="0034555D">
        <w:rPr>
          <w:i/>
          <w:lang w:val="en-US"/>
        </w:rPr>
        <w:t>E∞</w:t>
      </w:r>
      <w:r w:rsidRPr="0034555D">
        <w:rPr>
          <w:lang w:val="en-US"/>
        </w:rPr>
        <w:t xml:space="preserve"> of </w:t>
      </w:r>
      <w:r w:rsidRPr="0034555D">
        <w:t>0.87±0.04 Bq·m</w:t>
      </w:r>
      <w:r w:rsidR="009713D2" w:rsidRPr="009713D2">
        <w:rPr>
          <w:snapToGrid w:val="0"/>
          <w:color w:val="000000"/>
          <w:position w:val="5"/>
          <w:sz w:val="13"/>
          <w:szCs w:val="0"/>
          <w:u w:color="000000"/>
        </w:rPr>
        <w:t>-2</w:t>
      </w:r>
      <w:r w:rsidRPr="0034555D">
        <w:t>·s</w:t>
      </w:r>
      <w:r w:rsidR="009713D2" w:rsidRPr="009713D2">
        <w:rPr>
          <w:snapToGrid w:val="0"/>
          <w:color w:val="000000"/>
          <w:position w:val="5"/>
          <w:sz w:val="13"/>
          <w:szCs w:val="0"/>
          <w:u w:color="000000"/>
          <w:vertAlign w:val="superscript"/>
        </w:rPr>
        <w:t>-1</w:t>
      </w:r>
      <w:r w:rsidRPr="0034555D">
        <w:t xml:space="preserve"> were obtained</w:t>
      </w:r>
      <w:r w:rsidRPr="0034555D">
        <w:rPr>
          <w:lang w:val="en-US"/>
        </w:rPr>
        <w:t xml:space="preserve"> for waste rock with a </w:t>
      </w:r>
      <w:r w:rsidRPr="00974DC5">
        <w:rPr>
          <w:vertAlign w:val="superscript"/>
          <w:lang w:val="en-US"/>
        </w:rPr>
        <w:t>226</w:t>
      </w:r>
      <w:r w:rsidRPr="0034555D">
        <w:rPr>
          <w:lang w:val="en-US"/>
        </w:rPr>
        <w:t xml:space="preserve">Ra activity concentration of </w:t>
      </w:r>
      <w:r w:rsidR="00BA08B4">
        <w:rPr>
          <w:lang w:val="en-US"/>
        </w:rPr>
        <w:t>1860</w:t>
      </w:r>
      <w:r w:rsidRPr="0034555D">
        <w:t>±</w:t>
      </w:r>
      <w:r w:rsidR="00BA08B4">
        <w:t>2</w:t>
      </w:r>
      <w:r w:rsidRPr="0034555D">
        <w:t>20 Bq·kg</w:t>
      </w:r>
      <w:r w:rsidRPr="00A12347">
        <w:rPr>
          <w:vertAlign w:val="superscript"/>
        </w:rPr>
        <w:t>-1</w:t>
      </w:r>
      <w:r w:rsidRPr="0034555D">
        <w:rPr>
          <w:lang w:val="en-US"/>
        </w:rPr>
        <w:t xml:space="preserve"> (average of waste rock </w:t>
      </w:r>
      <w:r w:rsidRPr="00974DC5">
        <w:rPr>
          <w:vertAlign w:val="superscript"/>
          <w:lang w:val="en-US"/>
        </w:rPr>
        <w:t>226</w:t>
      </w:r>
      <w:r w:rsidRPr="0034555D">
        <w:rPr>
          <w:lang w:val="en-US"/>
        </w:rPr>
        <w:t>Ra activity concentration in the columns)</w:t>
      </w:r>
      <w:r w:rsidRPr="0034555D">
        <w:t>. The diffusion length is a little higher than typical diffusion lengths in natural soils most likely due to the more porous nature of the material compared to aged natural soils.</w:t>
      </w:r>
    </w:p>
    <w:p w:rsidR="0034555D" w:rsidRPr="0034555D" w:rsidRDefault="0034555D" w:rsidP="0034555D">
      <w:r w:rsidRPr="0034555D">
        <w:t>Figure 4.10 shows the percentage values of E/E</w:t>
      </w:r>
      <w:r w:rsidR="009713D2" w:rsidRPr="009713D2">
        <w:rPr>
          <w:snapToGrid w:val="0"/>
          <w:color w:val="000000"/>
          <w:position w:val="-5"/>
          <w:sz w:val="13"/>
          <w:szCs w:val="0"/>
          <w:u w:color="000000"/>
        </w:rPr>
        <w:t>∞</w:t>
      </w:r>
      <w:r w:rsidRPr="0034555D">
        <w:t xml:space="preserve"> plotted against </w:t>
      </w:r>
      <w:r w:rsidRPr="0034555D">
        <w:rPr>
          <w:i/>
        </w:rPr>
        <w:t>h/L</w:t>
      </w:r>
      <w:r w:rsidRPr="0034555D">
        <w:t xml:space="preserve">. This plot has been used to estimate changes in the </w:t>
      </w:r>
      <w:r w:rsidR="007E3A06" w:rsidRPr="00974DC5">
        <w:rPr>
          <w:vertAlign w:val="superscript"/>
          <w:lang w:val="en-US"/>
        </w:rPr>
        <w:t>222</w:t>
      </w:r>
      <w:r w:rsidR="007E3A06" w:rsidRPr="0034555D">
        <w:rPr>
          <w:lang w:val="en-US"/>
        </w:rPr>
        <w:t>Rn</w:t>
      </w:r>
      <w:r w:rsidRPr="0034555D">
        <w:t xml:space="preserve"> activity flux from the cover material with height of the material. Assuming a diffusion length of 1.8 m, there will be a less than</w:t>
      </w:r>
      <w:r w:rsidR="00817B08">
        <w:t xml:space="preserve"> 5%</w:t>
      </w:r>
      <w:r w:rsidRPr="0034555D">
        <w:t xml:space="preserve"> increase in the </w:t>
      </w:r>
      <w:r w:rsidR="007E3A06" w:rsidRPr="00974DC5">
        <w:rPr>
          <w:vertAlign w:val="superscript"/>
          <w:lang w:val="en-US"/>
        </w:rPr>
        <w:t>222</w:t>
      </w:r>
      <w:r w:rsidR="007E3A06" w:rsidRPr="0034555D">
        <w:rPr>
          <w:lang w:val="en-US"/>
        </w:rPr>
        <w:t>Rn</w:t>
      </w:r>
      <w:r w:rsidRPr="0034555D">
        <w:rPr>
          <w:lang w:val="en-US"/>
        </w:rPr>
        <w:t xml:space="preserve"> </w:t>
      </w:r>
      <w:r w:rsidRPr="0034555D">
        <w:t>activity flux from the material layers exceeding 3.3 m in thickness. Two metres of the material will exhale</w:t>
      </w:r>
      <w:r w:rsidR="007E3A06" w:rsidRPr="00974DC5">
        <w:rPr>
          <w:vertAlign w:val="superscript"/>
          <w:lang w:val="en-US"/>
        </w:rPr>
        <w:t>222</w:t>
      </w:r>
      <w:r w:rsidR="007E3A06" w:rsidRPr="0034555D">
        <w:rPr>
          <w:lang w:val="en-US"/>
        </w:rPr>
        <w:t>Rn</w:t>
      </w:r>
      <w:r w:rsidR="007E3A06" w:rsidRPr="0034555D">
        <w:t xml:space="preserve"> </w:t>
      </w:r>
      <w:r w:rsidRPr="0034555D">
        <w:t>at an activity flux density of ~80% of the maximum value.</w:t>
      </w:r>
    </w:p>
    <w:p w:rsidR="0034555D" w:rsidRPr="0034555D" w:rsidRDefault="0034555D" w:rsidP="0034555D">
      <w:pPr>
        <w:pStyle w:val="Heading4"/>
      </w:pPr>
      <w:r w:rsidRPr="0034555D">
        <w:t>Effectiveness of waste rock as a cover material</w:t>
      </w:r>
    </w:p>
    <w:p w:rsidR="0034555D" w:rsidRPr="0034555D" w:rsidRDefault="0034555D" w:rsidP="0034555D">
      <w:r w:rsidRPr="0034555D">
        <w:t xml:space="preserve">The obtained diffusion length also allows </w:t>
      </w:r>
      <w:proofErr w:type="gramStart"/>
      <w:r w:rsidRPr="0034555D">
        <w:t>to determine</w:t>
      </w:r>
      <w:proofErr w:type="gramEnd"/>
      <w:r w:rsidRPr="0034555D">
        <w:t xml:space="preserve"> the effectiveness of the waste rock as a substrate to reduce the </w:t>
      </w:r>
      <w:r w:rsidR="007E3A06" w:rsidRPr="00974DC5">
        <w:rPr>
          <w:vertAlign w:val="superscript"/>
          <w:lang w:val="en-US"/>
        </w:rPr>
        <w:t>222</w:t>
      </w:r>
      <w:r w:rsidR="007E3A06" w:rsidRPr="0034555D">
        <w:rPr>
          <w:lang w:val="en-US"/>
        </w:rPr>
        <w:t>Rn</w:t>
      </w:r>
      <w:r w:rsidRPr="0034555D">
        <w:rPr>
          <w:lang w:val="en-US"/>
        </w:rPr>
        <w:t xml:space="preserve"> </w:t>
      </w:r>
      <w:r w:rsidRPr="0034555D">
        <w:t xml:space="preserve">exhalation from a source underneath. Equation 2 can be used to </w:t>
      </w:r>
      <w:r w:rsidR="00974DC5">
        <w:t xml:space="preserve">determine the reduction of the </w:t>
      </w:r>
      <w:r w:rsidR="00974DC5" w:rsidRPr="00974DC5">
        <w:rPr>
          <w:vertAlign w:val="superscript"/>
          <w:lang w:val="en-US"/>
        </w:rPr>
        <w:t>222</w:t>
      </w:r>
      <w:r w:rsidR="00974DC5" w:rsidRPr="0034555D">
        <w:rPr>
          <w:lang w:val="en-US"/>
        </w:rPr>
        <w:t>Rn</w:t>
      </w:r>
      <w:r w:rsidRPr="0034555D">
        <w:t xml:space="preserve"> activity flux density from a source (such as buried tailings) over which the waste rock is laid for capping. If a material with surface activity flux </w:t>
      </w:r>
      <w:r w:rsidRPr="0034555D">
        <w:rPr>
          <w:i/>
        </w:rPr>
        <w:t>E0s</w:t>
      </w:r>
      <w:r w:rsidRPr="0034555D">
        <w:t xml:space="preserve"> is covered with a thickness </w:t>
      </w:r>
      <w:r w:rsidRPr="0034555D">
        <w:rPr>
          <w:i/>
        </w:rPr>
        <w:t>h</w:t>
      </w:r>
      <w:r w:rsidRPr="0034555D">
        <w:t xml:space="preserve"> of a capping material, then the flux will reduce to a value </w:t>
      </w:r>
      <w:r w:rsidRPr="0034555D">
        <w:rPr>
          <w:i/>
        </w:rPr>
        <w:t>Ehs</w:t>
      </w:r>
      <w:r w:rsidRPr="0034555D">
        <w:t xml:space="preserve"> as:</w:t>
      </w:r>
    </w:p>
    <w:p w:rsidR="0034555D" w:rsidRPr="0034555D" w:rsidRDefault="0034555D" w:rsidP="0034555D">
      <w:pPr>
        <w:jc w:val="center"/>
        <w:rPr>
          <w:i/>
        </w:rPr>
      </w:pPr>
      <w:r w:rsidRPr="0034555D">
        <w:rPr>
          <w:i/>
        </w:rPr>
        <w:t>Equation 2: E</w:t>
      </w:r>
      <w:r w:rsidR="009713D2" w:rsidRPr="009713D2">
        <w:rPr>
          <w:i/>
          <w:snapToGrid w:val="0"/>
          <w:color w:val="000000"/>
          <w:position w:val="-5"/>
          <w:sz w:val="13"/>
          <w:szCs w:val="0"/>
          <w:u w:color="000000"/>
        </w:rPr>
        <w:t>hs</w:t>
      </w:r>
      <w:r w:rsidRPr="0034555D">
        <w:rPr>
          <w:i/>
        </w:rPr>
        <w:t xml:space="preserve"> = E</w:t>
      </w:r>
      <w:r w:rsidR="009713D2" w:rsidRPr="009713D2">
        <w:rPr>
          <w:i/>
          <w:snapToGrid w:val="0"/>
          <w:color w:val="000000"/>
          <w:position w:val="-5"/>
          <w:sz w:val="13"/>
          <w:szCs w:val="0"/>
          <w:u w:color="000000"/>
        </w:rPr>
        <w:t>0s</w:t>
      </w:r>
      <w:r w:rsidRPr="0034555D">
        <w:rPr>
          <w:i/>
        </w:rPr>
        <w:t>·e</w:t>
      </w:r>
      <w:r w:rsidR="009713D2" w:rsidRPr="009713D2">
        <w:rPr>
          <w:i/>
          <w:snapToGrid w:val="0"/>
          <w:color w:val="000000"/>
          <w:position w:val="5"/>
          <w:sz w:val="13"/>
          <w:szCs w:val="0"/>
          <w:u w:color="000000"/>
        </w:rPr>
        <w:t>-h/L</w:t>
      </w:r>
    </w:p>
    <w:p w:rsidR="0034555D" w:rsidRDefault="0034555D" w:rsidP="0034555D">
      <w:proofErr w:type="gramStart"/>
      <w:r w:rsidRPr="0034555D">
        <w:t>where</w:t>
      </w:r>
      <w:proofErr w:type="gramEnd"/>
      <w:r w:rsidRPr="0034555D">
        <w:t xml:space="preserve"> </w:t>
      </w:r>
      <w:r w:rsidRPr="0034555D">
        <w:rPr>
          <w:i/>
        </w:rPr>
        <w:t>E</w:t>
      </w:r>
      <w:r w:rsidR="009713D2" w:rsidRPr="009713D2">
        <w:rPr>
          <w:i/>
          <w:snapToGrid w:val="0"/>
          <w:color w:val="000000"/>
          <w:position w:val="-5"/>
          <w:sz w:val="13"/>
          <w:szCs w:val="0"/>
          <w:u w:color="000000"/>
        </w:rPr>
        <w:t>0s</w:t>
      </w:r>
      <w:r w:rsidRPr="0034555D">
        <w:t xml:space="preserve"> and </w:t>
      </w:r>
      <w:r w:rsidRPr="0034555D">
        <w:rPr>
          <w:i/>
        </w:rPr>
        <w:t>E</w:t>
      </w:r>
      <w:r w:rsidR="009713D2" w:rsidRPr="009713D2">
        <w:rPr>
          <w:i/>
          <w:snapToGrid w:val="0"/>
          <w:color w:val="000000"/>
          <w:position w:val="-5"/>
          <w:sz w:val="13"/>
          <w:szCs w:val="0"/>
          <w:u w:color="000000"/>
        </w:rPr>
        <w:t>hs</w:t>
      </w:r>
      <w:r w:rsidRPr="0034555D">
        <w:t xml:space="preserve"> are the </w:t>
      </w:r>
      <w:r w:rsidRPr="00974DC5">
        <w:rPr>
          <w:vertAlign w:val="superscript"/>
        </w:rPr>
        <w:t>222</w:t>
      </w:r>
      <w:r w:rsidRPr="0034555D">
        <w:t xml:space="preserve">Rn activity flux densities from the surface of the uncovered material and after a waste rock capping of height </w:t>
      </w:r>
      <w:r w:rsidRPr="0034555D">
        <w:rPr>
          <w:i/>
        </w:rPr>
        <w:t>h</w:t>
      </w:r>
      <w:r w:rsidRPr="0034555D">
        <w:t xml:space="preserve"> has been applied, respectively. </w:t>
      </w:r>
    </w:p>
    <w:p w:rsidR="003F2143" w:rsidRPr="0034555D" w:rsidRDefault="003F2143" w:rsidP="0034555D"/>
    <w:p w:rsidR="0034555D" w:rsidRDefault="0034555D" w:rsidP="0034555D">
      <w:pPr>
        <w:pStyle w:val="figurecaption"/>
        <w:jc w:val="both"/>
      </w:pPr>
      <w:r>
        <w:rPr>
          <w:b/>
          <w:lang w:val="en-AU" w:eastAsia="en-AU"/>
        </w:rPr>
        <w:drawing>
          <wp:anchor distT="0" distB="0" distL="114300" distR="114300" simplePos="0" relativeHeight="251694080" behindDoc="0" locked="0" layoutInCell="1" allowOverlap="1">
            <wp:simplePos x="0" y="0"/>
            <wp:positionH relativeFrom="column">
              <wp:posOffset>-34290</wp:posOffset>
            </wp:positionH>
            <wp:positionV relativeFrom="paragraph">
              <wp:posOffset>16510</wp:posOffset>
            </wp:positionV>
            <wp:extent cx="2755900" cy="2491105"/>
            <wp:effectExtent l="19050" t="0" r="6350" b="0"/>
            <wp:wrapSquare wrapText="bothSides"/>
            <wp:docPr id="4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8" cstate="screen"/>
                    <a:srcRect t="7581"/>
                    <a:stretch>
                      <a:fillRect/>
                    </a:stretch>
                  </pic:blipFill>
                  <pic:spPr bwMode="auto">
                    <a:xfrm>
                      <a:off x="0" y="0"/>
                      <a:ext cx="2755900" cy="2491105"/>
                    </a:xfrm>
                    <a:prstGeom prst="rect">
                      <a:avLst/>
                    </a:prstGeom>
                    <a:noFill/>
                  </pic:spPr>
                </pic:pic>
              </a:graphicData>
            </a:graphic>
          </wp:anchor>
        </w:drawing>
      </w:r>
      <w:r>
        <w:rPr>
          <w:b/>
        </w:rPr>
        <w:t xml:space="preserve">Figure 4.10 </w:t>
      </w:r>
      <w:r>
        <w:t xml:space="preserve">Relative </w:t>
      </w:r>
      <w:r>
        <w:rPr>
          <w:snapToGrid w:val="0"/>
          <w:color w:val="000000"/>
          <w:position w:val="4"/>
          <w:sz w:val="11"/>
          <w:szCs w:val="2"/>
        </w:rPr>
        <w:t>222</w:t>
      </w:r>
      <w:r>
        <w:t xml:space="preserve">Rn activity flux density plotted versus the ratio of waste rock height and diffusion length. The black line shows the increase of the </w:t>
      </w:r>
      <w:r>
        <w:rPr>
          <w:snapToGrid w:val="0"/>
          <w:color w:val="000000"/>
          <w:position w:val="4"/>
          <w:sz w:val="11"/>
          <w:szCs w:val="2"/>
        </w:rPr>
        <w:t>222</w:t>
      </w:r>
      <w:r>
        <w:t xml:space="preserve">Rn activity flux density from the waste rock itself with increasing height of the material (equation 1), the grey line shows the reduction of the </w:t>
      </w:r>
      <w:r>
        <w:rPr>
          <w:snapToGrid w:val="0"/>
          <w:color w:val="000000"/>
          <w:position w:val="4"/>
          <w:sz w:val="11"/>
          <w:szCs w:val="2"/>
        </w:rPr>
        <w:t>222</w:t>
      </w:r>
      <w:r>
        <w:t xml:space="preserve">Rn activity flux density from a capped </w:t>
      </w:r>
      <w:r>
        <w:rPr>
          <w:snapToGrid w:val="0"/>
          <w:color w:val="000000"/>
          <w:position w:val="4"/>
          <w:sz w:val="11"/>
          <w:szCs w:val="2"/>
        </w:rPr>
        <w:t>222</w:t>
      </w:r>
      <w:r>
        <w:t>Rn  source with increasing height of the capping material (equation 2).</w:t>
      </w:r>
    </w:p>
    <w:p w:rsidR="0034555D" w:rsidRDefault="0034555D" w:rsidP="00A00BA3"/>
    <w:p w:rsidR="00DD5C36" w:rsidRDefault="00DD5C36" w:rsidP="00A00BA3"/>
    <w:p w:rsidR="00DD5C36" w:rsidRDefault="00DD5C36" w:rsidP="00A00BA3"/>
    <w:p w:rsidR="00DD5C36" w:rsidRDefault="00DD5C36" w:rsidP="00A00BA3"/>
    <w:p w:rsidR="00DD5C36" w:rsidRPr="00DD5C36" w:rsidRDefault="00DD5C36" w:rsidP="00DD5C36">
      <w:r w:rsidRPr="00DD5C36">
        <w:t xml:space="preserve">Figure 4.10 shows the reduction of the </w:t>
      </w:r>
      <w:r w:rsidRPr="00974DC5">
        <w:rPr>
          <w:vertAlign w:val="superscript"/>
          <w:lang w:val="en-US"/>
        </w:rPr>
        <w:t>222</w:t>
      </w:r>
      <w:r w:rsidRPr="00DD5C36">
        <w:rPr>
          <w:lang w:val="en-US"/>
        </w:rPr>
        <w:t xml:space="preserve">Rn </w:t>
      </w:r>
      <w:r w:rsidRPr="00DD5C36">
        <w:t xml:space="preserve">exhalation by applying a waste rock cover of height </w:t>
      </w:r>
      <w:r w:rsidRPr="00DD5C36">
        <w:rPr>
          <w:i/>
        </w:rPr>
        <w:t>h</w:t>
      </w:r>
      <w:r w:rsidRPr="00DD5C36">
        <w:t xml:space="preserve"> as cover material, plotted against </w:t>
      </w:r>
      <w:r w:rsidRPr="00DD5C36">
        <w:rPr>
          <w:i/>
        </w:rPr>
        <w:t>h/L</w:t>
      </w:r>
      <w:r w:rsidRPr="00DD5C36">
        <w:t>.</w:t>
      </w:r>
    </w:p>
    <w:p w:rsidR="00DD5C36" w:rsidRPr="00DD5C36" w:rsidRDefault="00DD5C36" w:rsidP="00DD5C36">
      <w:r w:rsidRPr="00DD5C36">
        <w:t xml:space="preserve">It is obvious from Figure 4.10 that, while waste rock is suitable as a capping material to lower </w:t>
      </w:r>
      <w:r w:rsidR="00974DC5" w:rsidRPr="00974DC5">
        <w:rPr>
          <w:vertAlign w:val="superscript"/>
          <w:lang w:val="en-US"/>
        </w:rPr>
        <w:t>222</w:t>
      </w:r>
      <w:r w:rsidR="00974DC5" w:rsidRPr="0034555D">
        <w:rPr>
          <w:lang w:val="en-US"/>
        </w:rPr>
        <w:t>Rn</w:t>
      </w:r>
      <w:r w:rsidRPr="00DD5C36">
        <w:rPr>
          <w:lang w:val="en-US"/>
        </w:rPr>
        <w:t xml:space="preserve"> </w:t>
      </w:r>
      <w:r w:rsidRPr="00DD5C36">
        <w:t xml:space="preserve">exhalation from buried </w:t>
      </w:r>
      <w:r w:rsidRPr="00974DC5">
        <w:rPr>
          <w:vertAlign w:val="superscript"/>
        </w:rPr>
        <w:t>226</w:t>
      </w:r>
      <w:r w:rsidRPr="00DD5C36">
        <w:t xml:space="preserve">Ra rich material, it will also be a source of  </w:t>
      </w:r>
      <w:r w:rsidRPr="00974DC5">
        <w:rPr>
          <w:vertAlign w:val="superscript"/>
          <w:lang w:val="en-US"/>
        </w:rPr>
        <w:t>222</w:t>
      </w:r>
      <w:r w:rsidRPr="00DD5C36">
        <w:rPr>
          <w:lang w:val="en-US"/>
        </w:rPr>
        <w:t xml:space="preserve">Rn due to its generally above natural background </w:t>
      </w:r>
      <w:r w:rsidRPr="00974DC5">
        <w:rPr>
          <w:vertAlign w:val="superscript"/>
          <w:lang w:val="en-US"/>
        </w:rPr>
        <w:t>226</w:t>
      </w:r>
      <w:r w:rsidRPr="00DD5C36">
        <w:rPr>
          <w:lang w:val="en-US"/>
        </w:rPr>
        <w:t xml:space="preserve">Ra activity concentration. For example, a capping of about </w:t>
      </w:r>
      <w:r w:rsidR="00A12347">
        <w:rPr>
          <w:lang w:val="en-US"/>
        </w:rPr>
        <w:t>three</w:t>
      </w:r>
      <w:r w:rsidRPr="00DD5C36">
        <w:rPr>
          <w:lang w:val="en-US"/>
        </w:rPr>
        <w:t xml:space="preserve"> times the diffusion length will reduce the source </w:t>
      </w:r>
      <w:r w:rsidRPr="00974DC5">
        <w:rPr>
          <w:vertAlign w:val="superscript"/>
          <w:lang w:val="en-US"/>
        </w:rPr>
        <w:t>222</w:t>
      </w:r>
      <w:r w:rsidRPr="00DD5C36">
        <w:rPr>
          <w:lang w:val="en-US"/>
        </w:rPr>
        <w:t xml:space="preserve">Rn </w:t>
      </w:r>
      <w:r w:rsidRPr="00DD5C36">
        <w:t xml:space="preserve">exhalation to less than 5% but, at the same time, the </w:t>
      </w:r>
      <w:r w:rsidR="00974DC5" w:rsidRPr="00974DC5">
        <w:rPr>
          <w:vertAlign w:val="superscript"/>
          <w:lang w:val="en-US"/>
        </w:rPr>
        <w:t>222</w:t>
      </w:r>
      <w:r w:rsidR="00974DC5" w:rsidRPr="0034555D">
        <w:rPr>
          <w:lang w:val="en-US"/>
        </w:rPr>
        <w:t>Rn</w:t>
      </w:r>
      <w:r w:rsidRPr="00DD5C36">
        <w:rPr>
          <w:lang w:val="en-US"/>
        </w:rPr>
        <w:t xml:space="preserve"> </w:t>
      </w:r>
      <w:r w:rsidRPr="00DD5C36">
        <w:t xml:space="preserve">exhalation from the capping material itself will effectively be </w:t>
      </w:r>
      <w:r w:rsidRPr="00DD5C36">
        <w:rPr>
          <w:i/>
          <w:lang w:val="en-US"/>
        </w:rPr>
        <w:t>E</w:t>
      </w:r>
      <w:r w:rsidR="009713D2" w:rsidRPr="009713D2">
        <w:rPr>
          <w:i/>
          <w:snapToGrid w:val="0"/>
          <w:color w:val="000000"/>
          <w:position w:val="-5"/>
          <w:sz w:val="13"/>
          <w:szCs w:val="0"/>
          <w:u w:color="000000"/>
          <w:lang w:val="en-US"/>
        </w:rPr>
        <w:t>∞</w:t>
      </w:r>
      <w:r w:rsidRPr="00DD5C36">
        <w:t xml:space="preserve">. The value </w:t>
      </w:r>
      <w:r w:rsidRPr="00DD5C36">
        <w:rPr>
          <w:i/>
          <w:lang w:val="en-US"/>
        </w:rPr>
        <w:t>E</w:t>
      </w:r>
      <w:r w:rsidR="009713D2" w:rsidRPr="009713D2">
        <w:rPr>
          <w:i/>
          <w:snapToGrid w:val="0"/>
          <w:color w:val="000000"/>
          <w:position w:val="-5"/>
          <w:sz w:val="13"/>
          <w:szCs w:val="0"/>
          <w:u w:color="000000"/>
          <w:lang w:val="en-US"/>
        </w:rPr>
        <w:t>∞</w:t>
      </w:r>
      <w:r w:rsidRPr="00DD5C36">
        <w:t xml:space="preserve"> for the radon activity flux density depends on the </w:t>
      </w:r>
      <w:r w:rsidRPr="00974DC5">
        <w:rPr>
          <w:vertAlign w:val="superscript"/>
          <w:lang w:val="en-US"/>
        </w:rPr>
        <w:t>226</w:t>
      </w:r>
      <w:r w:rsidRPr="00DD5C36">
        <w:rPr>
          <w:lang w:val="en-US"/>
        </w:rPr>
        <w:t xml:space="preserve">Ra </w:t>
      </w:r>
      <w:r w:rsidRPr="00DD5C36">
        <w:t>activity concentration of the capping material and, consequently, the lowest grade waste rock should be used for the surface of the rehabilitated landform.</w:t>
      </w:r>
    </w:p>
    <w:p w:rsidR="00DD5C36" w:rsidRPr="00DD5C36" w:rsidRDefault="00DD5C36" w:rsidP="00DD5C36">
      <w:pPr>
        <w:pStyle w:val="Heading3"/>
      </w:pPr>
      <w:r w:rsidRPr="00DD5C36">
        <w:t>4.5.4 Conclusions</w:t>
      </w:r>
    </w:p>
    <w:p w:rsidR="00DD5C36" w:rsidRPr="00DD5C36" w:rsidRDefault="00DD5C36" w:rsidP="00DD5C36">
      <w:r w:rsidRPr="00DD5C36">
        <w:t xml:space="preserve">We have determined the radon diffusion length one year after set-up of the radon exhalation columns to be 1.8±0.2 m. The diffusion length has decreased little, if at all, compared to initial measurements conducted in May 2013. The diffusion length has been used to examine the effectiveness of waste rock as a cover material and also the </w:t>
      </w:r>
      <w:r w:rsidRPr="003F2143">
        <w:rPr>
          <w:vertAlign w:val="superscript"/>
          <w:lang w:val="en-US"/>
        </w:rPr>
        <w:t>222</w:t>
      </w:r>
      <w:r w:rsidRPr="00DD5C36">
        <w:rPr>
          <w:lang w:val="en-US"/>
        </w:rPr>
        <w:t xml:space="preserve">Rn </w:t>
      </w:r>
      <w:r w:rsidRPr="00DD5C36">
        <w:t>exhalation from the waste rock itself. The ratio R</w:t>
      </w:r>
      <w:r w:rsidR="009713D2" w:rsidRPr="009713D2">
        <w:rPr>
          <w:i/>
          <w:snapToGrid w:val="0"/>
          <w:color w:val="000000"/>
          <w:position w:val="-5"/>
          <w:sz w:val="13"/>
          <w:szCs w:val="0"/>
          <w:u w:color="000000"/>
        </w:rPr>
        <w:t>E-R</w:t>
      </w:r>
      <w:r w:rsidRPr="00DD5C36">
        <w:t xml:space="preserve"> of </w:t>
      </w:r>
      <w:r w:rsidRPr="00DD5C36">
        <w:rPr>
          <w:i/>
          <w:lang w:val="en-US"/>
        </w:rPr>
        <w:t>E</w:t>
      </w:r>
      <w:r w:rsidR="009713D2" w:rsidRPr="009713D2">
        <w:rPr>
          <w:i/>
          <w:snapToGrid w:val="0"/>
          <w:color w:val="000000"/>
          <w:position w:val="-5"/>
          <w:sz w:val="13"/>
          <w:szCs w:val="0"/>
          <w:u w:color="000000"/>
          <w:lang w:val="en-US"/>
        </w:rPr>
        <w:t>∞</w:t>
      </w:r>
      <w:r w:rsidRPr="00DD5C36">
        <w:rPr>
          <w:lang w:val="en-US"/>
        </w:rPr>
        <w:t xml:space="preserve"> to the average </w:t>
      </w:r>
      <w:r w:rsidRPr="003F2143">
        <w:rPr>
          <w:vertAlign w:val="superscript"/>
          <w:lang w:val="en-US"/>
        </w:rPr>
        <w:t>226</w:t>
      </w:r>
      <w:r w:rsidRPr="00DD5C36">
        <w:rPr>
          <w:lang w:val="en-US"/>
        </w:rPr>
        <w:t xml:space="preserve">Ra activity concentration in the waste rock, determined in this experimental set up, is </w:t>
      </w:r>
      <w:r w:rsidR="0079327B" w:rsidRPr="0079327B">
        <w:rPr>
          <w:lang w:val="en-US"/>
        </w:rPr>
        <w:t xml:space="preserve">(0.47±0.05) </w:t>
      </w:r>
      <w:r w:rsidRPr="00DD5C36">
        <w:t>Bq·m</w:t>
      </w:r>
      <w:r w:rsidR="009713D2" w:rsidRPr="009713D2">
        <w:rPr>
          <w:snapToGrid w:val="0"/>
          <w:color w:val="000000"/>
          <w:position w:val="5"/>
          <w:sz w:val="13"/>
          <w:szCs w:val="0"/>
          <w:u w:color="000000"/>
        </w:rPr>
        <w:t>-2</w:t>
      </w:r>
      <w:r w:rsidRPr="00DD5C36">
        <w:t>·s</w:t>
      </w:r>
      <w:r w:rsidR="009713D2" w:rsidRPr="009713D2">
        <w:rPr>
          <w:snapToGrid w:val="0"/>
          <w:color w:val="000000"/>
          <w:position w:val="5"/>
          <w:sz w:val="13"/>
          <w:szCs w:val="0"/>
          <w:u w:color="000000"/>
        </w:rPr>
        <w:t>-1</w:t>
      </w:r>
      <w:r w:rsidRPr="00DD5C36">
        <w:t xml:space="preserve"> per Bq·g</w:t>
      </w:r>
      <w:r w:rsidR="009713D2" w:rsidRPr="009713D2">
        <w:rPr>
          <w:snapToGrid w:val="0"/>
          <w:color w:val="000000"/>
          <w:position w:val="5"/>
          <w:sz w:val="13"/>
          <w:szCs w:val="0"/>
          <w:u w:color="000000"/>
        </w:rPr>
        <w:t>-1</w:t>
      </w:r>
      <w:r w:rsidRPr="00DD5C36">
        <w:t>, which is similar to the ratio determined through measurements on the trial landform.</w:t>
      </w:r>
    </w:p>
    <w:p w:rsidR="00DD5C36" w:rsidRPr="00DD5C36" w:rsidRDefault="00DD5C36" w:rsidP="00DD5C36">
      <w:r w:rsidRPr="00DD5C36">
        <w:t xml:space="preserve">A further set of </w:t>
      </w:r>
      <w:r w:rsidRPr="003F2143">
        <w:rPr>
          <w:vertAlign w:val="superscript"/>
          <w:lang w:val="en-US"/>
        </w:rPr>
        <w:t>222</w:t>
      </w:r>
      <w:r w:rsidRPr="00DD5C36">
        <w:rPr>
          <w:lang w:val="en-US"/>
        </w:rPr>
        <w:t xml:space="preserve">Rn exhalation </w:t>
      </w:r>
      <w:r w:rsidRPr="00DD5C36">
        <w:t xml:space="preserve">measurements will be conducted in the dry season of 2015. This is to determine whether there is a statistically significant decrease in the </w:t>
      </w:r>
      <w:r w:rsidRPr="003F2143">
        <w:rPr>
          <w:vertAlign w:val="superscript"/>
          <w:lang w:val="en-US"/>
        </w:rPr>
        <w:t>222</w:t>
      </w:r>
      <w:r w:rsidRPr="00DD5C36">
        <w:rPr>
          <w:lang w:val="en-US"/>
        </w:rPr>
        <w:t xml:space="preserve">Rn diffusion length with time. Future work will include the modeling of above baseline </w:t>
      </w:r>
      <w:r w:rsidR="003F2143" w:rsidRPr="003F2143">
        <w:rPr>
          <w:vertAlign w:val="superscript"/>
          <w:lang w:val="en-US"/>
        </w:rPr>
        <w:t>222</w:t>
      </w:r>
      <w:r w:rsidR="003F2143" w:rsidRPr="00DD5C36">
        <w:rPr>
          <w:lang w:val="en-US"/>
        </w:rPr>
        <w:t>Rn</w:t>
      </w:r>
      <w:r w:rsidRPr="00DD5C36">
        <w:rPr>
          <w:lang w:val="en-US"/>
        </w:rPr>
        <w:t xml:space="preserve"> exhalation fluxes from the rehabilitated landform, using pre-mining fluxes reported in </w:t>
      </w:r>
      <w:r w:rsidR="00817B08">
        <w:rPr>
          <w:lang w:val="en-US"/>
        </w:rPr>
        <w:t>previous Supervising Scientist annual r</w:t>
      </w:r>
      <w:r w:rsidRPr="00DD5C36">
        <w:rPr>
          <w:lang w:val="en-US"/>
        </w:rPr>
        <w:t xml:space="preserve">eports and various rehabilitation scenarios. Ultimately, these above background fluxes will be used to determine above background doses from the inhalation of </w:t>
      </w:r>
      <w:r w:rsidRPr="00DD5C36">
        <w:t>radon decay products.</w:t>
      </w:r>
    </w:p>
    <w:p w:rsidR="00DD5C36" w:rsidRPr="00DD5C36" w:rsidRDefault="00DD5C36" w:rsidP="00DD5C36">
      <w:pPr>
        <w:pStyle w:val="Heading2"/>
      </w:pPr>
      <w:bookmarkStart w:id="253" w:name="_Toc399928191"/>
      <w:r w:rsidRPr="00DD5C36">
        <w:t>4.6</w:t>
      </w:r>
      <w:r w:rsidRPr="00DD5C36">
        <w:tab/>
        <w:t xml:space="preserve">Post-rehabilitation radiation exposure due to </w:t>
      </w:r>
      <w:r w:rsidR="00007204">
        <w:t>Indigenous</w:t>
      </w:r>
      <w:r w:rsidRPr="00DD5C36">
        <w:t xml:space="preserve"> bush foods from terrestrial ecosystems</w:t>
      </w:r>
      <w:bookmarkEnd w:id="253"/>
    </w:p>
    <w:p w:rsidR="00DD5C36" w:rsidRPr="00DD5C36" w:rsidRDefault="00DD5C36" w:rsidP="00DD5C36">
      <w:pPr>
        <w:pStyle w:val="Heading3"/>
      </w:pPr>
      <w:r w:rsidRPr="00DD5C36">
        <w:t>4.6.1  Introduction</w:t>
      </w:r>
    </w:p>
    <w:p w:rsidR="00DD5C36" w:rsidRPr="00DD5C36" w:rsidRDefault="00DD5C36" w:rsidP="00DD5C36">
      <w:r w:rsidRPr="00DD5C36">
        <w:t>The current authorisation for Ranger mine requires that all mining and processing activities must cease by 2021, and that site rehabilitation must be completed by 2026. Rehabilitation of the mine will result in the re-establishment of terrestrial ecosystem and eventual return of the land to traditional owners. Traditional owners using the rehabilitated site and adjacent areas of Kakadu National Park for cultural activities may incur a radiation dose from the site. This dose must not exceed the public dose limit of 1 mSv in a year above the pre-mining background.</w:t>
      </w:r>
    </w:p>
    <w:p w:rsidR="00DD5C36" w:rsidRPr="00DD5C36" w:rsidRDefault="00DD5C36" w:rsidP="00DD5C36">
      <w:r w:rsidRPr="00DD5C36">
        <w:t xml:space="preserve">A radiological dose model is currently being developed to estimate above background doses to </w:t>
      </w:r>
      <w:r w:rsidR="00817B08">
        <w:t>Indigenous</w:t>
      </w:r>
      <w:r w:rsidRPr="00DD5C36">
        <w:t xml:space="preserve"> people from the rehabilitated Ranger mine site. The ingestion of radionuclides accumulated in bush foods is to be included as an exposure pathway within the dose model to account for traditional living scenarios. A common approach used in dose models to estimate radionuclide accumulation in food items is to use concentration ratios (CRs). These can be expressed as the ratio of the radionuclide activity concentration in the food item (plant or animal tissue) to that in the relevant environmental medium (soil for terrestrial ecosystems).</w:t>
      </w:r>
    </w:p>
    <w:p w:rsidR="00DD5C36" w:rsidRPr="00DD5C36" w:rsidRDefault="00245881" w:rsidP="00DD5C36">
      <w:proofErr w:type="gramStart"/>
      <w:r>
        <w:rPr>
          <w:b/>
          <w:i/>
          <w:sz w:val="23"/>
          <w:szCs w:val="23"/>
        </w:rPr>
        <w:t>e</w:t>
      </w:r>
      <w:r w:rsidR="00DD5C36" w:rsidRPr="00DD5C36">
        <w:rPr>
          <w:b/>
          <w:i/>
          <w:sz w:val="23"/>
          <w:szCs w:val="23"/>
        </w:rPr>
        <w:t>riss</w:t>
      </w:r>
      <w:proofErr w:type="gramEnd"/>
      <w:r w:rsidR="00DD5C36" w:rsidRPr="00DD5C36">
        <w:t xml:space="preserve"> has substantial data on the radionuclide activity concentrations in terrestrial wild plants and animals and in soils collected from the ARR. These data have amassed from radioactivity measurements of field samples collected over several decades. The data have recently been collated and CRs calculated for plant- and animal-based bush foods from terrestrial ecosystems. The CRs may be used in combination with other parameters to estimate above background ingestion doses due to the rehabilitated Ranger mine site.</w:t>
      </w:r>
    </w:p>
    <w:p w:rsidR="00DD5C36" w:rsidRPr="00DD5C36" w:rsidRDefault="00DD5C36" w:rsidP="00DD5C36">
      <w:pPr>
        <w:pStyle w:val="Heading3"/>
      </w:pPr>
      <w:r w:rsidRPr="00DD5C36">
        <w:t>4.6.2  Data and analysis</w:t>
      </w:r>
    </w:p>
    <w:p w:rsidR="00DD5C36" w:rsidRPr="00DD5C36" w:rsidRDefault="00DD5C36" w:rsidP="00DD5C36">
      <w:r w:rsidRPr="00DD5C36">
        <w:t xml:space="preserve">Radionuclide data were collated from </w:t>
      </w:r>
      <w:r w:rsidRPr="00DD5C36">
        <w:rPr>
          <w:b/>
          <w:i/>
          <w:sz w:val="23"/>
          <w:szCs w:val="23"/>
        </w:rPr>
        <w:t>eriss</w:t>
      </w:r>
      <w:r w:rsidRPr="00DD5C36">
        <w:rPr>
          <w:sz w:val="23"/>
          <w:szCs w:val="23"/>
        </w:rPr>
        <w:t xml:space="preserve"> </w:t>
      </w:r>
      <w:r w:rsidRPr="00DD5C36">
        <w:t xml:space="preserve">publications and a large set of unpublished analysis results. These data receive quality assurance checks before reporting. Data of ERA and others were also included to produce a comprehensive dataset from which CRs could be derived. The data of ERA were largely from statutory environmental monitoring reports and assumed to be of good quality. Data collation focussed on retrieval of individual sample results rather than summary statistics. In total, data for 164 terrestrial plant samples, 165 terrestrial animal samples and more than 1500 soil samples were collated. </w:t>
      </w:r>
    </w:p>
    <w:p w:rsidR="00DD5C36" w:rsidRPr="00DD5C36" w:rsidRDefault="00DD5C36" w:rsidP="00DD5C36">
      <w:r w:rsidRPr="00DD5C36">
        <w:t xml:space="preserve">The collated data were organised around a number of biota groups considered representative of common bush food types. These biota groups included bandicoot, buffalo, goanna, pig, wallaby, fruit and yam. The BRUCE tool (described </w:t>
      </w:r>
      <w:proofErr w:type="gramStart"/>
      <w:r w:rsidRPr="00DD5C36">
        <w:t>in the 2010–11 Annual Report</w:t>
      </w:r>
      <w:proofErr w:type="gramEnd"/>
      <w:r w:rsidRPr="00DD5C36">
        <w:t>) was then used to calculate CRs from the data on a wet mass biota tissue to dry mass soil basis. For a small number of biota-tissue-radionuclide combinations the only tissue activity concentration data available were less than detection limit values. A weighting factor of 0.5 was applied to the tissue activity concentration to calculate CRs for these combinations.</w:t>
      </w:r>
    </w:p>
    <w:p w:rsidR="00DD5C36" w:rsidRPr="00DD5C36" w:rsidRDefault="00DD5C36" w:rsidP="00DD5C36">
      <w:pPr>
        <w:pStyle w:val="Heading3"/>
      </w:pPr>
      <w:r w:rsidRPr="00DD5C36">
        <w:t>4.6.3  Results and discussion</w:t>
      </w:r>
    </w:p>
    <w:p w:rsidR="00DD5C36" w:rsidRPr="00DD5C36" w:rsidRDefault="00DD5C36" w:rsidP="00DD5C36">
      <w:pPr>
        <w:pStyle w:val="Heading4"/>
      </w:pPr>
      <w:r w:rsidRPr="00DD5C36">
        <w:t>4.6.3.1 CR results</w:t>
      </w:r>
    </w:p>
    <w:p w:rsidR="00DD5C36" w:rsidRPr="00DD5C36" w:rsidRDefault="00DD5C36" w:rsidP="00DD5C36">
      <w:r w:rsidRPr="00DD5C36">
        <w:t>CR results for more than 100 biota-tissue-radionuclide combinations were determined. Figure 4.11 shows the CR geometric mean and standard deviation for each combination. The sample count was low for most combinations and precluded rigorous statistical treatment of the results. Nevertheless, the following general trends were observed:</w:t>
      </w:r>
    </w:p>
    <w:p w:rsidR="00DD5C36" w:rsidRPr="00DD5C36" w:rsidRDefault="00DD5C36" w:rsidP="007A35E1">
      <w:pPr>
        <w:ind w:left="284" w:hanging="284"/>
      </w:pPr>
      <w:r w:rsidRPr="00DD5C36">
        <w:t>1</w:t>
      </w:r>
      <w:r w:rsidR="007A35E1">
        <w:t>.</w:t>
      </w:r>
      <w:r w:rsidRPr="00DD5C36">
        <w:rPr>
          <w:i/>
        </w:rPr>
        <w:tab/>
        <w:t>CRs for yam higher than fruit</w:t>
      </w:r>
      <w:r w:rsidRPr="00DD5C36">
        <w:t>. Yams are root vegetables and uptake radionuclides directly from the soil. Fruits on the other hand sequester radionuclides translocated from the root of the plant following uptake from the soil. Hence, the transfer pathway to fruits is effectively longer than for yams and so there is greater possibility of immobilisation of the radionuclide along this pathway by physical and chemical processes.</w:t>
      </w:r>
    </w:p>
    <w:p w:rsidR="00DD5C36" w:rsidRPr="00DD5C36" w:rsidRDefault="00DD5C36" w:rsidP="007A35E1">
      <w:pPr>
        <w:ind w:left="284" w:hanging="284"/>
      </w:pPr>
      <w:r w:rsidRPr="00DD5C36">
        <w:t>2</w:t>
      </w:r>
      <w:r w:rsidR="007A35E1">
        <w:t>.</w:t>
      </w:r>
      <w:r w:rsidRPr="00DD5C36">
        <w:rPr>
          <w:i/>
        </w:rPr>
        <w:tab/>
        <w:t xml:space="preserve">CRs for </w:t>
      </w:r>
      <w:r w:rsidRPr="00974DC5">
        <w:rPr>
          <w:i/>
          <w:vertAlign w:val="superscript"/>
        </w:rPr>
        <w:t>210</w:t>
      </w:r>
      <w:r w:rsidRPr="00DD5C36">
        <w:rPr>
          <w:i/>
        </w:rPr>
        <w:t>Po in animal tissue higher, and for U and Th lower, than other radionuclides</w:t>
      </w:r>
      <w:r w:rsidRPr="00DD5C36">
        <w:t xml:space="preserve">. The higher CRs for </w:t>
      </w:r>
      <w:r w:rsidRPr="003F2143">
        <w:rPr>
          <w:vertAlign w:val="superscript"/>
        </w:rPr>
        <w:t>210</w:t>
      </w:r>
      <w:r w:rsidRPr="00DD5C36">
        <w:t xml:space="preserve">Po may be from elevated </w:t>
      </w:r>
      <w:r w:rsidR="003F2143" w:rsidRPr="003F2143">
        <w:rPr>
          <w:vertAlign w:val="superscript"/>
        </w:rPr>
        <w:t>210</w:t>
      </w:r>
      <w:r w:rsidR="003F2143" w:rsidRPr="00DD5C36">
        <w:t>Po</w:t>
      </w:r>
      <w:r w:rsidRPr="00DD5C36">
        <w:t xml:space="preserve"> concentrations in the above-ground parts of plants and grasses consumed by foraging animals due to atmospheric deposition and foliar adsorption of this radionuclide. </w:t>
      </w:r>
      <w:r w:rsidRPr="00974DC5">
        <w:rPr>
          <w:vertAlign w:val="superscript"/>
        </w:rPr>
        <w:t>210</w:t>
      </w:r>
      <w:r w:rsidRPr="00DD5C36">
        <w:t xml:space="preserve">Po is present in the atmosphere from the decay of </w:t>
      </w:r>
      <w:r w:rsidRPr="003F2143">
        <w:rPr>
          <w:vertAlign w:val="superscript"/>
        </w:rPr>
        <w:t>222</w:t>
      </w:r>
      <w:r w:rsidRPr="00DD5C36">
        <w:t xml:space="preserve">Rn, a natural radioactive gas released to the atmosphere by soils and rocks. The lower CRs for U and Th were potentially due to low gastrointestinal fractional absorption by animals. Gastrointestinal fractional absorption follows the order Th &lt; U &lt; Ra &lt; Pb &lt; Po. This may also contribute to the higher CRs for </w:t>
      </w:r>
      <w:r w:rsidRPr="003F2143">
        <w:rPr>
          <w:vertAlign w:val="superscript"/>
        </w:rPr>
        <w:t>210</w:t>
      </w:r>
      <w:r w:rsidRPr="00DD5C36">
        <w:t>Po.</w:t>
      </w:r>
    </w:p>
    <w:p w:rsidR="00DD5C36" w:rsidRPr="00DD5C36" w:rsidRDefault="00DD5C36" w:rsidP="007A35E1">
      <w:pPr>
        <w:ind w:left="284" w:hanging="284"/>
      </w:pPr>
      <w:r w:rsidRPr="00DD5C36">
        <w:t>3</w:t>
      </w:r>
      <w:r w:rsidR="007A35E1">
        <w:t>.</w:t>
      </w:r>
      <w:r w:rsidRPr="00DD5C36">
        <w:rPr>
          <w:i/>
        </w:rPr>
        <w:tab/>
        <w:t xml:space="preserve">CRs for </w:t>
      </w:r>
      <w:r w:rsidRPr="00974DC5">
        <w:rPr>
          <w:i/>
          <w:vertAlign w:val="superscript"/>
        </w:rPr>
        <w:t>210</w:t>
      </w:r>
      <w:r w:rsidRPr="00DD5C36">
        <w:rPr>
          <w:i/>
        </w:rPr>
        <w:t xml:space="preserve">Pb and </w:t>
      </w:r>
      <w:r w:rsidRPr="00974DC5">
        <w:rPr>
          <w:i/>
          <w:vertAlign w:val="superscript"/>
        </w:rPr>
        <w:t>210</w:t>
      </w:r>
      <w:r w:rsidRPr="00DD5C36">
        <w:rPr>
          <w:i/>
        </w:rPr>
        <w:t>Po in liver and kidney higher than flesh</w:t>
      </w:r>
      <w:r w:rsidRPr="00DD5C36">
        <w:t xml:space="preserve">. Comparative results for bandicoot, buffalo, goanna and wallaby showed that CRs for </w:t>
      </w:r>
      <w:r w:rsidRPr="00974DC5">
        <w:rPr>
          <w:vertAlign w:val="superscript"/>
        </w:rPr>
        <w:t>210</w:t>
      </w:r>
      <w:r w:rsidRPr="00DD5C36">
        <w:t xml:space="preserve">Pb and </w:t>
      </w:r>
      <w:r w:rsidRPr="00974DC5">
        <w:rPr>
          <w:vertAlign w:val="superscript"/>
        </w:rPr>
        <w:t>210</w:t>
      </w:r>
      <w:r w:rsidRPr="00DD5C36">
        <w:t>Po in liver and kidney were higher than flesh by approximately one order of magnitude. The liver and kidneys act as filters for substances passing through the body of an animal and are known to accumulate various metals and pollutants, including radionuclides.</w:t>
      </w:r>
    </w:p>
    <w:p w:rsidR="00DD5C36" w:rsidRPr="00DD5C36" w:rsidRDefault="00DD5C36" w:rsidP="007A35E1">
      <w:pPr>
        <w:ind w:left="284" w:hanging="284"/>
      </w:pPr>
      <w:r w:rsidRPr="00DD5C36">
        <w:t>4</w:t>
      </w:r>
      <w:r w:rsidR="007A35E1">
        <w:t>.</w:t>
      </w:r>
      <w:r w:rsidRPr="00DD5C36">
        <w:rPr>
          <w:i/>
        </w:rPr>
        <w:tab/>
        <w:t xml:space="preserve">CRs for </w:t>
      </w:r>
      <w:r w:rsidRPr="00974DC5">
        <w:rPr>
          <w:i/>
          <w:vertAlign w:val="superscript"/>
        </w:rPr>
        <w:t>226</w:t>
      </w:r>
      <w:r w:rsidRPr="00DD5C36">
        <w:rPr>
          <w:i/>
        </w:rPr>
        <w:t>Ra in bone much higher than flesh</w:t>
      </w:r>
      <w:r w:rsidRPr="00DD5C36">
        <w:t xml:space="preserve">. The bone </w:t>
      </w:r>
      <w:r w:rsidRPr="00974DC5">
        <w:rPr>
          <w:vertAlign w:val="superscript"/>
        </w:rPr>
        <w:t>226</w:t>
      </w:r>
      <w:r w:rsidRPr="00DD5C36">
        <w:t xml:space="preserve">Ra CR was greater than the flesh </w:t>
      </w:r>
      <w:r w:rsidRPr="00974DC5">
        <w:rPr>
          <w:vertAlign w:val="superscript"/>
        </w:rPr>
        <w:t>226</w:t>
      </w:r>
      <w:r w:rsidRPr="00DD5C36">
        <w:t xml:space="preserve">Ra CR in buffalo and pig by two orders of magnitude and in wallaby by four orders of magnitude. The similar chemical properties of group 2 elements means that radium essentially follows the same metabolism as calcium, and so is preferentially incorporated in bone and other calcified tissue. This may also explain the higher observed </w:t>
      </w:r>
      <w:r w:rsidRPr="00974DC5">
        <w:rPr>
          <w:vertAlign w:val="superscript"/>
        </w:rPr>
        <w:t>226</w:t>
      </w:r>
      <w:r w:rsidRPr="00DD5C36">
        <w:t xml:space="preserve">Ra CR for goanna egg, which </w:t>
      </w:r>
      <w:proofErr w:type="gramStart"/>
      <w:r w:rsidRPr="00DD5C36">
        <w:t>was</w:t>
      </w:r>
      <w:proofErr w:type="gramEnd"/>
      <w:r w:rsidRPr="00DD5C36">
        <w:t xml:space="preserve"> two orders of magnitude higher than that for goanna flesh.</w:t>
      </w:r>
    </w:p>
    <w:tbl>
      <w:tblPr>
        <w:tblStyle w:val="TableGrid"/>
        <w:tblW w:w="7155"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CellMar>
          <w:left w:w="0" w:type="dxa"/>
          <w:right w:w="0" w:type="dxa"/>
        </w:tblCellMar>
        <w:tblLook w:val="04A0"/>
      </w:tblPr>
      <w:tblGrid>
        <w:gridCol w:w="1910"/>
        <w:gridCol w:w="675"/>
        <w:gridCol w:w="684"/>
        <w:gridCol w:w="3886"/>
      </w:tblGrid>
      <w:tr w:rsidR="00DD5C36" w:rsidRPr="00DD5C36" w:rsidTr="00073842">
        <w:trPr>
          <w:trHeight w:val="2894"/>
        </w:trPr>
        <w:tc>
          <w:tcPr>
            <w:tcW w:w="1910" w:type="dxa"/>
          </w:tcPr>
          <w:p w:rsidR="00DD5C36" w:rsidRPr="00DD5C36" w:rsidRDefault="00DD5C36" w:rsidP="00073842">
            <w:pPr>
              <w:spacing w:line="260" w:lineRule="atLeast"/>
              <w:jc w:val="center"/>
              <w:rPr>
                <w:rFonts w:ascii="Garamond" w:hAnsi="Garamond"/>
              </w:rPr>
            </w:pPr>
            <w:r w:rsidRPr="00DD5C36">
              <w:rPr>
                <w:rFonts w:ascii="Garamond" w:hAnsi="Garamond"/>
                <w:noProof/>
                <w:lang w:eastAsia="en-AU"/>
              </w:rPr>
              <w:drawing>
                <wp:inline distT="0" distB="0" distL="0" distR="0">
                  <wp:extent cx="1135531" cy="1800665"/>
                  <wp:effectExtent l="19050" t="0" r="7469" b="0"/>
                  <wp:docPr id="1011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9" cstate="screen"/>
                          <a:srcRect/>
                          <a:stretch>
                            <a:fillRect/>
                          </a:stretch>
                        </pic:blipFill>
                        <pic:spPr bwMode="auto">
                          <a:xfrm>
                            <a:off x="0" y="0"/>
                            <a:ext cx="1137480" cy="1803756"/>
                          </a:xfrm>
                          <a:prstGeom prst="rect">
                            <a:avLst/>
                          </a:prstGeom>
                          <a:noFill/>
                          <a:ln w="9525">
                            <a:noFill/>
                            <a:miter lim="800000"/>
                            <a:headEnd/>
                            <a:tailEnd/>
                          </a:ln>
                        </pic:spPr>
                      </pic:pic>
                    </a:graphicData>
                  </a:graphic>
                </wp:inline>
              </w:drawing>
            </w:r>
          </w:p>
        </w:tc>
        <w:tc>
          <w:tcPr>
            <w:tcW w:w="5245" w:type="dxa"/>
            <w:gridSpan w:val="3"/>
          </w:tcPr>
          <w:p w:rsidR="00DD5C36" w:rsidRPr="00DD5C36" w:rsidRDefault="00DD5C36" w:rsidP="00073842">
            <w:pPr>
              <w:spacing w:line="260" w:lineRule="atLeast"/>
              <w:jc w:val="center"/>
              <w:rPr>
                <w:rFonts w:ascii="Garamond" w:hAnsi="Garamond"/>
              </w:rPr>
            </w:pPr>
            <w:r w:rsidRPr="00DD5C36">
              <w:rPr>
                <w:rFonts w:ascii="Garamond" w:hAnsi="Garamond"/>
                <w:noProof/>
                <w:lang w:eastAsia="en-AU"/>
              </w:rPr>
              <w:drawing>
                <wp:inline distT="0" distB="0" distL="0" distR="0">
                  <wp:extent cx="3202452" cy="1803200"/>
                  <wp:effectExtent l="19050" t="0" r="0" b="0"/>
                  <wp:docPr id="10114"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0" cstate="screen"/>
                          <a:srcRect/>
                          <a:stretch>
                            <a:fillRect/>
                          </a:stretch>
                        </pic:blipFill>
                        <pic:spPr bwMode="auto">
                          <a:xfrm>
                            <a:off x="0" y="0"/>
                            <a:ext cx="3209185" cy="1806991"/>
                          </a:xfrm>
                          <a:prstGeom prst="rect">
                            <a:avLst/>
                          </a:prstGeom>
                          <a:noFill/>
                          <a:ln w="9525">
                            <a:noFill/>
                            <a:miter lim="800000"/>
                            <a:headEnd/>
                            <a:tailEnd/>
                          </a:ln>
                        </pic:spPr>
                      </pic:pic>
                    </a:graphicData>
                  </a:graphic>
                </wp:inline>
              </w:drawing>
            </w:r>
          </w:p>
        </w:tc>
      </w:tr>
      <w:tr w:rsidR="00DD5C36" w:rsidRPr="00DD5C36" w:rsidTr="00073842">
        <w:trPr>
          <w:trHeight w:val="2741"/>
        </w:trPr>
        <w:tc>
          <w:tcPr>
            <w:tcW w:w="3269" w:type="dxa"/>
            <w:gridSpan w:val="3"/>
          </w:tcPr>
          <w:p w:rsidR="00DD5C36" w:rsidRPr="00DD5C36" w:rsidRDefault="00DD5C36" w:rsidP="00073842">
            <w:pPr>
              <w:spacing w:line="260" w:lineRule="atLeast"/>
              <w:jc w:val="center"/>
              <w:rPr>
                <w:rFonts w:ascii="Garamond" w:hAnsi="Garamond"/>
              </w:rPr>
            </w:pPr>
            <w:r w:rsidRPr="00DD5C36">
              <w:rPr>
                <w:rFonts w:ascii="Garamond" w:hAnsi="Garamond"/>
                <w:noProof/>
                <w:lang w:eastAsia="en-AU"/>
              </w:rPr>
              <w:drawing>
                <wp:inline distT="0" distB="0" distL="0" distR="0">
                  <wp:extent cx="1906172" cy="1675631"/>
                  <wp:effectExtent l="19050" t="0" r="0" b="0"/>
                  <wp:docPr id="1011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11" cstate="screen"/>
                          <a:srcRect/>
                          <a:stretch>
                            <a:fillRect/>
                          </a:stretch>
                        </pic:blipFill>
                        <pic:spPr bwMode="auto">
                          <a:xfrm>
                            <a:off x="0" y="0"/>
                            <a:ext cx="1908814" cy="1677954"/>
                          </a:xfrm>
                          <a:prstGeom prst="rect">
                            <a:avLst/>
                          </a:prstGeom>
                          <a:noFill/>
                          <a:ln w="9525">
                            <a:noFill/>
                            <a:miter lim="800000"/>
                            <a:headEnd/>
                            <a:tailEnd/>
                          </a:ln>
                        </pic:spPr>
                      </pic:pic>
                    </a:graphicData>
                  </a:graphic>
                </wp:inline>
              </w:drawing>
            </w:r>
          </w:p>
        </w:tc>
        <w:tc>
          <w:tcPr>
            <w:tcW w:w="3885" w:type="dxa"/>
          </w:tcPr>
          <w:p w:rsidR="00DD5C36" w:rsidRPr="00DD5C36" w:rsidRDefault="00DD5C36" w:rsidP="00073842">
            <w:pPr>
              <w:spacing w:line="260" w:lineRule="atLeast"/>
              <w:jc w:val="center"/>
              <w:rPr>
                <w:rFonts w:ascii="Garamond" w:hAnsi="Garamond"/>
              </w:rPr>
            </w:pPr>
            <w:r w:rsidRPr="00DD5C36">
              <w:rPr>
                <w:rFonts w:ascii="Garamond" w:hAnsi="Garamond"/>
                <w:noProof/>
                <w:lang w:eastAsia="en-AU"/>
              </w:rPr>
              <w:drawing>
                <wp:inline distT="0" distB="0" distL="0" distR="0">
                  <wp:extent cx="2309153" cy="1708066"/>
                  <wp:effectExtent l="19050" t="0" r="0" b="0"/>
                  <wp:docPr id="10117"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2" cstate="screen"/>
                          <a:srcRect/>
                          <a:stretch>
                            <a:fillRect/>
                          </a:stretch>
                        </pic:blipFill>
                        <pic:spPr bwMode="auto">
                          <a:xfrm>
                            <a:off x="0" y="0"/>
                            <a:ext cx="2314864" cy="1712290"/>
                          </a:xfrm>
                          <a:prstGeom prst="rect">
                            <a:avLst/>
                          </a:prstGeom>
                          <a:noFill/>
                          <a:ln w="9525">
                            <a:noFill/>
                            <a:miter lim="800000"/>
                            <a:headEnd/>
                            <a:tailEnd/>
                          </a:ln>
                        </pic:spPr>
                      </pic:pic>
                    </a:graphicData>
                  </a:graphic>
                </wp:inline>
              </w:drawing>
            </w:r>
          </w:p>
        </w:tc>
      </w:tr>
      <w:tr w:rsidR="00DD5C36" w:rsidRPr="00DD5C36" w:rsidTr="00073842">
        <w:trPr>
          <w:trHeight w:val="2511"/>
        </w:trPr>
        <w:tc>
          <w:tcPr>
            <w:tcW w:w="2585" w:type="dxa"/>
            <w:gridSpan w:val="2"/>
          </w:tcPr>
          <w:p w:rsidR="00DD5C36" w:rsidRPr="00DD5C36" w:rsidRDefault="00DD5C36" w:rsidP="00073842">
            <w:pPr>
              <w:spacing w:line="260" w:lineRule="atLeast"/>
              <w:jc w:val="center"/>
              <w:rPr>
                <w:rFonts w:ascii="Garamond" w:hAnsi="Garamond"/>
              </w:rPr>
            </w:pPr>
            <w:r w:rsidRPr="00DD5C36">
              <w:rPr>
                <w:rFonts w:ascii="Garamond" w:hAnsi="Garamond"/>
                <w:noProof/>
                <w:lang w:eastAsia="en-AU"/>
              </w:rPr>
              <w:drawing>
                <wp:inline distT="0" distB="0" distL="0" distR="0">
                  <wp:extent cx="1268144" cy="1714074"/>
                  <wp:effectExtent l="19050" t="0" r="8206" b="0"/>
                  <wp:docPr id="10118"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3" cstate="screen"/>
                          <a:srcRect/>
                          <a:stretch>
                            <a:fillRect/>
                          </a:stretch>
                        </pic:blipFill>
                        <pic:spPr bwMode="auto">
                          <a:xfrm>
                            <a:off x="0" y="0"/>
                            <a:ext cx="1270321" cy="1717017"/>
                          </a:xfrm>
                          <a:prstGeom prst="rect">
                            <a:avLst/>
                          </a:prstGeom>
                          <a:noFill/>
                          <a:ln w="9525">
                            <a:noFill/>
                            <a:miter lim="800000"/>
                            <a:headEnd/>
                            <a:tailEnd/>
                          </a:ln>
                        </pic:spPr>
                      </pic:pic>
                    </a:graphicData>
                  </a:graphic>
                </wp:inline>
              </w:drawing>
            </w:r>
          </w:p>
        </w:tc>
        <w:tc>
          <w:tcPr>
            <w:tcW w:w="4569" w:type="dxa"/>
            <w:gridSpan w:val="2"/>
          </w:tcPr>
          <w:p w:rsidR="00DD5C36" w:rsidRPr="00DD5C36" w:rsidRDefault="00DD5C36" w:rsidP="00DD5C36">
            <w:pPr>
              <w:spacing w:line="260" w:lineRule="atLeast"/>
              <w:jc w:val="center"/>
              <w:rPr>
                <w:rFonts w:ascii="Garamond" w:hAnsi="Garamond"/>
              </w:rPr>
            </w:pPr>
            <w:r w:rsidRPr="00DD5C36">
              <w:rPr>
                <w:rFonts w:ascii="Garamond" w:hAnsi="Garamond"/>
                <w:noProof/>
                <w:lang w:eastAsia="en-AU"/>
              </w:rPr>
              <w:drawing>
                <wp:inline distT="0" distB="0" distL="0" distR="0">
                  <wp:extent cx="2316187" cy="1657675"/>
                  <wp:effectExtent l="19050" t="0" r="7913" b="0"/>
                  <wp:docPr id="10120"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14" cstate="screen"/>
                          <a:srcRect/>
                          <a:stretch>
                            <a:fillRect/>
                          </a:stretch>
                        </pic:blipFill>
                        <pic:spPr bwMode="auto">
                          <a:xfrm>
                            <a:off x="0" y="0"/>
                            <a:ext cx="2322586" cy="1662254"/>
                          </a:xfrm>
                          <a:prstGeom prst="rect">
                            <a:avLst/>
                          </a:prstGeom>
                          <a:noFill/>
                          <a:ln w="9525">
                            <a:noFill/>
                            <a:miter lim="800000"/>
                            <a:headEnd/>
                            <a:tailEnd/>
                          </a:ln>
                        </pic:spPr>
                      </pic:pic>
                    </a:graphicData>
                  </a:graphic>
                </wp:inline>
              </w:drawing>
            </w:r>
          </w:p>
        </w:tc>
      </w:tr>
    </w:tbl>
    <w:p w:rsidR="00DD5C36" w:rsidRPr="00DD5C36" w:rsidRDefault="00DD5C36" w:rsidP="00DD5C36">
      <w:pPr>
        <w:spacing w:after="240" w:line="220" w:lineRule="atLeast"/>
        <w:jc w:val="center"/>
        <w:rPr>
          <w:rFonts w:ascii="Arial" w:hAnsi="Arial"/>
          <w:bCs/>
          <w:noProof/>
          <w:sz w:val="16"/>
          <w:lang w:val="en-US"/>
        </w:rPr>
      </w:pPr>
      <w:r w:rsidRPr="00DD5C36">
        <w:rPr>
          <w:rFonts w:ascii="Arial" w:hAnsi="Arial"/>
          <w:b/>
          <w:bCs/>
          <w:noProof/>
          <w:sz w:val="16"/>
          <w:lang w:val="en-US"/>
        </w:rPr>
        <w:t>Figure 4.11</w:t>
      </w:r>
      <w:r w:rsidRPr="00DD5C36">
        <w:rPr>
          <w:rFonts w:ascii="Arial" w:hAnsi="Arial"/>
          <w:bCs/>
          <w:noProof/>
          <w:sz w:val="16"/>
          <w:lang w:val="en-US"/>
        </w:rPr>
        <w:t xml:space="preserve">  CR geometric means and standard deviations (Bq kg</w:t>
      </w:r>
      <w:r w:rsidRPr="00DD5C36">
        <w:rPr>
          <w:rFonts w:ascii="Arial" w:hAnsi="Arial"/>
          <w:noProof/>
          <w:snapToGrid w:val="0"/>
          <w:color w:val="000000"/>
          <w:position w:val="4"/>
          <w:sz w:val="11"/>
          <w:szCs w:val="0"/>
          <w:u w:color="000000"/>
          <w:lang w:val="en-US"/>
        </w:rPr>
        <w:t>-1</w:t>
      </w:r>
      <w:r w:rsidRPr="00DD5C36">
        <w:rPr>
          <w:rFonts w:ascii="Arial" w:hAnsi="Arial"/>
          <w:bCs/>
          <w:noProof/>
          <w:sz w:val="16"/>
          <w:lang w:val="en-US"/>
        </w:rPr>
        <w:t xml:space="preserve"> wet mass biota tissue per Bq kg</w:t>
      </w:r>
      <w:r w:rsidRPr="00DD5C36">
        <w:rPr>
          <w:rFonts w:ascii="Arial" w:hAnsi="Arial"/>
          <w:noProof/>
          <w:snapToGrid w:val="0"/>
          <w:color w:val="000000"/>
          <w:position w:val="4"/>
          <w:sz w:val="11"/>
          <w:szCs w:val="0"/>
          <w:u w:color="000000"/>
          <w:lang w:val="en-US"/>
        </w:rPr>
        <w:t>-1</w:t>
      </w:r>
      <w:r w:rsidRPr="00DD5C36">
        <w:rPr>
          <w:rFonts w:ascii="Arial" w:hAnsi="Arial"/>
          <w:bCs/>
          <w:noProof/>
          <w:sz w:val="16"/>
          <w:lang w:val="en-US"/>
        </w:rPr>
        <w:t xml:space="preserve"> dry mass soil) for (a) fruit and yam; (b) buffalo; (c) bandicoot; (d) wallaby; (e) pig; and (f) goanna. The number above each diamond indicates the number of results on which values are based. Values plotted with an open diamond indicate that a less than weighting factor of 0.5 was applied to the tissue radionuclide activity concentration to calculate the geometric mean. </w:t>
      </w:r>
    </w:p>
    <w:p w:rsidR="003C2A06" w:rsidRPr="003C2A06" w:rsidRDefault="003C2A06" w:rsidP="003C2A06">
      <w:pPr>
        <w:pStyle w:val="Heading4"/>
      </w:pPr>
      <w:r w:rsidRPr="003C2A06">
        <w:t>4.6.3.2 Dose assessment context</w:t>
      </w:r>
    </w:p>
    <w:p w:rsidR="003C2A06" w:rsidRPr="003C2A06" w:rsidRDefault="003C2A06" w:rsidP="003C2A06">
      <w:r w:rsidRPr="003C2A06">
        <w:t xml:space="preserve">Terrestrial plants and animals may accumulate radionuclides above background levels if they are exposed to the rehabilitated Ranger mine site. This applies to plants growing on the site and animals having a home range that overlaps in whole or part with the site. </w:t>
      </w:r>
      <w:r w:rsidR="000A08E4">
        <w:t xml:space="preserve">Indigenous </w:t>
      </w:r>
      <w:r w:rsidRPr="003C2A06">
        <w:t xml:space="preserve">people may receive an above background ingestion dose if they consume the tissues of these exposed plants or animals as part of a traditional diet. The goal in calculating CRs is to estimate the annual above background ingestion dose that an </w:t>
      </w:r>
      <w:r w:rsidR="006F7792">
        <w:t xml:space="preserve">Indigenous </w:t>
      </w:r>
      <w:r w:rsidRPr="003C2A06">
        <w:t>person could potentially receive from the accumulation of radionuclides in terrestrial bush foods due to the rehabilitated site. This dose can be estimated for each bush food as:</w:t>
      </w:r>
    </w:p>
    <w:p w:rsidR="003C2A06" w:rsidRPr="003C2A06" w:rsidRDefault="003C2A06" w:rsidP="003C2A06">
      <m:oMathPara>
        <m:oMath>
          <m:r>
            <w:rPr>
              <w:rFonts w:ascii="Cambria Math" w:hAnsi="Cambria Math"/>
            </w:rPr>
            <m:t>Dose (mSv)=S×</m:t>
          </m:r>
          <m:nary>
            <m:naryPr>
              <m:chr m:val="∑"/>
              <m:limLoc m:val="undOvr"/>
              <m:subHide m:val="on"/>
              <m:supHide m:val="on"/>
              <m:ctrlPr>
                <w:rPr>
                  <w:rFonts w:ascii="Cambria Math" w:hAnsi="Cambria Math"/>
                  <w:i/>
                </w:rPr>
              </m:ctrlPr>
            </m:naryPr>
            <m:sub/>
            <m:sup/>
            <m:e>
              <m:d>
                <m:dPr>
                  <m:ctrlPr>
                    <w:rPr>
                      <w:rFonts w:ascii="Cambria Math" w:hAnsi="Cambria Math"/>
                      <w:i/>
                    </w:rPr>
                  </m:ctrlPr>
                </m:dPr>
                <m:e>
                  <m:r>
                    <w:rPr>
                      <w:rFonts w:ascii="Cambria Math" w:hAnsi="Cambria Math"/>
                    </w:rPr>
                    <m:t>CR×DC</m:t>
                  </m:r>
                </m:e>
              </m:d>
            </m:e>
          </m:nary>
          <m:r>
            <w:rPr>
              <w:rFonts w:ascii="Cambria Math" w:hAnsi="Cambria Math"/>
            </w:rPr>
            <m:t>×M×</m:t>
          </m:r>
          <m:sSub>
            <m:sSubPr>
              <m:ctrlPr>
                <w:rPr>
                  <w:rFonts w:ascii="Cambria Math" w:hAnsi="Cambria Math"/>
                  <w:i/>
                </w:rPr>
              </m:ctrlPr>
            </m:sSubPr>
            <m:e>
              <m:r>
                <w:rPr>
                  <w:rFonts w:ascii="Cambria Math" w:hAnsi="Cambria Math"/>
                </w:rPr>
                <m:t>F</m:t>
              </m:r>
            </m:e>
            <m:sub>
              <m:r>
                <w:rPr>
                  <w:rFonts w:ascii="Cambria Math" w:hAnsi="Cambria Math"/>
                </w:rPr>
                <m:t>E</m:t>
              </m:r>
            </m:sub>
          </m:sSub>
          <m:r>
            <w:rPr>
              <w:rFonts w:ascii="Cambria Math" w:hAnsi="Cambria Math"/>
            </w:rPr>
            <m:t>×</m:t>
          </m:r>
          <m:sSub>
            <m:sSubPr>
              <m:ctrlPr>
                <w:rPr>
                  <w:rFonts w:ascii="Cambria Math" w:hAnsi="Cambria Math"/>
                  <w:i/>
                </w:rPr>
              </m:ctrlPr>
            </m:sSubPr>
            <m:e>
              <m:r>
                <w:rPr>
                  <w:rFonts w:ascii="Cambria Math" w:hAnsi="Cambria Math"/>
                </w:rPr>
                <m:t>F</m:t>
              </m:r>
            </m:e>
            <m:sub>
              <m:r>
                <w:rPr>
                  <w:rFonts w:ascii="Cambria Math" w:hAnsi="Cambria Math"/>
                </w:rPr>
                <m:t>H</m:t>
              </m:r>
            </m:sub>
          </m:sSub>
        </m:oMath>
      </m:oMathPara>
    </w:p>
    <w:p w:rsidR="003C2A06" w:rsidRPr="003C2A06" w:rsidRDefault="003C2A06" w:rsidP="003C2A06">
      <w:proofErr w:type="gramStart"/>
      <w:r w:rsidRPr="003C2A06">
        <w:t>where</w:t>
      </w:r>
      <w:proofErr w:type="gramEnd"/>
      <w:r w:rsidRPr="003C2A06">
        <w:t>:</w:t>
      </w:r>
    </w:p>
    <w:p w:rsidR="003C2A06" w:rsidRPr="003C2A06" w:rsidRDefault="003C2A06" w:rsidP="003C2A06">
      <w:pPr>
        <w:pStyle w:val="bulletlist1"/>
      </w:pPr>
      <w:r w:rsidRPr="003C2A06">
        <w:rPr>
          <w:i/>
        </w:rPr>
        <w:t>S</w:t>
      </w:r>
      <w:r w:rsidRPr="003C2A06">
        <w:t xml:space="preserve"> is the above background soil activity concentration (Bq kg</w:t>
      </w:r>
      <w:r w:rsidRPr="00A12347">
        <w:rPr>
          <w:vertAlign w:val="superscript"/>
        </w:rPr>
        <w:t>-1</w:t>
      </w:r>
      <w:r w:rsidRPr="003C2A06">
        <w:t xml:space="preserve">) of </w:t>
      </w:r>
      <w:r w:rsidRPr="009A5A24">
        <w:rPr>
          <w:vertAlign w:val="superscript"/>
        </w:rPr>
        <w:t>238</w:t>
      </w:r>
      <w:r w:rsidRPr="003C2A06">
        <w:t>U in secular equilibrium with its progeny on the surface of the</w:t>
      </w:r>
      <w:r w:rsidR="00817B08">
        <w:t xml:space="preserve"> rehabilitated Ranger mine site.</w:t>
      </w:r>
    </w:p>
    <w:p w:rsidR="003C2A06" w:rsidRPr="003C2A06" w:rsidRDefault="003C2A06" w:rsidP="003C2A06">
      <w:pPr>
        <w:pStyle w:val="bulletlist1"/>
      </w:pPr>
      <w:r w:rsidRPr="003C2A06">
        <w:rPr>
          <w:i/>
        </w:rPr>
        <w:t>Σ(CR×DC)</w:t>
      </w:r>
      <w:r w:rsidRPr="003C2A06">
        <w:t xml:space="preserve"> is the sum of the products of the CR and the corresponding radionuclide ingestion dose coefficient (</w:t>
      </w:r>
      <w:r w:rsidRPr="003C2A06">
        <w:rPr>
          <w:i/>
        </w:rPr>
        <w:t>DC</w:t>
      </w:r>
      <w:r w:rsidRPr="003C2A06">
        <w:t>, mSv Bq</w:t>
      </w:r>
      <w:r w:rsidRPr="00985C81">
        <w:rPr>
          <w:vertAlign w:val="superscript"/>
        </w:rPr>
        <w:t>-1</w:t>
      </w:r>
      <w:r w:rsidRPr="003C2A06">
        <w:t xml:space="preserve">) for </w:t>
      </w:r>
      <w:r w:rsidRPr="009A5A24">
        <w:rPr>
          <w:vertAlign w:val="superscript"/>
        </w:rPr>
        <w:t>238</w:t>
      </w:r>
      <w:r w:rsidRPr="003C2A06">
        <w:t xml:space="preserve">U, </w:t>
      </w:r>
      <w:r w:rsidRPr="006F7792">
        <w:rPr>
          <w:vertAlign w:val="superscript"/>
        </w:rPr>
        <w:t>234</w:t>
      </w:r>
      <w:r w:rsidRPr="003C2A06">
        <w:t xml:space="preserve">U, </w:t>
      </w:r>
      <w:r w:rsidRPr="009A5A24">
        <w:rPr>
          <w:vertAlign w:val="superscript"/>
        </w:rPr>
        <w:t>230</w:t>
      </w:r>
      <w:r w:rsidRPr="003C2A06">
        <w:t xml:space="preserve">Th, </w:t>
      </w:r>
      <w:r w:rsidRPr="009A5A24">
        <w:rPr>
          <w:vertAlign w:val="superscript"/>
        </w:rPr>
        <w:t>226</w:t>
      </w:r>
      <w:r w:rsidRPr="003C2A06">
        <w:t xml:space="preserve">Ra, </w:t>
      </w:r>
      <w:r w:rsidRPr="009A5A24">
        <w:rPr>
          <w:vertAlign w:val="superscript"/>
        </w:rPr>
        <w:t>210</w:t>
      </w:r>
      <w:r w:rsidRPr="003C2A06">
        <w:t xml:space="preserve">Pb and </w:t>
      </w:r>
      <w:r w:rsidRPr="009A5A24">
        <w:rPr>
          <w:vertAlign w:val="superscript"/>
        </w:rPr>
        <w:t>210</w:t>
      </w:r>
      <w:r w:rsidR="00817B08">
        <w:t>Po.</w:t>
      </w:r>
    </w:p>
    <w:p w:rsidR="003C2A06" w:rsidRPr="003C2A06" w:rsidRDefault="003C2A06" w:rsidP="003C2A06">
      <w:pPr>
        <w:pStyle w:val="bulletlist1"/>
      </w:pPr>
      <w:r w:rsidRPr="003C2A06">
        <w:rPr>
          <w:i/>
        </w:rPr>
        <w:t>M</w:t>
      </w:r>
      <w:r w:rsidRPr="003C2A06">
        <w:t xml:space="preserve"> is the wet mass (kg) of t</w:t>
      </w:r>
      <w:r w:rsidR="00817B08">
        <w:t>he bush food consumed in a year.</w:t>
      </w:r>
    </w:p>
    <w:p w:rsidR="003C2A06" w:rsidRPr="003C2A06" w:rsidRDefault="003C2A06" w:rsidP="003C2A06">
      <w:pPr>
        <w:pStyle w:val="bulletlist1"/>
      </w:pPr>
      <w:r w:rsidRPr="003C2A06">
        <w:rPr>
          <w:i/>
        </w:rPr>
        <w:t>F</w:t>
      </w:r>
      <w:r w:rsidRPr="003C2A06">
        <w:t>E is the average fraction that an animal is exposed to the rehabilitated site; and</w:t>
      </w:r>
    </w:p>
    <w:p w:rsidR="003C2A06" w:rsidRPr="003C2A06" w:rsidRDefault="003C2A06" w:rsidP="003C2A06">
      <w:pPr>
        <w:pStyle w:val="bulletlist1"/>
      </w:pPr>
      <w:r w:rsidRPr="003C2A06">
        <w:rPr>
          <w:i/>
        </w:rPr>
        <w:t>F</w:t>
      </w:r>
      <w:r w:rsidRPr="003C2A06">
        <w:t>H is the average fraction spent hunting in the zone from within which animals may be exposed to the rehabilitated site.</w:t>
      </w:r>
    </w:p>
    <w:p w:rsidR="003C2A06" w:rsidRDefault="003C2A06" w:rsidP="003C2A06">
      <w:r w:rsidRPr="00C7680E">
        <w:t xml:space="preserve">The parameters </w:t>
      </w:r>
      <w:r w:rsidRPr="00AB2745">
        <w:rPr>
          <w:rFonts w:ascii="Cambria Math" w:hAnsi="Cambria Math"/>
          <w:i/>
        </w:rPr>
        <w:t>S</w:t>
      </w:r>
      <w:r w:rsidRPr="00C7680E">
        <w:t xml:space="preserve">, </w:t>
      </w:r>
      <w:proofErr w:type="gramStart"/>
      <w:r w:rsidRPr="005C4F20">
        <w:rPr>
          <w:rFonts w:ascii="Cambria Math" w:hAnsi="Cambria Math"/>
          <w:i/>
        </w:rPr>
        <w:t>Σ(</w:t>
      </w:r>
      <w:proofErr w:type="gramEnd"/>
      <w:r w:rsidRPr="005C4F20">
        <w:rPr>
          <w:rFonts w:ascii="Cambria Math" w:hAnsi="Cambria Math"/>
          <w:i/>
        </w:rPr>
        <w:t>CR×DC)</w:t>
      </w:r>
      <w:r w:rsidRPr="00C7680E">
        <w:t xml:space="preserve"> and </w:t>
      </w:r>
      <w:r w:rsidRPr="00A74C8E">
        <w:rPr>
          <w:rFonts w:ascii="Cambria Math" w:hAnsi="Cambria Math"/>
          <w:i/>
        </w:rPr>
        <w:t>F</w:t>
      </w:r>
      <w:r w:rsidRPr="00A74C8E">
        <w:rPr>
          <w:rFonts w:ascii="Cambria Math" w:hAnsi="Cambria Math"/>
          <w:snapToGrid w:val="0"/>
          <w:color w:val="000000"/>
          <w:position w:val="-5"/>
          <w:sz w:val="13"/>
          <w:szCs w:val="0"/>
          <w:u w:color="000000"/>
        </w:rPr>
        <w:t>E</w:t>
      </w:r>
      <w:r w:rsidRPr="00C7680E">
        <w:t xml:space="preserve"> determine the above background radionuclide activity concentrations in plants and animals exposed to the rehabilitated Ranger </w:t>
      </w:r>
      <w:r>
        <w:t xml:space="preserve">mine </w:t>
      </w:r>
      <w:r w:rsidRPr="00C7680E">
        <w:t>site. Values for these parameters are now relatively well known</w:t>
      </w:r>
      <w:r>
        <w:t>:</w:t>
      </w:r>
      <w:r w:rsidRPr="00C7680E">
        <w:t xml:space="preserve"> above background soil activity concentrations of </w:t>
      </w:r>
      <w:r w:rsidRPr="005C4F20">
        <w:rPr>
          <w:snapToGrid w:val="0"/>
          <w:color w:val="000000"/>
          <w:position w:val="5"/>
          <w:sz w:val="13"/>
          <w:szCs w:val="0"/>
          <w:u w:color="000000"/>
        </w:rPr>
        <w:t>238</w:t>
      </w:r>
      <w:r w:rsidRPr="00C7680E">
        <w:t xml:space="preserve">U series radionuclides on the surface of the rehabilitated site can be reasonably estimated from the preferred rehabilitation strategy and work done by </w:t>
      </w:r>
      <w:r w:rsidRPr="003C2A06">
        <w:rPr>
          <w:b/>
          <w:i/>
          <w:sz w:val="23"/>
          <w:szCs w:val="23"/>
        </w:rPr>
        <w:t>eriss</w:t>
      </w:r>
      <w:r>
        <w:t xml:space="preserve"> to determine the pre-mining radiological conditions (described in the 2010–11 Annual Report);</w:t>
      </w:r>
      <w:r w:rsidRPr="00C7680E">
        <w:t xml:space="preserve"> CRs for </w:t>
      </w:r>
      <w:r>
        <w:t>terrestrial bush foods have been calculated (Figure 4.11);</w:t>
      </w:r>
      <w:r w:rsidRPr="00C7680E">
        <w:t xml:space="preserve"> ingestion dose coefficients </w:t>
      </w:r>
      <w:r>
        <w:t xml:space="preserve">have been determined by the </w:t>
      </w:r>
      <w:r>
        <w:rPr>
          <w:snapToGrid w:val="0"/>
          <w:lang w:val="en-US"/>
        </w:rPr>
        <w:t xml:space="preserve">International Commission on </w:t>
      </w:r>
      <w:r w:rsidRPr="00A4594B">
        <w:t>Radiological</w:t>
      </w:r>
      <w:r>
        <w:rPr>
          <w:rFonts w:ascii="Arial" w:hAnsi="Arial" w:cs="Arial"/>
          <w:lang w:eastAsia="en-AU"/>
        </w:rPr>
        <w:t xml:space="preserve"> </w:t>
      </w:r>
      <w:r>
        <w:rPr>
          <w:snapToGrid w:val="0"/>
          <w:lang w:val="en-US"/>
        </w:rPr>
        <w:t>Protection</w:t>
      </w:r>
      <w:r>
        <w:t>; and</w:t>
      </w:r>
      <w:r w:rsidRPr="00C7680E">
        <w:t xml:space="preserve"> </w:t>
      </w:r>
      <w:r w:rsidRPr="00A74C8E">
        <w:rPr>
          <w:rFonts w:ascii="Cambria Math" w:hAnsi="Cambria Math"/>
          <w:i/>
        </w:rPr>
        <w:t>F</w:t>
      </w:r>
      <w:r w:rsidRPr="00A74C8E">
        <w:rPr>
          <w:rFonts w:ascii="Cambria Math" w:hAnsi="Cambria Math"/>
          <w:snapToGrid w:val="0"/>
          <w:color w:val="000000"/>
          <w:position w:val="-5"/>
          <w:sz w:val="13"/>
          <w:szCs w:val="0"/>
          <w:u w:color="000000"/>
        </w:rPr>
        <w:t>E</w:t>
      </w:r>
      <w:r w:rsidRPr="00C7680E">
        <w:t xml:space="preserve"> </w:t>
      </w:r>
      <w:r>
        <w:t xml:space="preserve">can be estimated from </w:t>
      </w:r>
      <w:r w:rsidRPr="00C7680E">
        <w:t>size of the rehabilitated site and animal home range</w:t>
      </w:r>
      <w:r>
        <w:t>s</w:t>
      </w:r>
      <w:r w:rsidRPr="00C7680E">
        <w:t xml:space="preserve">. The parameters </w:t>
      </w:r>
      <w:r w:rsidRPr="0096439B">
        <w:rPr>
          <w:rFonts w:ascii="Cambria Math" w:hAnsi="Cambria Math"/>
          <w:i/>
        </w:rPr>
        <w:t>M</w:t>
      </w:r>
      <w:r w:rsidRPr="00C7680E">
        <w:t xml:space="preserve"> and </w:t>
      </w:r>
      <w:r w:rsidRPr="00A74C8E">
        <w:rPr>
          <w:rFonts w:ascii="Cambria Math" w:hAnsi="Cambria Math"/>
          <w:i/>
        </w:rPr>
        <w:t>F</w:t>
      </w:r>
      <w:r w:rsidRPr="00A74C8E">
        <w:rPr>
          <w:rFonts w:ascii="Cambria Math" w:hAnsi="Cambria Math"/>
          <w:snapToGrid w:val="0"/>
          <w:color w:val="000000"/>
          <w:position w:val="-5"/>
          <w:sz w:val="13"/>
          <w:szCs w:val="0"/>
          <w:u w:color="000000"/>
        </w:rPr>
        <w:t>H</w:t>
      </w:r>
      <w:r w:rsidRPr="00C7680E">
        <w:t xml:space="preserve"> determine the fraction of contaminated diet. Their values are less well known because they depend on post-rehabilitation land use for hunting and gathering and future dietary habits. Agreed land use scenarios and reference diet for rehabilitation planning of the Ranger mine do not yet exist</w:t>
      </w:r>
      <w:r>
        <w:t>,</w:t>
      </w:r>
      <w:r w:rsidRPr="00C7680E">
        <w:t xml:space="preserve"> but are being developed through a </w:t>
      </w:r>
      <w:r>
        <w:t>C</w:t>
      </w:r>
      <w:r w:rsidRPr="00C7680E">
        <w:t xml:space="preserve">ultural </w:t>
      </w:r>
      <w:r>
        <w:t>C</w:t>
      </w:r>
      <w:r w:rsidRPr="00C7680E">
        <w:t xml:space="preserve">losure </w:t>
      </w:r>
      <w:r>
        <w:t>C</w:t>
      </w:r>
      <w:r w:rsidRPr="00C7680E">
        <w:t xml:space="preserve">riteria </w:t>
      </w:r>
      <w:r>
        <w:t>W</w:t>
      </w:r>
      <w:r w:rsidRPr="00C7680E">
        <w:t xml:space="preserve">orking </w:t>
      </w:r>
      <w:r>
        <w:t>G</w:t>
      </w:r>
      <w:r w:rsidRPr="00C7680E">
        <w:t xml:space="preserve">roup that consults with </w:t>
      </w:r>
      <w:r w:rsidR="00817B08">
        <w:t>Indigenous</w:t>
      </w:r>
      <w:r w:rsidRPr="00C7680E">
        <w:t xml:space="preserve"> </w:t>
      </w:r>
      <w:r>
        <w:t xml:space="preserve">advocacy </w:t>
      </w:r>
      <w:r w:rsidRPr="00C7680E">
        <w:t>groups on cultural issues important to rehabilitation.</w:t>
      </w:r>
    </w:p>
    <w:p w:rsidR="0034555D" w:rsidRDefault="003C2A06" w:rsidP="00A00BA3">
      <w:r>
        <w:t>Table 4.2 gives an example ingestion dose calculation for the consumptio</w:t>
      </w:r>
      <w:r w:rsidR="00A018E9">
        <w:t>n of selected bush foods by an Indigenous</w:t>
      </w:r>
      <w:r>
        <w:t xml:space="preserve"> adult for an assumed traditional living scenario and set of circumstances for the rehabilitated Ranger mine site. This example calculation has been provided to illustrate the logistics and mechanics of estimating the above background dose from terrestrial bush foods; parameter values and results shown in Table 4.2 are indicative only and do not necessarily represent final dose estimates. The assumptions made in the example calculation were:</w:t>
      </w:r>
    </w:p>
    <w:p w:rsidR="003C2A06" w:rsidRPr="003C2A06" w:rsidRDefault="003C2A06" w:rsidP="003C2A06">
      <w:pPr>
        <w:pStyle w:val="Normallist1"/>
      </w:pPr>
      <w:r>
        <w:t>1</w:t>
      </w:r>
      <w:r w:rsidR="009D365C">
        <w:t>.</w:t>
      </w:r>
      <w:r>
        <w:tab/>
      </w:r>
      <w:r w:rsidRPr="003C2A06">
        <w:t>Rehabilitated site general characteristics. The area of the rehabilitated Ranger mine site is assumed to be 8 km</w:t>
      </w:r>
      <w:r w:rsidRPr="00A12347">
        <w:rPr>
          <w:vertAlign w:val="superscript"/>
        </w:rPr>
        <w:t>2</w:t>
      </w:r>
      <w:r w:rsidRPr="003C2A06">
        <w:t>. This is the approximate size of the mine disturbed area requiring rehabilitation. The surface of the rehabilitated site is assumed to be covered with mine waste rock and shaped as near as practicable to resemble the pre-mining landscape. This is currently the preferred rehabilitation strategy for mine disturbed areas. The rehabilitated site is assumed to be revegetated using local native plant species to broadly match adjacent areas of Kakadu National Park. The site is assumed to be used as habitat by terrestrial animals similar to other parts of Kakadu National Park and to equally support the growth of plant species included in traditional diet.</w:t>
      </w:r>
    </w:p>
    <w:p w:rsidR="003C2A06" w:rsidRPr="003C2A06" w:rsidRDefault="003C2A06" w:rsidP="003C2A06">
      <w:pPr>
        <w:pStyle w:val="Normallist1"/>
      </w:pPr>
      <w:r w:rsidRPr="003C2A06">
        <w:t>2</w:t>
      </w:r>
      <w:r w:rsidR="009D365C">
        <w:t>.</w:t>
      </w:r>
      <w:r w:rsidRPr="003C2A06">
        <w:tab/>
      </w:r>
      <w:r w:rsidRPr="003C2A06">
        <w:rPr>
          <w:i/>
        </w:rPr>
        <w:t>Rehabilitated site soil radionuclide activity concentrations</w:t>
      </w:r>
      <w:r w:rsidRPr="003C2A06">
        <w:t>. Ranger waste rock has a maximum ore grade equivalent to approximately 2100 Bq kg</w:t>
      </w:r>
      <w:r w:rsidRPr="00A12347">
        <w:rPr>
          <w:vertAlign w:val="superscript"/>
        </w:rPr>
        <w:t>-1</w:t>
      </w:r>
      <w:r w:rsidRPr="003C2A06">
        <w:t xml:space="preserve"> </w:t>
      </w:r>
      <w:r w:rsidR="009A5A24" w:rsidRPr="009A5A24">
        <w:rPr>
          <w:vertAlign w:val="superscript"/>
        </w:rPr>
        <w:t>238</w:t>
      </w:r>
      <w:r w:rsidR="009A5A24" w:rsidRPr="003C2A06">
        <w:t>U</w:t>
      </w:r>
      <w:r w:rsidRPr="003C2A06">
        <w:t xml:space="preserve">. Average </w:t>
      </w:r>
      <w:r w:rsidRPr="009A5A24">
        <w:rPr>
          <w:vertAlign w:val="superscript"/>
        </w:rPr>
        <w:t>238</w:t>
      </w:r>
      <w:r w:rsidRPr="003C2A06">
        <w:t>U activity concentration in waste rock used to cover the rehabilitated site is assumed to be half</w:t>
      </w:r>
      <w:r w:rsidR="009A5A24">
        <w:t xml:space="preserve"> this maximum ore grade and </w:t>
      </w:r>
      <w:r w:rsidR="009A5A24" w:rsidRPr="009A5A24">
        <w:rPr>
          <w:vertAlign w:val="superscript"/>
        </w:rPr>
        <w:t>238</w:t>
      </w:r>
      <w:r w:rsidR="009A5A24" w:rsidRPr="003C2A06">
        <w:t>U</w:t>
      </w:r>
      <w:r w:rsidRPr="003C2A06">
        <w:t xml:space="preserve"> series radionuclides in the waste rock cover are assumed to be in secular equilibrium. The average pre-mining soil </w:t>
      </w:r>
      <w:r w:rsidR="009A5A24" w:rsidRPr="009A5A24">
        <w:rPr>
          <w:vertAlign w:val="superscript"/>
        </w:rPr>
        <w:t>238</w:t>
      </w:r>
      <w:r w:rsidR="009A5A24" w:rsidRPr="003C2A06">
        <w:t>U</w:t>
      </w:r>
      <w:r w:rsidRPr="003C2A06">
        <w:t xml:space="preserve"> activity concentration of the site has been determined from previous</w:t>
      </w:r>
      <w:r w:rsidRPr="004E12A2">
        <w:rPr>
          <w:sz w:val="21"/>
          <w:szCs w:val="21"/>
        </w:rPr>
        <w:t xml:space="preserve"> </w:t>
      </w:r>
      <w:r w:rsidRPr="004E12A2">
        <w:rPr>
          <w:b/>
          <w:i/>
          <w:sz w:val="21"/>
          <w:szCs w:val="21"/>
        </w:rPr>
        <w:t>eris</w:t>
      </w:r>
      <w:r w:rsidRPr="003C2A06">
        <w:rPr>
          <w:b/>
          <w:i/>
        </w:rPr>
        <w:t>s</w:t>
      </w:r>
      <w:r w:rsidRPr="003C2A06">
        <w:t xml:space="preserve"> work to be </w:t>
      </w:r>
      <w:proofErr w:type="gramStart"/>
      <w:r w:rsidRPr="003C2A06">
        <w:t>approximately 360 Bq kg</w:t>
      </w:r>
      <w:r w:rsidRPr="00A12347">
        <w:rPr>
          <w:vertAlign w:val="superscript"/>
        </w:rPr>
        <w:t>-1</w:t>
      </w:r>
      <w:proofErr w:type="gramEnd"/>
      <w:r w:rsidRPr="003C2A06">
        <w:t xml:space="preserve">. This implies an average above background activity concentration of </w:t>
      </w:r>
      <w:r w:rsidR="009A5A24" w:rsidRPr="009A5A24">
        <w:rPr>
          <w:vertAlign w:val="superscript"/>
        </w:rPr>
        <w:t>238</w:t>
      </w:r>
      <w:r w:rsidR="009A5A24" w:rsidRPr="003C2A06">
        <w:t>U</w:t>
      </w:r>
      <w:r w:rsidRPr="003C2A06">
        <w:t xml:space="preserve"> in secular equilibrium with its progeny </w:t>
      </w:r>
      <w:proofErr w:type="gramStart"/>
      <w:r w:rsidRPr="003C2A06">
        <w:t>of 690 Bq kg</w:t>
      </w:r>
      <w:r w:rsidRPr="00A12347">
        <w:rPr>
          <w:vertAlign w:val="superscript"/>
        </w:rPr>
        <w:t>-1</w:t>
      </w:r>
      <w:proofErr w:type="gramEnd"/>
      <w:r w:rsidRPr="003C2A06">
        <w:t xml:space="preserve"> on the surface of the rehabilitated site.</w:t>
      </w:r>
    </w:p>
    <w:p w:rsidR="003C2A06" w:rsidRPr="003C2A06" w:rsidRDefault="003C2A06" w:rsidP="003C2A06">
      <w:pPr>
        <w:pStyle w:val="Normallist1"/>
      </w:pPr>
      <w:r w:rsidRPr="003C2A06">
        <w:t>3</w:t>
      </w:r>
      <w:r w:rsidR="009D365C">
        <w:t>.</w:t>
      </w:r>
      <w:r w:rsidRPr="003C2A06">
        <w:tab/>
      </w:r>
      <w:r w:rsidRPr="003C2A06">
        <w:rPr>
          <w:i/>
        </w:rPr>
        <w:t>Diet</w:t>
      </w:r>
      <w:r w:rsidRPr="003C2A06">
        <w:t xml:space="preserve">. In lieu of an agreed reference diet for rehabilitation of the Ranger mine site, a diet previously developed by </w:t>
      </w:r>
      <w:r w:rsidRPr="003C2A06">
        <w:rPr>
          <w:b/>
          <w:i/>
        </w:rPr>
        <w:t>eriss</w:t>
      </w:r>
      <w:r w:rsidRPr="003C2A06">
        <w:t xml:space="preserve"> from consultation with </w:t>
      </w:r>
      <w:r w:rsidR="009A5A24">
        <w:t>Indigenous</w:t>
      </w:r>
      <w:r w:rsidRPr="003C2A06">
        <w:t xml:space="preserve"> people and general observations of traditional dietary habits was used. Bandicoot was not included in the </w:t>
      </w:r>
      <w:r w:rsidRPr="003C2A06">
        <w:rPr>
          <w:b/>
          <w:i/>
        </w:rPr>
        <w:t>eriss</w:t>
      </w:r>
      <w:r w:rsidRPr="003C2A06">
        <w:t xml:space="preserve"> diet, and so it was assumed that the annual consumption of bandicoot flesh was one quarter that of wallaby </w:t>
      </w:r>
      <w:proofErr w:type="gramStart"/>
      <w:r w:rsidRPr="003C2A06">
        <w:t>flesh</w:t>
      </w:r>
      <w:proofErr w:type="gramEnd"/>
      <w:r w:rsidRPr="003C2A06">
        <w:t>.</w:t>
      </w:r>
    </w:p>
    <w:p w:rsidR="003C2A06" w:rsidRPr="003C2A06" w:rsidRDefault="003C2A06" w:rsidP="003C2A06">
      <w:pPr>
        <w:pStyle w:val="Normallist1"/>
      </w:pPr>
      <w:r w:rsidRPr="003C2A06">
        <w:t>4</w:t>
      </w:r>
      <w:r w:rsidR="009D365C">
        <w:t>.</w:t>
      </w:r>
      <w:r w:rsidRPr="003C2A06">
        <w:tab/>
      </w:r>
      <w:r w:rsidRPr="003C2A06">
        <w:rPr>
          <w:i/>
        </w:rPr>
        <w:t>Post-rehabilitation land use for hunting and gathering</w:t>
      </w:r>
      <w:r w:rsidRPr="003C2A06">
        <w:t xml:space="preserve">. </w:t>
      </w:r>
      <w:r w:rsidR="009A5A24">
        <w:t>Indigenous</w:t>
      </w:r>
      <w:r w:rsidRPr="003C2A06">
        <w:t xml:space="preserve"> people leading a traditional lifestyle in the vicinity of the rehabilitated Ranger mine site are assumed to hunt over an area of approximately 300 km</w:t>
      </w:r>
      <w:r w:rsidRPr="00985C81">
        <w:rPr>
          <w:vertAlign w:val="superscript"/>
        </w:rPr>
        <w:t>2</w:t>
      </w:r>
      <w:r w:rsidRPr="003C2A06">
        <w:t xml:space="preserve">. This is half the nomadic range observed for a group of </w:t>
      </w:r>
      <w:r w:rsidR="00817B08">
        <w:t>Indigenous</w:t>
      </w:r>
      <w:r w:rsidRPr="003C2A06">
        <w:t xml:space="preserve"> people leading a traditional lifestyle near Momega outstation, approximately 85 km east of the Ranger mine. Anecdotal evidence suggests the nomadic range in the vicinity of the rehabilitated Ranger mine site will probably be less than for the area around Momega outstation due to greater abundance of bush food resources in the Magela Creek corridor.</w:t>
      </w:r>
    </w:p>
    <w:p w:rsidR="003C2A06" w:rsidRDefault="003C2A06" w:rsidP="003C2A06">
      <w:pPr>
        <w:pStyle w:val="Normallist1"/>
      </w:pPr>
      <w:r w:rsidRPr="003C2A06">
        <w:t>5</w:t>
      </w:r>
      <w:r w:rsidR="009D365C">
        <w:t>.</w:t>
      </w:r>
      <w:r w:rsidRPr="003C2A06">
        <w:tab/>
      </w:r>
      <w:r w:rsidRPr="003C2A06">
        <w:rPr>
          <w:i/>
        </w:rPr>
        <w:t>Animal exposed and hunting fractions</w:t>
      </w:r>
      <w:r w:rsidRPr="003C2A06">
        <w:t>. The animal exposed and hunting fractions were calculated by assuming the rehabilitated site is a circle of radius 1.6 km, the home range of an animal is a circle of radius typical of the particular species and the hunting range is a circle of radius 10 km. The animal exposed fraction represents the portion of the animal home range overlapping with the rehabilitated site and the hunting fraction represents the portion of the hunting range overlapping with the zone from within which an animal may be exposed to the rehabilitated site.</w:t>
      </w:r>
    </w:p>
    <w:p w:rsidR="00CA4BEC" w:rsidRDefault="00CA4BEC" w:rsidP="00CA4BEC">
      <w:r w:rsidRPr="003C2A06">
        <w:t xml:space="preserve">From these assumptions, the annual above background dose from animal-based terrestrial bush foods would be of the order of 0.1 mSv and come largely from buffalo flesh and organs. The annual above background dose from plant-based terrestrial bush foods would be of the order of 0.01 mSv and come almost exclusively from yams. However, buffalo have been significantly eradicated from </w:t>
      </w:r>
      <w:r w:rsidRPr="003C2A06">
        <w:rPr>
          <w:lang w:val="en-US"/>
        </w:rPr>
        <w:t xml:space="preserve">Kakadu National Park </w:t>
      </w:r>
      <w:r w:rsidRPr="003C2A06">
        <w:t>in recent decades, making them potentially less available as a bush food resource in the Magela Creek corridor. The implication is that the dietary intake of wild buffalo sourced from around the rehabilitated Ranger mine site may be less than assumed, and so the dose from buffalo may be lower than estimated. Similar consideration of the ‘real-world’ availability of other terrestrial bush foods in the Magela Creek corridor should be applied when interpreting assessment results in the context of dose limits.</w:t>
      </w:r>
    </w:p>
    <w:p w:rsidR="00C525EC" w:rsidRPr="003C2A06" w:rsidRDefault="00C525EC" w:rsidP="00CA4BE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955"/>
        <w:gridCol w:w="944"/>
        <w:gridCol w:w="933"/>
        <w:gridCol w:w="1245"/>
        <w:gridCol w:w="756"/>
        <w:gridCol w:w="946"/>
        <w:gridCol w:w="940"/>
        <w:gridCol w:w="942"/>
      </w:tblGrid>
      <w:tr w:rsidR="003C2A06" w:rsidRPr="003C2A06" w:rsidTr="00FA7C28">
        <w:tc>
          <w:tcPr>
            <w:tcW w:w="7661" w:type="dxa"/>
            <w:gridSpan w:val="8"/>
            <w:shd w:val="clear" w:color="auto" w:fill="D9D9D9"/>
          </w:tcPr>
          <w:p w:rsidR="003C2A06" w:rsidRPr="003C2A06" w:rsidRDefault="003C2A06" w:rsidP="00817B08">
            <w:pPr>
              <w:keepNext/>
              <w:spacing w:before="120" w:after="120" w:line="240" w:lineRule="atLeast"/>
              <w:jc w:val="center"/>
              <w:rPr>
                <w:rFonts w:ascii="Garamond" w:hAnsi="Garamond" w:cs="Arial"/>
                <w:b/>
                <w:caps/>
                <w:sz w:val="18"/>
              </w:rPr>
            </w:pPr>
            <w:r w:rsidRPr="003C2A06">
              <w:rPr>
                <w:rFonts w:ascii="Garamond" w:hAnsi="Garamond" w:cs="Arial"/>
                <w:b/>
                <w:caps/>
                <w:sz w:val="18"/>
              </w:rPr>
              <w:t xml:space="preserve">table 4.2  example ingestion dose calculation: estimated annual average above background dose to an </w:t>
            </w:r>
            <w:r w:rsidR="00817B08">
              <w:rPr>
                <w:rFonts w:ascii="Garamond" w:hAnsi="Garamond" w:cs="Arial"/>
                <w:b/>
                <w:caps/>
                <w:sz w:val="18"/>
              </w:rPr>
              <w:t>indigenous</w:t>
            </w:r>
            <w:r w:rsidRPr="003C2A06">
              <w:rPr>
                <w:rFonts w:ascii="Garamond" w:hAnsi="Garamond" w:cs="Arial"/>
                <w:b/>
                <w:caps/>
                <w:sz w:val="18"/>
              </w:rPr>
              <w:t xml:space="preserve"> adult</w:t>
            </w:r>
          </w:p>
        </w:tc>
      </w:tr>
      <w:tr w:rsidR="003C2A06" w:rsidRPr="003C2A06" w:rsidTr="00FA7C28">
        <w:tc>
          <w:tcPr>
            <w:tcW w:w="955" w:type="dxa"/>
            <w:tcBorders>
              <w:bottom w:val="single" w:sz="4" w:space="0" w:color="C0C0C0"/>
            </w:tcBorders>
          </w:tcPr>
          <w:p w:rsidR="003C2A06" w:rsidRPr="003C2A06" w:rsidRDefault="003C2A06" w:rsidP="003C2A06">
            <w:pPr>
              <w:spacing w:before="60" w:after="60" w:line="220" w:lineRule="atLeast"/>
              <w:rPr>
                <w:rFonts w:ascii="Arial" w:eastAsia="Arial Unicode MS" w:hAnsi="Arial"/>
                <w:b/>
                <w:sz w:val="16"/>
              </w:rPr>
            </w:pPr>
            <w:r w:rsidRPr="003C2A06">
              <w:rPr>
                <w:rFonts w:ascii="Arial" w:eastAsia="Arial Unicode MS" w:hAnsi="Arial"/>
                <w:b/>
                <w:sz w:val="16"/>
              </w:rPr>
              <w:t>Biota</w:t>
            </w:r>
          </w:p>
        </w:tc>
        <w:tc>
          <w:tcPr>
            <w:tcW w:w="944" w:type="dxa"/>
            <w:tcBorders>
              <w:bottom w:val="single" w:sz="4" w:space="0" w:color="C0C0C0"/>
            </w:tcBorders>
          </w:tcPr>
          <w:p w:rsidR="003C2A06" w:rsidRPr="003C2A06" w:rsidRDefault="003C2A06" w:rsidP="003C2A06">
            <w:pPr>
              <w:spacing w:before="60" w:after="60" w:line="220" w:lineRule="atLeast"/>
              <w:rPr>
                <w:rFonts w:ascii="Arial" w:eastAsia="Arial Unicode MS" w:hAnsi="Arial"/>
                <w:b/>
                <w:sz w:val="16"/>
              </w:rPr>
            </w:pPr>
            <w:r w:rsidRPr="003C2A06">
              <w:rPr>
                <w:rFonts w:ascii="Arial" w:eastAsia="Arial Unicode MS" w:hAnsi="Arial"/>
                <w:b/>
                <w:sz w:val="16"/>
              </w:rPr>
              <w:t>Tissue</w:t>
            </w:r>
          </w:p>
        </w:tc>
        <w:tc>
          <w:tcPr>
            <w:tcW w:w="933" w:type="dxa"/>
            <w:tcBorders>
              <w:bottom w:val="single" w:sz="4" w:space="0" w:color="C0C0C0"/>
            </w:tcBorders>
          </w:tcPr>
          <w:p w:rsidR="003C2A06" w:rsidRPr="003C2A06" w:rsidRDefault="003C2A06" w:rsidP="003C2A06">
            <w:pPr>
              <w:spacing w:before="60" w:after="60" w:line="220" w:lineRule="atLeast"/>
              <w:rPr>
                <w:rFonts w:ascii="Arial" w:eastAsia="Arial Unicode MS" w:hAnsi="Arial"/>
                <w:b/>
                <w:sz w:val="16"/>
              </w:rPr>
            </w:pPr>
            <w:r w:rsidRPr="003C2A06">
              <w:rPr>
                <w:rFonts w:ascii="Arial" w:eastAsia="Arial Unicode MS" w:hAnsi="Arial"/>
                <w:b/>
                <w:sz w:val="16"/>
              </w:rPr>
              <w:t>S</w:t>
            </w:r>
          </w:p>
          <w:p w:rsidR="003C2A06" w:rsidRPr="003C2A06" w:rsidRDefault="003C2A06" w:rsidP="003C2A06">
            <w:pPr>
              <w:spacing w:before="60" w:after="60" w:line="220" w:lineRule="atLeast"/>
              <w:rPr>
                <w:rFonts w:ascii="Arial" w:eastAsia="Arial Unicode MS" w:hAnsi="Arial"/>
                <w:b/>
                <w:sz w:val="16"/>
              </w:rPr>
            </w:pPr>
            <w:r w:rsidRPr="003C2A06">
              <w:rPr>
                <w:rFonts w:ascii="Arial" w:eastAsia="Arial Unicode MS" w:hAnsi="Arial"/>
                <w:b/>
                <w:sz w:val="16"/>
              </w:rPr>
              <w:t>(Bq kg</w:t>
            </w:r>
            <w:r w:rsidRPr="003C2A06">
              <w:rPr>
                <w:rFonts w:ascii="Arial" w:eastAsia="Arial Unicode MS" w:hAnsi="Arial"/>
                <w:b/>
                <w:snapToGrid w:val="0"/>
                <w:color w:val="000000"/>
                <w:position w:val="4"/>
                <w:sz w:val="11"/>
                <w:szCs w:val="0"/>
                <w:u w:color="000000"/>
              </w:rPr>
              <w:t>-1</w:t>
            </w:r>
            <w:r w:rsidRPr="003C2A06">
              <w:rPr>
                <w:rFonts w:ascii="Arial" w:eastAsia="Arial Unicode MS" w:hAnsi="Arial"/>
                <w:b/>
                <w:sz w:val="16"/>
              </w:rPr>
              <w:t>)</w:t>
            </w:r>
          </w:p>
        </w:tc>
        <w:tc>
          <w:tcPr>
            <w:tcW w:w="1245" w:type="dxa"/>
            <w:tcBorders>
              <w:bottom w:val="single" w:sz="4" w:space="0" w:color="C0C0C0"/>
            </w:tcBorders>
          </w:tcPr>
          <w:p w:rsidR="003C2A06" w:rsidRPr="003C2A06" w:rsidRDefault="003C2A06" w:rsidP="003C2A06">
            <w:pPr>
              <w:spacing w:before="60" w:after="60" w:line="220" w:lineRule="atLeast"/>
              <w:rPr>
                <w:rFonts w:ascii="Arial" w:eastAsia="Arial Unicode MS" w:hAnsi="Arial"/>
                <w:b/>
                <w:sz w:val="16"/>
              </w:rPr>
            </w:pPr>
            <w:r w:rsidRPr="003C2A06">
              <w:rPr>
                <w:rFonts w:ascii="Arial" w:eastAsia="Arial Unicode MS" w:hAnsi="Arial"/>
                <w:b/>
                <w:sz w:val="16"/>
              </w:rPr>
              <w:t>Σ(CR×DC)</w:t>
            </w:r>
          </w:p>
          <w:p w:rsidR="003C2A06" w:rsidRPr="003C2A06" w:rsidRDefault="003C2A06" w:rsidP="003C2A06">
            <w:pPr>
              <w:spacing w:before="60" w:after="60" w:line="220" w:lineRule="atLeast"/>
              <w:rPr>
                <w:rFonts w:ascii="Arial" w:eastAsia="Arial Unicode MS" w:hAnsi="Arial"/>
                <w:b/>
                <w:sz w:val="16"/>
              </w:rPr>
            </w:pPr>
            <w:r w:rsidRPr="003C2A06">
              <w:rPr>
                <w:rFonts w:ascii="Arial" w:eastAsia="Arial Unicode MS" w:hAnsi="Arial"/>
                <w:b/>
                <w:sz w:val="16"/>
              </w:rPr>
              <w:t>(mSv Bq</w:t>
            </w:r>
            <w:r w:rsidRPr="003C2A06">
              <w:rPr>
                <w:rFonts w:ascii="Arial" w:eastAsia="Arial Unicode MS" w:hAnsi="Arial"/>
                <w:b/>
                <w:snapToGrid w:val="0"/>
                <w:color w:val="000000"/>
                <w:position w:val="4"/>
                <w:sz w:val="11"/>
                <w:szCs w:val="0"/>
                <w:u w:color="000000"/>
              </w:rPr>
              <w:t>-1</w:t>
            </w:r>
            <w:r w:rsidRPr="003C2A06">
              <w:rPr>
                <w:rFonts w:ascii="Arial" w:eastAsia="Arial Unicode MS" w:hAnsi="Arial"/>
                <w:b/>
                <w:sz w:val="16"/>
              </w:rPr>
              <w:t>)</w:t>
            </w:r>
          </w:p>
        </w:tc>
        <w:tc>
          <w:tcPr>
            <w:tcW w:w="756" w:type="dxa"/>
            <w:tcBorders>
              <w:bottom w:val="single" w:sz="4" w:space="0" w:color="C0C0C0"/>
            </w:tcBorders>
          </w:tcPr>
          <w:p w:rsidR="003C2A06" w:rsidRPr="003C2A06" w:rsidRDefault="003C2A06" w:rsidP="003C2A06">
            <w:pPr>
              <w:spacing w:before="60" w:after="60" w:line="220" w:lineRule="atLeast"/>
              <w:rPr>
                <w:rFonts w:ascii="Arial" w:eastAsia="Arial Unicode MS" w:hAnsi="Arial"/>
                <w:b/>
                <w:sz w:val="16"/>
              </w:rPr>
            </w:pPr>
            <w:r w:rsidRPr="003C2A06">
              <w:rPr>
                <w:rFonts w:ascii="Arial" w:eastAsia="Arial Unicode MS" w:hAnsi="Arial"/>
                <w:b/>
                <w:sz w:val="16"/>
              </w:rPr>
              <w:t>M</w:t>
            </w:r>
          </w:p>
          <w:p w:rsidR="003C2A06" w:rsidRPr="003C2A06" w:rsidRDefault="003C2A06" w:rsidP="003C2A06">
            <w:pPr>
              <w:spacing w:before="60" w:after="60" w:line="220" w:lineRule="atLeast"/>
              <w:rPr>
                <w:rFonts w:ascii="Arial" w:eastAsia="Arial Unicode MS" w:hAnsi="Arial"/>
                <w:b/>
                <w:sz w:val="16"/>
              </w:rPr>
            </w:pPr>
            <w:r w:rsidRPr="003C2A06">
              <w:rPr>
                <w:rFonts w:ascii="Arial" w:eastAsia="Arial Unicode MS" w:hAnsi="Arial"/>
                <w:b/>
                <w:sz w:val="16"/>
              </w:rPr>
              <w:t>(kg)</w:t>
            </w:r>
          </w:p>
        </w:tc>
        <w:tc>
          <w:tcPr>
            <w:tcW w:w="946" w:type="dxa"/>
            <w:tcBorders>
              <w:bottom w:val="single" w:sz="4" w:space="0" w:color="C0C0C0"/>
            </w:tcBorders>
          </w:tcPr>
          <w:p w:rsidR="003C2A06" w:rsidRPr="003C2A06" w:rsidRDefault="003C2A06" w:rsidP="003C2A06">
            <w:pPr>
              <w:spacing w:before="60" w:after="60" w:line="220" w:lineRule="atLeast"/>
              <w:rPr>
                <w:rFonts w:ascii="Arial" w:eastAsia="Arial Unicode MS" w:hAnsi="Arial"/>
                <w:b/>
                <w:sz w:val="16"/>
              </w:rPr>
            </w:pPr>
            <w:r w:rsidRPr="003C2A06">
              <w:rPr>
                <w:rFonts w:ascii="Arial" w:eastAsia="Arial Unicode MS" w:hAnsi="Arial"/>
                <w:b/>
                <w:sz w:val="16"/>
              </w:rPr>
              <w:t>F</w:t>
            </w:r>
            <w:r w:rsidRPr="003C2A06">
              <w:rPr>
                <w:rFonts w:ascii="Arial" w:eastAsia="Arial Unicode MS" w:hAnsi="Arial"/>
                <w:b/>
                <w:snapToGrid w:val="0"/>
                <w:color w:val="000000"/>
                <w:position w:val="-4"/>
                <w:sz w:val="11"/>
                <w:szCs w:val="0"/>
                <w:u w:color="000000"/>
              </w:rPr>
              <w:t>E</w:t>
            </w:r>
          </w:p>
        </w:tc>
        <w:tc>
          <w:tcPr>
            <w:tcW w:w="940" w:type="dxa"/>
            <w:tcBorders>
              <w:bottom w:val="single" w:sz="4" w:space="0" w:color="C0C0C0"/>
            </w:tcBorders>
          </w:tcPr>
          <w:p w:rsidR="003C2A06" w:rsidRPr="003C2A06" w:rsidRDefault="003C2A06" w:rsidP="003C2A06">
            <w:pPr>
              <w:spacing w:before="60" w:after="60" w:line="220" w:lineRule="atLeast"/>
              <w:rPr>
                <w:rFonts w:ascii="Arial" w:eastAsia="Arial Unicode MS" w:hAnsi="Arial"/>
                <w:b/>
                <w:sz w:val="16"/>
              </w:rPr>
            </w:pPr>
            <w:r w:rsidRPr="003C2A06">
              <w:rPr>
                <w:rFonts w:ascii="Arial" w:eastAsia="Arial Unicode MS" w:hAnsi="Arial"/>
                <w:b/>
                <w:sz w:val="16"/>
              </w:rPr>
              <w:t>F</w:t>
            </w:r>
            <w:r w:rsidRPr="003C2A06">
              <w:rPr>
                <w:rFonts w:ascii="Arial" w:eastAsia="Arial Unicode MS" w:hAnsi="Arial"/>
                <w:b/>
                <w:snapToGrid w:val="0"/>
                <w:color w:val="000000"/>
                <w:position w:val="-4"/>
                <w:sz w:val="11"/>
                <w:szCs w:val="0"/>
                <w:u w:color="000000"/>
              </w:rPr>
              <w:t>H</w:t>
            </w:r>
          </w:p>
        </w:tc>
        <w:tc>
          <w:tcPr>
            <w:tcW w:w="942" w:type="dxa"/>
            <w:tcBorders>
              <w:bottom w:val="single" w:sz="4" w:space="0" w:color="C0C0C0"/>
            </w:tcBorders>
          </w:tcPr>
          <w:p w:rsidR="003C2A06" w:rsidRPr="003C2A06" w:rsidRDefault="003C2A06" w:rsidP="003C2A06">
            <w:pPr>
              <w:spacing w:before="60" w:after="60" w:line="220" w:lineRule="atLeast"/>
              <w:rPr>
                <w:rFonts w:ascii="Arial" w:eastAsia="Arial Unicode MS" w:hAnsi="Arial"/>
                <w:b/>
                <w:sz w:val="16"/>
              </w:rPr>
            </w:pPr>
            <w:r w:rsidRPr="003C2A06">
              <w:rPr>
                <w:rFonts w:ascii="Arial" w:eastAsia="Arial Unicode MS" w:hAnsi="Arial"/>
                <w:b/>
                <w:sz w:val="16"/>
              </w:rPr>
              <w:t>Dose</w:t>
            </w:r>
          </w:p>
          <w:p w:rsidR="003C2A06" w:rsidRPr="003C2A06" w:rsidRDefault="003C2A06" w:rsidP="003C2A06">
            <w:pPr>
              <w:spacing w:before="60" w:after="60" w:line="220" w:lineRule="atLeast"/>
              <w:rPr>
                <w:rFonts w:ascii="Arial" w:eastAsia="Arial Unicode MS" w:hAnsi="Arial"/>
                <w:b/>
                <w:sz w:val="16"/>
              </w:rPr>
            </w:pPr>
            <w:r w:rsidRPr="003C2A06">
              <w:rPr>
                <w:rFonts w:ascii="Arial" w:eastAsia="Arial Unicode MS" w:hAnsi="Arial"/>
                <w:b/>
                <w:sz w:val="16"/>
              </w:rPr>
              <w:t>(mSv)</w:t>
            </w:r>
          </w:p>
        </w:tc>
      </w:tr>
      <w:tr w:rsidR="003C2A06" w:rsidRPr="003C2A06" w:rsidTr="00FA7C28">
        <w:tc>
          <w:tcPr>
            <w:tcW w:w="955" w:type="dxa"/>
            <w:tcBorders>
              <w:top w:val="single" w:sz="4" w:space="0" w:color="C0C0C0"/>
            </w:tcBorders>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Bandicoot</w:t>
            </w:r>
          </w:p>
        </w:tc>
        <w:tc>
          <w:tcPr>
            <w:tcW w:w="944" w:type="dxa"/>
            <w:tcBorders>
              <w:top w:val="single" w:sz="4" w:space="0" w:color="C0C0C0"/>
            </w:tcBorders>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Flesh</w:t>
            </w:r>
          </w:p>
        </w:tc>
        <w:tc>
          <w:tcPr>
            <w:tcW w:w="933" w:type="dxa"/>
            <w:tcBorders>
              <w:top w:val="single" w:sz="4" w:space="0" w:color="C0C0C0"/>
            </w:tcBorders>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690</w:t>
            </w:r>
          </w:p>
        </w:tc>
        <w:tc>
          <w:tcPr>
            <w:tcW w:w="1245" w:type="dxa"/>
            <w:tcBorders>
              <w:top w:val="single" w:sz="4" w:space="0" w:color="C0C0C0"/>
            </w:tcBorders>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1.2</w:t>
            </w:r>
            <w:r w:rsidRPr="003C2A06">
              <w:rPr>
                <w:rFonts w:ascii="Arial" w:eastAsia="Arial Unicode MS" w:hAnsi="Arial" w:cs="Arial"/>
                <w:sz w:val="16"/>
              </w:rPr>
              <w:t>×</w:t>
            </w:r>
            <w:r w:rsidRPr="003C2A06">
              <w:rPr>
                <w:rFonts w:ascii="Arial" w:eastAsia="Arial Unicode MS" w:hAnsi="Arial"/>
                <w:sz w:val="16"/>
              </w:rPr>
              <w:t>10</w:t>
            </w:r>
            <w:r w:rsidRPr="003C2A06">
              <w:rPr>
                <w:rFonts w:ascii="Arial" w:eastAsia="Arial Unicode MS" w:hAnsi="Arial"/>
                <w:snapToGrid w:val="0"/>
                <w:color w:val="000000"/>
                <w:position w:val="4"/>
                <w:sz w:val="11"/>
                <w:szCs w:val="0"/>
                <w:u w:color="000000"/>
              </w:rPr>
              <w:t>-4</w:t>
            </w:r>
          </w:p>
        </w:tc>
        <w:tc>
          <w:tcPr>
            <w:tcW w:w="756" w:type="dxa"/>
            <w:tcBorders>
              <w:top w:val="single" w:sz="4" w:space="0" w:color="C0C0C0"/>
            </w:tcBorders>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5</w:t>
            </w:r>
          </w:p>
        </w:tc>
        <w:tc>
          <w:tcPr>
            <w:tcW w:w="946" w:type="dxa"/>
            <w:tcBorders>
              <w:top w:val="single" w:sz="4" w:space="0" w:color="C0C0C0"/>
            </w:tcBorders>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6.9×10</w:t>
            </w:r>
            <w:r w:rsidRPr="003C2A06">
              <w:rPr>
                <w:rFonts w:ascii="Arial" w:eastAsia="Arial Unicode MS" w:hAnsi="Arial"/>
                <w:snapToGrid w:val="0"/>
                <w:color w:val="000000"/>
                <w:position w:val="4"/>
                <w:sz w:val="11"/>
                <w:szCs w:val="0"/>
                <w:u w:color="000000"/>
              </w:rPr>
              <w:t>-1</w:t>
            </w:r>
          </w:p>
        </w:tc>
        <w:tc>
          <w:tcPr>
            <w:tcW w:w="940" w:type="dxa"/>
            <w:tcBorders>
              <w:top w:val="single" w:sz="4" w:space="0" w:color="C0C0C0"/>
            </w:tcBorders>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2.5×10</w:t>
            </w:r>
            <w:r w:rsidRPr="003C2A06">
              <w:rPr>
                <w:rFonts w:ascii="Arial" w:eastAsia="Arial Unicode MS" w:hAnsi="Arial"/>
                <w:snapToGrid w:val="0"/>
                <w:color w:val="000000"/>
                <w:position w:val="4"/>
                <w:sz w:val="11"/>
                <w:szCs w:val="0"/>
                <w:u w:color="000000"/>
              </w:rPr>
              <w:t>-2</w:t>
            </w:r>
          </w:p>
        </w:tc>
        <w:tc>
          <w:tcPr>
            <w:tcW w:w="942" w:type="dxa"/>
            <w:tcBorders>
              <w:top w:val="single" w:sz="4" w:space="0" w:color="C0C0C0"/>
            </w:tcBorders>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6.9×10</w:t>
            </w:r>
            <w:r w:rsidRPr="003C2A06">
              <w:rPr>
                <w:rFonts w:ascii="Arial" w:eastAsia="Arial Unicode MS" w:hAnsi="Arial"/>
                <w:snapToGrid w:val="0"/>
                <w:color w:val="000000"/>
                <w:position w:val="4"/>
                <w:sz w:val="11"/>
                <w:szCs w:val="0"/>
                <w:u w:color="000000"/>
              </w:rPr>
              <w:t>-3</w:t>
            </w:r>
          </w:p>
        </w:tc>
      </w:tr>
      <w:tr w:rsidR="003C2A06" w:rsidRPr="003C2A06" w:rsidTr="00FA7C28">
        <w:tc>
          <w:tcPr>
            <w:tcW w:w="955"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Buffalo</w:t>
            </w:r>
          </w:p>
        </w:tc>
        <w:tc>
          <w:tcPr>
            <w:tcW w:w="944"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Flesh</w:t>
            </w:r>
          </w:p>
        </w:tc>
        <w:tc>
          <w:tcPr>
            <w:tcW w:w="933"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690</w:t>
            </w:r>
          </w:p>
        </w:tc>
        <w:tc>
          <w:tcPr>
            <w:tcW w:w="1245"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2.2×10</w:t>
            </w:r>
            <w:r w:rsidRPr="003C2A06">
              <w:rPr>
                <w:rFonts w:ascii="Arial" w:eastAsia="Arial Unicode MS" w:hAnsi="Arial"/>
                <w:snapToGrid w:val="0"/>
                <w:color w:val="000000"/>
                <w:position w:val="4"/>
                <w:sz w:val="11"/>
                <w:szCs w:val="0"/>
                <w:u w:color="000000"/>
              </w:rPr>
              <w:t>-5</w:t>
            </w:r>
          </w:p>
        </w:tc>
        <w:tc>
          <w:tcPr>
            <w:tcW w:w="756"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146</w:t>
            </w:r>
          </w:p>
        </w:tc>
        <w:tc>
          <w:tcPr>
            <w:tcW w:w="946"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7.4×10</w:t>
            </w:r>
            <w:r w:rsidRPr="003C2A06">
              <w:rPr>
                <w:rFonts w:ascii="Arial" w:eastAsia="Arial Unicode MS" w:hAnsi="Arial"/>
                <w:snapToGrid w:val="0"/>
                <w:color w:val="000000"/>
                <w:position w:val="4"/>
                <w:sz w:val="11"/>
                <w:szCs w:val="0"/>
                <w:u w:color="000000"/>
              </w:rPr>
              <w:t>-2</w:t>
            </w:r>
          </w:p>
        </w:tc>
        <w:tc>
          <w:tcPr>
            <w:tcW w:w="940"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1.1×10</w:t>
            </w:r>
            <w:r w:rsidRPr="003C2A06">
              <w:rPr>
                <w:rFonts w:ascii="Arial" w:eastAsia="Arial Unicode MS" w:hAnsi="Arial"/>
                <w:snapToGrid w:val="0"/>
                <w:color w:val="000000"/>
                <w:position w:val="4"/>
                <w:sz w:val="11"/>
                <w:szCs w:val="0"/>
                <w:u w:color="000000"/>
              </w:rPr>
              <w:t>-1</w:t>
            </w:r>
          </w:p>
        </w:tc>
        <w:tc>
          <w:tcPr>
            <w:tcW w:w="942"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1.8×10</w:t>
            </w:r>
            <w:r w:rsidRPr="003C2A06">
              <w:rPr>
                <w:rFonts w:ascii="Arial" w:eastAsia="Arial Unicode MS" w:hAnsi="Arial"/>
                <w:snapToGrid w:val="0"/>
                <w:color w:val="000000"/>
                <w:position w:val="4"/>
                <w:sz w:val="11"/>
                <w:szCs w:val="0"/>
                <w:u w:color="000000"/>
              </w:rPr>
              <w:t>-2</w:t>
            </w:r>
          </w:p>
        </w:tc>
      </w:tr>
      <w:tr w:rsidR="003C2A06" w:rsidRPr="003C2A06" w:rsidTr="00FA7C28">
        <w:tc>
          <w:tcPr>
            <w:tcW w:w="955"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Buffalo</w:t>
            </w:r>
          </w:p>
        </w:tc>
        <w:tc>
          <w:tcPr>
            <w:tcW w:w="944"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Kidney</w:t>
            </w:r>
          </w:p>
        </w:tc>
        <w:tc>
          <w:tcPr>
            <w:tcW w:w="933"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690</w:t>
            </w:r>
          </w:p>
        </w:tc>
        <w:tc>
          <w:tcPr>
            <w:tcW w:w="1245"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2.6×10</w:t>
            </w:r>
            <w:r w:rsidRPr="003C2A06">
              <w:rPr>
                <w:rFonts w:ascii="Arial" w:eastAsia="Arial Unicode MS" w:hAnsi="Arial"/>
                <w:snapToGrid w:val="0"/>
                <w:color w:val="000000"/>
                <w:position w:val="4"/>
                <w:sz w:val="11"/>
                <w:szCs w:val="0"/>
                <w:u w:color="000000"/>
              </w:rPr>
              <w:t>-4</w:t>
            </w:r>
          </w:p>
        </w:tc>
        <w:tc>
          <w:tcPr>
            <w:tcW w:w="756"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18</w:t>
            </w:r>
          </w:p>
        </w:tc>
        <w:tc>
          <w:tcPr>
            <w:tcW w:w="946"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7.4×10</w:t>
            </w:r>
            <w:r w:rsidRPr="003C2A06">
              <w:rPr>
                <w:rFonts w:ascii="Arial" w:eastAsia="Arial Unicode MS" w:hAnsi="Arial"/>
                <w:snapToGrid w:val="0"/>
                <w:color w:val="000000"/>
                <w:position w:val="4"/>
                <w:sz w:val="11"/>
                <w:szCs w:val="0"/>
                <w:u w:color="000000"/>
              </w:rPr>
              <w:t>-2</w:t>
            </w:r>
          </w:p>
        </w:tc>
        <w:tc>
          <w:tcPr>
            <w:tcW w:w="940"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1.1×10</w:t>
            </w:r>
            <w:r w:rsidRPr="003C2A06">
              <w:rPr>
                <w:rFonts w:ascii="Arial" w:eastAsia="Arial Unicode MS" w:hAnsi="Arial"/>
                <w:snapToGrid w:val="0"/>
                <w:color w:val="000000"/>
                <w:position w:val="4"/>
                <w:sz w:val="11"/>
                <w:szCs w:val="0"/>
                <w:u w:color="000000"/>
              </w:rPr>
              <w:t>-1</w:t>
            </w:r>
          </w:p>
        </w:tc>
        <w:tc>
          <w:tcPr>
            <w:tcW w:w="942"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2.6×10</w:t>
            </w:r>
            <w:r w:rsidRPr="003C2A06">
              <w:rPr>
                <w:rFonts w:ascii="Arial" w:eastAsia="Arial Unicode MS" w:hAnsi="Arial"/>
                <w:snapToGrid w:val="0"/>
                <w:color w:val="000000"/>
                <w:position w:val="4"/>
                <w:sz w:val="11"/>
                <w:szCs w:val="0"/>
                <w:u w:color="000000"/>
              </w:rPr>
              <w:t>-2</w:t>
            </w:r>
          </w:p>
        </w:tc>
      </w:tr>
      <w:tr w:rsidR="003C2A06" w:rsidRPr="003C2A06" w:rsidTr="00FA7C28">
        <w:tc>
          <w:tcPr>
            <w:tcW w:w="955"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Buffalo</w:t>
            </w:r>
          </w:p>
        </w:tc>
        <w:tc>
          <w:tcPr>
            <w:tcW w:w="944"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Liver</w:t>
            </w:r>
          </w:p>
        </w:tc>
        <w:tc>
          <w:tcPr>
            <w:tcW w:w="933"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690</w:t>
            </w:r>
          </w:p>
        </w:tc>
        <w:tc>
          <w:tcPr>
            <w:tcW w:w="1245"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2.5×10</w:t>
            </w:r>
            <w:r w:rsidRPr="003C2A06">
              <w:rPr>
                <w:rFonts w:ascii="Arial" w:eastAsia="Arial Unicode MS" w:hAnsi="Arial"/>
                <w:snapToGrid w:val="0"/>
                <w:color w:val="000000"/>
                <w:position w:val="4"/>
                <w:sz w:val="11"/>
                <w:szCs w:val="0"/>
                <w:u w:color="000000"/>
              </w:rPr>
              <w:t>-4</w:t>
            </w:r>
          </w:p>
        </w:tc>
        <w:tc>
          <w:tcPr>
            <w:tcW w:w="756"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18</w:t>
            </w:r>
          </w:p>
        </w:tc>
        <w:tc>
          <w:tcPr>
            <w:tcW w:w="946"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7.4×10</w:t>
            </w:r>
            <w:r w:rsidRPr="003C2A06">
              <w:rPr>
                <w:rFonts w:ascii="Arial" w:eastAsia="Arial Unicode MS" w:hAnsi="Arial"/>
                <w:snapToGrid w:val="0"/>
                <w:color w:val="000000"/>
                <w:position w:val="4"/>
                <w:sz w:val="11"/>
                <w:szCs w:val="0"/>
                <w:u w:color="000000"/>
              </w:rPr>
              <w:t>-2</w:t>
            </w:r>
          </w:p>
        </w:tc>
        <w:tc>
          <w:tcPr>
            <w:tcW w:w="940"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1.1×10</w:t>
            </w:r>
            <w:r w:rsidRPr="003C2A06">
              <w:rPr>
                <w:rFonts w:ascii="Arial" w:eastAsia="Arial Unicode MS" w:hAnsi="Arial"/>
                <w:snapToGrid w:val="0"/>
                <w:color w:val="000000"/>
                <w:position w:val="4"/>
                <w:sz w:val="11"/>
                <w:szCs w:val="0"/>
                <w:u w:color="000000"/>
              </w:rPr>
              <w:t>-1</w:t>
            </w:r>
          </w:p>
        </w:tc>
        <w:tc>
          <w:tcPr>
            <w:tcW w:w="942"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2.5×10</w:t>
            </w:r>
            <w:r w:rsidRPr="003C2A06">
              <w:rPr>
                <w:rFonts w:ascii="Arial" w:eastAsia="Arial Unicode MS" w:hAnsi="Arial"/>
                <w:snapToGrid w:val="0"/>
                <w:color w:val="000000"/>
                <w:position w:val="4"/>
                <w:sz w:val="11"/>
                <w:szCs w:val="0"/>
                <w:u w:color="000000"/>
              </w:rPr>
              <w:t>-2</w:t>
            </w:r>
          </w:p>
        </w:tc>
      </w:tr>
      <w:tr w:rsidR="003C2A06" w:rsidRPr="003C2A06" w:rsidTr="00FA7C28">
        <w:tc>
          <w:tcPr>
            <w:tcW w:w="955"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Goanna</w:t>
            </w:r>
          </w:p>
        </w:tc>
        <w:tc>
          <w:tcPr>
            <w:tcW w:w="944"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Flesh</w:t>
            </w:r>
          </w:p>
        </w:tc>
        <w:tc>
          <w:tcPr>
            <w:tcW w:w="933"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690</w:t>
            </w:r>
          </w:p>
        </w:tc>
        <w:tc>
          <w:tcPr>
            <w:tcW w:w="1245"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1.3×10</w:t>
            </w:r>
            <w:r w:rsidRPr="003C2A06">
              <w:rPr>
                <w:rFonts w:ascii="Arial" w:eastAsia="Arial Unicode MS" w:hAnsi="Arial"/>
                <w:snapToGrid w:val="0"/>
                <w:color w:val="000000"/>
                <w:position w:val="4"/>
                <w:sz w:val="11"/>
                <w:szCs w:val="0"/>
                <w:u w:color="000000"/>
              </w:rPr>
              <w:t>-4</w:t>
            </w:r>
          </w:p>
        </w:tc>
        <w:tc>
          <w:tcPr>
            <w:tcW w:w="756"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2</w:t>
            </w:r>
          </w:p>
        </w:tc>
        <w:tc>
          <w:tcPr>
            <w:tcW w:w="946"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6.9×10</w:t>
            </w:r>
            <w:r w:rsidRPr="003C2A06">
              <w:rPr>
                <w:rFonts w:ascii="Arial" w:eastAsia="Arial Unicode MS" w:hAnsi="Arial"/>
                <w:snapToGrid w:val="0"/>
                <w:color w:val="000000"/>
                <w:position w:val="4"/>
                <w:sz w:val="11"/>
                <w:szCs w:val="0"/>
                <w:u w:color="000000"/>
              </w:rPr>
              <w:t>-1</w:t>
            </w:r>
          </w:p>
        </w:tc>
        <w:tc>
          <w:tcPr>
            <w:tcW w:w="940"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2.5×10</w:t>
            </w:r>
            <w:r w:rsidRPr="003C2A06">
              <w:rPr>
                <w:rFonts w:ascii="Arial" w:eastAsia="Arial Unicode MS" w:hAnsi="Arial"/>
                <w:snapToGrid w:val="0"/>
                <w:color w:val="000000"/>
                <w:position w:val="4"/>
                <w:sz w:val="11"/>
                <w:szCs w:val="0"/>
                <w:u w:color="000000"/>
              </w:rPr>
              <w:t>-2</w:t>
            </w:r>
          </w:p>
        </w:tc>
        <w:tc>
          <w:tcPr>
            <w:tcW w:w="942"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3.1×10</w:t>
            </w:r>
            <w:r w:rsidRPr="003C2A06">
              <w:rPr>
                <w:rFonts w:ascii="Arial" w:eastAsia="Arial Unicode MS" w:hAnsi="Arial"/>
                <w:snapToGrid w:val="0"/>
                <w:color w:val="000000"/>
                <w:position w:val="4"/>
                <w:sz w:val="11"/>
                <w:szCs w:val="0"/>
                <w:u w:color="000000"/>
              </w:rPr>
              <w:t>-3</w:t>
            </w:r>
          </w:p>
        </w:tc>
      </w:tr>
      <w:tr w:rsidR="003C2A06" w:rsidRPr="003C2A06" w:rsidTr="00FA7C28">
        <w:tc>
          <w:tcPr>
            <w:tcW w:w="955"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Pig</w:t>
            </w:r>
          </w:p>
        </w:tc>
        <w:tc>
          <w:tcPr>
            <w:tcW w:w="944"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Flesh</w:t>
            </w:r>
          </w:p>
        </w:tc>
        <w:tc>
          <w:tcPr>
            <w:tcW w:w="933"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690</w:t>
            </w:r>
          </w:p>
        </w:tc>
        <w:tc>
          <w:tcPr>
            <w:tcW w:w="1245"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9.8×10</w:t>
            </w:r>
            <w:r w:rsidRPr="003C2A06">
              <w:rPr>
                <w:rFonts w:ascii="Arial" w:eastAsia="Arial Unicode MS" w:hAnsi="Arial"/>
                <w:snapToGrid w:val="0"/>
                <w:color w:val="000000"/>
                <w:position w:val="4"/>
                <w:sz w:val="11"/>
                <w:szCs w:val="0"/>
                <w:u w:color="000000"/>
              </w:rPr>
              <w:t>-5</w:t>
            </w:r>
          </w:p>
        </w:tc>
        <w:tc>
          <w:tcPr>
            <w:tcW w:w="756"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25</w:t>
            </w:r>
          </w:p>
        </w:tc>
        <w:tc>
          <w:tcPr>
            <w:tcW w:w="946"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1.0×10</w:t>
            </w:r>
            <w:r w:rsidRPr="003C2A06">
              <w:rPr>
                <w:rFonts w:ascii="Arial" w:eastAsia="Arial Unicode MS" w:hAnsi="Arial"/>
                <w:snapToGrid w:val="0"/>
                <w:color w:val="000000"/>
                <w:position w:val="4"/>
                <w:sz w:val="11"/>
                <w:szCs w:val="0"/>
                <w:u w:color="000000"/>
              </w:rPr>
              <w:t>-1</w:t>
            </w:r>
          </w:p>
        </w:tc>
        <w:tc>
          <w:tcPr>
            <w:tcW w:w="940"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8.7×10</w:t>
            </w:r>
            <w:r w:rsidRPr="003C2A06">
              <w:rPr>
                <w:rFonts w:ascii="Arial" w:eastAsia="Arial Unicode MS" w:hAnsi="Arial"/>
                <w:snapToGrid w:val="0"/>
                <w:color w:val="000000"/>
                <w:position w:val="4"/>
                <w:sz w:val="11"/>
                <w:szCs w:val="0"/>
                <w:u w:color="000000"/>
              </w:rPr>
              <w:t>-2</w:t>
            </w:r>
          </w:p>
        </w:tc>
        <w:tc>
          <w:tcPr>
            <w:tcW w:w="942"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1.5×10</w:t>
            </w:r>
            <w:r w:rsidRPr="003C2A06">
              <w:rPr>
                <w:rFonts w:ascii="Arial" w:eastAsia="Arial Unicode MS" w:hAnsi="Arial"/>
                <w:snapToGrid w:val="0"/>
                <w:color w:val="000000"/>
                <w:position w:val="4"/>
                <w:sz w:val="11"/>
                <w:szCs w:val="0"/>
                <w:u w:color="000000"/>
              </w:rPr>
              <w:t>-2</w:t>
            </w:r>
          </w:p>
        </w:tc>
      </w:tr>
      <w:tr w:rsidR="003C2A06" w:rsidRPr="003C2A06" w:rsidTr="00FA7C28">
        <w:tc>
          <w:tcPr>
            <w:tcW w:w="955"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Wallaby</w:t>
            </w:r>
          </w:p>
        </w:tc>
        <w:tc>
          <w:tcPr>
            <w:tcW w:w="944"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Flesh</w:t>
            </w:r>
          </w:p>
        </w:tc>
        <w:tc>
          <w:tcPr>
            <w:tcW w:w="933"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690</w:t>
            </w:r>
          </w:p>
        </w:tc>
        <w:tc>
          <w:tcPr>
            <w:tcW w:w="1245"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1.5×10</w:t>
            </w:r>
            <w:r w:rsidRPr="003C2A06">
              <w:rPr>
                <w:rFonts w:ascii="Arial" w:eastAsia="Arial Unicode MS" w:hAnsi="Arial"/>
                <w:snapToGrid w:val="0"/>
                <w:color w:val="000000"/>
                <w:position w:val="4"/>
                <w:sz w:val="11"/>
                <w:szCs w:val="0"/>
                <w:u w:color="000000"/>
              </w:rPr>
              <w:t>-5</w:t>
            </w:r>
          </w:p>
        </w:tc>
        <w:tc>
          <w:tcPr>
            <w:tcW w:w="756"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20</w:t>
            </w:r>
          </w:p>
        </w:tc>
        <w:tc>
          <w:tcPr>
            <w:tcW w:w="946"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6.9×10</w:t>
            </w:r>
            <w:r w:rsidRPr="003C2A06">
              <w:rPr>
                <w:rFonts w:ascii="Arial" w:eastAsia="Arial Unicode MS" w:hAnsi="Arial"/>
                <w:snapToGrid w:val="0"/>
                <w:color w:val="000000"/>
                <w:position w:val="4"/>
                <w:sz w:val="11"/>
                <w:szCs w:val="0"/>
                <w:u w:color="000000"/>
              </w:rPr>
              <w:t>-1</w:t>
            </w:r>
          </w:p>
        </w:tc>
        <w:tc>
          <w:tcPr>
            <w:tcW w:w="940"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2.5×10</w:t>
            </w:r>
            <w:r w:rsidRPr="003C2A06">
              <w:rPr>
                <w:rFonts w:ascii="Arial" w:eastAsia="Arial Unicode MS" w:hAnsi="Arial"/>
                <w:snapToGrid w:val="0"/>
                <w:color w:val="000000"/>
                <w:position w:val="4"/>
                <w:sz w:val="11"/>
                <w:szCs w:val="0"/>
                <w:u w:color="000000"/>
              </w:rPr>
              <w:t>-2</w:t>
            </w:r>
          </w:p>
        </w:tc>
        <w:tc>
          <w:tcPr>
            <w:tcW w:w="942"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3.6×10</w:t>
            </w:r>
            <w:r w:rsidRPr="003C2A06">
              <w:rPr>
                <w:rFonts w:ascii="Arial" w:eastAsia="Arial Unicode MS" w:hAnsi="Arial"/>
                <w:snapToGrid w:val="0"/>
                <w:color w:val="000000"/>
                <w:position w:val="4"/>
                <w:sz w:val="11"/>
                <w:szCs w:val="0"/>
                <w:u w:color="000000"/>
              </w:rPr>
              <w:t>-3</w:t>
            </w:r>
          </w:p>
        </w:tc>
      </w:tr>
      <w:tr w:rsidR="003C2A06" w:rsidRPr="003C2A06" w:rsidTr="00FA7C28">
        <w:tc>
          <w:tcPr>
            <w:tcW w:w="955"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Fruit</w:t>
            </w:r>
          </w:p>
        </w:tc>
        <w:tc>
          <w:tcPr>
            <w:tcW w:w="944"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Flesh</w:t>
            </w:r>
          </w:p>
        </w:tc>
        <w:tc>
          <w:tcPr>
            <w:tcW w:w="933"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690</w:t>
            </w:r>
          </w:p>
        </w:tc>
        <w:tc>
          <w:tcPr>
            <w:tcW w:w="1245"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2.4×10</w:t>
            </w:r>
            <w:r w:rsidRPr="003C2A06">
              <w:rPr>
                <w:rFonts w:ascii="Arial" w:eastAsia="Arial Unicode MS" w:hAnsi="Arial"/>
                <w:snapToGrid w:val="0"/>
                <w:color w:val="000000"/>
                <w:position w:val="4"/>
                <w:sz w:val="11"/>
                <w:szCs w:val="0"/>
                <w:u w:color="000000"/>
              </w:rPr>
              <w:t>-5</w:t>
            </w:r>
          </w:p>
        </w:tc>
        <w:tc>
          <w:tcPr>
            <w:tcW w:w="756"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3</w:t>
            </w:r>
          </w:p>
        </w:tc>
        <w:tc>
          <w:tcPr>
            <w:tcW w:w="946"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1.0×10</w:t>
            </w:r>
            <w:r w:rsidRPr="003C2A06">
              <w:rPr>
                <w:rFonts w:ascii="Arial" w:eastAsia="Arial Unicode MS" w:hAnsi="Arial"/>
                <w:snapToGrid w:val="0"/>
                <w:color w:val="000000"/>
                <w:position w:val="4"/>
                <w:sz w:val="11"/>
                <w:szCs w:val="0"/>
                <w:u w:color="000000"/>
              </w:rPr>
              <w:t>0</w:t>
            </w:r>
          </w:p>
        </w:tc>
        <w:tc>
          <w:tcPr>
            <w:tcW w:w="940"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1.9×10</w:t>
            </w:r>
            <w:r w:rsidRPr="003C2A06">
              <w:rPr>
                <w:rFonts w:ascii="Arial" w:eastAsia="Arial Unicode MS" w:hAnsi="Arial"/>
                <w:snapToGrid w:val="0"/>
                <w:color w:val="000000"/>
                <w:position w:val="4"/>
                <w:sz w:val="11"/>
                <w:szCs w:val="0"/>
                <w:u w:color="000000"/>
              </w:rPr>
              <w:t>-2</w:t>
            </w:r>
          </w:p>
        </w:tc>
        <w:tc>
          <w:tcPr>
            <w:tcW w:w="942" w:type="dxa"/>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9.3×10</w:t>
            </w:r>
            <w:r w:rsidRPr="003C2A06">
              <w:rPr>
                <w:rFonts w:ascii="Arial" w:eastAsia="Arial Unicode MS" w:hAnsi="Arial"/>
                <w:snapToGrid w:val="0"/>
                <w:color w:val="000000"/>
                <w:position w:val="4"/>
                <w:sz w:val="11"/>
                <w:szCs w:val="0"/>
                <w:u w:color="000000"/>
              </w:rPr>
              <w:t>-4</w:t>
            </w:r>
          </w:p>
        </w:tc>
      </w:tr>
      <w:tr w:rsidR="003C2A06" w:rsidRPr="003C2A06" w:rsidTr="00FA7C28">
        <w:tc>
          <w:tcPr>
            <w:tcW w:w="955" w:type="dxa"/>
            <w:tcBorders>
              <w:bottom w:val="single" w:sz="4" w:space="0" w:color="C0C0C0"/>
            </w:tcBorders>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Yam</w:t>
            </w:r>
          </w:p>
        </w:tc>
        <w:tc>
          <w:tcPr>
            <w:tcW w:w="944" w:type="dxa"/>
            <w:tcBorders>
              <w:bottom w:val="single" w:sz="4" w:space="0" w:color="C0C0C0"/>
            </w:tcBorders>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Tuber</w:t>
            </w:r>
          </w:p>
        </w:tc>
        <w:tc>
          <w:tcPr>
            <w:tcW w:w="933" w:type="dxa"/>
            <w:tcBorders>
              <w:bottom w:val="single" w:sz="4" w:space="0" w:color="C0C0C0"/>
            </w:tcBorders>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690</w:t>
            </w:r>
          </w:p>
        </w:tc>
        <w:tc>
          <w:tcPr>
            <w:tcW w:w="1245" w:type="dxa"/>
            <w:tcBorders>
              <w:bottom w:val="single" w:sz="4" w:space="0" w:color="C0C0C0"/>
            </w:tcBorders>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5.3×10</w:t>
            </w:r>
            <w:r w:rsidRPr="003C2A06">
              <w:rPr>
                <w:rFonts w:ascii="Arial" w:eastAsia="Arial Unicode MS" w:hAnsi="Arial"/>
                <w:snapToGrid w:val="0"/>
                <w:color w:val="000000"/>
                <w:position w:val="4"/>
                <w:sz w:val="11"/>
                <w:szCs w:val="0"/>
                <w:u w:color="000000"/>
              </w:rPr>
              <w:t>-5</w:t>
            </w:r>
          </w:p>
        </w:tc>
        <w:tc>
          <w:tcPr>
            <w:tcW w:w="756" w:type="dxa"/>
            <w:tcBorders>
              <w:bottom w:val="single" w:sz="4" w:space="0" w:color="C0C0C0"/>
            </w:tcBorders>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20</w:t>
            </w:r>
          </w:p>
        </w:tc>
        <w:tc>
          <w:tcPr>
            <w:tcW w:w="946" w:type="dxa"/>
            <w:tcBorders>
              <w:bottom w:val="single" w:sz="4" w:space="0" w:color="C0C0C0"/>
            </w:tcBorders>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1.0×10</w:t>
            </w:r>
            <w:r w:rsidRPr="003C2A06">
              <w:rPr>
                <w:rFonts w:ascii="Arial" w:eastAsia="Arial Unicode MS" w:hAnsi="Arial"/>
                <w:snapToGrid w:val="0"/>
                <w:color w:val="000000"/>
                <w:position w:val="4"/>
                <w:sz w:val="11"/>
                <w:szCs w:val="0"/>
                <w:u w:color="000000"/>
              </w:rPr>
              <w:t>0</w:t>
            </w:r>
          </w:p>
        </w:tc>
        <w:tc>
          <w:tcPr>
            <w:tcW w:w="940" w:type="dxa"/>
            <w:tcBorders>
              <w:bottom w:val="single" w:sz="4" w:space="0" w:color="C0C0C0"/>
            </w:tcBorders>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1.9×10</w:t>
            </w:r>
            <w:r w:rsidRPr="003C2A06">
              <w:rPr>
                <w:rFonts w:ascii="Arial" w:eastAsia="Arial Unicode MS" w:hAnsi="Arial"/>
                <w:snapToGrid w:val="0"/>
                <w:color w:val="000000"/>
                <w:position w:val="4"/>
                <w:sz w:val="11"/>
                <w:szCs w:val="0"/>
                <w:u w:color="000000"/>
              </w:rPr>
              <w:t>-2</w:t>
            </w:r>
          </w:p>
        </w:tc>
        <w:tc>
          <w:tcPr>
            <w:tcW w:w="942" w:type="dxa"/>
            <w:tcBorders>
              <w:bottom w:val="single" w:sz="4" w:space="0" w:color="C0C0C0"/>
            </w:tcBorders>
          </w:tcPr>
          <w:p w:rsidR="003C2A06" w:rsidRPr="003C2A06" w:rsidRDefault="003C2A06" w:rsidP="003C2A06">
            <w:pPr>
              <w:spacing w:before="60" w:after="60" w:line="220" w:lineRule="atLeast"/>
              <w:rPr>
                <w:rFonts w:ascii="Arial" w:eastAsia="Arial Unicode MS" w:hAnsi="Arial"/>
                <w:sz w:val="16"/>
              </w:rPr>
            </w:pPr>
            <w:r w:rsidRPr="003C2A06">
              <w:rPr>
                <w:rFonts w:ascii="Arial" w:eastAsia="Arial Unicode MS" w:hAnsi="Arial"/>
                <w:sz w:val="16"/>
              </w:rPr>
              <w:t>1.4×10</w:t>
            </w:r>
            <w:r w:rsidRPr="003C2A06">
              <w:rPr>
                <w:rFonts w:ascii="Arial" w:eastAsia="Arial Unicode MS" w:hAnsi="Arial"/>
                <w:snapToGrid w:val="0"/>
                <w:color w:val="000000"/>
                <w:position w:val="4"/>
                <w:sz w:val="11"/>
                <w:szCs w:val="0"/>
                <w:u w:color="000000"/>
              </w:rPr>
              <w:t>-2</w:t>
            </w:r>
          </w:p>
        </w:tc>
      </w:tr>
    </w:tbl>
    <w:p w:rsidR="003C2A06" w:rsidRPr="003C2A06" w:rsidRDefault="003C2A06" w:rsidP="003C2A06">
      <w:pPr>
        <w:pStyle w:val="Heading3"/>
      </w:pPr>
      <w:r w:rsidRPr="003C2A06">
        <w:t>4.6.4  Conclusions</w:t>
      </w:r>
    </w:p>
    <w:p w:rsidR="003C2A06" w:rsidRPr="003C2A06" w:rsidRDefault="003C2A06" w:rsidP="003C2A06">
      <w:r w:rsidRPr="003C2A06">
        <w:t xml:space="preserve">Terrestrial wild plants and animals are an important part of traditional </w:t>
      </w:r>
      <w:r w:rsidR="004451A6">
        <w:t>Indigenous</w:t>
      </w:r>
      <w:r w:rsidRPr="003C2A06">
        <w:t xml:space="preserve"> diet in the ARR. They are also a potential vector for above background public radiation exposure following rehabilitation of the Ranger mine. CRs have been determined for radionuclides significant to uranium mining for terrestrial wild plants and animals important to traditional Aboriginal diet of the ARR. These CRs have been used in combination with other parameters in an example of an ingestion dose calculation to illustrate the dose assessment process for the terrestrial bush food exposure pathway. Lack of agreed land use scenarios and reference diet currently impedes the final estimation of above background dose due to bush foods sourced from terrestrial ecosystems.</w:t>
      </w:r>
    </w:p>
    <w:p w:rsidR="00FA7C28" w:rsidRPr="00FA7C28" w:rsidRDefault="00FA7C28" w:rsidP="00FA7C28">
      <w:pPr>
        <w:pStyle w:val="Heading2"/>
      </w:pPr>
      <w:bookmarkStart w:id="254" w:name="_Toc399928192"/>
      <w:r w:rsidRPr="00FA7C28">
        <w:t>4.7</w:t>
      </w:r>
      <w:r w:rsidRPr="00FA7C28">
        <w:tab/>
        <w:t>Unmanned aerial system (UAS) demonstration project</w:t>
      </w:r>
      <w:bookmarkEnd w:id="254"/>
    </w:p>
    <w:p w:rsidR="00FA7C28" w:rsidRPr="00FA7C28" w:rsidRDefault="00FA7C28" w:rsidP="00FA7C28">
      <w:pPr>
        <w:pStyle w:val="Heading3"/>
      </w:pPr>
      <w:r w:rsidRPr="00FA7C28">
        <w:t>4.7.1  Introduction</w:t>
      </w:r>
    </w:p>
    <w:p w:rsidR="00FA7C28" w:rsidRPr="00FA7C28" w:rsidRDefault="00FA7C28" w:rsidP="00FA7C28">
      <w:r w:rsidRPr="00FA7C28">
        <w:t>Remote sensing has been used widely to study spatial and temporal variations in ecological phenomena. Data from satellite remote sensing (such as the Landsat series) enable regional- to global-scale observations of ecological indicators over time. The main limitation associated with satellite remote sensing is the mismatch between the pixel resolution of such imagery (30 m for Landsat), the revisit period (18 days for Landsat) and the scale of ecological processes. This is particularly the case when using remote sensing for monitoring mine site rehabilitation where objects of interest on the ground (such as small trees and shrubs) can be sub-metre in size. Satellite remote sensing data at high spatial resolution (such as 2 m WorldView-2 imagery) is costly and not available at the appropriate temporal scale. Airborne remote sensing data is also costly, with deployment from interstate limiting its application for temporal analysis. Therefore, the monitoring of vegetation condition (i</w:t>
      </w:r>
      <w:r w:rsidR="00D7656C">
        <w:t>.</w:t>
      </w:r>
      <w:r w:rsidRPr="00FA7C28">
        <w:t>e. phenology and seasonal water stress) via remote sensing requires scales of data capture that are difficult to provide using satellite or manned aircraft. Consequently, a niche exists for a remote sensing platform that can provide high spatial and temporal resolution imagery in a cost-effective manner.</w:t>
      </w:r>
    </w:p>
    <w:p w:rsidR="00FA7C28" w:rsidRPr="00FA7C28" w:rsidRDefault="00FA7C28" w:rsidP="00FA7C28">
      <w:r w:rsidRPr="00FA7C28">
        <w:t>A relatively new method to obtain data at a spatial and temporal scale relevant to the monitoring of mine site rehabilitation is the use of unmanned aerial systems (UAS). UAS use a lightweight aircraft platform controlled by a pilot on the ground that can carry an imaging payload (usually a camera) to fly and photograph areas of interest. Recent technological advances have led to UAS technology having lower costs and increased reliability. Advances in photogrammetric image processing have also meant that low cost lightweight cameras can now produce products as good as traditional aerial photography. Imaging sensors within UAS are able to capture very high spatial resolution data that not only includes imagery of sub-decimetre resolution but also are the bases for very high resolution photogrametrically derived products, including 3D point cloud data and digital surface models. Some of the advantages over satellite imagery and traditional aerial photography include the higher spatial resolution, lower costs for high temporal resolution sensing, ability to operate below cloud and rapid response time to events. UAS are capable of capturing data with spatial and temporal scales relevant to the monitoring of minesite rehabilitation (with particular emphasis on monitoring surface conditions, landform changes and vegetation growth).</w:t>
      </w:r>
    </w:p>
    <w:p w:rsidR="00FA7C28" w:rsidRDefault="00FA7C28" w:rsidP="00FA7C28">
      <w:r w:rsidRPr="00FA7C28">
        <w:t xml:space="preserve">A typical UAS consists of two main components (Figure 4.12): the aircraft, also known as an unmanned aerial vehicle (UAV), and a ground control station (GCS). The UAV contains a flight management unit (commonly referred to as </w:t>
      </w:r>
      <w:proofErr w:type="gramStart"/>
      <w:r w:rsidRPr="00FA7C28">
        <w:t>an</w:t>
      </w:r>
      <w:proofErr w:type="gramEnd"/>
      <w:r w:rsidRPr="00FA7C28">
        <w:t xml:space="preserve"> autopilot) which takes information from a number of sensors including GPS, airspeed indicator, compass and barometer to adjust the planes direction, height and attitude. This information is sent to the GCS via a radio link. The GCS station is typically a laptop with flight planning and control software and a radio transceiver. The pilot uses the GCS to monitor the state of the UAV and send information to the UAV about where to go and when to take photos.</w:t>
      </w:r>
    </w:p>
    <w:p w:rsidR="00FA7C28" w:rsidRPr="00FA7C28" w:rsidRDefault="00FA7C28" w:rsidP="00FA7C28">
      <w:pPr>
        <w:spacing w:line="260" w:lineRule="atLeast"/>
        <w:jc w:val="center"/>
        <w:rPr>
          <w:rFonts w:ascii="Garamond" w:hAnsi="Garamond"/>
        </w:rPr>
      </w:pPr>
      <w:r w:rsidRPr="00FA7C28">
        <w:rPr>
          <w:rFonts w:ascii="Garamond" w:hAnsi="Garamond"/>
          <w:noProof/>
          <w:color w:val="1F497D"/>
          <w:lang w:eastAsia="en-AU"/>
        </w:rPr>
        <w:drawing>
          <wp:inline distT="0" distB="0" distL="0" distR="0">
            <wp:extent cx="3134967" cy="4049364"/>
            <wp:effectExtent l="19050" t="0" r="8283" b="0"/>
            <wp:docPr id="10124" name="Picture 2" descr="cid:image002.png@01CFB2FD.A828A6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id:image002.png@01CFB2FD.A828A620"/>
                    <pic:cNvPicPr>
                      <a:picLocks noChangeAspect="1" noChangeArrowheads="1"/>
                    </pic:cNvPicPr>
                  </pic:nvPicPr>
                  <pic:blipFill>
                    <a:blip r:embed="rId115" r:link="rId116" cstate="screen"/>
                    <a:srcRect/>
                    <a:stretch>
                      <a:fillRect/>
                    </a:stretch>
                  </pic:blipFill>
                  <pic:spPr bwMode="auto">
                    <a:xfrm>
                      <a:off x="0" y="0"/>
                      <a:ext cx="3145683" cy="4063206"/>
                    </a:xfrm>
                    <a:prstGeom prst="rect">
                      <a:avLst/>
                    </a:prstGeom>
                    <a:noFill/>
                    <a:ln w="9525">
                      <a:noFill/>
                      <a:miter lim="800000"/>
                      <a:headEnd/>
                      <a:tailEnd/>
                    </a:ln>
                  </pic:spPr>
                </pic:pic>
              </a:graphicData>
            </a:graphic>
          </wp:inline>
        </w:drawing>
      </w:r>
    </w:p>
    <w:p w:rsidR="00FA7C28" w:rsidRPr="00FA7C28" w:rsidRDefault="00FA7C28" w:rsidP="00FA7C28">
      <w:pPr>
        <w:spacing w:after="240" w:line="220" w:lineRule="atLeast"/>
        <w:jc w:val="center"/>
        <w:rPr>
          <w:rFonts w:ascii="Arial" w:hAnsi="Arial"/>
          <w:bCs/>
          <w:noProof/>
          <w:sz w:val="16"/>
          <w:lang w:val="en-US"/>
        </w:rPr>
      </w:pPr>
      <w:r w:rsidRPr="00FA7C28">
        <w:rPr>
          <w:rFonts w:ascii="Arial" w:hAnsi="Arial"/>
          <w:b/>
          <w:bCs/>
          <w:noProof/>
          <w:sz w:val="16"/>
          <w:lang w:val="en-US"/>
        </w:rPr>
        <w:t xml:space="preserve">Figure 4.12  </w:t>
      </w:r>
      <w:r w:rsidRPr="00FA7C28">
        <w:rPr>
          <w:rFonts w:ascii="Arial" w:hAnsi="Arial"/>
          <w:bCs/>
          <w:noProof/>
          <w:sz w:val="16"/>
          <w:lang w:val="en-US"/>
        </w:rPr>
        <w:t>The two main components of an UAS: The aircraft or UAV and the ground control station (GCS).</w:t>
      </w:r>
    </w:p>
    <w:p w:rsidR="00FA7C28" w:rsidRPr="00FA7C28" w:rsidRDefault="00FA7C28" w:rsidP="00FA7C28">
      <w:pPr>
        <w:pStyle w:val="Heading3"/>
      </w:pPr>
      <w:r w:rsidRPr="00FA7C28">
        <w:t xml:space="preserve">4.7.2  UAS at </w:t>
      </w:r>
      <w:r w:rsidRPr="00FA7C28">
        <w:rPr>
          <w:i/>
        </w:rPr>
        <w:t>eriss</w:t>
      </w:r>
      <w:r w:rsidRPr="00FA7C28">
        <w:t xml:space="preserve"> </w:t>
      </w:r>
    </w:p>
    <w:p w:rsidR="00FA7C28" w:rsidRPr="00FA7C28" w:rsidRDefault="00FA7C28" w:rsidP="00FA7C28">
      <w:proofErr w:type="gramStart"/>
      <w:r w:rsidRPr="00FA7C28">
        <w:rPr>
          <w:b/>
          <w:i/>
          <w:sz w:val="23"/>
          <w:szCs w:val="23"/>
        </w:rPr>
        <w:t>eriss</w:t>
      </w:r>
      <w:proofErr w:type="gramEnd"/>
      <w:r w:rsidRPr="00FA7C28">
        <w:t xml:space="preserve"> has acquired a Skycam Swampfox UAV, a fixed-wing aircraft that is propelled by a battery powered electric motor (Figure 4.13a), primarily as a means to monitor the rehabilitation efforts at both Ranger and Jabiluka mine sites. The Revegetation and Landscape Ecology (RLE) group at </w:t>
      </w:r>
      <w:r w:rsidRPr="002A6C22">
        <w:rPr>
          <w:b/>
          <w:i/>
          <w:sz w:val="23"/>
          <w:szCs w:val="23"/>
        </w:rPr>
        <w:t>eriss</w:t>
      </w:r>
      <w:r w:rsidRPr="002A6C22">
        <w:rPr>
          <w:sz w:val="23"/>
          <w:szCs w:val="23"/>
        </w:rPr>
        <w:t xml:space="preserve"> </w:t>
      </w:r>
      <w:r w:rsidRPr="00FA7C28">
        <w:t>are now preparing documentation to submit to Civil Aviation Safety Authority (CASA) to obtain their UAS Operator’s Certificate. All researchers in the RLE group have undertaken training to become CASA certified remote pilots</w:t>
      </w:r>
      <w:r w:rsidR="002A6C22">
        <w:t xml:space="preserve"> and have each undertaken over five</w:t>
      </w:r>
      <w:r w:rsidRPr="00FA7C28">
        <w:t xml:space="preserve"> hours flying of the Swampfox under the tutelage of Skycam’s Lew Woods.</w:t>
      </w:r>
    </w:p>
    <w:p w:rsidR="00D7656C" w:rsidRDefault="00FA7C28" w:rsidP="00D7656C">
      <w:r w:rsidRPr="00FA7C28">
        <w:t>The main payload for the Swampfox is a dual DSLR camera setup: one camera is standard while the other is converted to capture near infrared imagery (Figure 4.13b). The Swampfox also has a secondary payload that includes a video camera that can stream live video back to the GCS.</w:t>
      </w:r>
      <w:r w:rsidR="00D7656C" w:rsidRPr="00D7656C">
        <w:t xml:space="preserve"> </w:t>
      </w:r>
      <w:r w:rsidR="00D7656C" w:rsidRPr="00FA7C28">
        <w:t>We have conducted a number of flights to trial the UAS for use as a monitoring tool. The first flights were undertaken in October 2013 as part of a trial in collaboration with colleagues from University of Queensland’s Centre for Mined Land Rehabilitation mapping a range of environments. Since then fligh</w:t>
      </w:r>
      <w:r w:rsidR="002A6C22">
        <w:t>ts have been conducted in April–</w:t>
      </w:r>
      <w:r w:rsidR="00D7656C" w:rsidRPr="00FA7C28">
        <w:t>May and June 2014 focussing on the rehabilitation efforts at Jabiluka.</w:t>
      </w:r>
    </w:p>
    <w:p w:rsidR="00C525EC" w:rsidRDefault="00C525EC" w:rsidP="00D7656C"/>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5070"/>
        <w:gridCol w:w="2591"/>
      </w:tblGrid>
      <w:tr w:rsidR="00FA7C28" w:rsidRPr="00FA7C28" w:rsidTr="00BA535C">
        <w:tc>
          <w:tcPr>
            <w:tcW w:w="5070" w:type="dxa"/>
          </w:tcPr>
          <w:p w:rsidR="00FA7C28" w:rsidRPr="00FA7C28" w:rsidRDefault="00FA7C28" w:rsidP="00FA7C28">
            <w:pPr>
              <w:spacing w:line="260" w:lineRule="atLeast"/>
              <w:jc w:val="center"/>
              <w:rPr>
                <w:rFonts w:ascii="Garamond" w:hAnsi="Garamond"/>
              </w:rPr>
            </w:pPr>
            <w:r w:rsidRPr="00FA7C28">
              <w:rPr>
                <w:rFonts w:ascii="Garamond" w:hAnsi="Garamond"/>
                <w:noProof/>
                <w:lang w:eastAsia="en-AU"/>
              </w:rPr>
              <w:drawing>
                <wp:inline distT="0" distB="0" distL="0" distR="0">
                  <wp:extent cx="2981325" cy="1800159"/>
                  <wp:effectExtent l="19050" t="0" r="9525" b="0"/>
                  <wp:docPr id="10132" name="Picture 1" descr="\\PVNT01FLPR01\user$\A15585\Documents\My Pictures\Picture1x.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VNT01FLPR01\user$\A15585\Documents\My Pictures\Picture1x.jpg"/>
                          <pic:cNvPicPr>
                            <a:picLocks noChangeAspect="1" noChangeArrowheads="1"/>
                          </pic:cNvPicPr>
                        </pic:nvPicPr>
                        <pic:blipFill>
                          <a:blip r:embed="rId117" cstate="screen"/>
                          <a:srcRect/>
                          <a:stretch>
                            <a:fillRect/>
                          </a:stretch>
                        </pic:blipFill>
                        <pic:spPr bwMode="auto">
                          <a:xfrm>
                            <a:off x="0" y="0"/>
                            <a:ext cx="2981062" cy="1800000"/>
                          </a:xfrm>
                          <a:prstGeom prst="rect">
                            <a:avLst/>
                          </a:prstGeom>
                          <a:noFill/>
                          <a:ln w="9525">
                            <a:noFill/>
                            <a:miter lim="800000"/>
                            <a:headEnd/>
                            <a:tailEnd/>
                          </a:ln>
                        </pic:spPr>
                      </pic:pic>
                    </a:graphicData>
                  </a:graphic>
                </wp:inline>
              </w:drawing>
            </w:r>
          </w:p>
        </w:tc>
        <w:tc>
          <w:tcPr>
            <w:tcW w:w="2591" w:type="dxa"/>
          </w:tcPr>
          <w:p w:rsidR="00FA7C28" w:rsidRPr="00FA7C28" w:rsidRDefault="00FA7C28" w:rsidP="00FA7C28">
            <w:pPr>
              <w:spacing w:line="260" w:lineRule="atLeast"/>
              <w:jc w:val="center"/>
              <w:rPr>
                <w:rFonts w:ascii="Garamond" w:hAnsi="Garamond"/>
              </w:rPr>
            </w:pPr>
            <w:r w:rsidRPr="00FA7C28">
              <w:rPr>
                <w:rFonts w:ascii="Garamond" w:hAnsi="Garamond"/>
                <w:noProof/>
                <w:lang w:eastAsia="en-AU"/>
              </w:rPr>
              <w:drawing>
                <wp:inline distT="0" distB="0" distL="0" distR="0">
                  <wp:extent cx="1452440" cy="1800000"/>
                  <wp:effectExtent l="19050" t="0" r="0" b="0"/>
                  <wp:docPr id="10133" name="Picture 2" descr="Z:\UAV_demo_project\UAV_Demo_Photos\20131008_UAV_Demo\D7R_54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Z:\UAV_demo_project\UAV_Demo_Photos\20131008_UAV_Demo\D7R_5442.JPG"/>
                          <pic:cNvPicPr>
                            <a:picLocks noChangeAspect="1" noChangeArrowheads="1"/>
                          </pic:cNvPicPr>
                        </pic:nvPicPr>
                        <pic:blipFill>
                          <a:blip r:embed="rId118" cstate="screen"/>
                          <a:srcRect/>
                          <a:stretch>
                            <a:fillRect/>
                          </a:stretch>
                        </pic:blipFill>
                        <pic:spPr bwMode="auto">
                          <a:xfrm>
                            <a:off x="0" y="0"/>
                            <a:ext cx="1452440" cy="1800000"/>
                          </a:xfrm>
                          <a:prstGeom prst="rect">
                            <a:avLst/>
                          </a:prstGeom>
                          <a:noFill/>
                          <a:ln w="9525">
                            <a:noFill/>
                            <a:miter lim="800000"/>
                            <a:headEnd/>
                            <a:tailEnd/>
                          </a:ln>
                        </pic:spPr>
                      </pic:pic>
                    </a:graphicData>
                  </a:graphic>
                </wp:inline>
              </w:drawing>
            </w:r>
          </w:p>
        </w:tc>
      </w:tr>
      <w:tr w:rsidR="00FA7C28" w:rsidRPr="00FA7C28" w:rsidTr="00BA535C">
        <w:tc>
          <w:tcPr>
            <w:tcW w:w="5070" w:type="dxa"/>
          </w:tcPr>
          <w:p w:rsidR="00FA7C28" w:rsidRPr="00FA7C28" w:rsidRDefault="00FA7C28" w:rsidP="00FA7C28">
            <w:pPr>
              <w:spacing w:line="260" w:lineRule="atLeast"/>
              <w:jc w:val="center"/>
              <w:rPr>
                <w:rFonts w:ascii="Garamond" w:hAnsi="Garamond"/>
              </w:rPr>
            </w:pPr>
            <w:r w:rsidRPr="00FA7C28">
              <w:rPr>
                <w:rFonts w:ascii="Garamond" w:hAnsi="Garamond"/>
              </w:rPr>
              <w:t>(a)</w:t>
            </w:r>
          </w:p>
        </w:tc>
        <w:tc>
          <w:tcPr>
            <w:tcW w:w="2591" w:type="dxa"/>
          </w:tcPr>
          <w:p w:rsidR="00FA7C28" w:rsidRPr="00FA7C28" w:rsidRDefault="00FA7C28" w:rsidP="00FA7C28">
            <w:pPr>
              <w:spacing w:line="260" w:lineRule="atLeast"/>
              <w:jc w:val="center"/>
              <w:rPr>
                <w:rFonts w:ascii="Garamond" w:hAnsi="Garamond"/>
              </w:rPr>
            </w:pPr>
            <w:r w:rsidRPr="00FA7C28">
              <w:rPr>
                <w:rFonts w:ascii="Garamond" w:hAnsi="Garamond"/>
              </w:rPr>
              <w:t>(b)</w:t>
            </w:r>
          </w:p>
        </w:tc>
      </w:tr>
    </w:tbl>
    <w:p w:rsidR="00FA7C28" w:rsidRPr="00FA7C28" w:rsidRDefault="00FA7C28" w:rsidP="00FA7C28">
      <w:pPr>
        <w:spacing w:after="240" w:line="220" w:lineRule="atLeast"/>
        <w:jc w:val="center"/>
        <w:rPr>
          <w:rFonts w:ascii="Arial" w:hAnsi="Arial"/>
          <w:bCs/>
          <w:noProof/>
          <w:sz w:val="16"/>
          <w:lang w:val="en-US"/>
        </w:rPr>
      </w:pPr>
      <w:r w:rsidRPr="00FA7C28">
        <w:rPr>
          <w:rFonts w:ascii="Arial" w:hAnsi="Arial"/>
          <w:b/>
          <w:bCs/>
          <w:noProof/>
          <w:sz w:val="16"/>
          <w:lang w:val="en-US"/>
        </w:rPr>
        <w:t xml:space="preserve">Figure 4.13  </w:t>
      </w:r>
      <w:r w:rsidRPr="00FA7C28">
        <w:rPr>
          <w:rFonts w:ascii="Arial" w:hAnsi="Arial"/>
          <w:bCs/>
          <w:noProof/>
          <w:sz w:val="16"/>
          <w:lang w:val="en-US"/>
        </w:rPr>
        <w:t>The Swampfox UAS (a) and dual camera payload (b).</w:t>
      </w:r>
    </w:p>
    <w:p w:rsidR="00FA7C28" w:rsidRDefault="00FA7C28" w:rsidP="00FA7C28">
      <w:r w:rsidRPr="00FA7C28">
        <w:t xml:space="preserve">The hundreds of images captured each flight are processed using photogrammetry software developed specifically for use with images collected by a UAS. Using the GPS data from the UAV flight log and the overlapping photos, the outputs include georeferenced orthomosaics in true colour RGB and NIR, 3D point clouds and digital surface models. The NIR imagery is important for assisting with monitoring of plant vigour. Figure 4.14 shows true colour and near infrared orthomosaics produced from a selection of photographs captured at the Djarr Djarr camp rehabilitation site adjacent to the Magela Creek floodplain in October 2013. </w:t>
      </w:r>
    </w:p>
    <w:p w:rsidR="00D7656C" w:rsidRDefault="00D7656C" w:rsidP="00FA7C28"/>
    <w:tbl>
      <w:tblPr>
        <w:tblStyle w:val="TableGrid"/>
        <w:tblW w:w="7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2676"/>
        <w:gridCol w:w="2676"/>
        <w:gridCol w:w="2411"/>
      </w:tblGrid>
      <w:tr w:rsidR="00FA7C28" w:rsidRPr="00FA7C28" w:rsidTr="00BA535C">
        <w:trPr>
          <w:trHeight w:val="3787"/>
        </w:trPr>
        <w:tc>
          <w:tcPr>
            <w:tcW w:w="2676" w:type="dxa"/>
          </w:tcPr>
          <w:p w:rsidR="00FA7C28" w:rsidRPr="00FA7C28" w:rsidRDefault="00FA7C28" w:rsidP="00BA535C">
            <w:pPr>
              <w:spacing w:line="260" w:lineRule="atLeast"/>
              <w:rPr>
                <w:rFonts w:asciiTheme="minorHAnsi" w:hAnsiTheme="minorHAnsi"/>
              </w:rPr>
            </w:pPr>
            <w:r w:rsidRPr="00FA7C28">
              <w:rPr>
                <w:rFonts w:asciiTheme="minorHAnsi" w:hAnsiTheme="minorHAnsi"/>
                <w:noProof/>
                <w:lang w:eastAsia="en-AU"/>
              </w:rPr>
              <w:drawing>
                <wp:inline distT="0" distB="0" distL="0" distR="0">
                  <wp:extent cx="1457325" cy="2295525"/>
                  <wp:effectExtent l="19050" t="0" r="9525" b="0"/>
                  <wp:docPr id="10142" name="Picture 4" descr="Djar_RGB.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ar_RGB.tif"/>
                          <pic:cNvPicPr/>
                        </pic:nvPicPr>
                        <pic:blipFill>
                          <a:blip r:embed="rId119" cstate="screen"/>
                          <a:srcRect/>
                          <a:stretch>
                            <a:fillRect/>
                          </a:stretch>
                        </pic:blipFill>
                        <pic:spPr>
                          <a:xfrm>
                            <a:off x="0" y="0"/>
                            <a:ext cx="1457325" cy="2295525"/>
                          </a:xfrm>
                          <a:prstGeom prst="rect">
                            <a:avLst/>
                          </a:prstGeom>
                        </pic:spPr>
                      </pic:pic>
                    </a:graphicData>
                  </a:graphic>
                </wp:inline>
              </w:drawing>
            </w:r>
          </w:p>
        </w:tc>
        <w:tc>
          <w:tcPr>
            <w:tcW w:w="2676" w:type="dxa"/>
          </w:tcPr>
          <w:p w:rsidR="00FA7C28" w:rsidRPr="00FA7C28" w:rsidRDefault="00FA7C28" w:rsidP="00FA7C28">
            <w:pPr>
              <w:spacing w:line="260" w:lineRule="atLeast"/>
              <w:jc w:val="center"/>
              <w:rPr>
                <w:rFonts w:asciiTheme="minorHAnsi" w:hAnsiTheme="minorHAnsi"/>
              </w:rPr>
            </w:pPr>
            <w:r w:rsidRPr="00FA7C28">
              <w:rPr>
                <w:rFonts w:asciiTheme="minorHAnsi" w:hAnsiTheme="minorHAnsi"/>
                <w:noProof/>
                <w:lang w:eastAsia="en-AU"/>
              </w:rPr>
              <w:drawing>
                <wp:inline distT="0" distB="0" distL="0" distR="0">
                  <wp:extent cx="1438275" cy="2295525"/>
                  <wp:effectExtent l="19050" t="0" r="9525" b="0"/>
                  <wp:docPr id="288" name="Picture 1" descr="Djar_NIR.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ar_NIR.tif"/>
                          <pic:cNvPicPr/>
                        </pic:nvPicPr>
                        <pic:blipFill>
                          <a:blip r:embed="rId120" cstate="screen"/>
                          <a:srcRect/>
                          <a:stretch>
                            <a:fillRect/>
                          </a:stretch>
                        </pic:blipFill>
                        <pic:spPr>
                          <a:xfrm>
                            <a:off x="0" y="0"/>
                            <a:ext cx="1438275" cy="2295525"/>
                          </a:xfrm>
                          <a:prstGeom prst="rect">
                            <a:avLst/>
                          </a:prstGeom>
                        </pic:spPr>
                      </pic:pic>
                    </a:graphicData>
                  </a:graphic>
                </wp:inline>
              </w:drawing>
            </w:r>
          </w:p>
        </w:tc>
        <w:tc>
          <w:tcPr>
            <w:tcW w:w="2411" w:type="dxa"/>
          </w:tcPr>
          <w:p w:rsidR="00FA7C28" w:rsidRPr="00FA7C28" w:rsidRDefault="00FA7C28" w:rsidP="00BA535C">
            <w:pPr>
              <w:spacing w:line="260" w:lineRule="atLeast"/>
              <w:ind w:left="-9"/>
              <w:rPr>
                <w:rFonts w:asciiTheme="minorHAnsi" w:hAnsiTheme="minorHAnsi"/>
              </w:rPr>
            </w:pPr>
            <w:r w:rsidRPr="00FA7C28">
              <w:rPr>
                <w:rFonts w:asciiTheme="minorHAnsi" w:hAnsiTheme="minorHAnsi"/>
                <w:noProof/>
                <w:lang w:eastAsia="en-AU"/>
              </w:rPr>
              <w:drawing>
                <wp:inline distT="0" distB="0" distL="0" distR="0">
                  <wp:extent cx="1533525" cy="2286000"/>
                  <wp:effectExtent l="19050" t="0" r="9525" b="0"/>
                  <wp:docPr id="289" name="Picture 0" descr="Djar_DSM.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jar_DSM.tif"/>
                          <pic:cNvPicPr/>
                        </pic:nvPicPr>
                        <pic:blipFill>
                          <a:blip r:embed="rId121" cstate="screen"/>
                          <a:srcRect/>
                          <a:stretch>
                            <a:fillRect/>
                          </a:stretch>
                        </pic:blipFill>
                        <pic:spPr>
                          <a:xfrm>
                            <a:off x="0" y="0"/>
                            <a:ext cx="1536916" cy="2291055"/>
                          </a:xfrm>
                          <a:prstGeom prst="rect">
                            <a:avLst/>
                          </a:prstGeom>
                        </pic:spPr>
                      </pic:pic>
                    </a:graphicData>
                  </a:graphic>
                </wp:inline>
              </w:drawing>
            </w:r>
          </w:p>
        </w:tc>
      </w:tr>
      <w:tr w:rsidR="00FA7C28" w:rsidRPr="00FA7C28" w:rsidTr="00BA535C">
        <w:trPr>
          <w:trHeight w:val="308"/>
        </w:trPr>
        <w:tc>
          <w:tcPr>
            <w:tcW w:w="2676" w:type="dxa"/>
          </w:tcPr>
          <w:p w:rsidR="00FA7C28" w:rsidRPr="00FA7C28" w:rsidRDefault="00FA7C28" w:rsidP="00FA7C28">
            <w:pPr>
              <w:spacing w:line="260" w:lineRule="atLeast"/>
              <w:jc w:val="center"/>
              <w:rPr>
                <w:rFonts w:ascii="Garamond" w:hAnsi="Garamond"/>
                <w:noProof/>
                <w:lang w:eastAsia="en-AU"/>
              </w:rPr>
            </w:pPr>
            <w:r w:rsidRPr="00FA7C28">
              <w:rPr>
                <w:rFonts w:ascii="Garamond" w:hAnsi="Garamond"/>
                <w:noProof/>
                <w:lang w:eastAsia="en-AU"/>
              </w:rPr>
              <w:t>(a)</w:t>
            </w:r>
          </w:p>
        </w:tc>
        <w:tc>
          <w:tcPr>
            <w:tcW w:w="2676" w:type="dxa"/>
          </w:tcPr>
          <w:p w:rsidR="00FA7C28" w:rsidRPr="00FA7C28" w:rsidRDefault="00FA7C28" w:rsidP="00FA7C28">
            <w:pPr>
              <w:spacing w:line="260" w:lineRule="atLeast"/>
              <w:jc w:val="center"/>
              <w:rPr>
                <w:rFonts w:ascii="Garamond" w:hAnsi="Garamond"/>
                <w:noProof/>
                <w:lang w:eastAsia="en-AU"/>
              </w:rPr>
            </w:pPr>
            <w:r w:rsidRPr="00FA7C28">
              <w:rPr>
                <w:rFonts w:ascii="Garamond" w:hAnsi="Garamond"/>
                <w:noProof/>
                <w:lang w:eastAsia="en-AU"/>
              </w:rPr>
              <w:t>(b)</w:t>
            </w:r>
          </w:p>
        </w:tc>
        <w:tc>
          <w:tcPr>
            <w:tcW w:w="2411" w:type="dxa"/>
          </w:tcPr>
          <w:p w:rsidR="00FA7C28" w:rsidRPr="00FA7C28" w:rsidRDefault="00FA7C28" w:rsidP="00FA7C28">
            <w:pPr>
              <w:spacing w:line="260" w:lineRule="atLeast"/>
              <w:jc w:val="center"/>
              <w:rPr>
                <w:rFonts w:ascii="Garamond" w:hAnsi="Garamond"/>
                <w:noProof/>
                <w:lang w:eastAsia="en-AU"/>
              </w:rPr>
            </w:pPr>
            <w:r w:rsidRPr="00FA7C28">
              <w:rPr>
                <w:rFonts w:ascii="Garamond" w:hAnsi="Garamond"/>
                <w:noProof/>
                <w:lang w:eastAsia="en-AU"/>
              </w:rPr>
              <w:t>(c)</w:t>
            </w:r>
          </w:p>
        </w:tc>
      </w:tr>
    </w:tbl>
    <w:p w:rsidR="00FA7C28" w:rsidRDefault="00FA7C28" w:rsidP="00FA7C28">
      <w:pPr>
        <w:spacing w:after="240" w:line="220" w:lineRule="atLeast"/>
        <w:jc w:val="center"/>
        <w:rPr>
          <w:rFonts w:ascii="Arial" w:hAnsi="Arial"/>
          <w:bCs/>
          <w:noProof/>
          <w:sz w:val="16"/>
          <w:lang w:val="en-US"/>
        </w:rPr>
      </w:pPr>
      <w:r w:rsidRPr="00FA7C28">
        <w:rPr>
          <w:rFonts w:ascii="Arial" w:hAnsi="Arial"/>
          <w:b/>
          <w:bCs/>
          <w:noProof/>
          <w:sz w:val="16"/>
          <w:lang w:val="en-US"/>
        </w:rPr>
        <w:t>Figure 4.14</w:t>
      </w:r>
      <w:r w:rsidRPr="00FA7C28">
        <w:rPr>
          <w:rFonts w:ascii="Arial" w:hAnsi="Arial"/>
          <w:bCs/>
          <w:noProof/>
          <w:sz w:val="16"/>
          <w:lang w:val="en-US"/>
        </w:rPr>
        <w:t xml:space="preserve">  UAV orthomosaics over Djarr Djarr camp rehabilitation site captured in October 2013: True colour mosaic (a), near infrared mosaic (b) and digital surface model (c).</w:t>
      </w:r>
    </w:p>
    <w:p w:rsidR="00BA535C" w:rsidRPr="00FA7C28" w:rsidRDefault="00BA535C" w:rsidP="00BA535C">
      <w:pPr>
        <w:rPr>
          <w:rFonts w:ascii="Arial" w:hAnsi="Arial"/>
          <w:bCs/>
          <w:noProof/>
          <w:sz w:val="16"/>
          <w:lang w:val="en-US"/>
        </w:rPr>
      </w:pPr>
      <w:r w:rsidRPr="00FA7C28">
        <w:t>The mosaics have a pixel resolution of 3 cm. Also shown is the digital surface model indicating heights of the surface. Analysis of the data can provide an indication of the condition of the area of interest.</w:t>
      </w:r>
    </w:p>
    <w:p w:rsidR="006215E0" w:rsidRPr="006215E0" w:rsidRDefault="006215E0" w:rsidP="006215E0">
      <w:pPr>
        <w:pStyle w:val="Heading3"/>
        <w:rPr>
          <w:lang w:val="en-US"/>
        </w:rPr>
      </w:pPr>
      <w:r w:rsidRPr="006215E0">
        <w:rPr>
          <w:lang w:val="en-US"/>
        </w:rPr>
        <w:t>4.7.3  Conclusions and future work</w:t>
      </w:r>
    </w:p>
    <w:p w:rsidR="006215E0" w:rsidRPr="006215E0" w:rsidRDefault="006215E0" w:rsidP="006215E0">
      <w:r w:rsidRPr="006215E0">
        <w:t>The main aim of the project is to establish a robust UAS-based monitoring program</w:t>
      </w:r>
      <w:r w:rsidR="00936D05">
        <w:t>me</w:t>
      </w:r>
      <w:r w:rsidRPr="006215E0">
        <w:t xml:space="preserve"> to evaluate the ongoing success of the rehabilitation of Ranger uranium mine at spatial and temporal scales aligning to the ecological features that are to be observed. Data collected from the flights conducted so far will be used as baselines to further develop image processing and analysis methods. Further work will include the collection of multi-temporal UAS image data to describe the seasonality of plant growth phases and changes in the landscape over time. There will also be further analysis of structural, spectral and textural information within the imagery to discriminate tree, ground cover and aquatic species.</w:t>
      </w:r>
    </w:p>
    <w:p w:rsidR="006215E0" w:rsidRPr="006215E0" w:rsidRDefault="006215E0" w:rsidP="006215E0">
      <w:pPr>
        <w:pStyle w:val="Heading2"/>
      </w:pPr>
      <w:bookmarkStart w:id="255" w:name="_Toc399928193"/>
      <w:r w:rsidRPr="006215E0">
        <w:t>4.8</w:t>
      </w:r>
      <w:r w:rsidRPr="006215E0">
        <w:tab/>
        <w:t>A multi-year assessment of landform evolution model predictions for a trial rehabilitated landform.</w:t>
      </w:r>
      <w:bookmarkEnd w:id="255"/>
    </w:p>
    <w:p w:rsidR="006215E0" w:rsidRPr="006215E0" w:rsidRDefault="006215E0" w:rsidP="006215E0">
      <w:pPr>
        <w:pStyle w:val="Heading3"/>
      </w:pPr>
      <w:r w:rsidRPr="006215E0">
        <w:t>4.8.1 Introduction</w:t>
      </w:r>
    </w:p>
    <w:p w:rsidR="00D7656C" w:rsidRDefault="006215E0" w:rsidP="006215E0">
      <w:r w:rsidRPr="006215E0">
        <w:t xml:space="preserve">The Environmental Research Institute of the Supervising Scientist, in collaboration with research partners at the University of Hull (Professor T. Coulthard) and the University of Newcastle (Associate Professor G. Hancock), has carried out a multi-year assessment of the geomorphic stability of the trial rehabilitated landform of the Ranger mine using the </w:t>
      </w:r>
      <w:r w:rsidRPr="002A6C22">
        <w:rPr>
          <w:i/>
        </w:rPr>
        <w:t>CAESAR-Lisflood</w:t>
      </w:r>
      <w:r w:rsidRPr="006215E0">
        <w:t xml:space="preserve"> landscape evolution model (LEM). </w:t>
      </w:r>
      <w:r w:rsidR="00820CF1">
        <w:t xml:space="preserve">The </w:t>
      </w:r>
      <w:r w:rsidRPr="006215E0">
        <w:t>LEMs can provide information on landform stability at decadal or centennial scales over large spatial extents, and evaluate the sensitivity of these processes to environmental changes. An important issue associated with the use of models is the ability to assess the reliability and accuracy of the model.</w:t>
      </w:r>
      <w:r w:rsidRPr="006215E0">
        <w:rPr>
          <w:i/>
        </w:rPr>
        <w:t xml:space="preserve"> </w:t>
      </w:r>
      <w:r w:rsidRPr="006215E0">
        <w:t xml:space="preserve">In this study, the </w:t>
      </w:r>
      <w:r w:rsidRPr="002A6C22">
        <w:rPr>
          <w:i/>
        </w:rPr>
        <w:t>CAESAR-Lisflood</w:t>
      </w:r>
      <w:r w:rsidRPr="006215E0">
        <w:t xml:space="preserve"> LEM is tested for its ability to predict bedload and suspended sediment loads from specially constructed erosion plots on the Ranger trial landform (Figure 4.15). </w:t>
      </w:r>
    </w:p>
    <w:p w:rsidR="000A5514" w:rsidRPr="006215E0" w:rsidRDefault="000A5514" w:rsidP="000A5514">
      <w:r w:rsidRPr="006215E0">
        <w:t xml:space="preserve">These were compared with field measured observations collected over </w:t>
      </w:r>
      <w:r w:rsidR="002A6C22">
        <w:t>four</w:t>
      </w:r>
      <w:r w:rsidRPr="006215E0">
        <w:t xml:space="preserve"> wet seasons from 2009. Once calibrated for the specific site hydrological conditions, the predicted bedload demonstrated an excellent correspondence with the field data.</w:t>
      </w:r>
      <w:r w:rsidRPr="006215E0">
        <w:rPr>
          <w:i/>
        </w:rPr>
        <w:t xml:space="preserve"> </w:t>
      </w:r>
      <w:r w:rsidRPr="006215E0">
        <w:t xml:space="preserve">However, longer-term simulations of 10 years identified an exhaustion effect in sediment yield from the landform. This latter result indicated that the incorporation of a weathering function into the </w:t>
      </w:r>
      <w:r w:rsidRPr="002A6C22">
        <w:rPr>
          <w:i/>
        </w:rPr>
        <w:t>CAESAR-Lisflood</w:t>
      </w:r>
      <w:r w:rsidRPr="006215E0">
        <w:t xml:space="preserve"> LEM will improve the model’s ability to correctly predict the long term evolution of a rehabilitated landform once it has been constructed.</w:t>
      </w:r>
    </w:p>
    <w:p w:rsidR="006215E0" w:rsidRPr="006215E0" w:rsidRDefault="006215E0" w:rsidP="00BA535C">
      <w:pPr>
        <w:spacing w:line="260" w:lineRule="atLeast"/>
        <w:jc w:val="center"/>
        <w:rPr>
          <w:rFonts w:ascii="Garamond" w:hAnsi="Garamond" w:cs="Arial"/>
          <w:szCs w:val="22"/>
        </w:rPr>
      </w:pPr>
      <w:r w:rsidRPr="006215E0">
        <w:rPr>
          <w:rFonts w:ascii="Garamond" w:hAnsi="Garamond" w:cs="Arial"/>
          <w:noProof/>
          <w:szCs w:val="22"/>
          <w:lang w:eastAsia="en-AU"/>
        </w:rPr>
        <w:drawing>
          <wp:inline distT="0" distB="0" distL="0" distR="0">
            <wp:extent cx="4552950" cy="3286125"/>
            <wp:effectExtent l="19050" t="0" r="0" b="0"/>
            <wp:docPr id="292" name="Picture 1" descr="TrialLandForm_an-report2013.jpg"/>
            <wp:cNvGraphicFramePr/>
            <a:graphic xmlns:a="http://schemas.openxmlformats.org/drawingml/2006/main">
              <a:graphicData uri="http://schemas.openxmlformats.org/drawingml/2006/picture">
                <pic:pic xmlns:pic="http://schemas.openxmlformats.org/drawingml/2006/picture">
                  <pic:nvPicPr>
                    <pic:cNvPr id="6" name="Picture 5" descr="TrialLandForm_an-report2013.jpg"/>
                    <pic:cNvPicPr>
                      <a:picLocks noChangeAspect="1"/>
                    </pic:cNvPicPr>
                  </pic:nvPicPr>
                  <pic:blipFill>
                    <a:blip r:embed="rId122" cstate="screen"/>
                    <a:srcRect/>
                    <a:stretch>
                      <a:fillRect/>
                    </a:stretch>
                  </pic:blipFill>
                  <pic:spPr>
                    <a:xfrm>
                      <a:off x="0" y="0"/>
                      <a:ext cx="4582028" cy="3307112"/>
                    </a:xfrm>
                    <a:prstGeom prst="rect">
                      <a:avLst/>
                    </a:prstGeom>
                  </pic:spPr>
                </pic:pic>
              </a:graphicData>
            </a:graphic>
          </wp:inline>
        </w:drawing>
      </w:r>
    </w:p>
    <w:p w:rsidR="006215E0" w:rsidRPr="006215E0" w:rsidRDefault="006215E0" w:rsidP="006215E0">
      <w:pPr>
        <w:spacing w:after="240" w:line="220" w:lineRule="atLeast"/>
        <w:jc w:val="center"/>
        <w:rPr>
          <w:rFonts w:ascii="Arial" w:hAnsi="Arial"/>
          <w:bCs/>
          <w:noProof/>
          <w:sz w:val="16"/>
          <w:lang w:val="en-US"/>
        </w:rPr>
      </w:pPr>
      <w:r w:rsidRPr="006215E0">
        <w:rPr>
          <w:rFonts w:ascii="Arial" w:hAnsi="Arial"/>
          <w:b/>
          <w:bCs/>
          <w:noProof/>
          <w:sz w:val="16"/>
          <w:lang w:val="en-US"/>
        </w:rPr>
        <w:t>Figure 4.15</w:t>
      </w:r>
      <w:r w:rsidRPr="006215E0">
        <w:rPr>
          <w:rFonts w:ascii="Arial" w:hAnsi="Arial"/>
          <w:bCs/>
          <w:noProof/>
          <w:sz w:val="16"/>
          <w:lang w:val="en-US"/>
        </w:rPr>
        <w:t xml:space="preserve"> Aerial photograph of the trial landform at Ranger mine showing the size and location of plots 1 and 2.</w:t>
      </w:r>
    </w:p>
    <w:p w:rsidR="006215E0" w:rsidRPr="006215E0" w:rsidRDefault="006215E0" w:rsidP="006215E0">
      <w:pPr>
        <w:pStyle w:val="Heading3"/>
      </w:pPr>
      <w:r w:rsidRPr="006215E0">
        <w:t>4.8.2 Methodology</w:t>
      </w:r>
    </w:p>
    <w:p w:rsidR="006215E0" w:rsidRPr="006215E0" w:rsidRDefault="006215E0" w:rsidP="006215E0">
      <w:r w:rsidRPr="006215E0">
        <w:t xml:space="preserve">The application of the </w:t>
      </w:r>
      <w:r w:rsidRPr="002A6C22">
        <w:rPr>
          <w:i/>
        </w:rPr>
        <w:t>CAESAR-Lisflood</w:t>
      </w:r>
      <w:r w:rsidRPr="006215E0">
        <w:t xml:space="preserve"> LEM to the trial landform required the collation and integration of data from a range of different sources. The key data inputs used by the model were a digital elevation model (DEM) of each erosion plot; rainfall data and surface particle size data. </w:t>
      </w:r>
    </w:p>
    <w:p w:rsidR="006215E0" w:rsidRPr="006215E0" w:rsidRDefault="006215E0" w:rsidP="006215E0">
      <w:r w:rsidRPr="006215E0">
        <w:t xml:space="preserve">A DEM of the trial landform was produced from data collected by a Terrestrial Laser Scanner in June 2010. For the purposes of this study, the data for the erosion plots were interpolated to produce a surface grid with a horizontal resolution of 20 cm. The DEMs were processed using ArcGIS software to ensure that the DEMs were pit-filled and hydrologically corrected. This pit filling was important in order to remove data artefacts, which included remnants of vegetation (peaks) as well as artificial depressions, or sinks that existed in the data but were not on the ground. </w:t>
      </w:r>
    </w:p>
    <w:p w:rsidR="006215E0" w:rsidRPr="006215E0" w:rsidRDefault="006215E0" w:rsidP="006215E0">
      <w:r w:rsidRPr="006215E0">
        <w:t xml:space="preserve">For the purposes of this study, the </w:t>
      </w:r>
      <w:r w:rsidRPr="002A6C22">
        <w:rPr>
          <w:i/>
        </w:rPr>
        <w:t>CAESAR-Lisflood</w:t>
      </w:r>
      <w:r w:rsidRPr="006215E0">
        <w:t xml:space="preserve"> model utilised rainfall data collected on the trial landform at a 1-minute interval. The data were aggregated into 10-minute intervals for use in the LEM. Rainfall</w:t>
      </w:r>
      <w:r>
        <w:t xml:space="preserve"> data collected during the 2009–10, 2010–11, 2011–</w:t>
      </w:r>
      <w:r w:rsidRPr="006215E0">
        <w:t xml:space="preserve">12 </w:t>
      </w:r>
      <w:r>
        <w:t>and 2012–</w:t>
      </w:r>
      <w:r w:rsidRPr="006215E0">
        <w:t xml:space="preserve">13 rainfall years from the trial landform surface are used in the simulations reported here. </w:t>
      </w:r>
    </w:p>
    <w:p w:rsidR="006215E0" w:rsidRPr="006215E0" w:rsidRDefault="006215E0" w:rsidP="006215E0">
      <w:r w:rsidRPr="006215E0">
        <w:t xml:space="preserve">Grain size data for </w:t>
      </w:r>
      <w:r w:rsidRPr="002A6C22">
        <w:rPr>
          <w:i/>
        </w:rPr>
        <w:t>CAESAR-Lisflood</w:t>
      </w:r>
      <w:r w:rsidRPr="006215E0">
        <w:t xml:space="preserve"> were obtained from size fractionated bulk samples of surface material collected at eight points on the waste rock surface of the Ranger trial landform. Grain size analysis was completed on these samples and the results averaged into nine grain size classes ranging from 63 µm to 64 mm.</w:t>
      </w:r>
    </w:p>
    <w:p w:rsidR="006215E0" w:rsidRPr="006215E0" w:rsidRDefault="006215E0" w:rsidP="006215E0">
      <w:r w:rsidRPr="006215E0">
        <w:t xml:space="preserve">The </w:t>
      </w:r>
      <w:r w:rsidRPr="002A6C22">
        <w:rPr>
          <w:i/>
        </w:rPr>
        <w:t>CAESAR-Lisflood</w:t>
      </w:r>
      <w:r w:rsidRPr="006215E0">
        <w:t xml:space="preserve"> model currently does not have a weathering function. Consequently, when running simulations for periods of four years, it was necessary to manually simulate a weathering effect. This was done by stopping the simulation after two years, modifying the proportions of the grain size classes used (reducing the proportion of the largest grain size) and restarting the simulation to run for the remaining two years of the simulation period.  </w:t>
      </w:r>
    </w:p>
    <w:p w:rsidR="006215E0" w:rsidRPr="006215E0" w:rsidRDefault="006215E0" w:rsidP="006215E0">
      <w:r w:rsidRPr="006215E0">
        <w:t xml:space="preserve">The comparison of </w:t>
      </w:r>
      <w:r w:rsidRPr="002A6C22">
        <w:rPr>
          <w:i/>
        </w:rPr>
        <w:t>CAESAR-Lisflood</w:t>
      </w:r>
      <w:r w:rsidRPr="006215E0">
        <w:t xml:space="preserve"> modelled results and field measurements focussed on Plots 1 and 2 as they had the most complete sets of validated hydrological and measured bedload data, and corrected DEMs at the time of writing. Consequently, only these two plots have been used in this study.</w:t>
      </w:r>
    </w:p>
    <w:p w:rsidR="00175B00" w:rsidRPr="00175B00" w:rsidRDefault="00175B00" w:rsidP="00175B00">
      <w:r w:rsidRPr="00175B00">
        <w:t>Five sets of simulations have been conducted for each plot:</w:t>
      </w:r>
    </w:p>
    <w:p w:rsidR="00175B00" w:rsidRPr="00175B00" w:rsidRDefault="00175B00" w:rsidP="00175B00">
      <w:pPr>
        <w:numPr>
          <w:ilvl w:val="0"/>
          <w:numId w:val="42"/>
        </w:numPr>
        <w:ind w:hanging="720"/>
      </w:pPr>
      <w:r w:rsidRPr="00175B00">
        <w:t>A 4-year simulation using rainfall data collected on t</w:t>
      </w:r>
      <w:r w:rsidR="000A5514">
        <w:t>he landform for the period 2009–</w:t>
      </w:r>
      <w:r w:rsidRPr="00175B00">
        <w:t>13 at intervals of 10 minutes.</w:t>
      </w:r>
    </w:p>
    <w:p w:rsidR="00175B00" w:rsidRPr="00175B00" w:rsidRDefault="00175B00" w:rsidP="00175B00">
      <w:pPr>
        <w:numPr>
          <w:ilvl w:val="0"/>
          <w:numId w:val="42"/>
        </w:numPr>
        <w:ind w:hanging="720"/>
      </w:pPr>
      <w:r w:rsidRPr="00175B00">
        <w:t>A 10</w:t>
      </w:r>
      <w:r w:rsidR="000A5514">
        <w:t>-year simulation using the 2009–</w:t>
      </w:r>
      <w:r w:rsidRPr="00175B00">
        <w:t>13 rainfall data looped 2.5 times.</w:t>
      </w:r>
    </w:p>
    <w:p w:rsidR="00175B00" w:rsidRPr="00175B00" w:rsidRDefault="00175B00" w:rsidP="00175B00">
      <w:pPr>
        <w:numPr>
          <w:ilvl w:val="0"/>
          <w:numId w:val="42"/>
        </w:numPr>
        <w:ind w:hanging="720"/>
      </w:pPr>
      <w:r w:rsidRPr="00175B00">
        <w:t>A 10</w:t>
      </w:r>
      <w:r w:rsidR="000A5514">
        <w:t>-year simulation using the 2009–</w:t>
      </w:r>
      <w:r w:rsidRPr="00175B00">
        <w:t>13 rainfall data looped 2.5 times  with the inclusion of measured data from an extreme rain event, in which 785 mm fell over 72 h between 17:00 h on 27 February and 17:00 h on 2 March 2007 at Jabiru Airport, inserted in the first year of the simulation.</w:t>
      </w:r>
    </w:p>
    <w:p w:rsidR="00175B00" w:rsidRPr="00175B00" w:rsidRDefault="00175B00" w:rsidP="00175B00">
      <w:pPr>
        <w:numPr>
          <w:ilvl w:val="0"/>
          <w:numId w:val="42"/>
        </w:numPr>
        <w:ind w:hanging="720"/>
      </w:pPr>
      <w:r w:rsidRPr="00175B00">
        <w:t>A 10</w:t>
      </w:r>
      <w:r w:rsidR="000A5514">
        <w:t>-year simulation using the 2009–</w:t>
      </w:r>
      <w:r w:rsidRPr="00175B00">
        <w:t>13 rainfall data looped 2.5 times with the inclusion of the 2007 extreme event inserted in the third year of the simulation.</w:t>
      </w:r>
    </w:p>
    <w:p w:rsidR="00175B00" w:rsidRPr="00175B00" w:rsidRDefault="00175B00" w:rsidP="00175B00">
      <w:pPr>
        <w:numPr>
          <w:ilvl w:val="0"/>
          <w:numId w:val="42"/>
        </w:numPr>
        <w:ind w:hanging="720"/>
      </w:pPr>
      <w:r w:rsidRPr="00175B00">
        <w:t>A 10</w:t>
      </w:r>
      <w:r w:rsidR="000A5514">
        <w:t>-year simulation using the 2009–</w:t>
      </w:r>
      <w:r w:rsidRPr="00175B00">
        <w:t>13 rainfall data looped 2.5 times with the inclusion of the 2007 extreme event inserted in the eighth year of the simulation.</w:t>
      </w:r>
    </w:p>
    <w:p w:rsidR="00175B00" w:rsidRPr="00070604" w:rsidRDefault="00175B00" w:rsidP="00175B00">
      <w:pPr>
        <w:pStyle w:val="Heading3"/>
      </w:pPr>
      <w:r w:rsidRPr="00070604">
        <w:t>4.</w:t>
      </w:r>
      <w:r>
        <w:t>8</w:t>
      </w:r>
      <w:r w:rsidRPr="00070604">
        <w:t>.3  Results</w:t>
      </w:r>
    </w:p>
    <w:p w:rsidR="00741DE6" w:rsidRPr="00175B00" w:rsidRDefault="00175B00" w:rsidP="00741DE6">
      <w:r w:rsidRPr="00070604">
        <w:t>The four-year simulation results for measured and modelled bedload yields are shown in Figures 4.</w:t>
      </w:r>
      <w:r>
        <w:t>16</w:t>
      </w:r>
      <w:r w:rsidRPr="00070604">
        <w:t xml:space="preserve"> (Plot 1) and 4.</w:t>
      </w:r>
      <w:r>
        <w:t>17</w:t>
      </w:r>
      <w:r w:rsidRPr="00070604">
        <w:t xml:space="preserve"> (Plot 2). These i</w:t>
      </w:r>
      <w:r w:rsidR="000A08E4">
        <w:t>ndicate that after a period of four</w:t>
      </w:r>
      <w:r w:rsidRPr="00070604">
        <w:t xml:space="preserve"> years, the modelled and measured bedload figures for both plots are within a range of 10% of each other and thus very similar. </w:t>
      </w:r>
      <w:r w:rsidR="00741DE6" w:rsidRPr="00175B00">
        <w:t>Longer term 10 year simulations of Plots 1 and 2 were run utilising the rainfall scenarios described earlier in the methodology section. Both plots returned the same trends in denudation and sediment yield under the different scenarios (Table 4.3). These show that the addition of an extreme rainfall event after three years produces the greatest increase in sediment yield, whilst the addition of a</w:t>
      </w:r>
      <w:r w:rsidR="002A6C22">
        <w:t>n extreme rainfall event after eight</w:t>
      </w:r>
      <w:r w:rsidR="00741DE6" w:rsidRPr="00175B00">
        <w:t xml:space="preserve"> years does not appear to have an impact on the sediment yield or denudation rate. </w:t>
      </w:r>
    </w:p>
    <w:p w:rsidR="00175B00" w:rsidRPr="00175B00" w:rsidRDefault="00175B00" w:rsidP="00175B00">
      <w:pPr>
        <w:spacing w:line="260" w:lineRule="atLeast"/>
        <w:rPr>
          <w:rFonts w:ascii="Garamond" w:hAnsi="Garamond"/>
        </w:rPr>
      </w:pPr>
      <w:r w:rsidRPr="00175B00">
        <w:rPr>
          <w:rFonts w:ascii="Garamond" w:hAnsi="Garamond"/>
          <w:noProof/>
          <w:lang w:eastAsia="en-AU"/>
        </w:rPr>
        <w:drawing>
          <wp:inline distT="0" distB="0" distL="0" distR="0">
            <wp:extent cx="4614943" cy="3016189"/>
            <wp:effectExtent l="19050" t="0" r="14207" b="0"/>
            <wp:docPr id="297" name="Chart 11"/>
            <wp:cNvGraphicFramePr/>
            <a:graphic xmlns:a="http://schemas.openxmlformats.org/drawingml/2006/main">
              <a:graphicData uri="http://schemas.openxmlformats.org/drawingml/2006/chart">
                <c:chart xmlns:c="http://schemas.openxmlformats.org/drawingml/2006/chart" xmlns:r="http://schemas.openxmlformats.org/officeDocument/2006/relationships" r:id="rId123"/>
              </a:graphicData>
            </a:graphic>
          </wp:inline>
        </w:drawing>
      </w:r>
    </w:p>
    <w:p w:rsidR="00175B00" w:rsidRPr="00175B00" w:rsidRDefault="00175B00" w:rsidP="00175B00">
      <w:pPr>
        <w:spacing w:after="240" w:line="220" w:lineRule="atLeast"/>
        <w:jc w:val="center"/>
        <w:rPr>
          <w:rFonts w:ascii="Arial" w:hAnsi="Arial"/>
          <w:bCs/>
          <w:noProof/>
          <w:sz w:val="16"/>
          <w:szCs w:val="16"/>
          <w:lang w:val="en-US"/>
        </w:rPr>
      </w:pPr>
      <w:r w:rsidRPr="00175B00">
        <w:rPr>
          <w:rFonts w:ascii="Arial" w:hAnsi="Arial"/>
          <w:b/>
          <w:bCs/>
          <w:noProof/>
          <w:sz w:val="16"/>
          <w:lang w:val="en-US"/>
        </w:rPr>
        <w:t xml:space="preserve">Figure 4.16  </w:t>
      </w:r>
      <w:r w:rsidRPr="00175B00">
        <w:rPr>
          <w:rFonts w:ascii="Arial" w:hAnsi="Arial"/>
          <w:bCs/>
          <w:noProof/>
          <w:sz w:val="16"/>
          <w:szCs w:val="16"/>
          <w:lang w:val="en-US"/>
        </w:rPr>
        <w:t>Comparison of modelled cumulative bedload (blue broken line) and field-measured cumulative bedload (red solid line) yield for Plot 1.</w:t>
      </w:r>
    </w:p>
    <w:p w:rsidR="00175B00" w:rsidRPr="00175B00" w:rsidRDefault="00175B00" w:rsidP="00175B00">
      <w:pPr>
        <w:spacing w:line="260" w:lineRule="atLeast"/>
        <w:rPr>
          <w:rFonts w:ascii="Garamond" w:hAnsi="Garamond"/>
          <w:sz w:val="22"/>
          <w:lang w:val="en-US"/>
        </w:rPr>
      </w:pPr>
      <w:r w:rsidRPr="00175B00">
        <w:rPr>
          <w:rFonts w:ascii="Garamond" w:hAnsi="Garamond"/>
          <w:noProof/>
          <w:sz w:val="22"/>
          <w:lang w:eastAsia="en-AU"/>
        </w:rPr>
        <w:drawing>
          <wp:inline distT="0" distB="0" distL="0" distR="0">
            <wp:extent cx="4616472" cy="3017188"/>
            <wp:effectExtent l="19050" t="0" r="12678" b="0"/>
            <wp:docPr id="298" name="Chart 4"/>
            <wp:cNvGraphicFramePr/>
            <a:graphic xmlns:a="http://schemas.openxmlformats.org/drawingml/2006/main">
              <a:graphicData uri="http://schemas.openxmlformats.org/drawingml/2006/chart">
                <c:chart xmlns:c="http://schemas.openxmlformats.org/drawingml/2006/chart" xmlns:r="http://schemas.openxmlformats.org/officeDocument/2006/relationships" r:id="rId124"/>
              </a:graphicData>
            </a:graphic>
          </wp:inline>
        </w:drawing>
      </w:r>
    </w:p>
    <w:p w:rsidR="00175B00" w:rsidRPr="00175B00" w:rsidRDefault="00175B00" w:rsidP="00175B00">
      <w:pPr>
        <w:spacing w:after="240" w:line="220" w:lineRule="atLeast"/>
        <w:jc w:val="center"/>
        <w:rPr>
          <w:rFonts w:ascii="Arial" w:hAnsi="Arial"/>
          <w:bCs/>
          <w:noProof/>
          <w:sz w:val="16"/>
          <w:szCs w:val="16"/>
          <w:lang w:val="en-US"/>
        </w:rPr>
      </w:pPr>
      <w:r w:rsidRPr="00175B00">
        <w:rPr>
          <w:rFonts w:ascii="Arial" w:hAnsi="Arial"/>
          <w:b/>
          <w:bCs/>
          <w:noProof/>
          <w:sz w:val="16"/>
          <w:lang w:val="en-US"/>
        </w:rPr>
        <w:t>Figure 4.17</w:t>
      </w:r>
      <w:r w:rsidRPr="00175B00">
        <w:rPr>
          <w:rFonts w:ascii="Arial" w:hAnsi="Arial"/>
          <w:bCs/>
          <w:noProof/>
          <w:sz w:val="16"/>
          <w:lang w:val="en-US"/>
        </w:rPr>
        <w:t xml:space="preserve">  </w:t>
      </w:r>
      <w:r w:rsidRPr="00175B00">
        <w:rPr>
          <w:rFonts w:ascii="Arial" w:hAnsi="Arial"/>
          <w:bCs/>
          <w:noProof/>
          <w:sz w:val="16"/>
          <w:szCs w:val="16"/>
          <w:lang w:val="en-US"/>
        </w:rPr>
        <w:t xml:space="preserve">Comparison of modelled cumulative bedload </w:t>
      </w:r>
      <w:r w:rsidRPr="00175B00">
        <w:rPr>
          <w:rFonts w:ascii="Arial" w:hAnsi="Arial"/>
          <w:noProof/>
          <w:sz w:val="16"/>
          <w:szCs w:val="16"/>
          <w:lang w:val="en-US"/>
        </w:rPr>
        <w:t xml:space="preserve">(blue broken line) </w:t>
      </w:r>
      <w:r w:rsidRPr="00175B00">
        <w:rPr>
          <w:rFonts w:ascii="Arial" w:hAnsi="Arial"/>
          <w:bCs/>
          <w:noProof/>
          <w:sz w:val="16"/>
          <w:szCs w:val="16"/>
          <w:lang w:val="en-US"/>
        </w:rPr>
        <w:t xml:space="preserve">and field-measured cumulative bedload </w:t>
      </w:r>
      <w:r w:rsidRPr="00175B00">
        <w:rPr>
          <w:rFonts w:ascii="Arial" w:hAnsi="Arial"/>
          <w:noProof/>
          <w:sz w:val="16"/>
          <w:szCs w:val="16"/>
          <w:lang w:val="en-US"/>
        </w:rPr>
        <w:t xml:space="preserve">(red solid line) </w:t>
      </w:r>
      <w:r w:rsidRPr="00175B00">
        <w:rPr>
          <w:rFonts w:ascii="Arial" w:hAnsi="Arial"/>
          <w:bCs/>
          <w:noProof/>
          <w:sz w:val="16"/>
          <w:szCs w:val="16"/>
          <w:lang w:val="en-US"/>
        </w:rPr>
        <w:t>yield for Plot 2.</w:t>
      </w:r>
    </w:p>
    <w:tbl>
      <w:tblPr>
        <w:tblW w:w="7661" w:type="dxa"/>
        <w:tblLook w:val="0000"/>
      </w:tblPr>
      <w:tblGrid>
        <w:gridCol w:w="7661"/>
      </w:tblGrid>
      <w:tr w:rsidR="00175B00" w:rsidRPr="00175B00" w:rsidTr="00175B00">
        <w:trPr>
          <w:trHeight w:val="264"/>
        </w:trPr>
        <w:tc>
          <w:tcPr>
            <w:tcW w:w="7661" w:type="dxa"/>
            <w:shd w:val="clear" w:color="auto" w:fill="D9D9D9"/>
            <w:noWrap/>
            <w:vAlign w:val="bottom"/>
          </w:tcPr>
          <w:p w:rsidR="00175B00" w:rsidRPr="00175B00" w:rsidRDefault="00175B00" w:rsidP="00175B00">
            <w:pPr>
              <w:keepNext/>
              <w:spacing w:before="120" w:after="120" w:line="240" w:lineRule="atLeast"/>
              <w:jc w:val="center"/>
              <w:rPr>
                <w:rFonts w:ascii="Garamond" w:hAnsi="Garamond" w:cs="Arial"/>
                <w:b/>
                <w:caps/>
                <w:sz w:val="18"/>
                <w:lang w:eastAsia="en-AU"/>
              </w:rPr>
            </w:pPr>
            <w:r w:rsidRPr="00175B00">
              <w:rPr>
                <w:rFonts w:ascii="Garamond" w:hAnsi="Garamond" w:cs="Arial"/>
                <w:b/>
                <w:caps/>
                <w:sz w:val="18"/>
              </w:rPr>
              <w:t>Table 4.3 Predicted total loads and denudation rates after 10 years for plots 1 and 2</w:t>
            </w:r>
          </w:p>
        </w:tc>
      </w:tr>
    </w:tbl>
    <w:tbl>
      <w:tblPr>
        <w:tblStyle w:val="TableGrid1"/>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2802"/>
        <w:gridCol w:w="992"/>
        <w:gridCol w:w="1417"/>
        <w:gridCol w:w="993"/>
        <w:gridCol w:w="1457"/>
      </w:tblGrid>
      <w:tr w:rsidR="00175B00" w:rsidRPr="00175B00" w:rsidTr="00175B00">
        <w:tc>
          <w:tcPr>
            <w:tcW w:w="2802" w:type="dxa"/>
          </w:tcPr>
          <w:p w:rsidR="00175B00" w:rsidRPr="00175B00" w:rsidRDefault="00175B00" w:rsidP="00175B00">
            <w:pPr>
              <w:spacing w:before="60" w:after="60" w:line="220" w:lineRule="atLeast"/>
              <w:rPr>
                <w:rFonts w:ascii="Arial" w:eastAsia="Arial Unicode MS" w:hAnsi="Arial"/>
                <w:sz w:val="16"/>
              </w:rPr>
            </w:pPr>
          </w:p>
        </w:tc>
        <w:tc>
          <w:tcPr>
            <w:tcW w:w="2409" w:type="dxa"/>
            <w:gridSpan w:val="2"/>
            <w:tcBorders>
              <w:bottom w:val="single" w:sz="8" w:space="0" w:color="A6A6A6" w:themeColor="background1" w:themeShade="A6"/>
            </w:tcBorders>
          </w:tcPr>
          <w:p w:rsidR="00175B00" w:rsidRPr="00175B00" w:rsidRDefault="00175B00" w:rsidP="00175B00">
            <w:pPr>
              <w:spacing w:before="60" w:after="60" w:line="220" w:lineRule="atLeast"/>
              <w:jc w:val="center"/>
              <w:rPr>
                <w:rFonts w:ascii="Arial" w:eastAsia="Arial Unicode MS" w:hAnsi="Arial"/>
                <w:sz w:val="16"/>
              </w:rPr>
            </w:pPr>
            <w:r w:rsidRPr="00175B00">
              <w:rPr>
                <w:rFonts w:ascii="Arial" w:eastAsia="Arial Unicode MS" w:hAnsi="Arial"/>
                <w:sz w:val="16"/>
              </w:rPr>
              <w:t>Plot 1</w:t>
            </w:r>
          </w:p>
        </w:tc>
        <w:tc>
          <w:tcPr>
            <w:tcW w:w="2450" w:type="dxa"/>
            <w:gridSpan w:val="2"/>
            <w:tcBorders>
              <w:bottom w:val="single" w:sz="8" w:space="0" w:color="A6A6A6" w:themeColor="background1" w:themeShade="A6"/>
            </w:tcBorders>
          </w:tcPr>
          <w:p w:rsidR="00175B00" w:rsidRPr="00175B00" w:rsidRDefault="00175B00" w:rsidP="00175B00">
            <w:pPr>
              <w:spacing w:before="60" w:after="60" w:line="220" w:lineRule="atLeast"/>
              <w:jc w:val="center"/>
              <w:rPr>
                <w:rFonts w:ascii="Arial" w:eastAsia="Arial Unicode MS" w:hAnsi="Arial"/>
                <w:sz w:val="16"/>
              </w:rPr>
            </w:pPr>
            <w:r w:rsidRPr="00175B00">
              <w:rPr>
                <w:rFonts w:ascii="Arial" w:eastAsia="Arial Unicode MS" w:hAnsi="Arial"/>
                <w:sz w:val="16"/>
              </w:rPr>
              <w:t>Plot 2</w:t>
            </w:r>
          </w:p>
        </w:tc>
      </w:tr>
      <w:tr w:rsidR="00820CF1" w:rsidRPr="00175B00" w:rsidTr="00175B00">
        <w:tc>
          <w:tcPr>
            <w:tcW w:w="2802" w:type="dxa"/>
            <w:tcBorders>
              <w:bottom w:val="single" w:sz="8" w:space="0" w:color="A6A6A6" w:themeColor="background1" w:themeShade="A6"/>
            </w:tcBorders>
          </w:tcPr>
          <w:p w:rsidR="00820CF1" w:rsidRPr="00175B00" w:rsidRDefault="00820CF1" w:rsidP="00175B00">
            <w:pPr>
              <w:spacing w:before="60" w:after="60" w:line="220" w:lineRule="atLeast"/>
              <w:rPr>
                <w:rFonts w:ascii="Arial" w:eastAsia="Arial Unicode MS" w:hAnsi="Arial"/>
                <w:sz w:val="16"/>
              </w:rPr>
            </w:pPr>
          </w:p>
        </w:tc>
        <w:tc>
          <w:tcPr>
            <w:tcW w:w="992" w:type="dxa"/>
            <w:tcBorders>
              <w:bottom w:val="single" w:sz="8" w:space="0" w:color="A6A6A6" w:themeColor="background1" w:themeShade="A6"/>
            </w:tcBorders>
          </w:tcPr>
          <w:p w:rsidR="00820CF1" w:rsidRPr="00175B00" w:rsidRDefault="00820CF1" w:rsidP="00175B00">
            <w:pPr>
              <w:spacing w:before="60" w:after="60" w:line="220" w:lineRule="atLeast"/>
              <w:jc w:val="center"/>
              <w:rPr>
                <w:rFonts w:ascii="Arial" w:eastAsia="Arial Unicode MS" w:hAnsi="Arial"/>
                <w:sz w:val="16"/>
              </w:rPr>
            </w:pPr>
            <w:r w:rsidRPr="00175B00">
              <w:rPr>
                <w:rFonts w:ascii="Arial" w:eastAsia="Arial Unicode MS" w:hAnsi="Arial"/>
                <w:sz w:val="16"/>
              </w:rPr>
              <w:t>Total Load (m</w:t>
            </w:r>
            <w:r w:rsidRPr="0093268B">
              <w:rPr>
                <w:rFonts w:ascii="Arial" w:eastAsia="Arial Unicode MS" w:hAnsi="Arial"/>
                <w:snapToGrid w:val="0"/>
                <w:color w:val="000000"/>
                <w:position w:val="5"/>
                <w:sz w:val="12"/>
                <w:u w:color="000000"/>
              </w:rPr>
              <w:t>3</w:t>
            </w:r>
            <w:r w:rsidRPr="00175B00">
              <w:rPr>
                <w:rFonts w:ascii="Arial" w:eastAsia="Arial Unicode MS" w:hAnsi="Arial"/>
                <w:sz w:val="16"/>
              </w:rPr>
              <w:t>)</w:t>
            </w:r>
          </w:p>
        </w:tc>
        <w:tc>
          <w:tcPr>
            <w:tcW w:w="1417" w:type="dxa"/>
            <w:tcBorders>
              <w:bottom w:val="single" w:sz="8" w:space="0" w:color="A6A6A6" w:themeColor="background1" w:themeShade="A6"/>
            </w:tcBorders>
          </w:tcPr>
          <w:p w:rsidR="00820CF1" w:rsidRPr="00175B00" w:rsidRDefault="00820CF1" w:rsidP="00175B00">
            <w:pPr>
              <w:spacing w:before="60" w:after="60" w:line="220" w:lineRule="atLeast"/>
              <w:jc w:val="center"/>
              <w:rPr>
                <w:rFonts w:ascii="Arial" w:eastAsia="Arial Unicode MS" w:hAnsi="Arial"/>
                <w:sz w:val="16"/>
              </w:rPr>
            </w:pPr>
            <w:r w:rsidRPr="00175B00">
              <w:rPr>
                <w:rFonts w:ascii="Arial" w:eastAsia="Arial Unicode MS" w:hAnsi="Arial"/>
                <w:sz w:val="16"/>
              </w:rPr>
              <w:t>Denudation rate (mm yr</w:t>
            </w:r>
            <w:r w:rsidRPr="0093268B">
              <w:rPr>
                <w:rFonts w:ascii="Arial" w:eastAsia="Arial Unicode MS" w:hAnsi="Arial"/>
                <w:snapToGrid w:val="0"/>
                <w:color w:val="000000"/>
                <w:position w:val="5"/>
                <w:sz w:val="12"/>
                <w:u w:color="000000"/>
              </w:rPr>
              <w:t>-1</w:t>
            </w:r>
            <w:r w:rsidRPr="00175B00">
              <w:rPr>
                <w:rFonts w:ascii="Arial" w:eastAsia="Arial Unicode MS" w:hAnsi="Arial"/>
                <w:sz w:val="16"/>
              </w:rPr>
              <w:t>)</w:t>
            </w:r>
          </w:p>
        </w:tc>
        <w:tc>
          <w:tcPr>
            <w:tcW w:w="993" w:type="dxa"/>
            <w:tcBorders>
              <w:bottom w:val="single" w:sz="8" w:space="0" w:color="A6A6A6" w:themeColor="background1" w:themeShade="A6"/>
            </w:tcBorders>
          </w:tcPr>
          <w:p w:rsidR="00820CF1" w:rsidRPr="00175B00" w:rsidRDefault="00820CF1" w:rsidP="00175B00">
            <w:pPr>
              <w:spacing w:before="60" w:after="60" w:line="220" w:lineRule="atLeast"/>
              <w:jc w:val="center"/>
              <w:rPr>
                <w:rFonts w:ascii="Arial" w:eastAsia="Arial Unicode MS" w:hAnsi="Arial"/>
                <w:sz w:val="16"/>
              </w:rPr>
            </w:pPr>
            <w:r w:rsidRPr="00175B00">
              <w:rPr>
                <w:rFonts w:ascii="Arial" w:eastAsia="Arial Unicode MS" w:hAnsi="Arial"/>
                <w:sz w:val="16"/>
              </w:rPr>
              <w:t>Total Load (m</w:t>
            </w:r>
            <w:r w:rsidRPr="0093268B">
              <w:rPr>
                <w:rFonts w:ascii="Arial" w:eastAsia="Arial Unicode MS" w:hAnsi="Arial"/>
                <w:snapToGrid w:val="0"/>
                <w:color w:val="000000"/>
                <w:position w:val="5"/>
                <w:sz w:val="12"/>
                <w:u w:color="000000"/>
              </w:rPr>
              <w:t>3</w:t>
            </w:r>
            <w:r w:rsidRPr="00175B00">
              <w:rPr>
                <w:rFonts w:ascii="Arial" w:eastAsia="Arial Unicode MS" w:hAnsi="Arial"/>
                <w:sz w:val="16"/>
              </w:rPr>
              <w:t>)</w:t>
            </w:r>
          </w:p>
        </w:tc>
        <w:tc>
          <w:tcPr>
            <w:tcW w:w="1457" w:type="dxa"/>
            <w:tcBorders>
              <w:bottom w:val="single" w:sz="8" w:space="0" w:color="A6A6A6" w:themeColor="background1" w:themeShade="A6"/>
            </w:tcBorders>
          </w:tcPr>
          <w:p w:rsidR="00820CF1" w:rsidRPr="00175B00" w:rsidRDefault="00820CF1" w:rsidP="006D1CC6">
            <w:pPr>
              <w:spacing w:before="60" w:after="60" w:line="220" w:lineRule="atLeast"/>
              <w:jc w:val="center"/>
              <w:rPr>
                <w:rFonts w:ascii="Arial" w:eastAsia="Arial Unicode MS" w:hAnsi="Arial"/>
                <w:sz w:val="16"/>
              </w:rPr>
            </w:pPr>
            <w:r w:rsidRPr="00175B00">
              <w:rPr>
                <w:rFonts w:ascii="Arial" w:eastAsia="Arial Unicode MS" w:hAnsi="Arial"/>
                <w:sz w:val="16"/>
              </w:rPr>
              <w:t>Denudation rate</w:t>
            </w:r>
          </w:p>
          <w:p w:rsidR="00820CF1" w:rsidRPr="00175B00" w:rsidRDefault="00820CF1" w:rsidP="00175B00">
            <w:pPr>
              <w:spacing w:before="60" w:after="60" w:line="220" w:lineRule="atLeast"/>
              <w:jc w:val="center"/>
              <w:rPr>
                <w:rFonts w:ascii="Arial" w:eastAsia="Arial Unicode MS" w:hAnsi="Arial"/>
                <w:sz w:val="16"/>
              </w:rPr>
            </w:pPr>
            <w:r w:rsidRPr="00175B00">
              <w:rPr>
                <w:rFonts w:ascii="Arial" w:eastAsia="Arial Unicode MS" w:hAnsi="Arial"/>
                <w:sz w:val="16"/>
              </w:rPr>
              <w:t>(mm yr</w:t>
            </w:r>
            <w:r w:rsidRPr="0093268B">
              <w:rPr>
                <w:rFonts w:ascii="Arial" w:eastAsia="Arial Unicode MS" w:hAnsi="Arial"/>
                <w:snapToGrid w:val="0"/>
                <w:color w:val="000000"/>
                <w:position w:val="5"/>
                <w:sz w:val="12"/>
                <w:u w:color="000000"/>
              </w:rPr>
              <w:t>-1</w:t>
            </w:r>
            <w:r w:rsidRPr="00175B00">
              <w:rPr>
                <w:rFonts w:ascii="Arial" w:eastAsia="Arial Unicode MS" w:hAnsi="Arial"/>
                <w:sz w:val="16"/>
              </w:rPr>
              <w:t>)</w:t>
            </w:r>
          </w:p>
        </w:tc>
      </w:tr>
      <w:tr w:rsidR="00175B00" w:rsidRPr="00175B00" w:rsidTr="00175B00">
        <w:tc>
          <w:tcPr>
            <w:tcW w:w="2802" w:type="dxa"/>
            <w:tcBorders>
              <w:top w:val="single" w:sz="8" w:space="0" w:color="A6A6A6" w:themeColor="background1" w:themeShade="A6"/>
            </w:tcBorders>
          </w:tcPr>
          <w:p w:rsidR="00175B00" w:rsidRPr="00175B00" w:rsidRDefault="00175B00" w:rsidP="00175B00">
            <w:pPr>
              <w:spacing w:before="60" w:after="60" w:line="220" w:lineRule="atLeast"/>
              <w:rPr>
                <w:rFonts w:ascii="Arial" w:eastAsia="Arial Unicode MS" w:hAnsi="Arial"/>
                <w:sz w:val="16"/>
              </w:rPr>
            </w:pPr>
            <w:r w:rsidRPr="00175B00">
              <w:rPr>
                <w:rFonts w:ascii="Arial" w:eastAsia="Arial Unicode MS" w:hAnsi="Arial"/>
                <w:sz w:val="16"/>
              </w:rPr>
              <w:t>10 years</w:t>
            </w:r>
          </w:p>
        </w:tc>
        <w:tc>
          <w:tcPr>
            <w:tcW w:w="992" w:type="dxa"/>
            <w:tcBorders>
              <w:top w:val="single" w:sz="8" w:space="0" w:color="A6A6A6" w:themeColor="background1" w:themeShade="A6"/>
            </w:tcBorders>
          </w:tcPr>
          <w:p w:rsidR="00175B00" w:rsidRPr="00175B00" w:rsidRDefault="00175B00" w:rsidP="00175B00">
            <w:pPr>
              <w:spacing w:before="60" w:after="60" w:line="220" w:lineRule="atLeast"/>
              <w:jc w:val="center"/>
              <w:rPr>
                <w:rFonts w:ascii="Arial" w:eastAsia="Arial Unicode MS" w:hAnsi="Arial"/>
                <w:sz w:val="16"/>
              </w:rPr>
            </w:pPr>
            <w:r w:rsidRPr="00175B00">
              <w:rPr>
                <w:rFonts w:ascii="Arial" w:eastAsia="Arial Unicode MS" w:hAnsi="Arial"/>
                <w:sz w:val="16"/>
              </w:rPr>
              <w:t>0.38</w:t>
            </w:r>
          </w:p>
        </w:tc>
        <w:tc>
          <w:tcPr>
            <w:tcW w:w="1417" w:type="dxa"/>
            <w:tcBorders>
              <w:top w:val="single" w:sz="8" w:space="0" w:color="A6A6A6" w:themeColor="background1" w:themeShade="A6"/>
            </w:tcBorders>
          </w:tcPr>
          <w:p w:rsidR="00175B00" w:rsidRPr="00175B00" w:rsidRDefault="00175B00" w:rsidP="00175B00">
            <w:pPr>
              <w:spacing w:before="60" w:after="60" w:line="220" w:lineRule="atLeast"/>
              <w:jc w:val="center"/>
              <w:rPr>
                <w:rFonts w:ascii="Arial" w:eastAsia="Arial Unicode MS" w:hAnsi="Arial"/>
                <w:sz w:val="16"/>
              </w:rPr>
            </w:pPr>
            <w:r w:rsidRPr="00175B00">
              <w:rPr>
                <w:rFonts w:ascii="Arial" w:eastAsia="Arial Unicode MS" w:hAnsi="Arial"/>
                <w:sz w:val="16"/>
              </w:rPr>
              <w:t>0.04</w:t>
            </w:r>
          </w:p>
        </w:tc>
        <w:tc>
          <w:tcPr>
            <w:tcW w:w="993" w:type="dxa"/>
            <w:tcBorders>
              <w:top w:val="single" w:sz="8" w:space="0" w:color="A6A6A6" w:themeColor="background1" w:themeShade="A6"/>
            </w:tcBorders>
          </w:tcPr>
          <w:p w:rsidR="00175B00" w:rsidRPr="00175B00" w:rsidRDefault="00175B00" w:rsidP="00175B00">
            <w:pPr>
              <w:spacing w:before="60" w:after="60" w:line="220" w:lineRule="atLeast"/>
              <w:jc w:val="center"/>
              <w:rPr>
                <w:rFonts w:ascii="Arial" w:eastAsia="Arial Unicode MS" w:hAnsi="Arial"/>
                <w:sz w:val="16"/>
              </w:rPr>
            </w:pPr>
            <w:r w:rsidRPr="00175B00">
              <w:rPr>
                <w:rFonts w:ascii="Arial" w:eastAsia="Arial Unicode MS" w:hAnsi="Arial"/>
                <w:sz w:val="16"/>
              </w:rPr>
              <w:t>0.24</w:t>
            </w:r>
          </w:p>
        </w:tc>
        <w:tc>
          <w:tcPr>
            <w:tcW w:w="1457" w:type="dxa"/>
            <w:tcBorders>
              <w:top w:val="single" w:sz="8" w:space="0" w:color="A6A6A6" w:themeColor="background1" w:themeShade="A6"/>
            </w:tcBorders>
          </w:tcPr>
          <w:p w:rsidR="00175B00" w:rsidRPr="00175B00" w:rsidRDefault="00175B00" w:rsidP="00175B00">
            <w:pPr>
              <w:spacing w:before="60" w:after="60" w:line="220" w:lineRule="atLeast"/>
              <w:jc w:val="center"/>
              <w:rPr>
                <w:rFonts w:ascii="Arial" w:eastAsia="Arial Unicode MS" w:hAnsi="Arial"/>
                <w:sz w:val="16"/>
              </w:rPr>
            </w:pPr>
            <w:r w:rsidRPr="00175B00">
              <w:rPr>
                <w:rFonts w:ascii="Arial" w:eastAsia="Arial Unicode MS" w:hAnsi="Arial"/>
                <w:sz w:val="16"/>
              </w:rPr>
              <w:t>0.02</w:t>
            </w:r>
          </w:p>
        </w:tc>
      </w:tr>
      <w:tr w:rsidR="00175B00" w:rsidRPr="00175B00" w:rsidTr="00175B00">
        <w:tc>
          <w:tcPr>
            <w:tcW w:w="2802" w:type="dxa"/>
          </w:tcPr>
          <w:p w:rsidR="00175B00" w:rsidRPr="00175B00" w:rsidRDefault="00175B00" w:rsidP="00175B00">
            <w:pPr>
              <w:spacing w:before="60" w:after="60" w:line="220" w:lineRule="atLeast"/>
              <w:rPr>
                <w:rFonts w:ascii="Arial" w:eastAsia="Arial Unicode MS" w:hAnsi="Arial"/>
                <w:sz w:val="16"/>
              </w:rPr>
            </w:pPr>
            <w:r w:rsidRPr="00175B00">
              <w:rPr>
                <w:rFonts w:ascii="Arial" w:eastAsia="Arial Unicode MS" w:hAnsi="Arial"/>
                <w:sz w:val="16"/>
              </w:rPr>
              <w:t>10 years – extreme event in year 1</w:t>
            </w:r>
          </w:p>
        </w:tc>
        <w:tc>
          <w:tcPr>
            <w:tcW w:w="992" w:type="dxa"/>
          </w:tcPr>
          <w:p w:rsidR="00175B00" w:rsidRPr="00175B00" w:rsidRDefault="00175B00" w:rsidP="00175B00">
            <w:pPr>
              <w:spacing w:before="60" w:after="60" w:line="220" w:lineRule="atLeast"/>
              <w:jc w:val="center"/>
              <w:rPr>
                <w:rFonts w:ascii="Arial" w:eastAsia="Arial Unicode MS" w:hAnsi="Arial"/>
                <w:sz w:val="16"/>
              </w:rPr>
            </w:pPr>
            <w:r w:rsidRPr="00175B00">
              <w:rPr>
                <w:rFonts w:ascii="Arial" w:eastAsia="Arial Unicode MS" w:hAnsi="Arial"/>
                <w:sz w:val="16"/>
              </w:rPr>
              <w:t>0.44</w:t>
            </w:r>
          </w:p>
        </w:tc>
        <w:tc>
          <w:tcPr>
            <w:tcW w:w="1417" w:type="dxa"/>
          </w:tcPr>
          <w:p w:rsidR="00175B00" w:rsidRPr="00175B00" w:rsidRDefault="00175B00" w:rsidP="00175B00">
            <w:pPr>
              <w:spacing w:before="60" w:after="60" w:line="220" w:lineRule="atLeast"/>
              <w:jc w:val="center"/>
              <w:rPr>
                <w:rFonts w:ascii="Arial" w:eastAsia="Arial Unicode MS" w:hAnsi="Arial"/>
                <w:sz w:val="16"/>
              </w:rPr>
            </w:pPr>
            <w:r w:rsidRPr="00175B00">
              <w:rPr>
                <w:rFonts w:ascii="Arial" w:eastAsia="Arial Unicode MS" w:hAnsi="Arial"/>
                <w:sz w:val="16"/>
              </w:rPr>
              <w:t>0.05</w:t>
            </w:r>
          </w:p>
        </w:tc>
        <w:tc>
          <w:tcPr>
            <w:tcW w:w="993" w:type="dxa"/>
          </w:tcPr>
          <w:p w:rsidR="00175B00" w:rsidRPr="00175B00" w:rsidRDefault="00175B00" w:rsidP="00175B00">
            <w:pPr>
              <w:spacing w:before="60" w:after="60" w:line="220" w:lineRule="atLeast"/>
              <w:jc w:val="center"/>
              <w:rPr>
                <w:rFonts w:ascii="Arial" w:eastAsia="Arial Unicode MS" w:hAnsi="Arial"/>
                <w:sz w:val="16"/>
              </w:rPr>
            </w:pPr>
            <w:r w:rsidRPr="00175B00">
              <w:rPr>
                <w:rFonts w:ascii="Arial" w:eastAsia="Arial Unicode MS" w:hAnsi="Arial"/>
                <w:sz w:val="16"/>
              </w:rPr>
              <w:t>0.37</w:t>
            </w:r>
          </w:p>
        </w:tc>
        <w:tc>
          <w:tcPr>
            <w:tcW w:w="1457" w:type="dxa"/>
          </w:tcPr>
          <w:p w:rsidR="00175B00" w:rsidRPr="00175B00" w:rsidRDefault="00175B00" w:rsidP="00175B00">
            <w:pPr>
              <w:spacing w:before="60" w:after="60" w:line="220" w:lineRule="atLeast"/>
              <w:jc w:val="center"/>
              <w:rPr>
                <w:rFonts w:ascii="Arial" w:eastAsia="Arial Unicode MS" w:hAnsi="Arial"/>
                <w:sz w:val="16"/>
              </w:rPr>
            </w:pPr>
            <w:r w:rsidRPr="00175B00">
              <w:rPr>
                <w:rFonts w:ascii="Arial" w:eastAsia="Arial Unicode MS" w:hAnsi="Arial"/>
                <w:sz w:val="16"/>
              </w:rPr>
              <w:t>0.04</w:t>
            </w:r>
          </w:p>
        </w:tc>
      </w:tr>
      <w:tr w:rsidR="00175B00" w:rsidRPr="00175B00" w:rsidTr="00175B00">
        <w:tc>
          <w:tcPr>
            <w:tcW w:w="2802" w:type="dxa"/>
          </w:tcPr>
          <w:p w:rsidR="00175B00" w:rsidRPr="00175B00" w:rsidRDefault="00175B00" w:rsidP="00175B00">
            <w:pPr>
              <w:spacing w:before="60" w:after="60" w:line="220" w:lineRule="atLeast"/>
              <w:rPr>
                <w:rFonts w:ascii="Arial" w:eastAsia="Arial Unicode MS" w:hAnsi="Arial"/>
                <w:sz w:val="16"/>
              </w:rPr>
            </w:pPr>
            <w:r w:rsidRPr="00175B00">
              <w:rPr>
                <w:rFonts w:ascii="Arial" w:eastAsia="Arial Unicode MS" w:hAnsi="Arial"/>
                <w:sz w:val="16"/>
              </w:rPr>
              <w:t>10 years – extreme event in year 3</w:t>
            </w:r>
          </w:p>
        </w:tc>
        <w:tc>
          <w:tcPr>
            <w:tcW w:w="992" w:type="dxa"/>
          </w:tcPr>
          <w:p w:rsidR="00175B00" w:rsidRPr="00175B00" w:rsidRDefault="00175B00" w:rsidP="00175B00">
            <w:pPr>
              <w:spacing w:before="60" w:after="60" w:line="220" w:lineRule="atLeast"/>
              <w:jc w:val="center"/>
              <w:rPr>
                <w:rFonts w:ascii="Arial" w:eastAsia="Arial Unicode MS" w:hAnsi="Arial"/>
                <w:sz w:val="16"/>
              </w:rPr>
            </w:pPr>
            <w:r w:rsidRPr="00175B00">
              <w:rPr>
                <w:rFonts w:ascii="Arial" w:eastAsia="Arial Unicode MS" w:hAnsi="Arial"/>
                <w:sz w:val="16"/>
              </w:rPr>
              <w:t>0.54</w:t>
            </w:r>
          </w:p>
        </w:tc>
        <w:tc>
          <w:tcPr>
            <w:tcW w:w="1417" w:type="dxa"/>
          </w:tcPr>
          <w:p w:rsidR="00175B00" w:rsidRPr="00175B00" w:rsidRDefault="00175B00" w:rsidP="00175B00">
            <w:pPr>
              <w:spacing w:before="60" w:after="60" w:line="220" w:lineRule="atLeast"/>
              <w:jc w:val="center"/>
              <w:rPr>
                <w:rFonts w:ascii="Arial" w:eastAsia="Arial Unicode MS" w:hAnsi="Arial"/>
                <w:sz w:val="16"/>
              </w:rPr>
            </w:pPr>
            <w:r w:rsidRPr="00175B00">
              <w:rPr>
                <w:rFonts w:ascii="Arial" w:eastAsia="Arial Unicode MS" w:hAnsi="Arial"/>
                <w:sz w:val="16"/>
              </w:rPr>
              <w:t>0.06</w:t>
            </w:r>
          </w:p>
        </w:tc>
        <w:tc>
          <w:tcPr>
            <w:tcW w:w="993" w:type="dxa"/>
          </w:tcPr>
          <w:p w:rsidR="00175B00" w:rsidRPr="00175B00" w:rsidRDefault="00175B00" w:rsidP="00175B00">
            <w:pPr>
              <w:spacing w:before="60" w:after="60" w:line="220" w:lineRule="atLeast"/>
              <w:jc w:val="center"/>
              <w:rPr>
                <w:rFonts w:ascii="Arial" w:eastAsia="Arial Unicode MS" w:hAnsi="Arial"/>
                <w:sz w:val="16"/>
              </w:rPr>
            </w:pPr>
            <w:r w:rsidRPr="00175B00">
              <w:rPr>
                <w:rFonts w:ascii="Arial" w:eastAsia="Arial Unicode MS" w:hAnsi="Arial"/>
                <w:sz w:val="16"/>
              </w:rPr>
              <w:t>0.41</w:t>
            </w:r>
          </w:p>
        </w:tc>
        <w:tc>
          <w:tcPr>
            <w:tcW w:w="1457" w:type="dxa"/>
          </w:tcPr>
          <w:p w:rsidR="00175B00" w:rsidRPr="00175B00" w:rsidRDefault="00175B00" w:rsidP="00175B00">
            <w:pPr>
              <w:spacing w:before="60" w:after="60" w:line="220" w:lineRule="atLeast"/>
              <w:jc w:val="center"/>
              <w:rPr>
                <w:rFonts w:ascii="Arial" w:eastAsia="Arial Unicode MS" w:hAnsi="Arial"/>
                <w:sz w:val="16"/>
              </w:rPr>
            </w:pPr>
            <w:r w:rsidRPr="00175B00">
              <w:rPr>
                <w:rFonts w:ascii="Arial" w:eastAsia="Arial Unicode MS" w:hAnsi="Arial"/>
                <w:sz w:val="16"/>
              </w:rPr>
              <w:t>0.05</w:t>
            </w:r>
          </w:p>
        </w:tc>
      </w:tr>
      <w:tr w:rsidR="00175B00" w:rsidRPr="00175B00" w:rsidTr="00175B00">
        <w:tc>
          <w:tcPr>
            <w:tcW w:w="2802" w:type="dxa"/>
            <w:tcBorders>
              <w:bottom w:val="single" w:sz="8" w:space="0" w:color="A6A6A6" w:themeColor="background1" w:themeShade="A6"/>
            </w:tcBorders>
          </w:tcPr>
          <w:p w:rsidR="00175B00" w:rsidRPr="00175B00" w:rsidRDefault="00175B00" w:rsidP="00175B00">
            <w:pPr>
              <w:spacing w:before="60" w:after="60" w:line="220" w:lineRule="atLeast"/>
              <w:rPr>
                <w:rFonts w:ascii="Arial" w:eastAsia="Arial Unicode MS" w:hAnsi="Arial"/>
                <w:sz w:val="16"/>
              </w:rPr>
            </w:pPr>
            <w:r w:rsidRPr="00175B00">
              <w:rPr>
                <w:rFonts w:ascii="Arial" w:eastAsia="Arial Unicode MS" w:hAnsi="Arial"/>
                <w:sz w:val="16"/>
              </w:rPr>
              <w:t>10 years – extreme event in year 8</w:t>
            </w:r>
          </w:p>
        </w:tc>
        <w:tc>
          <w:tcPr>
            <w:tcW w:w="992" w:type="dxa"/>
            <w:tcBorders>
              <w:bottom w:val="single" w:sz="8" w:space="0" w:color="A6A6A6" w:themeColor="background1" w:themeShade="A6"/>
            </w:tcBorders>
          </w:tcPr>
          <w:p w:rsidR="00175B00" w:rsidRPr="00175B00" w:rsidRDefault="00175B00" w:rsidP="00175B00">
            <w:pPr>
              <w:spacing w:before="60" w:after="60" w:line="220" w:lineRule="atLeast"/>
              <w:jc w:val="center"/>
              <w:rPr>
                <w:rFonts w:ascii="Arial" w:eastAsia="Arial Unicode MS" w:hAnsi="Arial"/>
                <w:sz w:val="16"/>
              </w:rPr>
            </w:pPr>
            <w:r w:rsidRPr="00175B00">
              <w:rPr>
                <w:rFonts w:ascii="Arial" w:eastAsia="Arial Unicode MS" w:hAnsi="Arial"/>
                <w:sz w:val="16"/>
              </w:rPr>
              <w:t>0.38</w:t>
            </w:r>
          </w:p>
        </w:tc>
        <w:tc>
          <w:tcPr>
            <w:tcW w:w="1417" w:type="dxa"/>
            <w:tcBorders>
              <w:bottom w:val="single" w:sz="8" w:space="0" w:color="A6A6A6" w:themeColor="background1" w:themeShade="A6"/>
            </w:tcBorders>
          </w:tcPr>
          <w:p w:rsidR="00175B00" w:rsidRPr="00175B00" w:rsidRDefault="00175B00" w:rsidP="00175B00">
            <w:pPr>
              <w:spacing w:before="60" w:after="60" w:line="220" w:lineRule="atLeast"/>
              <w:jc w:val="center"/>
              <w:rPr>
                <w:rFonts w:ascii="Arial" w:eastAsia="Arial Unicode MS" w:hAnsi="Arial"/>
                <w:sz w:val="16"/>
              </w:rPr>
            </w:pPr>
            <w:r w:rsidRPr="00175B00">
              <w:rPr>
                <w:rFonts w:ascii="Arial" w:eastAsia="Arial Unicode MS" w:hAnsi="Arial"/>
                <w:sz w:val="16"/>
              </w:rPr>
              <w:t>0.04</w:t>
            </w:r>
          </w:p>
        </w:tc>
        <w:tc>
          <w:tcPr>
            <w:tcW w:w="993" w:type="dxa"/>
            <w:tcBorders>
              <w:bottom w:val="single" w:sz="8" w:space="0" w:color="A6A6A6" w:themeColor="background1" w:themeShade="A6"/>
            </w:tcBorders>
          </w:tcPr>
          <w:p w:rsidR="00175B00" w:rsidRPr="00175B00" w:rsidRDefault="00175B00" w:rsidP="00175B00">
            <w:pPr>
              <w:spacing w:before="60" w:after="60" w:line="220" w:lineRule="atLeast"/>
              <w:jc w:val="center"/>
              <w:rPr>
                <w:rFonts w:ascii="Arial" w:eastAsia="Arial Unicode MS" w:hAnsi="Arial"/>
                <w:sz w:val="16"/>
              </w:rPr>
            </w:pPr>
            <w:r w:rsidRPr="00175B00">
              <w:rPr>
                <w:rFonts w:ascii="Arial" w:eastAsia="Arial Unicode MS" w:hAnsi="Arial"/>
                <w:sz w:val="16"/>
              </w:rPr>
              <w:t>0.24</w:t>
            </w:r>
          </w:p>
        </w:tc>
        <w:tc>
          <w:tcPr>
            <w:tcW w:w="1457" w:type="dxa"/>
            <w:tcBorders>
              <w:bottom w:val="single" w:sz="8" w:space="0" w:color="A6A6A6" w:themeColor="background1" w:themeShade="A6"/>
            </w:tcBorders>
          </w:tcPr>
          <w:p w:rsidR="00175B00" w:rsidRPr="00175B00" w:rsidRDefault="00175B00" w:rsidP="00175B00">
            <w:pPr>
              <w:spacing w:before="60" w:after="60" w:line="220" w:lineRule="atLeast"/>
              <w:jc w:val="center"/>
              <w:rPr>
                <w:rFonts w:ascii="Arial" w:eastAsia="Arial Unicode MS" w:hAnsi="Arial"/>
                <w:sz w:val="16"/>
              </w:rPr>
            </w:pPr>
            <w:r w:rsidRPr="00175B00">
              <w:rPr>
                <w:rFonts w:ascii="Arial" w:eastAsia="Arial Unicode MS" w:hAnsi="Arial"/>
                <w:sz w:val="16"/>
              </w:rPr>
              <w:t>0.02</w:t>
            </w:r>
          </w:p>
        </w:tc>
      </w:tr>
    </w:tbl>
    <w:p w:rsidR="00741DE6" w:rsidRDefault="00741DE6" w:rsidP="00741DE6"/>
    <w:p w:rsidR="00175B00" w:rsidRDefault="00175B00" w:rsidP="00741DE6">
      <w:r w:rsidRPr="00175B00">
        <w:t xml:space="preserve">The introduction of an extreme event (utilising the rainfall from February 2007) at the beginning of year 3 and toward the end of the simulation period is shown in Figures 4.18 and 4.19 respectively. All simulations for both plots show a sediment exhaustion effect well before the end of the 10 years, regardless of the presence or timing of the extreme event.  </w:t>
      </w:r>
    </w:p>
    <w:p w:rsidR="00985072" w:rsidRPr="00175B00" w:rsidRDefault="00985072" w:rsidP="00741DE6"/>
    <w:p w:rsidR="00175B00" w:rsidRDefault="00175B00" w:rsidP="00175B00">
      <w:pPr>
        <w:pStyle w:val="figurecaption"/>
        <w:rPr>
          <w:b/>
        </w:rPr>
      </w:pPr>
      <w:r w:rsidRPr="00070604">
        <w:rPr>
          <w:rFonts w:cs="Arial"/>
          <w:b/>
          <w:sz w:val="24"/>
          <w:szCs w:val="28"/>
          <w:lang w:val="en-AU" w:eastAsia="en-AU"/>
        </w:rPr>
        <w:drawing>
          <wp:inline distT="0" distB="0" distL="0" distR="0">
            <wp:extent cx="4732020" cy="2988164"/>
            <wp:effectExtent l="19050" t="0" r="11430" b="2686"/>
            <wp:docPr id="299" name="Chart 2"/>
            <wp:cNvGraphicFramePr/>
            <a:graphic xmlns:a="http://schemas.openxmlformats.org/drawingml/2006/main">
              <a:graphicData uri="http://schemas.openxmlformats.org/drawingml/2006/chart">
                <c:chart xmlns:c="http://schemas.openxmlformats.org/drawingml/2006/chart" xmlns:r="http://schemas.openxmlformats.org/officeDocument/2006/relationships" r:id="rId125"/>
              </a:graphicData>
            </a:graphic>
          </wp:inline>
        </w:drawing>
      </w:r>
    </w:p>
    <w:p w:rsidR="00175B00" w:rsidRPr="0059097A" w:rsidRDefault="00175B00" w:rsidP="00175B00">
      <w:pPr>
        <w:pStyle w:val="figurecaption"/>
      </w:pPr>
      <w:r>
        <w:rPr>
          <w:b/>
        </w:rPr>
        <w:t>Fig</w:t>
      </w:r>
      <w:r w:rsidRPr="0059097A">
        <w:rPr>
          <w:b/>
        </w:rPr>
        <w:t>ure 4.1</w:t>
      </w:r>
      <w:r>
        <w:rPr>
          <w:b/>
        </w:rPr>
        <w:t>8</w:t>
      </w:r>
      <w:r w:rsidRPr="0059097A">
        <w:t xml:space="preserve"> 10 year simulation for Plot 2 with the extreme rain event after 3 years.</w:t>
      </w:r>
    </w:p>
    <w:p w:rsidR="00175B00" w:rsidRDefault="00175B00" w:rsidP="00175B00">
      <w:pPr>
        <w:pStyle w:val="figurecaption"/>
      </w:pPr>
      <w:r w:rsidRPr="00070604">
        <w:rPr>
          <w:lang w:val="en-AU" w:eastAsia="en-AU"/>
        </w:rPr>
        <w:drawing>
          <wp:inline distT="0" distB="0" distL="0" distR="0">
            <wp:extent cx="4171950" cy="2603821"/>
            <wp:effectExtent l="19050" t="0" r="19050" b="6029"/>
            <wp:docPr id="300" name="Chart 3"/>
            <wp:cNvGraphicFramePr/>
            <a:graphic xmlns:a="http://schemas.openxmlformats.org/drawingml/2006/main">
              <a:graphicData uri="http://schemas.openxmlformats.org/drawingml/2006/chart">
                <c:chart xmlns:c="http://schemas.openxmlformats.org/drawingml/2006/chart" xmlns:r="http://schemas.openxmlformats.org/officeDocument/2006/relationships" r:id="rId126"/>
              </a:graphicData>
            </a:graphic>
          </wp:inline>
        </w:drawing>
      </w:r>
    </w:p>
    <w:p w:rsidR="00175B00" w:rsidRPr="0059097A" w:rsidRDefault="00175B00" w:rsidP="00175B00">
      <w:pPr>
        <w:pStyle w:val="figurecaption"/>
      </w:pPr>
      <w:r w:rsidRPr="0059097A">
        <w:rPr>
          <w:b/>
        </w:rPr>
        <w:t>Figure 4.1</w:t>
      </w:r>
      <w:r>
        <w:rPr>
          <w:b/>
        </w:rPr>
        <w:t>9</w:t>
      </w:r>
      <w:r w:rsidRPr="0059097A">
        <w:t xml:space="preserve"> 10 year simulation for Plot 2 with the extreme rain event after 8 years.</w:t>
      </w:r>
    </w:p>
    <w:p w:rsidR="00175B00" w:rsidRPr="00175B00" w:rsidRDefault="00175B00" w:rsidP="00175B00">
      <w:pPr>
        <w:pStyle w:val="Heading3"/>
      </w:pPr>
      <w:r w:rsidRPr="00175B00">
        <w:t>4.8.4  Conclusions and future work</w:t>
      </w:r>
    </w:p>
    <w:p w:rsidR="00175B00" w:rsidRPr="00175B00" w:rsidRDefault="00175B00" w:rsidP="00175B00">
      <w:r w:rsidRPr="00175B00">
        <w:t xml:space="preserve">The predicted bedload yields from the </w:t>
      </w:r>
      <w:r w:rsidRPr="008F05AD">
        <w:rPr>
          <w:i/>
        </w:rPr>
        <w:t>CAESAR-Lisflood</w:t>
      </w:r>
      <w:r w:rsidRPr="00175B00">
        <w:t xml:space="preserve"> simulation for the period 2009-2013 demonstrate an excellent correspondence with the field measurements for the same period for both Plots 1 and 2. For the first two </w:t>
      </w:r>
      <w:r w:rsidR="00741DE6">
        <w:t>years (2009–</w:t>
      </w:r>
      <w:r w:rsidRPr="00175B00">
        <w:t>2011), measured cumulative bedload from Plot 1 (Figure 4.16) was slightly higher than the predicted cumulative bedload. Ho</w:t>
      </w:r>
      <w:r w:rsidR="0097214A">
        <w:t>wever, at the start of the 2011–</w:t>
      </w:r>
      <w:r w:rsidRPr="00175B00">
        <w:t xml:space="preserve">12 water </w:t>
      </w:r>
      <w:proofErr w:type="gramStart"/>
      <w:r w:rsidRPr="00175B00">
        <w:t>year</w:t>
      </w:r>
      <w:proofErr w:type="gramEnd"/>
      <w:r w:rsidRPr="00175B00">
        <w:t>, a spike in predicted bedload yield occurred, which exceeds the measured bedload. This is attributed to a manual (as opposed to automatic) modification in the proportion of the larger particle sizes used in the simulation.  This represented an attempt to manually introduce a weathering function into the</w:t>
      </w:r>
      <w:r w:rsidRPr="008F05AD">
        <w:rPr>
          <w:i/>
        </w:rPr>
        <w:t xml:space="preserve"> CAESAR-Lisflood </w:t>
      </w:r>
      <w:r w:rsidRPr="00175B00">
        <w:t>model. The effect of this was to produce a final predicted bedload yield which is approximately 3% greater than the final measured bedload yield. The similarity between the final predicted and measured bedload yields provides encouragement that the model is able to predict bedload from a rehabilitated surface. For Plot 2 (Figure 4.17), the predicted bedload generally compares well with the measured bedload. Compared to Plot 1, the predicted bedload is less than the measured throughout the simulated period. However, at the end of the simulation period, the total bedload yield of both the predicted and measured datasets are very similar – within 7% of each other.</w:t>
      </w:r>
    </w:p>
    <w:p w:rsidR="00820CF1" w:rsidRPr="00175B00" w:rsidRDefault="00820CF1" w:rsidP="00820CF1">
      <w:r w:rsidRPr="00175B00">
        <w:t>The denudation rates for Plots 1 and 2 are 0.07 mm</w:t>
      </w:r>
      <w:r>
        <w:t xml:space="preserve"> </w:t>
      </w:r>
      <w:r w:rsidRPr="00175B00">
        <w:t>yr</w:t>
      </w:r>
      <w:r w:rsidRPr="0093268B">
        <w:rPr>
          <w:snapToGrid w:val="0"/>
          <w:color w:val="000000"/>
          <w:position w:val="5"/>
          <w:sz w:val="13"/>
          <w:szCs w:val="0"/>
          <w:u w:color="000000"/>
        </w:rPr>
        <w:t>-1</w:t>
      </w:r>
      <w:r w:rsidRPr="00175B00">
        <w:t xml:space="preserve"> and 0.06 mm</w:t>
      </w:r>
      <w:r>
        <w:t xml:space="preserve"> </w:t>
      </w:r>
      <w:r w:rsidRPr="00175B00">
        <w:t>yr</w:t>
      </w:r>
      <w:r w:rsidRPr="0093268B">
        <w:rPr>
          <w:snapToGrid w:val="0"/>
          <w:color w:val="000000"/>
          <w:position w:val="5"/>
          <w:sz w:val="13"/>
          <w:szCs w:val="0"/>
          <w:u w:color="000000"/>
        </w:rPr>
        <w:t>-1</w:t>
      </w:r>
      <w:r w:rsidRPr="00175B00">
        <w:t>, respectively, over a simulated period of four years. These are higher than the published rates (0.01 – 0.04 mm</w:t>
      </w:r>
      <w:r>
        <w:t xml:space="preserve"> </w:t>
      </w:r>
      <w:r w:rsidRPr="00175B00">
        <w:t>yr</w:t>
      </w:r>
      <w:r w:rsidRPr="0093268B">
        <w:rPr>
          <w:snapToGrid w:val="0"/>
          <w:color w:val="000000"/>
          <w:position w:val="5"/>
          <w:sz w:val="13"/>
          <w:szCs w:val="0"/>
          <w:u w:color="000000"/>
        </w:rPr>
        <w:t>-1</w:t>
      </w:r>
      <w:r w:rsidRPr="00175B00">
        <w:t>) of natural denudation for the region. However, it must be noted that the latter were determined from a range of catchments of different size. In this study, each plot represented a closed catchment of approximately 900 m</w:t>
      </w:r>
      <w:r w:rsidRPr="008F05AD">
        <w:rPr>
          <w:vertAlign w:val="superscript"/>
        </w:rPr>
        <w:t>2</w:t>
      </w:r>
      <w:r w:rsidRPr="00175B00">
        <w:t xml:space="preserve"> with little initial vegetation cover and freshly exposed unweathered waste rock. When extended to a simulated period of 10 years, the predicted denudation rates for both plots matched the published rates. </w:t>
      </w:r>
    </w:p>
    <w:p w:rsidR="00175B00" w:rsidRPr="00175B00" w:rsidRDefault="00175B00" w:rsidP="00175B00">
      <w:r w:rsidRPr="00175B00">
        <w:t xml:space="preserve">Several caveats need to be placed on the results produced to date. Foremost is recognition that the simulations have modelled an ‘idealised’ environment. Specifically, the erosion plots are located on a uniformly gently sloping (2%) surface that represents only a component, albeit a substantial fraction, of the total area of the proposed rehabilitated landform. In addition, the roles of vegetation or fire were not considered in the simulations. Similarly, the study plots are closed catchments, with no capacity to recharge or replenish the material within the plot. </w:t>
      </w:r>
    </w:p>
    <w:p w:rsidR="00175B00" w:rsidRPr="00175B00" w:rsidRDefault="00175B00" w:rsidP="00175B00">
      <w:pPr>
        <w:rPr>
          <w:lang w:val="en-US"/>
        </w:rPr>
      </w:pPr>
      <w:r w:rsidRPr="00175B00">
        <w:t>Previous studies have focussed on collecting field data to enable the parameterisation of specific LEM applications (i</w:t>
      </w:r>
      <w:r w:rsidR="0097214A">
        <w:t>.</w:t>
      </w:r>
      <w:r w:rsidRPr="00175B00">
        <w:t xml:space="preserve">e. SIBERIA). Currently, field data are being collected on a stand-alone basis and can be used to support a range of model applications. In this case, field measurements closely match predicted outputs of the CAESAR model, thereby validating model results over the period of field collection. The development of a weathering module to incorporate into the </w:t>
      </w:r>
      <w:r w:rsidRPr="008F05AD">
        <w:rPr>
          <w:i/>
        </w:rPr>
        <w:t>CAESAR-Lisflood</w:t>
      </w:r>
      <w:r w:rsidRPr="00175B00">
        <w:t xml:space="preserve"> model will provide increased confidence in the ability of </w:t>
      </w:r>
      <w:r w:rsidRPr="008F05AD">
        <w:rPr>
          <w:i/>
        </w:rPr>
        <w:t>CAESAR-Lisflood</w:t>
      </w:r>
      <w:r w:rsidRPr="00175B00">
        <w:t xml:space="preserve"> to predict the long-term stability of a rehabilitated landform.</w:t>
      </w:r>
    </w:p>
    <w:p w:rsidR="0097214A" w:rsidRPr="0097214A" w:rsidRDefault="0097214A" w:rsidP="0097214A">
      <w:pPr>
        <w:pStyle w:val="Heading2"/>
      </w:pPr>
      <w:bookmarkStart w:id="256" w:name="_Toc399928194"/>
      <w:r w:rsidRPr="0097214A">
        <w:t>4.9</w:t>
      </w:r>
      <w:r w:rsidRPr="0097214A">
        <w:tab/>
        <w:t>Rehabilitation and closure ecological risk assessment for Ranger uranium mine</w:t>
      </w:r>
      <w:bookmarkEnd w:id="256"/>
    </w:p>
    <w:p w:rsidR="0097214A" w:rsidRPr="0097214A" w:rsidRDefault="0097214A" w:rsidP="0097214A">
      <w:pPr>
        <w:pStyle w:val="Heading3"/>
      </w:pPr>
      <w:r w:rsidRPr="0097214A">
        <w:t>4.9.1  Background</w:t>
      </w:r>
    </w:p>
    <w:p w:rsidR="0097214A" w:rsidRPr="0097214A" w:rsidRDefault="0097214A" w:rsidP="0097214A">
      <w:r w:rsidRPr="0097214A">
        <w:t>ERA is required to rehabilitate Ranger uranium mine by January 2026 and, thus, a large number of research and assessment projects are underway by both SSD and ERA to ensure the necessary knowledge is available to inform the rehabilitation and closure strategy. SSD and ERA are collaborating on an ecological risk assessment for the rehabilitation and closure of Ranger uranium mine. The rehabilitation risk assessment provides a structured and comprehensive framework for confirming that all the key issues related to ensuring the protection of the off-site environment and successful rehabilitation of the on-site environment are identified.</w:t>
      </w:r>
    </w:p>
    <w:p w:rsidR="0097214A" w:rsidRPr="0097214A" w:rsidRDefault="0097214A" w:rsidP="0097214A">
      <w:r w:rsidRPr="0097214A">
        <w:t>The risk assessment has been broken into the following three phases: (1) problem formulation; (2) risk analysis; and (3) interpretation of results. The causal models produced during the problem formulation</w:t>
      </w:r>
      <w:r>
        <w:t xml:space="preserve"> phase and reported </w:t>
      </w:r>
      <w:proofErr w:type="gramStart"/>
      <w:r>
        <w:t>in the 2012–</w:t>
      </w:r>
      <w:r w:rsidRPr="0097214A">
        <w:t>13 Annual Report</w:t>
      </w:r>
      <w:proofErr w:type="gramEnd"/>
      <w:r w:rsidRPr="0097214A">
        <w:t xml:space="preserve"> were finalised in late 2013 and have been published as Internal Report 624, available on SSD’s website. The paper presented here summarises work undertaken to (i) define the importance of ecological processes for aquatic ecosystems for the causal models and further risk analysis, and (ii) screen the ecological risks identified during the problem formulation phase to prioritise them for further (quantitative) analysis.</w:t>
      </w:r>
    </w:p>
    <w:p w:rsidR="0097214A" w:rsidRPr="0097214A" w:rsidRDefault="0097214A" w:rsidP="0097214A">
      <w:pPr>
        <w:pStyle w:val="Heading3"/>
      </w:pPr>
      <w:r w:rsidRPr="0097214A">
        <w:t>4.9.2  The importance of ecological processes</w:t>
      </w:r>
    </w:p>
    <w:p w:rsidR="0097214A" w:rsidRPr="0097214A" w:rsidRDefault="0097214A" w:rsidP="0097214A">
      <w:r w:rsidRPr="0097214A">
        <w:t xml:space="preserve">The Environmental Requirements (ERs) for Ranger uranium mine set out the Australian Government’s environmental protection conditions with which ERA must comply. The ERs highlight the importance of ecological processes, and the maintenance of ecological processes is specifically mentioned as an environmental objective for protection of the environment. Ecological processes and functions were identified in the causal models for aquatic ecosystems during the initial workshop to develop these models. However, ecological processes and functions were not included in the final causal models given the complexity required to define them for use in a rehabilitation context. For the models, assessment endpoints to capture ecological processes and function proposed for both off-site and on-site aquatic ecosystems, were: biodiversity (structure and function) of off-site aquatic ecosystems are similar to the agreed reference condition; and biodiversity (structure and function) of on-site aquatic ecosystems are on a trajectory towards meeting agreed closure criteria. In order to incorporate ecological processes and measurement endpoints in the causal models, further work has focused on identifying and understanding the importance of ecological processes for the on-site and off-site environment. The aim of this work is to determine whether the existing causal models address ecological processes, or whether further detail on ecological processes is still required and revision of the models is needed to incorporate this level of detail. </w:t>
      </w:r>
    </w:p>
    <w:p w:rsidR="003C2A06" w:rsidRDefault="0097214A" w:rsidP="0097214A">
      <w:r w:rsidRPr="0097214A">
        <w:t>A list of relevant ecological processes was identified from the literature. Abiotic and biotic processes were identified for the on-site and off-site environment as shown in Table 4.4. Once these processes were listed, their importance for each habitat received an overall ranking as well as a ranking for the dry and wet seasons. The habitats that were identified are: sandy channel (those billabongs in the main creek channels with a sandy substrate); shallow lowland billabongs</w:t>
      </w:r>
      <w:r>
        <w:t xml:space="preserve"> (seasonally inundated billabongs which may or may not dry out each year and include backflow and channel backflow billabongs); permanent waterbody (channel and floodplain billabongs that contain water all year); floodplain (which can be further delineated into upper and lower floodplain; riparian (fringing vegetation along creek lines and inherent within sandy channel and shallow lowland billabongs); lowland woodlands; stone country. The overall ranking of importance was assigned as follows:</w:t>
      </w:r>
    </w:p>
    <w:p w:rsidR="0097214A" w:rsidRPr="0097214A" w:rsidRDefault="0097214A" w:rsidP="0097214A">
      <w:pPr>
        <w:pStyle w:val="Normallist1"/>
      </w:pPr>
      <w:r w:rsidRPr="0097214A">
        <w:t xml:space="preserve">1 – </w:t>
      </w:r>
      <w:proofErr w:type="gramStart"/>
      <w:r w:rsidRPr="0097214A">
        <w:t>the</w:t>
      </w:r>
      <w:proofErr w:type="gramEnd"/>
      <w:r w:rsidRPr="0097214A">
        <w:t xml:space="preserve"> process h</w:t>
      </w:r>
      <w:r>
        <w:t>as low activity in the habitat</w:t>
      </w:r>
    </w:p>
    <w:p w:rsidR="0097214A" w:rsidRPr="0097214A" w:rsidRDefault="0097214A" w:rsidP="0097214A">
      <w:pPr>
        <w:pStyle w:val="Normallist1"/>
      </w:pPr>
      <w:r w:rsidRPr="0097214A">
        <w:t xml:space="preserve">2 – </w:t>
      </w:r>
      <w:proofErr w:type="gramStart"/>
      <w:r w:rsidRPr="0097214A">
        <w:t>the</w:t>
      </w:r>
      <w:proofErr w:type="gramEnd"/>
      <w:r w:rsidRPr="0097214A">
        <w:t xml:space="preserve"> process is active in the habi</w:t>
      </w:r>
      <w:r>
        <w:t>tat but is neither high nor low</w:t>
      </w:r>
      <w:r w:rsidRPr="0097214A">
        <w:t xml:space="preserve"> </w:t>
      </w:r>
    </w:p>
    <w:p w:rsidR="0097214A" w:rsidRDefault="0097214A" w:rsidP="0097214A">
      <w:pPr>
        <w:pStyle w:val="Normallist1"/>
      </w:pPr>
      <w:r w:rsidRPr="0097214A">
        <w:t xml:space="preserve">3 – </w:t>
      </w:r>
      <w:proofErr w:type="gramStart"/>
      <w:r w:rsidRPr="0097214A">
        <w:t>the</w:t>
      </w:r>
      <w:proofErr w:type="gramEnd"/>
      <w:r w:rsidRPr="0097214A">
        <w:t xml:space="preserve"> process is highly active in the habitat. </w:t>
      </w:r>
    </w:p>
    <w:p w:rsidR="00C525EC" w:rsidRPr="0097214A" w:rsidRDefault="00C525EC" w:rsidP="0097214A">
      <w:pPr>
        <w:pStyle w:val="Normallist1"/>
      </w:pPr>
    </w:p>
    <w:tbl>
      <w:tblPr>
        <w:tblW w:w="7338" w:type="dxa"/>
        <w:tblLook w:val="0000"/>
      </w:tblPr>
      <w:tblGrid>
        <w:gridCol w:w="2376"/>
        <w:gridCol w:w="4962"/>
      </w:tblGrid>
      <w:tr w:rsidR="0097214A" w:rsidRPr="0097214A" w:rsidTr="00564ED4">
        <w:trPr>
          <w:trHeight w:val="264"/>
        </w:trPr>
        <w:tc>
          <w:tcPr>
            <w:tcW w:w="7338" w:type="dxa"/>
            <w:gridSpan w:val="2"/>
            <w:tcBorders>
              <w:top w:val="nil"/>
              <w:left w:val="nil"/>
              <w:right w:val="nil"/>
            </w:tcBorders>
            <w:shd w:val="clear" w:color="auto" w:fill="D9D9D9"/>
            <w:noWrap/>
            <w:vAlign w:val="bottom"/>
          </w:tcPr>
          <w:p w:rsidR="0097214A" w:rsidRPr="0097214A" w:rsidRDefault="0097214A" w:rsidP="0097214A">
            <w:pPr>
              <w:keepNext/>
              <w:spacing w:before="120" w:after="120" w:line="240" w:lineRule="atLeast"/>
              <w:jc w:val="center"/>
              <w:rPr>
                <w:rFonts w:ascii="Garamond" w:hAnsi="Garamond" w:cs="Arial"/>
                <w:b/>
                <w:caps/>
                <w:sz w:val="18"/>
                <w:lang w:eastAsia="en-AU"/>
              </w:rPr>
            </w:pPr>
            <w:r w:rsidRPr="0097214A">
              <w:rPr>
                <w:rFonts w:ascii="Garamond" w:hAnsi="Garamond" w:cs="Arial"/>
                <w:b/>
                <w:caps/>
                <w:sz w:val="18"/>
              </w:rPr>
              <w:t>Table 4.4  Abiotic and biotic processes for the on-site and off-site environment</w:t>
            </w:r>
          </w:p>
        </w:tc>
      </w:tr>
      <w:tr w:rsidR="0097214A" w:rsidRPr="0097214A" w:rsidTr="00564ED4">
        <w:trPr>
          <w:trHeight w:val="264"/>
        </w:trPr>
        <w:tc>
          <w:tcPr>
            <w:tcW w:w="2376" w:type="dxa"/>
            <w:tcBorders>
              <w:top w:val="nil"/>
              <w:left w:val="nil"/>
              <w:bottom w:val="single" w:sz="8" w:space="0" w:color="C0C0C0"/>
              <w:right w:val="nil"/>
            </w:tcBorders>
            <w:shd w:val="clear" w:color="auto" w:fill="auto"/>
            <w:noWrap/>
            <w:vAlign w:val="bottom"/>
          </w:tcPr>
          <w:p w:rsidR="0097214A" w:rsidRPr="0097214A" w:rsidRDefault="0097214A" w:rsidP="0097214A">
            <w:pPr>
              <w:spacing w:before="60" w:after="60" w:line="220" w:lineRule="atLeast"/>
              <w:jc w:val="center"/>
              <w:rPr>
                <w:rFonts w:ascii="Arial" w:eastAsia="Arial Unicode MS" w:hAnsi="Arial"/>
                <w:b/>
                <w:sz w:val="16"/>
                <w:lang w:eastAsia="en-AU"/>
              </w:rPr>
            </w:pPr>
            <w:r w:rsidRPr="0097214A">
              <w:rPr>
                <w:rFonts w:ascii="Arial" w:eastAsia="Arial Unicode MS" w:hAnsi="Arial"/>
                <w:b/>
                <w:sz w:val="16"/>
                <w:lang w:eastAsia="en-AU"/>
              </w:rPr>
              <w:t>Abiotic</w:t>
            </w:r>
          </w:p>
        </w:tc>
        <w:tc>
          <w:tcPr>
            <w:tcW w:w="4962" w:type="dxa"/>
            <w:tcBorders>
              <w:top w:val="nil"/>
              <w:left w:val="nil"/>
              <w:bottom w:val="single" w:sz="8" w:space="0" w:color="C0C0C0"/>
              <w:right w:val="nil"/>
            </w:tcBorders>
            <w:shd w:val="clear" w:color="auto" w:fill="auto"/>
            <w:noWrap/>
            <w:vAlign w:val="bottom"/>
          </w:tcPr>
          <w:p w:rsidR="0097214A" w:rsidRPr="0097214A" w:rsidRDefault="0097214A" w:rsidP="0097214A">
            <w:pPr>
              <w:spacing w:before="60" w:after="60" w:line="220" w:lineRule="atLeast"/>
              <w:jc w:val="center"/>
              <w:rPr>
                <w:rFonts w:ascii="Arial" w:eastAsia="Arial Unicode MS" w:hAnsi="Arial"/>
                <w:b/>
                <w:sz w:val="16"/>
                <w:lang w:eastAsia="en-AU"/>
              </w:rPr>
            </w:pPr>
            <w:r w:rsidRPr="0097214A">
              <w:rPr>
                <w:rFonts w:ascii="Arial" w:eastAsia="Arial Unicode MS" w:hAnsi="Arial"/>
                <w:b/>
                <w:sz w:val="16"/>
                <w:lang w:eastAsia="en-AU"/>
              </w:rPr>
              <w:t>Biotic</w:t>
            </w:r>
          </w:p>
        </w:tc>
      </w:tr>
      <w:tr w:rsidR="0097214A" w:rsidRPr="0097214A" w:rsidTr="00564ED4">
        <w:trPr>
          <w:trHeight w:val="264"/>
        </w:trPr>
        <w:tc>
          <w:tcPr>
            <w:tcW w:w="2376" w:type="dxa"/>
            <w:tcBorders>
              <w:top w:val="single" w:sz="8" w:space="0" w:color="C0C0C0"/>
              <w:left w:val="nil"/>
              <w:bottom w:val="nil"/>
              <w:right w:val="nil"/>
            </w:tcBorders>
            <w:shd w:val="clear" w:color="auto" w:fill="auto"/>
            <w:noWrap/>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Formation of habitat</w:t>
            </w:r>
          </w:p>
        </w:tc>
        <w:tc>
          <w:tcPr>
            <w:tcW w:w="4962" w:type="dxa"/>
            <w:tcBorders>
              <w:top w:val="single" w:sz="8" w:space="0" w:color="C0C0C0"/>
              <w:left w:val="nil"/>
              <w:bottom w:val="nil"/>
              <w:right w:val="nil"/>
            </w:tcBorders>
            <w:shd w:val="clear" w:color="auto" w:fill="auto"/>
            <w:noWrap/>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Movement of organisms: Recruitment, regeneration and dispersal</w:t>
            </w:r>
          </w:p>
        </w:tc>
      </w:tr>
      <w:tr w:rsidR="0097214A" w:rsidRPr="0097214A" w:rsidTr="00564ED4">
        <w:trPr>
          <w:trHeight w:val="264"/>
        </w:trPr>
        <w:tc>
          <w:tcPr>
            <w:tcW w:w="2376" w:type="dxa"/>
            <w:tcBorders>
              <w:top w:val="nil"/>
              <w:left w:val="nil"/>
              <w:bottom w:val="nil"/>
              <w:right w:val="nil"/>
            </w:tcBorders>
            <w:shd w:val="clear" w:color="auto" w:fill="auto"/>
            <w:noWrap/>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Chemical processes</w:t>
            </w:r>
          </w:p>
        </w:tc>
        <w:tc>
          <w:tcPr>
            <w:tcW w:w="4962" w:type="dxa"/>
            <w:tcBorders>
              <w:top w:val="nil"/>
              <w:left w:val="nil"/>
              <w:bottom w:val="nil"/>
              <w:right w:val="nil"/>
            </w:tcBorders>
            <w:shd w:val="clear" w:color="auto" w:fill="auto"/>
            <w:noWrap/>
          </w:tcPr>
          <w:p w:rsidR="0097214A" w:rsidRPr="0097214A" w:rsidRDefault="0097214A" w:rsidP="0097214A">
            <w:pPr>
              <w:tabs>
                <w:tab w:val="decimal" w:pos="720"/>
              </w:tabs>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Primary Productivity: Phytoplankton and Macrophytes</w:t>
            </w:r>
          </w:p>
        </w:tc>
      </w:tr>
      <w:tr w:rsidR="0097214A" w:rsidRPr="0097214A" w:rsidTr="00564ED4">
        <w:trPr>
          <w:trHeight w:val="264"/>
        </w:trPr>
        <w:tc>
          <w:tcPr>
            <w:tcW w:w="2376" w:type="dxa"/>
            <w:tcBorders>
              <w:top w:val="nil"/>
              <w:left w:val="nil"/>
              <w:right w:val="nil"/>
            </w:tcBorders>
            <w:shd w:val="clear" w:color="auto" w:fill="auto"/>
            <w:noWrap/>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Hydrological processes</w:t>
            </w:r>
          </w:p>
        </w:tc>
        <w:tc>
          <w:tcPr>
            <w:tcW w:w="4962" w:type="dxa"/>
            <w:tcBorders>
              <w:top w:val="nil"/>
              <w:left w:val="nil"/>
              <w:right w:val="nil"/>
            </w:tcBorders>
            <w:shd w:val="clear" w:color="auto" w:fill="auto"/>
            <w:noWrap/>
          </w:tcPr>
          <w:p w:rsidR="0097214A" w:rsidRPr="0097214A" w:rsidRDefault="0097214A" w:rsidP="0097214A">
            <w:pPr>
              <w:tabs>
                <w:tab w:val="decimal" w:pos="720"/>
              </w:tabs>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Predation, herbivory, competition, parasitism, mutualism</w:t>
            </w:r>
          </w:p>
        </w:tc>
      </w:tr>
      <w:tr w:rsidR="0097214A" w:rsidRPr="0097214A" w:rsidTr="00564ED4">
        <w:trPr>
          <w:trHeight w:val="264"/>
        </w:trPr>
        <w:tc>
          <w:tcPr>
            <w:tcW w:w="2376" w:type="dxa"/>
            <w:tcBorders>
              <w:top w:val="nil"/>
              <w:left w:val="nil"/>
              <w:bottom w:val="nil"/>
              <w:right w:val="nil"/>
            </w:tcBorders>
            <w:shd w:val="clear" w:color="auto" w:fill="auto"/>
            <w:noWrap/>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Natural disturbance – Fire, cyclone, drought and flood</w:t>
            </w:r>
          </w:p>
        </w:tc>
        <w:tc>
          <w:tcPr>
            <w:tcW w:w="4962" w:type="dxa"/>
            <w:tcBorders>
              <w:top w:val="nil"/>
              <w:left w:val="nil"/>
              <w:bottom w:val="nil"/>
              <w:right w:val="nil"/>
            </w:tcBorders>
            <w:shd w:val="clear" w:color="auto" w:fill="auto"/>
            <w:noWrap/>
          </w:tcPr>
          <w:p w:rsidR="0097214A" w:rsidRPr="0097214A" w:rsidRDefault="0097214A" w:rsidP="0097214A">
            <w:pPr>
              <w:tabs>
                <w:tab w:val="decimal" w:pos="720"/>
              </w:tabs>
              <w:spacing w:before="60" w:after="60" w:line="220" w:lineRule="atLeast"/>
              <w:jc w:val="center"/>
              <w:rPr>
                <w:rFonts w:ascii="Arial" w:eastAsia="Arial Unicode MS" w:hAnsi="Arial"/>
                <w:sz w:val="16"/>
                <w:lang w:eastAsia="en-AU"/>
              </w:rPr>
            </w:pPr>
          </w:p>
        </w:tc>
      </w:tr>
      <w:tr w:rsidR="0097214A" w:rsidRPr="0097214A" w:rsidTr="00564ED4">
        <w:trPr>
          <w:trHeight w:val="264"/>
        </w:trPr>
        <w:tc>
          <w:tcPr>
            <w:tcW w:w="2376" w:type="dxa"/>
            <w:tcBorders>
              <w:top w:val="nil"/>
              <w:left w:val="nil"/>
              <w:bottom w:val="single" w:sz="8" w:space="0" w:color="C0C0C0"/>
              <w:right w:val="nil"/>
            </w:tcBorders>
            <w:shd w:val="clear" w:color="auto" w:fill="auto"/>
            <w:noWrap/>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Geomorphic processes</w:t>
            </w:r>
          </w:p>
        </w:tc>
        <w:tc>
          <w:tcPr>
            <w:tcW w:w="4962" w:type="dxa"/>
            <w:tcBorders>
              <w:top w:val="nil"/>
              <w:left w:val="nil"/>
              <w:bottom w:val="single" w:sz="8" w:space="0" w:color="C0C0C0"/>
              <w:right w:val="nil"/>
            </w:tcBorders>
            <w:shd w:val="clear" w:color="auto" w:fill="auto"/>
            <w:noWrap/>
          </w:tcPr>
          <w:p w:rsidR="0097214A" w:rsidRPr="0097214A" w:rsidRDefault="0097214A" w:rsidP="0097214A">
            <w:pPr>
              <w:tabs>
                <w:tab w:val="decimal" w:pos="720"/>
              </w:tabs>
              <w:spacing w:before="60" w:after="60" w:line="220" w:lineRule="atLeast"/>
              <w:jc w:val="center"/>
              <w:rPr>
                <w:rFonts w:ascii="Arial" w:eastAsia="Arial Unicode MS" w:hAnsi="Arial"/>
                <w:sz w:val="16"/>
                <w:lang w:eastAsia="en-AU"/>
              </w:rPr>
            </w:pPr>
          </w:p>
        </w:tc>
      </w:tr>
    </w:tbl>
    <w:p w:rsidR="0097214A" w:rsidRPr="0097214A" w:rsidRDefault="00820CF1" w:rsidP="0097214A">
      <w:r>
        <w:br/>
      </w:r>
      <w:r w:rsidR="0097214A" w:rsidRPr="0097214A">
        <w:t>Table 4.5 shows the ranking results for the wet season. The ranking process has enabled us to visualise the key habitats within the system in relation to ecological processes. For example, the riparian habitat has the highest ranking (3, most active) for almost all ecological processes in the wet season.</w:t>
      </w:r>
    </w:p>
    <w:tbl>
      <w:tblPr>
        <w:tblW w:w="7661" w:type="dxa"/>
        <w:tblLook w:val="0000"/>
      </w:tblPr>
      <w:tblGrid>
        <w:gridCol w:w="303"/>
        <w:gridCol w:w="516"/>
        <w:gridCol w:w="761"/>
        <w:gridCol w:w="761"/>
        <w:gridCol w:w="760"/>
        <w:gridCol w:w="760"/>
        <w:gridCol w:w="760"/>
        <w:gridCol w:w="760"/>
        <w:gridCol w:w="760"/>
        <w:gridCol w:w="760"/>
        <w:gridCol w:w="760"/>
      </w:tblGrid>
      <w:tr w:rsidR="0097214A" w:rsidRPr="0097214A" w:rsidTr="00564ED4">
        <w:trPr>
          <w:trHeight w:val="264"/>
        </w:trPr>
        <w:tc>
          <w:tcPr>
            <w:tcW w:w="7661" w:type="dxa"/>
            <w:gridSpan w:val="11"/>
            <w:tcBorders>
              <w:top w:val="nil"/>
              <w:left w:val="nil"/>
              <w:bottom w:val="nil"/>
              <w:right w:val="nil"/>
            </w:tcBorders>
            <w:shd w:val="clear" w:color="auto" w:fill="D9D9D9"/>
            <w:noWrap/>
            <w:vAlign w:val="bottom"/>
          </w:tcPr>
          <w:p w:rsidR="0097214A" w:rsidRPr="0097214A" w:rsidRDefault="0097214A" w:rsidP="0097214A">
            <w:pPr>
              <w:keepNext/>
              <w:spacing w:before="120" w:after="120" w:line="240" w:lineRule="atLeast"/>
              <w:jc w:val="center"/>
              <w:rPr>
                <w:rFonts w:ascii="Garamond" w:hAnsi="Garamond" w:cs="Arial"/>
                <w:b/>
                <w:caps/>
                <w:sz w:val="18"/>
                <w:lang w:eastAsia="en-AU"/>
              </w:rPr>
            </w:pPr>
            <w:r>
              <w:br w:type="page"/>
            </w:r>
            <w:r w:rsidRPr="0097214A">
              <w:rPr>
                <w:rFonts w:ascii="Garamond" w:hAnsi="Garamond" w:cs="Arial"/>
                <w:b/>
                <w:caps/>
                <w:sz w:val="18"/>
              </w:rPr>
              <w:t>Table 4.5  importance ranking of ecological processes across habitats during the wet season</w:t>
            </w:r>
          </w:p>
        </w:tc>
      </w:tr>
      <w:tr w:rsidR="0097214A" w:rsidRPr="0097214A" w:rsidTr="00564ED4">
        <w:trPr>
          <w:cantSplit/>
          <w:trHeight w:val="1134"/>
        </w:trPr>
        <w:tc>
          <w:tcPr>
            <w:tcW w:w="303" w:type="dxa"/>
            <w:tcBorders>
              <w:top w:val="nil"/>
              <w:left w:val="nil"/>
              <w:right w:val="nil"/>
            </w:tcBorders>
            <w:shd w:val="clear" w:color="auto" w:fill="auto"/>
            <w:noWrap/>
            <w:vAlign w:val="bottom"/>
          </w:tcPr>
          <w:p w:rsidR="0097214A" w:rsidRPr="0097214A" w:rsidRDefault="0097214A" w:rsidP="0097214A">
            <w:pPr>
              <w:spacing w:before="60" w:after="60" w:line="220" w:lineRule="atLeast"/>
              <w:rPr>
                <w:rFonts w:ascii="Arial" w:eastAsia="Arial Unicode MS" w:hAnsi="Arial"/>
                <w:b/>
                <w:sz w:val="16"/>
                <w:lang w:eastAsia="en-AU"/>
              </w:rPr>
            </w:pPr>
          </w:p>
        </w:tc>
        <w:tc>
          <w:tcPr>
            <w:tcW w:w="1277" w:type="dxa"/>
            <w:gridSpan w:val="2"/>
            <w:tcBorders>
              <w:top w:val="nil"/>
              <w:left w:val="nil"/>
              <w:right w:val="nil"/>
            </w:tcBorders>
            <w:shd w:val="clear" w:color="auto" w:fill="auto"/>
            <w:noWrap/>
            <w:textDirection w:val="btLr"/>
            <w:vAlign w:val="bottom"/>
          </w:tcPr>
          <w:p w:rsidR="0097214A" w:rsidRPr="0097214A" w:rsidRDefault="0097214A" w:rsidP="0097214A">
            <w:pPr>
              <w:spacing w:before="60" w:after="60" w:line="220" w:lineRule="atLeast"/>
              <w:ind w:left="113" w:right="113"/>
              <w:jc w:val="center"/>
              <w:rPr>
                <w:rFonts w:ascii="Arial" w:eastAsia="Arial Unicode MS" w:hAnsi="Arial"/>
                <w:b/>
                <w:sz w:val="16"/>
                <w:lang w:eastAsia="en-AU"/>
              </w:rPr>
            </w:pPr>
            <w:r w:rsidRPr="0097214A">
              <w:rPr>
                <w:rFonts w:ascii="Arial" w:eastAsia="Arial Unicode MS" w:hAnsi="Arial"/>
                <w:b/>
                <w:sz w:val="16"/>
                <w:lang w:eastAsia="en-AU"/>
              </w:rPr>
              <w:t>Sandy channel</w:t>
            </w:r>
          </w:p>
        </w:tc>
        <w:tc>
          <w:tcPr>
            <w:tcW w:w="761" w:type="dxa"/>
            <w:tcBorders>
              <w:top w:val="nil"/>
              <w:left w:val="nil"/>
              <w:right w:val="nil"/>
            </w:tcBorders>
            <w:shd w:val="clear" w:color="auto" w:fill="auto"/>
            <w:textDirection w:val="btLr"/>
            <w:vAlign w:val="center"/>
          </w:tcPr>
          <w:p w:rsidR="0097214A" w:rsidRPr="0097214A" w:rsidRDefault="0097214A" w:rsidP="0097214A">
            <w:pPr>
              <w:spacing w:before="60" w:after="60" w:line="220" w:lineRule="atLeast"/>
              <w:ind w:left="113" w:right="113"/>
              <w:jc w:val="center"/>
              <w:rPr>
                <w:rFonts w:ascii="Arial" w:eastAsia="Arial Unicode MS" w:hAnsi="Arial"/>
                <w:b/>
                <w:sz w:val="16"/>
                <w:lang w:eastAsia="en-AU"/>
              </w:rPr>
            </w:pPr>
            <w:r w:rsidRPr="0097214A">
              <w:rPr>
                <w:rFonts w:ascii="Arial" w:eastAsia="Arial Unicode MS" w:hAnsi="Arial"/>
                <w:b/>
                <w:sz w:val="16"/>
                <w:lang w:eastAsia="en-AU"/>
              </w:rPr>
              <w:t>Shallow lowland billabong</w:t>
            </w:r>
          </w:p>
        </w:tc>
        <w:tc>
          <w:tcPr>
            <w:tcW w:w="760" w:type="dxa"/>
            <w:tcBorders>
              <w:top w:val="nil"/>
              <w:left w:val="nil"/>
              <w:right w:val="nil"/>
            </w:tcBorders>
            <w:shd w:val="clear" w:color="auto" w:fill="auto"/>
            <w:textDirection w:val="btLr"/>
            <w:vAlign w:val="center"/>
          </w:tcPr>
          <w:p w:rsidR="0097214A" w:rsidRPr="0097214A" w:rsidRDefault="0097214A" w:rsidP="0097214A">
            <w:pPr>
              <w:spacing w:before="60" w:after="60" w:line="220" w:lineRule="atLeast"/>
              <w:ind w:left="113" w:right="113"/>
              <w:jc w:val="center"/>
              <w:rPr>
                <w:rFonts w:ascii="Arial" w:eastAsia="Arial Unicode MS" w:hAnsi="Arial"/>
                <w:b/>
                <w:sz w:val="16"/>
                <w:lang w:eastAsia="en-AU"/>
              </w:rPr>
            </w:pPr>
            <w:r w:rsidRPr="0097214A">
              <w:rPr>
                <w:rFonts w:ascii="Arial" w:eastAsia="Arial Unicode MS" w:hAnsi="Arial"/>
                <w:b/>
                <w:sz w:val="16"/>
                <w:lang w:eastAsia="en-AU"/>
              </w:rPr>
              <w:t>Permanent waterbody (channel)</w:t>
            </w:r>
          </w:p>
        </w:tc>
        <w:tc>
          <w:tcPr>
            <w:tcW w:w="760" w:type="dxa"/>
            <w:tcBorders>
              <w:top w:val="nil"/>
              <w:left w:val="nil"/>
              <w:right w:val="nil"/>
            </w:tcBorders>
            <w:shd w:val="clear" w:color="auto" w:fill="auto"/>
            <w:textDirection w:val="btLr"/>
            <w:vAlign w:val="center"/>
          </w:tcPr>
          <w:p w:rsidR="0097214A" w:rsidRPr="0097214A" w:rsidRDefault="0097214A" w:rsidP="0097214A">
            <w:pPr>
              <w:spacing w:before="60" w:after="60" w:line="220" w:lineRule="atLeast"/>
              <w:ind w:left="113" w:right="113"/>
              <w:jc w:val="center"/>
              <w:rPr>
                <w:rFonts w:ascii="Arial" w:eastAsia="Arial Unicode MS" w:hAnsi="Arial"/>
                <w:b/>
                <w:sz w:val="16"/>
                <w:lang w:eastAsia="en-AU"/>
              </w:rPr>
            </w:pPr>
            <w:r w:rsidRPr="0097214A">
              <w:rPr>
                <w:rFonts w:ascii="Arial" w:eastAsia="Arial Unicode MS" w:hAnsi="Arial"/>
                <w:b/>
                <w:sz w:val="16"/>
                <w:lang w:eastAsia="en-AU"/>
              </w:rPr>
              <w:t>Permanent waterbody (floodplain)</w:t>
            </w:r>
          </w:p>
        </w:tc>
        <w:tc>
          <w:tcPr>
            <w:tcW w:w="760" w:type="dxa"/>
            <w:tcBorders>
              <w:top w:val="nil"/>
              <w:left w:val="nil"/>
              <w:right w:val="nil"/>
            </w:tcBorders>
            <w:shd w:val="clear" w:color="auto" w:fill="auto"/>
            <w:textDirection w:val="btLr"/>
            <w:vAlign w:val="center"/>
          </w:tcPr>
          <w:p w:rsidR="0097214A" w:rsidRPr="0097214A" w:rsidRDefault="0097214A" w:rsidP="0097214A">
            <w:pPr>
              <w:spacing w:before="60" w:after="60" w:line="220" w:lineRule="atLeast"/>
              <w:ind w:left="113" w:right="113"/>
              <w:jc w:val="center"/>
              <w:rPr>
                <w:rFonts w:ascii="Arial" w:eastAsia="Arial Unicode MS" w:hAnsi="Arial"/>
                <w:b/>
                <w:sz w:val="16"/>
                <w:lang w:eastAsia="en-AU"/>
              </w:rPr>
            </w:pPr>
            <w:r w:rsidRPr="0097214A">
              <w:rPr>
                <w:rFonts w:ascii="Arial" w:eastAsia="Arial Unicode MS" w:hAnsi="Arial"/>
                <w:b/>
                <w:sz w:val="16"/>
                <w:lang w:eastAsia="en-AU"/>
              </w:rPr>
              <w:t>Floodplain-upper</w:t>
            </w:r>
          </w:p>
        </w:tc>
        <w:tc>
          <w:tcPr>
            <w:tcW w:w="760" w:type="dxa"/>
            <w:tcBorders>
              <w:top w:val="nil"/>
              <w:left w:val="nil"/>
              <w:right w:val="nil"/>
            </w:tcBorders>
            <w:shd w:val="clear" w:color="auto" w:fill="auto"/>
            <w:textDirection w:val="btLr"/>
            <w:vAlign w:val="center"/>
          </w:tcPr>
          <w:p w:rsidR="0097214A" w:rsidRPr="0097214A" w:rsidRDefault="0097214A" w:rsidP="0097214A">
            <w:pPr>
              <w:spacing w:before="60" w:after="60" w:line="220" w:lineRule="atLeast"/>
              <w:ind w:left="113" w:right="113"/>
              <w:jc w:val="center"/>
              <w:rPr>
                <w:rFonts w:ascii="Arial" w:eastAsia="Arial Unicode MS" w:hAnsi="Arial"/>
                <w:b/>
                <w:sz w:val="16"/>
                <w:lang w:eastAsia="en-AU"/>
              </w:rPr>
            </w:pPr>
            <w:r w:rsidRPr="0097214A">
              <w:rPr>
                <w:rFonts w:ascii="Arial" w:eastAsia="Arial Unicode MS" w:hAnsi="Arial"/>
                <w:b/>
                <w:sz w:val="16"/>
                <w:lang w:eastAsia="en-AU"/>
              </w:rPr>
              <w:t>Floodplain-lower</w:t>
            </w:r>
          </w:p>
        </w:tc>
        <w:tc>
          <w:tcPr>
            <w:tcW w:w="760" w:type="dxa"/>
            <w:tcBorders>
              <w:top w:val="nil"/>
              <w:left w:val="nil"/>
              <w:right w:val="nil"/>
            </w:tcBorders>
            <w:shd w:val="clear" w:color="auto" w:fill="auto"/>
            <w:textDirection w:val="btLr"/>
            <w:vAlign w:val="center"/>
          </w:tcPr>
          <w:p w:rsidR="0097214A" w:rsidRPr="0097214A" w:rsidRDefault="0097214A" w:rsidP="0097214A">
            <w:pPr>
              <w:spacing w:before="60" w:after="60" w:line="220" w:lineRule="atLeast"/>
              <w:ind w:left="113" w:right="113"/>
              <w:jc w:val="center"/>
              <w:rPr>
                <w:rFonts w:ascii="Arial" w:eastAsia="Arial Unicode MS" w:hAnsi="Arial"/>
                <w:b/>
                <w:sz w:val="16"/>
                <w:lang w:eastAsia="en-AU"/>
              </w:rPr>
            </w:pPr>
            <w:r w:rsidRPr="0097214A">
              <w:rPr>
                <w:rFonts w:ascii="Arial" w:eastAsia="Arial Unicode MS" w:hAnsi="Arial"/>
                <w:b/>
                <w:sz w:val="16"/>
                <w:lang w:eastAsia="en-AU"/>
              </w:rPr>
              <w:t>Lowland woodlands</w:t>
            </w:r>
          </w:p>
        </w:tc>
        <w:tc>
          <w:tcPr>
            <w:tcW w:w="760" w:type="dxa"/>
            <w:tcBorders>
              <w:top w:val="nil"/>
              <w:left w:val="nil"/>
              <w:right w:val="nil"/>
            </w:tcBorders>
            <w:shd w:val="clear" w:color="auto" w:fill="auto"/>
            <w:textDirection w:val="btLr"/>
            <w:vAlign w:val="center"/>
          </w:tcPr>
          <w:p w:rsidR="0097214A" w:rsidRPr="0097214A" w:rsidRDefault="0097214A" w:rsidP="0097214A">
            <w:pPr>
              <w:spacing w:before="60" w:after="60" w:line="220" w:lineRule="atLeast"/>
              <w:ind w:left="113" w:right="113"/>
              <w:jc w:val="center"/>
              <w:rPr>
                <w:rFonts w:ascii="Arial" w:eastAsia="Arial Unicode MS" w:hAnsi="Arial"/>
                <w:b/>
                <w:sz w:val="16"/>
                <w:lang w:eastAsia="en-AU"/>
              </w:rPr>
            </w:pPr>
            <w:r w:rsidRPr="0097214A">
              <w:rPr>
                <w:rFonts w:ascii="Arial" w:eastAsia="Arial Unicode MS" w:hAnsi="Arial"/>
                <w:b/>
                <w:sz w:val="16"/>
                <w:lang w:eastAsia="en-AU"/>
              </w:rPr>
              <w:t>Riparian</w:t>
            </w:r>
          </w:p>
        </w:tc>
        <w:tc>
          <w:tcPr>
            <w:tcW w:w="760" w:type="dxa"/>
            <w:tcBorders>
              <w:top w:val="nil"/>
              <w:left w:val="nil"/>
              <w:right w:val="nil"/>
            </w:tcBorders>
            <w:shd w:val="clear" w:color="auto" w:fill="auto"/>
            <w:textDirection w:val="btLr"/>
            <w:vAlign w:val="center"/>
          </w:tcPr>
          <w:p w:rsidR="0097214A" w:rsidRPr="0097214A" w:rsidRDefault="0097214A" w:rsidP="0097214A">
            <w:pPr>
              <w:spacing w:before="60" w:after="60" w:line="220" w:lineRule="atLeast"/>
              <w:ind w:left="113" w:right="113"/>
              <w:jc w:val="center"/>
              <w:rPr>
                <w:rFonts w:ascii="Arial" w:eastAsia="Arial Unicode MS" w:hAnsi="Arial"/>
                <w:b/>
                <w:sz w:val="16"/>
                <w:lang w:eastAsia="en-AU"/>
              </w:rPr>
            </w:pPr>
            <w:r w:rsidRPr="0097214A">
              <w:rPr>
                <w:rFonts w:ascii="Arial" w:eastAsia="Arial Unicode MS" w:hAnsi="Arial"/>
                <w:b/>
                <w:sz w:val="16"/>
                <w:lang w:eastAsia="en-AU"/>
              </w:rPr>
              <w:t>Stone country</w:t>
            </w:r>
          </w:p>
        </w:tc>
      </w:tr>
      <w:tr w:rsidR="0097214A" w:rsidRPr="0097214A" w:rsidTr="00564ED4">
        <w:trPr>
          <w:trHeight w:val="264"/>
        </w:trPr>
        <w:tc>
          <w:tcPr>
            <w:tcW w:w="7661" w:type="dxa"/>
            <w:gridSpan w:val="11"/>
            <w:tcBorders>
              <w:top w:val="single" w:sz="8" w:space="0" w:color="C0C0C0"/>
              <w:left w:val="nil"/>
              <w:right w:val="nil"/>
            </w:tcBorders>
            <w:shd w:val="clear" w:color="auto" w:fill="auto"/>
            <w:noWrap/>
          </w:tcPr>
          <w:p w:rsidR="0097214A" w:rsidRPr="0097214A" w:rsidRDefault="0097214A" w:rsidP="0097214A">
            <w:pPr>
              <w:tabs>
                <w:tab w:val="decimal" w:pos="720"/>
              </w:tabs>
              <w:spacing w:before="60" w:after="60" w:line="220" w:lineRule="atLeast"/>
              <w:rPr>
                <w:rFonts w:ascii="Arial" w:eastAsia="Arial Unicode MS" w:hAnsi="Arial"/>
                <w:i/>
                <w:sz w:val="16"/>
                <w:lang w:eastAsia="en-AU"/>
              </w:rPr>
            </w:pPr>
            <w:r w:rsidRPr="0097214A">
              <w:rPr>
                <w:rFonts w:ascii="Arial" w:eastAsia="Arial Unicode MS" w:hAnsi="Arial"/>
                <w:b/>
                <w:i/>
                <w:sz w:val="16"/>
                <w:lang w:eastAsia="en-AU"/>
              </w:rPr>
              <w:t>Abiotic ecological processes</w:t>
            </w:r>
          </w:p>
        </w:tc>
      </w:tr>
      <w:tr w:rsidR="0097214A" w:rsidRPr="0097214A" w:rsidTr="00564ED4">
        <w:trPr>
          <w:trHeight w:val="264"/>
        </w:trPr>
        <w:tc>
          <w:tcPr>
            <w:tcW w:w="7661" w:type="dxa"/>
            <w:gridSpan w:val="11"/>
            <w:tcBorders>
              <w:left w:val="nil"/>
              <w:right w:val="nil"/>
            </w:tcBorders>
            <w:shd w:val="clear" w:color="auto" w:fill="auto"/>
            <w:noWrap/>
          </w:tcPr>
          <w:p w:rsidR="0097214A" w:rsidRPr="0097214A" w:rsidRDefault="0097214A" w:rsidP="0097214A">
            <w:pPr>
              <w:tabs>
                <w:tab w:val="decimal" w:pos="284"/>
              </w:tabs>
              <w:spacing w:before="60" w:after="60" w:line="220" w:lineRule="atLeast"/>
              <w:ind w:left="284"/>
              <w:rPr>
                <w:rFonts w:ascii="Arial" w:eastAsia="Arial Unicode MS" w:hAnsi="Arial"/>
                <w:sz w:val="16"/>
                <w:lang w:eastAsia="en-AU"/>
              </w:rPr>
            </w:pPr>
            <w:r w:rsidRPr="0097214A">
              <w:rPr>
                <w:rFonts w:ascii="Arial" w:eastAsia="Arial Unicode MS" w:hAnsi="Arial"/>
                <w:sz w:val="16"/>
                <w:lang w:eastAsia="en-AU"/>
              </w:rPr>
              <w:t>Formation of habitat</w:t>
            </w:r>
            <w:r w:rsidRPr="0097214A">
              <w:rPr>
                <w:rFonts w:ascii="Arial" w:eastAsia="Arial Unicode MS" w:hAnsi="Arial"/>
                <w:b/>
                <w:sz w:val="16"/>
                <w:lang w:eastAsia="en-AU"/>
              </w:rPr>
              <w:t xml:space="preserve"> </w:t>
            </w:r>
          </w:p>
        </w:tc>
      </w:tr>
      <w:tr w:rsidR="0097214A" w:rsidRPr="0097214A" w:rsidTr="00564ED4">
        <w:trPr>
          <w:trHeight w:val="264"/>
        </w:trPr>
        <w:tc>
          <w:tcPr>
            <w:tcW w:w="303" w:type="dxa"/>
            <w:shd w:val="clear" w:color="auto" w:fill="auto"/>
            <w:noWrap/>
          </w:tcPr>
          <w:p w:rsidR="0097214A" w:rsidRPr="0097214A" w:rsidRDefault="0097214A" w:rsidP="0097214A">
            <w:pPr>
              <w:spacing w:before="60" w:after="60" w:line="220" w:lineRule="atLeast"/>
              <w:rPr>
                <w:rFonts w:ascii="Arial" w:eastAsia="Arial Unicode MS" w:hAnsi="Arial"/>
                <w:b/>
                <w:sz w:val="16"/>
                <w:lang w:eastAsia="en-AU"/>
              </w:rPr>
            </w:pPr>
          </w:p>
        </w:tc>
        <w:tc>
          <w:tcPr>
            <w:tcW w:w="516" w:type="dxa"/>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p>
        </w:tc>
        <w:tc>
          <w:tcPr>
            <w:tcW w:w="761" w:type="dxa"/>
            <w:shd w:val="clear" w:color="auto" w:fill="auto"/>
            <w:noWrap/>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1" w:type="dxa"/>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2</w:t>
            </w:r>
          </w:p>
        </w:tc>
        <w:tc>
          <w:tcPr>
            <w:tcW w:w="760" w:type="dxa"/>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2</w:t>
            </w:r>
          </w:p>
        </w:tc>
        <w:tc>
          <w:tcPr>
            <w:tcW w:w="760" w:type="dxa"/>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2</w:t>
            </w:r>
          </w:p>
        </w:tc>
        <w:tc>
          <w:tcPr>
            <w:tcW w:w="760" w:type="dxa"/>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r>
      <w:tr w:rsidR="0097214A" w:rsidRPr="0097214A" w:rsidTr="00564ED4">
        <w:trPr>
          <w:trHeight w:val="264"/>
        </w:trPr>
        <w:tc>
          <w:tcPr>
            <w:tcW w:w="7661" w:type="dxa"/>
            <w:gridSpan w:val="11"/>
            <w:tcBorders>
              <w:left w:val="nil"/>
              <w:right w:val="nil"/>
            </w:tcBorders>
            <w:shd w:val="clear" w:color="auto" w:fill="auto"/>
            <w:noWrap/>
          </w:tcPr>
          <w:p w:rsidR="0097214A" w:rsidRPr="0097214A" w:rsidRDefault="0097214A" w:rsidP="0097214A">
            <w:pPr>
              <w:tabs>
                <w:tab w:val="decimal" w:pos="284"/>
              </w:tabs>
              <w:spacing w:before="60" w:after="60" w:line="220" w:lineRule="atLeast"/>
              <w:ind w:left="284"/>
              <w:rPr>
                <w:rFonts w:ascii="Arial" w:eastAsia="Arial Unicode MS" w:hAnsi="Arial"/>
                <w:sz w:val="16"/>
                <w:lang w:eastAsia="en-AU"/>
              </w:rPr>
            </w:pPr>
            <w:r w:rsidRPr="0097214A">
              <w:rPr>
                <w:rFonts w:ascii="Arial" w:eastAsia="Arial Unicode MS" w:hAnsi="Arial"/>
                <w:sz w:val="16"/>
                <w:lang w:eastAsia="en-AU"/>
              </w:rPr>
              <w:t>Chemical processes</w:t>
            </w:r>
            <w:r w:rsidRPr="0097214A">
              <w:rPr>
                <w:rFonts w:ascii="Arial" w:eastAsia="Arial Unicode MS" w:hAnsi="Arial"/>
                <w:b/>
                <w:sz w:val="16"/>
                <w:lang w:eastAsia="en-AU"/>
              </w:rPr>
              <w:t xml:space="preserve"> </w:t>
            </w:r>
          </w:p>
        </w:tc>
      </w:tr>
      <w:tr w:rsidR="0097214A" w:rsidRPr="0097214A" w:rsidTr="00564ED4">
        <w:trPr>
          <w:trHeight w:val="264"/>
        </w:trPr>
        <w:tc>
          <w:tcPr>
            <w:tcW w:w="303" w:type="dxa"/>
            <w:tcBorders>
              <w:left w:val="nil"/>
              <w:right w:val="nil"/>
            </w:tcBorders>
            <w:shd w:val="clear" w:color="auto" w:fill="auto"/>
            <w:noWrap/>
          </w:tcPr>
          <w:p w:rsidR="0097214A" w:rsidRPr="0097214A" w:rsidRDefault="0097214A" w:rsidP="0097214A">
            <w:pPr>
              <w:spacing w:before="60" w:after="60" w:line="220" w:lineRule="atLeast"/>
              <w:rPr>
                <w:rFonts w:ascii="Arial" w:eastAsia="Arial Unicode MS" w:hAnsi="Arial"/>
                <w:b/>
                <w:sz w:val="16"/>
                <w:lang w:eastAsia="en-AU"/>
              </w:rPr>
            </w:pPr>
          </w:p>
        </w:tc>
        <w:tc>
          <w:tcPr>
            <w:tcW w:w="516" w:type="dxa"/>
            <w:tcBorders>
              <w:left w:val="nil"/>
              <w:right w:val="nil"/>
            </w:tcBorders>
            <w:shd w:val="clear" w:color="auto" w:fill="auto"/>
            <w:vAlign w:val="bottom"/>
          </w:tcPr>
          <w:p w:rsidR="0097214A" w:rsidRPr="0097214A" w:rsidRDefault="0097214A" w:rsidP="0097214A">
            <w:pPr>
              <w:spacing w:before="60" w:after="60" w:line="220" w:lineRule="atLeast"/>
              <w:rPr>
                <w:rFonts w:ascii="Arial" w:eastAsia="Arial Unicode MS" w:hAnsi="Arial"/>
                <w:sz w:val="16"/>
                <w:lang w:eastAsia="en-AU"/>
              </w:rPr>
            </w:pPr>
          </w:p>
        </w:tc>
        <w:tc>
          <w:tcPr>
            <w:tcW w:w="761" w:type="dxa"/>
            <w:tcBorders>
              <w:left w:val="nil"/>
              <w:right w:val="nil"/>
            </w:tcBorders>
            <w:shd w:val="clear" w:color="auto" w:fill="auto"/>
            <w:noWrap/>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1"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2</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2</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r>
      <w:tr w:rsidR="0097214A" w:rsidRPr="0097214A" w:rsidTr="00564ED4">
        <w:trPr>
          <w:trHeight w:val="264"/>
        </w:trPr>
        <w:tc>
          <w:tcPr>
            <w:tcW w:w="7661" w:type="dxa"/>
            <w:gridSpan w:val="11"/>
            <w:tcBorders>
              <w:left w:val="nil"/>
              <w:right w:val="nil"/>
            </w:tcBorders>
            <w:shd w:val="clear" w:color="auto" w:fill="auto"/>
            <w:noWrap/>
            <w:vAlign w:val="bottom"/>
          </w:tcPr>
          <w:p w:rsidR="0097214A" w:rsidRPr="0097214A" w:rsidRDefault="0097214A" w:rsidP="0097214A">
            <w:pPr>
              <w:tabs>
                <w:tab w:val="decimal" w:pos="720"/>
              </w:tabs>
              <w:spacing w:before="60" w:after="60" w:line="220" w:lineRule="atLeast"/>
              <w:ind w:left="284"/>
              <w:rPr>
                <w:rFonts w:ascii="Arial" w:eastAsia="Arial Unicode MS" w:hAnsi="Arial"/>
                <w:sz w:val="16"/>
                <w:lang w:eastAsia="en-AU"/>
              </w:rPr>
            </w:pPr>
            <w:r w:rsidRPr="0097214A">
              <w:rPr>
                <w:rFonts w:ascii="Arial" w:eastAsia="Arial Unicode MS" w:hAnsi="Arial"/>
                <w:sz w:val="16"/>
                <w:lang w:eastAsia="en-AU"/>
              </w:rPr>
              <w:t>Hydrological processes</w:t>
            </w:r>
          </w:p>
        </w:tc>
      </w:tr>
      <w:tr w:rsidR="0097214A" w:rsidRPr="0097214A" w:rsidTr="00564ED4">
        <w:trPr>
          <w:trHeight w:val="264"/>
        </w:trPr>
        <w:tc>
          <w:tcPr>
            <w:tcW w:w="303" w:type="dxa"/>
            <w:tcBorders>
              <w:left w:val="nil"/>
              <w:right w:val="nil"/>
            </w:tcBorders>
            <w:shd w:val="clear" w:color="auto" w:fill="auto"/>
            <w:noWrap/>
            <w:vAlign w:val="bottom"/>
          </w:tcPr>
          <w:p w:rsidR="0097214A" w:rsidRPr="0097214A" w:rsidRDefault="0097214A" w:rsidP="0097214A">
            <w:pPr>
              <w:spacing w:before="60" w:after="60" w:line="220" w:lineRule="atLeast"/>
              <w:rPr>
                <w:rFonts w:ascii="Arial" w:eastAsia="Arial Unicode MS" w:hAnsi="Arial"/>
                <w:sz w:val="16"/>
                <w:lang w:eastAsia="en-AU"/>
              </w:rPr>
            </w:pPr>
          </w:p>
        </w:tc>
        <w:tc>
          <w:tcPr>
            <w:tcW w:w="516" w:type="dxa"/>
            <w:tcBorders>
              <w:left w:val="nil"/>
              <w:right w:val="nil"/>
            </w:tcBorders>
            <w:shd w:val="clear" w:color="auto" w:fill="auto"/>
            <w:vAlign w:val="bottom"/>
          </w:tcPr>
          <w:p w:rsidR="0097214A" w:rsidRPr="0097214A" w:rsidRDefault="0097214A" w:rsidP="0097214A">
            <w:pPr>
              <w:spacing w:before="60" w:after="60" w:line="220" w:lineRule="atLeast"/>
              <w:rPr>
                <w:rFonts w:ascii="Arial" w:eastAsia="Arial Unicode MS" w:hAnsi="Arial"/>
                <w:sz w:val="16"/>
                <w:lang w:eastAsia="en-AU"/>
              </w:rPr>
            </w:pPr>
          </w:p>
        </w:tc>
        <w:tc>
          <w:tcPr>
            <w:tcW w:w="761" w:type="dxa"/>
            <w:tcBorders>
              <w:left w:val="nil"/>
              <w:right w:val="nil"/>
            </w:tcBorders>
            <w:shd w:val="clear" w:color="auto" w:fill="auto"/>
            <w:noWrap/>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1"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2</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2</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r>
      <w:tr w:rsidR="0097214A" w:rsidRPr="0097214A" w:rsidTr="00564ED4">
        <w:trPr>
          <w:trHeight w:val="264"/>
        </w:trPr>
        <w:tc>
          <w:tcPr>
            <w:tcW w:w="7661" w:type="dxa"/>
            <w:gridSpan w:val="11"/>
            <w:tcBorders>
              <w:left w:val="nil"/>
              <w:right w:val="nil"/>
            </w:tcBorders>
            <w:shd w:val="clear" w:color="auto" w:fill="auto"/>
            <w:noWrap/>
            <w:vAlign w:val="bottom"/>
          </w:tcPr>
          <w:p w:rsidR="0097214A" w:rsidRPr="0097214A" w:rsidRDefault="0097214A" w:rsidP="0097214A">
            <w:pPr>
              <w:tabs>
                <w:tab w:val="decimal" w:pos="720"/>
              </w:tabs>
              <w:spacing w:before="60" w:after="60" w:line="220" w:lineRule="atLeast"/>
              <w:ind w:firstLine="284"/>
              <w:rPr>
                <w:rFonts w:ascii="Arial" w:eastAsia="Arial Unicode MS" w:hAnsi="Arial"/>
                <w:sz w:val="16"/>
                <w:lang w:eastAsia="en-AU"/>
              </w:rPr>
            </w:pPr>
            <w:r w:rsidRPr="0097214A">
              <w:rPr>
                <w:rFonts w:ascii="Arial" w:eastAsia="Arial Unicode MS" w:hAnsi="Arial"/>
                <w:sz w:val="16"/>
                <w:lang w:eastAsia="en-AU"/>
              </w:rPr>
              <w:t>Natural disturbance – Fire</w:t>
            </w:r>
          </w:p>
        </w:tc>
      </w:tr>
      <w:tr w:rsidR="0097214A" w:rsidRPr="0097214A" w:rsidTr="00564ED4">
        <w:trPr>
          <w:trHeight w:val="264"/>
        </w:trPr>
        <w:tc>
          <w:tcPr>
            <w:tcW w:w="303" w:type="dxa"/>
            <w:tcBorders>
              <w:left w:val="nil"/>
              <w:right w:val="nil"/>
            </w:tcBorders>
            <w:shd w:val="clear" w:color="auto" w:fill="auto"/>
            <w:noWrap/>
            <w:vAlign w:val="bottom"/>
          </w:tcPr>
          <w:p w:rsidR="0097214A" w:rsidRPr="0097214A" w:rsidRDefault="0097214A" w:rsidP="0097214A">
            <w:pPr>
              <w:spacing w:before="60" w:after="60" w:line="220" w:lineRule="atLeast"/>
              <w:rPr>
                <w:rFonts w:ascii="Arial" w:eastAsia="Arial Unicode MS" w:hAnsi="Arial"/>
                <w:sz w:val="16"/>
                <w:lang w:eastAsia="en-AU"/>
              </w:rPr>
            </w:pPr>
          </w:p>
        </w:tc>
        <w:tc>
          <w:tcPr>
            <w:tcW w:w="516" w:type="dxa"/>
            <w:tcBorders>
              <w:left w:val="nil"/>
              <w:right w:val="nil"/>
            </w:tcBorders>
            <w:shd w:val="clear" w:color="auto" w:fill="auto"/>
            <w:vAlign w:val="bottom"/>
          </w:tcPr>
          <w:p w:rsidR="0097214A" w:rsidRPr="0097214A" w:rsidRDefault="0097214A" w:rsidP="0097214A">
            <w:pPr>
              <w:spacing w:before="60" w:after="60" w:line="220" w:lineRule="atLeast"/>
              <w:rPr>
                <w:rFonts w:ascii="Arial" w:eastAsia="Arial Unicode MS" w:hAnsi="Arial"/>
                <w:sz w:val="16"/>
                <w:lang w:eastAsia="en-AU"/>
              </w:rPr>
            </w:pPr>
          </w:p>
        </w:tc>
        <w:tc>
          <w:tcPr>
            <w:tcW w:w="761" w:type="dxa"/>
            <w:tcBorders>
              <w:left w:val="nil"/>
              <w:bottom w:val="nil"/>
              <w:right w:val="nil"/>
            </w:tcBorders>
            <w:shd w:val="clear" w:color="auto" w:fill="auto"/>
            <w:noWrap/>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1" w:type="dxa"/>
            <w:tcBorders>
              <w:left w:val="nil"/>
              <w:bottom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bottom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bottom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bottom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bottom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bottom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2</w:t>
            </w:r>
          </w:p>
        </w:tc>
        <w:tc>
          <w:tcPr>
            <w:tcW w:w="760" w:type="dxa"/>
            <w:tcBorders>
              <w:left w:val="nil"/>
              <w:bottom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bottom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2</w:t>
            </w:r>
          </w:p>
        </w:tc>
      </w:tr>
      <w:tr w:rsidR="0097214A" w:rsidRPr="0097214A" w:rsidTr="00564ED4">
        <w:trPr>
          <w:trHeight w:val="264"/>
        </w:trPr>
        <w:tc>
          <w:tcPr>
            <w:tcW w:w="7661" w:type="dxa"/>
            <w:gridSpan w:val="11"/>
            <w:tcBorders>
              <w:left w:val="nil"/>
              <w:right w:val="nil"/>
            </w:tcBorders>
            <w:shd w:val="clear" w:color="auto" w:fill="auto"/>
            <w:noWrap/>
            <w:vAlign w:val="bottom"/>
          </w:tcPr>
          <w:p w:rsidR="0097214A" w:rsidRPr="0097214A" w:rsidRDefault="0097214A" w:rsidP="0097214A">
            <w:pPr>
              <w:spacing w:before="60" w:after="60" w:line="220" w:lineRule="atLeast"/>
              <w:ind w:firstLine="284"/>
              <w:rPr>
                <w:rFonts w:ascii="Arial" w:eastAsia="Arial Unicode MS" w:hAnsi="Arial"/>
                <w:sz w:val="16"/>
                <w:lang w:eastAsia="en-AU"/>
              </w:rPr>
            </w:pPr>
            <w:r w:rsidRPr="0097214A">
              <w:rPr>
                <w:rFonts w:ascii="Arial" w:eastAsia="Arial Unicode MS" w:hAnsi="Arial"/>
                <w:sz w:val="16"/>
                <w:lang w:eastAsia="en-AU"/>
              </w:rPr>
              <w:t>Natural disturbance – Cyclone</w:t>
            </w:r>
          </w:p>
        </w:tc>
      </w:tr>
      <w:tr w:rsidR="0097214A" w:rsidRPr="0097214A" w:rsidTr="00564ED4">
        <w:trPr>
          <w:trHeight w:val="264"/>
        </w:trPr>
        <w:tc>
          <w:tcPr>
            <w:tcW w:w="303" w:type="dxa"/>
            <w:tcBorders>
              <w:left w:val="nil"/>
              <w:right w:val="nil"/>
            </w:tcBorders>
            <w:shd w:val="clear" w:color="auto" w:fill="auto"/>
            <w:noWrap/>
            <w:vAlign w:val="bottom"/>
          </w:tcPr>
          <w:p w:rsidR="0097214A" w:rsidRPr="0097214A" w:rsidRDefault="0097214A" w:rsidP="0097214A">
            <w:pPr>
              <w:spacing w:before="60" w:after="60" w:line="220" w:lineRule="atLeast"/>
              <w:rPr>
                <w:rFonts w:ascii="Arial" w:eastAsia="Arial Unicode MS" w:hAnsi="Arial"/>
                <w:sz w:val="16"/>
                <w:lang w:eastAsia="en-AU"/>
              </w:rPr>
            </w:pPr>
          </w:p>
        </w:tc>
        <w:tc>
          <w:tcPr>
            <w:tcW w:w="516" w:type="dxa"/>
            <w:tcBorders>
              <w:left w:val="nil"/>
              <w:right w:val="nil"/>
            </w:tcBorders>
            <w:shd w:val="clear" w:color="auto" w:fill="auto"/>
            <w:vAlign w:val="bottom"/>
          </w:tcPr>
          <w:p w:rsidR="0097214A" w:rsidRPr="0097214A" w:rsidRDefault="0097214A" w:rsidP="0097214A">
            <w:pPr>
              <w:spacing w:before="60" w:after="60" w:line="220" w:lineRule="atLeast"/>
              <w:rPr>
                <w:rFonts w:ascii="Arial" w:eastAsia="Arial Unicode MS" w:hAnsi="Arial"/>
                <w:sz w:val="16"/>
                <w:lang w:eastAsia="en-AU"/>
              </w:rPr>
            </w:pPr>
          </w:p>
        </w:tc>
        <w:tc>
          <w:tcPr>
            <w:tcW w:w="761" w:type="dxa"/>
            <w:tcBorders>
              <w:top w:val="nil"/>
              <w:left w:val="nil"/>
              <w:right w:val="nil"/>
            </w:tcBorders>
            <w:shd w:val="clear" w:color="auto" w:fill="auto"/>
            <w:noWrap/>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1" w:type="dxa"/>
            <w:tcBorders>
              <w:top w:val="nil"/>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2</w:t>
            </w:r>
          </w:p>
        </w:tc>
        <w:tc>
          <w:tcPr>
            <w:tcW w:w="760" w:type="dxa"/>
            <w:tcBorders>
              <w:top w:val="nil"/>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top w:val="nil"/>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top w:val="nil"/>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top w:val="nil"/>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top w:val="nil"/>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top w:val="nil"/>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top w:val="nil"/>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r>
      <w:tr w:rsidR="0097214A" w:rsidRPr="0097214A" w:rsidTr="00564ED4">
        <w:trPr>
          <w:trHeight w:val="264"/>
        </w:trPr>
        <w:tc>
          <w:tcPr>
            <w:tcW w:w="7661" w:type="dxa"/>
            <w:gridSpan w:val="11"/>
            <w:tcBorders>
              <w:left w:val="nil"/>
              <w:right w:val="nil"/>
            </w:tcBorders>
            <w:shd w:val="clear" w:color="auto" w:fill="auto"/>
            <w:noWrap/>
            <w:vAlign w:val="bottom"/>
          </w:tcPr>
          <w:p w:rsidR="0097214A" w:rsidRPr="0097214A" w:rsidRDefault="0097214A" w:rsidP="0097214A">
            <w:pPr>
              <w:tabs>
                <w:tab w:val="decimal" w:pos="720"/>
              </w:tabs>
              <w:spacing w:before="60" w:after="60" w:line="220" w:lineRule="atLeast"/>
              <w:ind w:firstLine="284"/>
              <w:rPr>
                <w:rFonts w:ascii="Arial" w:eastAsia="Arial Unicode MS" w:hAnsi="Arial"/>
                <w:sz w:val="16"/>
                <w:lang w:eastAsia="en-AU"/>
              </w:rPr>
            </w:pPr>
            <w:r w:rsidRPr="0097214A">
              <w:rPr>
                <w:rFonts w:ascii="Arial" w:eastAsia="Arial Unicode MS" w:hAnsi="Arial"/>
                <w:sz w:val="16"/>
                <w:lang w:eastAsia="en-AU"/>
              </w:rPr>
              <w:t>Natural disturbance – Drought</w:t>
            </w:r>
          </w:p>
        </w:tc>
      </w:tr>
      <w:tr w:rsidR="0097214A" w:rsidRPr="0097214A" w:rsidTr="00564ED4">
        <w:trPr>
          <w:trHeight w:val="264"/>
        </w:trPr>
        <w:tc>
          <w:tcPr>
            <w:tcW w:w="303" w:type="dxa"/>
            <w:tcBorders>
              <w:left w:val="nil"/>
              <w:right w:val="nil"/>
            </w:tcBorders>
            <w:shd w:val="clear" w:color="auto" w:fill="auto"/>
            <w:noWrap/>
            <w:vAlign w:val="bottom"/>
          </w:tcPr>
          <w:p w:rsidR="0097214A" w:rsidRPr="0097214A" w:rsidRDefault="0097214A" w:rsidP="0097214A">
            <w:pPr>
              <w:spacing w:before="60" w:after="60" w:line="220" w:lineRule="atLeast"/>
              <w:rPr>
                <w:rFonts w:ascii="Arial" w:eastAsia="Arial Unicode MS" w:hAnsi="Arial"/>
                <w:sz w:val="16"/>
                <w:lang w:eastAsia="en-AU"/>
              </w:rPr>
            </w:pPr>
          </w:p>
        </w:tc>
        <w:tc>
          <w:tcPr>
            <w:tcW w:w="516" w:type="dxa"/>
            <w:tcBorders>
              <w:left w:val="nil"/>
              <w:right w:val="nil"/>
            </w:tcBorders>
            <w:shd w:val="clear" w:color="auto" w:fill="auto"/>
            <w:vAlign w:val="bottom"/>
          </w:tcPr>
          <w:p w:rsidR="0097214A" w:rsidRPr="0097214A" w:rsidRDefault="0097214A" w:rsidP="0097214A">
            <w:pPr>
              <w:spacing w:before="60" w:after="60" w:line="220" w:lineRule="atLeast"/>
              <w:rPr>
                <w:rFonts w:ascii="Arial" w:eastAsia="Arial Unicode MS" w:hAnsi="Arial"/>
                <w:sz w:val="16"/>
                <w:lang w:eastAsia="en-AU"/>
              </w:rPr>
            </w:pPr>
          </w:p>
        </w:tc>
        <w:tc>
          <w:tcPr>
            <w:tcW w:w="761" w:type="dxa"/>
            <w:tcBorders>
              <w:left w:val="nil"/>
              <w:right w:val="nil"/>
            </w:tcBorders>
            <w:shd w:val="clear" w:color="auto" w:fill="auto"/>
            <w:noWrap/>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1"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r>
      <w:tr w:rsidR="0097214A" w:rsidRPr="0097214A" w:rsidTr="00564ED4">
        <w:trPr>
          <w:trHeight w:val="264"/>
        </w:trPr>
        <w:tc>
          <w:tcPr>
            <w:tcW w:w="7661" w:type="dxa"/>
            <w:gridSpan w:val="11"/>
            <w:tcBorders>
              <w:left w:val="nil"/>
              <w:right w:val="nil"/>
            </w:tcBorders>
            <w:shd w:val="clear" w:color="auto" w:fill="auto"/>
            <w:noWrap/>
            <w:vAlign w:val="bottom"/>
          </w:tcPr>
          <w:p w:rsidR="0097214A" w:rsidRPr="0097214A" w:rsidRDefault="0097214A" w:rsidP="0097214A">
            <w:pPr>
              <w:tabs>
                <w:tab w:val="decimal" w:pos="720"/>
              </w:tabs>
              <w:spacing w:before="60" w:after="60" w:line="220" w:lineRule="atLeast"/>
              <w:ind w:firstLine="284"/>
              <w:rPr>
                <w:rFonts w:ascii="Arial" w:eastAsia="Arial Unicode MS" w:hAnsi="Arial"/>
                <w:sz w:val="16"/>
                <w:lang w:eastAsia="en-AU"/>
              </w:rPr>
            </w:pPr>
            <w:r w:rsidRPr="0097214A">
              <w:rPr>
                <w:rFonts w:ascii="Arial" w:eastAsia="Arial Unicode MS" w:hAnsi="Arial"/>
                <w:sz w:val="16"/>
                <w:lang w:eastAsia="en-AU"/>
              </w:rPr>
              <w:t>Natural disturbance – Flood</w:t>
            </w:r>
          </w:p>
        </w:tc>
      </w:tr>
      <w:tr w:rsidR="0097214A" w:rsidRPr="0097214A" w:rsidTr="00564ED4">
        <w:trPr>
          <w:trHeight w:val="264"/>
        </w:trPr>
        <w:tc>
          <w:tcPr>
            <w:tcW w:w="303" w:type="dxa"/>
            <w:tcBorders>
              <w:left w:val="nil"/>
              <w:right w:val="nil"/>
            </w:tcBorders>
            <w:shd w:val="clear" w:color="auto" w:fill="auto"/>
            <w:noWrap/>
            <w:vAlign w:val="bottom"/>
          </w:tcPr>
          <w:p w:rsidR="0097214A" w:rsidRPr="0097214A" w:rsidRDefault="0097214A" w:rsidP="0097214A">
            <w:pPr>
              <w:spacing w:before="60" w:after="60" w:line="220" w:lineRule="atLeast"/>
              <w:rPr>
                <w:rFonts w:ascii="Arial" w:eastAsia="Arial Unicode MS" w:hAnsi="Arial"/>
                <w:sz w:val="16"/>
                <w:lang w:eastAsia="en-AU"/>
              </w:rPr>
            </w:pPr>
          </w:p>
        </w:tc>
        <w:tc>
          <w:tcPr>
            <w:tcW w:w="516" w:type="dxa"/>
            <w:tcBorders>
              <w:left w:val="nil"/>
              <w:right w:val="nil"/>
            </w:tcBorders>
            <w:shd w:val="clear" w:color="auto" w:fill="auto"/>
            <w:vAlign w:val="bottom"/>
          </w:tcPr>
          <w:p w:rsidR="0097214A" w:rsidRPr="0097214A" w:rsidRDefault="0097214A" w:rsidP="0097214A">
            <w:pPr>
              <w:spacing w:before="60" w:after="60" w:line="220" w:lineRule="atLeast"/>
              <w:rPr>
                <w:rFonts w:ascii="Arial" w:eastAsia="Arial Unicode MS" w:hAnsi="Arial"/>
                <w:sz w:val="16"/>
                <w:lang w:eastAsia="en-AU"/>
              </w:rPr>
            </w:pPr>
          </w:p>
        </w:tc>
        <w:tc>
          <w:tcPr>
            <w:tcW w:w="761" w:type="dxa"/>
            <w:tcBorders>
              <w:left w:val="nil"/>
              <w:right w:val="nil"/>
            </w:tcBorders>
            <w:shd w:val="clear" w:color="auto" w:fill="auto"/>
            <w:noWrap/>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1"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r>
      <w:tr w:rsidR="0097214A" w:rsidRPr="0097214A" w:rsidTr="00564ED4">
        <w:trPr>
          <w:trHeight w:val="264"/>
        </w:trPr>
        <w:tc>
          <w:tcPr>
            <w:tcW w:w="7661" w:type="dxa"/>
            <w:gridSpan w:val="11"/>
            <w:tcBorders>
              <w:left w:val="nil"/>
              <w:right w:val="nil"/>
            </w:tcBorders>
            <w:shd w:val="clear" w:color="auto" w:fill="auto"/>
            <w:noWrap/>
            <w:vAlign w:val="bottom"/>
          </w:tcPr>
          <w:p w:rsidR="0097214A" w:rsidRPr="0097214A" w:rsidRDefault="0097214A" w:rsidP="0097214A">
            <w:pPr>
              <w:tabs>
                <w:tab w:val="decimal" w:pos="720"/>
              </w:tabs>
              <w:spacing w:before="60" w:after="60" w:line="220" w:lineRule="atLeast"/>
              <w:ind w:firstLine="284"/>
              <w:rPr>
                <w:rFonts w:ascii="Arial" w:eastAsia="Arial Unicode MS" w:hAnsi="Arial"/>
                <w:sz w:val="16"/>
                <w:lang w:eastAsia="en-AU"/>
              </w:rPr>
            </w:pPr>
            <w:r w:rsidRPr="0097214A">
              <w:rPr>
                <w:rFonts w:ascii="Arial" w:eastAsia="Arial Unicode MS" w:hAnsi="Arial"/>
                <w:sz w:val="16"/>
                <w:lang w:eastAsia="en-AU"/>
              </w:rPr>
              <w:t>Geomorphic processes</w:t>
            </w:r>
          </w:p>
        </w:tc>
      </w:tr>
      <w:tr w:rsidR="0097214A" w:rsidRPr="0097214A" w:rsidTr="00564ED4">
        <w:trPr>
          <w:trHeight w:val="264"/>
        </w:trPr>
        <w:tc>
          <w:tcPr>
            <w:tcW w:w="303" w:type="dxa"/>
            <w:tcBorders>
              <w:left w:val="nil"/>
              <w:right w:val="nil"/>
            </w:tcBorders>
            <w:shd w:val="clear" w:color="auto" w:fill="auto"/>
            <w:noWrap/>
            <w:vAlign w:val="bottom"/>
          </w:tcPr>
          <w:p w:rsidR="0097214A" w:rsidRPr="0097214A" w:rsidRDefault="0097214A" w:rsidP="0097214A">
            <w:pPr>
              <w:spacing w:before="60" w:after="60" w:line="220" w:lineRule="atLeast"/>
              <w:rPr>
                <w:rFonts w:ascii="Arial" w:eastAsia="Arial Unicode MS" w:hAnsi="Arial"/>
                <w:sz w:val="16"/>
                <w:lang w:eastAsia="en-AU"/>
              </w:rPr>
            </w:pPr>
          </w:p>
        </w:tc>
        <w:tc>
          <w:tcPr>
            <w:tcW w:w="516" w:type="dxa"/>
            <w:tcBorders>
              <w:left w:val="nil"/>
              <w:right w:val="nil"/>
            </w:tcBorders>
            <w:shd w:val="clear" w:color="auto" w:fill="auto"/>
            <w:vAlign w:val="bottom"/>
          </w:tcPr>
          <w:p w:rsidR="0097214A" w:rsidRPr="0097214A" w:rsidRDefault="0097214A" w:rsidP="0097214A">
            <w:pPr>
              <w:spacing w:before="60" w:after="60" w:line="220" w:lineRule="atLeast"/>
              <w:rPr>
                <w:rFonts w:ascii="Arial" w:eastAsia="Arial Unicode MS" w:hAnsi="Arial"/>
                <w:sz w:val="16"/>
                <w:lang w:eastAsia="en-AU"/>
              </w:rPr>
            </w:pPr>
          </w:p>
        </w:tc>
        <w:tc>
          <w:tcPr>
            <w:tcW w:w="761" w:type="dxa"/>
            <w:tcBorders>
              <w:left w:val="nil"/>
              <w:right w:val="nil"/>
            </w:tcBorders>
            <w:shd w:val="clear" w:color="auto" w:fill="auto"/>
            <w:noWrap/>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1"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2</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1</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2</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2</w:t>
            </w:r>
          </w:p>
        </w:tc>
      </w:tr>
      <w:tr w:rsidR="0097214A" w:rsidRPr="0097214A" w:rsidTr="00564ED4">
        <w:trPr>
          <w:trHeight w:val="264"/>
        </w:trPr>
        <w:tc>
          <w:tcPr>
            <w:tcW w:w="7661" w:type="dxa"/>
            <w:gridSpan w:val="11"/>
            <w:tcBorders>
              <w:left w:val="nil"/>
              <w:right w:val="nil"/>
            </w:tcBorders>
            <w:shd w:val="clear" w:color="auto" w:fill="auto"/>
            <w:noWrap/>
          </w:tcPr>
          <w:p w:rsidR="0097214A" w:rsidRPr="0097214A" w:rsidRDefault="0097214A" w:rsidP="0097214A">
            <w:pPr>
              <w:tabs>
                <w:tab w:val="decimal" w:pos="720"/>
              </w:tabs>
              <w:spacing w:before="60" w:after="60" w:line="220" w:lineRule="atLeast"/>
              <w:rPr>
                <w:rFonts w:ascii="Arial" w:eastAsia="Arial Unicode MS" w:hAnsi="Arial"/>
                <w:b/>
                <w:i/>
                <w:sz w:val="16"/>
                <w:lang w:eastAsia="en-AU"/>
              </w:rPr>
            </w:pPr>
            <w:r w:rsidRPr="0097214A">
              <w:rPr>
                <w:rFonts w:ascii="Arial" w:eastAsia="Arial Unicode MS" w:hAnsi="Arial"/>
                <w:b/>
                <w:i/>
                <w:sz w:val="16"/>
                <w:lang w:eastAsia="en-AU"/>
              </w:rPr>
              <w:t>Biotic ecological processes</w:t>
            </w:r>
          </w:p>
        </w:tc>
      </w:tr>
      <w:tr w:rsidR="0097214A" w:rsidRPr="0097214A" w:rsidTr="00564ED4">
        <w:trPr>
          <w:trHeight w:val="264"/>
        </w:trPr>
        <w:tc>
          <w:tcPr>
            <w:tcW w:w="7661" w:type="dxa"/>
            <w:gridSpan w:val="11"/>
            <w:tcBorders>
              <w:left w:val="nil"/>
              <w:right w:val="nil"/>
            </w:tcBorders>
            <w:shd w:val="clear" w:color="auto" w:fill="auto"/>
            <w:noWrap/>
          </w:tcPr>
          <w:p w:rsidR="0097214A" w:rsidRPr="0097214A" w:rsidRDefault="0097214A" w:rsidP="0097214A">
            <w:pPr>
              <w:tabs>
                <w:tab w:val="decimal" w:pos="720"/>
              </w:tabs>
              <w:spacing w:before="60" w:after="60" w:line="220" w:lineRule="atLeast"/>
              <w:ind w:firstLine="284"/>
              <w:rPr>
                <w:rFonts w:ascii="Arial" w:eastAsia="Arial Unicode MS" w:hAnsi="Arial"/>
                <w:sz w:val="16"/>
                <w:lang w:eastAsia="en-AU"/>
              </w:rPr>
            </w:pPr>
            <w:r w:rsidRPr="0097214A">
              <w:rPr>
                <w:rFonts w:ascii="Arial" w:eastAsia="Arial Unicode MS" w:hAnsi="Arial"/>
                <w:sz w:val="16"/>
                <w:lang w:eastAsia="en-AU"/>
              </w:rPr>
              <w:t>Movement of organisms: Recruitment &amp; regeneration dispersal</w:t>
            </w:r>
          </w:p>
        </w:tc>
      </w:tr>
      <w:tr w:rsidR="0097214A" w:rsidRPr="0097214A" w:rsidTr="00564ED4">
        <w:trPr>
          <w:trHeight w:val="264"/>
        </w:trPr>
        <w:tc>
          <w:tcPr>
            <w:tcW w:w="303" w:type="dxa"/>
            <w:tcBorders>
              <w:left w:val="nil"/>
              <w:right w:val="nil"/>
            </w:tcBorders>
            <w:shd w:val="clear" w:color="auto" w:fill="auto"/>
            <w:noWrap/>
          </w:tcPr>
          <w:p w:rsidR="0097214A" w:rsidRPr="0097214A" w:rsidRDefault="0097214A" w:rsidP="0097214A">
            <w:pPr>
              <w:spacing w:before="60" w:after="60" w:line="220" w:lineRule="atLeast"/>
              <w:rPr>
                <w:rFonts w:ascii="Arial" w:eastAsia="Arial Unicode MS" w:hAnsi="Arial"/>
                <w:sz w:val="16"/>
                <w:lang w:eastAsia="en-AU"/>
              </w:rPr>
            </w:pPr>
          </w:p>
        </w:tc>
        <w:tc>
          <w:tcPr>
            <w:tcW w:w="516" w:type="dxa"/>
            <w:tcBorders>
              <w:left w:val="nil"/>
              <w:right w:val="nil"/>
            </w:tcBorders>
            <w:shd w:val="clear" w:color="auto" w:fill="auto"/>
            <w:vAlign w:val="bottom"/>
          </w:tcPr>
          <w:p w:rsidR="0097214A" w:rsidRPr="0097214A" w:rsidRDefault="0097214A" w:rsidP="0097214A">
            <w:pPr>
              <w:spacing w:before="60" w:after="60" w:line="220" w:lineRule="atLeast"/>
              <w:rPr>
                <w:rFonts w:ascii="Arial" w:eastAsia="Arial Unicode MS" w:hAnsi="Arial"/>
                <w:sz w:val="16"/>
                <w:lang w:eastAsia="en-AU"/>
              </w:rPr>
            </w:pPr>
          </w:p>
        </w:tc>
        <w:tc>
          <w:tcPr>
            <w:tcW w:w="761" w:type="dxa"/>
            <w:tcBorders>
              <w:left w:val="nil"/>
              <w:right w:val="nil"/>
            </w:tcBorders>
            <w:shd w:val="clear" w:color="auto" w:fill="auto"/>
            <w:noWrap/>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1"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r>
      <w:tr w:rsidR="0097214A" w:rsidRPr="0097214A" w:rsidTr="00564ED4">
        <w:trPr>
          <w:trHeight w:val="264"/>
        </w:trPr>
        <w:tc>
          <w:tcPr>
            <w:tcW w:w="7661" w:type="dxa"/>
            <w:gridSpan w:val="11"/>
            <w:tcBorders>
              <w:left w:val="nil"/>
              <w:right w:val="nil"/>
            </w:tcBorders>
            <w:shd w:val="clear" w:color="auto" w:fill="auto"/>
            <w:noWrap/>
            <w:vAlign w:val="bottom"/>
          </w:tcPr>
          <w:p w:rsidR="0097214A" w:rsidRPr="0097214A" w:rsidRDefault="0097214A" w:rsidP="0097214A">
            <w:pPr>
              <w:tabs>
                <w:tab w:val="decimal" w:pos="720"/>
              </w:tabs>
              <w:spacing w:before="60" w:after="60" w:line="220" w:lineRule="atLeast"/>
              <w:ind w:firstLine="284"/>
              <w:rPr>
                <w:rFonts w:ascii="Arial" w:eastAsia="Arial Unicode MS" w:hAnsi="Arial"/>
                <w:sz w:val="16"/>
                <w:lang w:eastAsia="en-AU"/>
              </w:rPr>
            </w:pPr>
            <w:r w:rsidRPr="0097214A">
              <w:rPr>
                <w:rFonts w:ascii="Arial" w:eastAsia="Arial Unicode MS" w:hAnsi="Arial"/>
                <w:sz w:val="16"/>
                <w:lang w:eastAsia="en-AU"/>
              </w:rPr>
              <w:t>Movement of organisms: Dispersal</w:t>
            </w:r>
          </w:p>
        </w:tc>
      </w:tr>
      <w:tr w:rsidR="0097214A" w:rsidRPr="0097214A" w:rsidTr="00564ED4">
        <w:trPr>
          <w:trHeight w:val="264"/>
        </w:trPr>
        <w:tc>
          <w:tcPr>
            <w:tcW w:w="303" w:type="dxa"/>
            <w:tcBorders>
              <w:left w:val="nil"/>
              <w:right w:val="nil"/>
            </w:tcBorders>
            <w:shd w:val="clear" w:color="auto" w:fill="auto"/>
            <w:noWrap/>
            <w:vAlign w:val="bottom"/>
          </w:tcPr>
          <w:p w:rsidR="0097214A" w:rsidRPr="0097214A" w:rsidRDefault="0097214A" w:rsidP="0097214A">
            <w:pPr>
              <w:spacing w:before="60" w:after="60" w:line="220" w:lineRule="atLeast"/>
              <w:rPr>
                <w:rFonts w:ascii="Arial" w:eastAsia="Arial Unicode MS" w:hAnsi="Arial"/>
                <w:b/>
                <w:sz w:val="16"/>
                <w:lang w:eastAsia="en-AU"/>
              </w:rPr>
            </w:pPr>
          </w:p>
        </w:tc>
        <w:tc>
          <w:tcPr>
            <w:tcW w:w="516" w:type="dxa"/>
            <w:tcBorders>
              <w:left w:val="nil"/>
              <w:right w:val="nil"/>
            </w:tcBorders>
            <w:shd w:val="clear" w:color="auto" w:fill="auto"/>
            <w:vAlign w:val="bottom"/>
          </w:tcPr>
          <w:p w:rsidR="0097214A" w:rsidRPr="0097214A" w:rsidRDefault="0097214A" w:rsidP="0097214A">
            <w:pPr>
              <w:spacing w:before="60" w:after="60" w:line="220" w:lineRule="atLeast"/>
              <w:rPr>
                <w:rFonts w:ascii="Arial" w:eastAsia="Arial Unicode MS" w:hAnsi="Arial"/>
                <w:sz w:val="16"/>
                <w:lang w:eastAsia="en-AU"/>
              </w:rPr>
            </w:pPr>
          </w:p>
        </w:tc>
        <w:tc>
          <w:tcPr>
            <w:tcW w:w="761" w:type="dxa"/>
            <w:tcBorders>
              <w:left w:val="nil"/>
              <w:right w:val="nil"/>
            </w:tcBorders>
            <w:shd w:val="clear" w:color="auto" w:fill="auto"/>
            <w:noWrap/>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1"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r>
      <w:tr w:rsidR="0097214A" w:rsidRPr="0097214A" w:rsidTr="00564ED4">
        <w:trPr>
          <w:trHeight w:val="264"/>
        </w:trPr>
        <w:tc>
          <w:tcPr>
            <w:tcW w:w="7661" w:type="dxa"/>
            <w:gridSpan w:val="11"/>
            <w:tcBorders>
              <w:left w:val="nil"/>
              <w:right w:val="nil"/>
            </w:tcBorders>
            <w:shd w:val="clear" w:color="auto" w:fill="auto"/>
            <w:noWrap/>
            <w:vAlign w:val="bottom"/>
          </w:tcPr>
          <w:p w:rsidR="0097214A" w:rsidRPr="0097214A" w:rsidRDefault="0097214A" w:rsidP="0097214A">
            <w:pPr>
              <w:tabs>
                <w:tab w:val="decimal" w:pos="720"/>
              </w:tabs>
              <w:spacing w:before="60" w:after="60" w:line="220" w:lineRule="atLeast"/>
              <w:ind w:firstLine="284"/>
              <w:rPr>
                <w:rFonts w:ascii="Arial" w:eastAsia="Arial Unicode MS" w:hAnsi="Arial"/>
                <w:sz w:val="16"/>
                <w:lang w:eastAsia="en-AU"/>
              </w:rPr>
            </w:pPr>
            <w:r w:rsidRPr="0097214A">
              <w:rPr>
                <w:rFonts w:ascii="Arial" w:eastAsia="Arial Unicode MS" w:hAnsi="Arial"/>
                <w:sz w:val="16"/>
                <w:lang w:eastAsia="en-AU"/>
              </w:rPr>
              <w:t xml:space="preserve">Primary Productivity: </w:t>
            </w:r>
            <w:r w:rsidR="00820CF1">
              <w:rPr>
                <w:rFonts w:ascii="Arial" w:eastAsia="Arial Unicode MS" w:hAnsi="Arial"/>
                <w:sz w:val="16"/>
                <w:lang w:eastAsia="en-AU"/>
              </w:rPr>
              <w:t>Phytoplankton and m</w:t>
            </w:r>
            <w:r w:rsidRPr="0097214A">
              <w:rPr>
                <w:rFonts w:ascii="Arial" w:eastAsia="Arial Unicode MS" w:hAnsi="Arial"/>
                <w:sz w:val="16"/>
                <w:lang w:eastAsia="en-AU"/>
              </w:rPr>
              <w:t>acrophytes</w:t>
            </w:r>
          </w:p>
        </w:tc>
      </w:tr>
      <w:tr w:rsidR="0097214A" w:rsidRPr="0097214A" w:rsidTr="00564ED4">
        <w:trPr>
          <w:trHeight w:val="264"/>
        </w:trPr>
        <w:tc>
          <w:tcPr>
            <w:tcW w:w="303" w:type="dxa"/>
            <w:tcBorders>
              <w:left w:val="nil"/>
              <w:right w:val="nil"/>
            </w:tcBorders>
            <w:shd w:val="clear" w:color="auto" w:fill="auto"/>
            <w:noWrap/>
            <w:vAlign w:val="bottom"/>
          </w:tcPr>
          <w:p w:rsidR="0097214A" w:rsidRPr="0097214A" w:rsidRDefault="0097214A" w:rsidP="0097214A">
            <w:pPr>
              <w:spacing w:before="60" w:after="60" w:line="220" w:lineRule="atLeast"/>
              <w:rPr>
                <w:rFonts w:ascii="Arial" w:eastAsia="Arial Unicode MS" w:hAnsi="Arial"/>
                <w:b/>
                <w:sz w:val="16"/>
                <w:lang w:eastAsia="en-AU"/>
              </w:rPr>
            </w:pPr>
          </w:p>
        </w:tc>
        <w:tc>
          <w:tcPr>
            <w:tcW w:w="516" w:type="dxa"/>
            <w:tcBorders>
              <w:left w:val="nil"/>
              <w:right w:val="nil"/>
            </w:tcBorders>
            <w:shd w:val="clear" w:color="auto" w:fill="auto"/>
            <w:vAlign w:val="bottom"/>
          </w:tcPr>
          <w:p w:rsidR="0097214A" w:rsidRPr="0097214A" w:rsidRDefault="0097214A" w:rsidP="0097214A">
            <w:pPr>
              <w:spacing w:before="60" w:after="60" w:line="220" w:lineRule="atLeast"/>
              <w:rPr>
                <w:rFonts w:ascii="Arial" w:eastAsia="Arial Unicode MS" w:hAnsi="Arial"/>
                <w:sz w:val="16"/>
                <w:lang w:eastAsia="en-AU"/>
              </w:rPr>
            </w:pPr>
          </w:p>
        </w:tc>
        <w:tc>
          <w:tcPr>
            <w:tcW w:w="761" w:type="dxa"/>
            <w:tcBorders>
              <w:left w:val="nil"/>
              <w:right w:val="nil"/>
            </w:tcBorders>
            <w:shd w:val="clear" w:color="auto" w:fill="auto"/>
            <w:noWrap/>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1"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2</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2</w:t>
            </w:r>
          </w:p>
        </w:tc>
      </w:tr>
      <w:tr w:rsidR="0097214A" w:rsidRPr="0097214A" w:rsidTr="00564ED4">
        <w:trPr>
          <w:trHeight w:val="264"/>
        </w:trPr>
        <w:tc>
          <w:tcPr>
            <w:tcW w:w="7661" w:type="dxa"/>
            <w:gridSpan w:val="11"/>
            <w:tcBorders>
              <w:left w:val="nil"/>
              <w:right w:val="nil"/>
            </w:tcBorders>
            <w:shd w:val="clear" w:color="auto" w:fill="auto"/>
            <w:noWrap/>
            <w:vAlign w:val="bottom"/>
          </w:tcPr>
          <w:p w:rsidR="0097214A" w:rsidRPr="0097214A" w:rsidRDefault="0097214A" w:rsidP="0097214A">
            <w:pPr>
              <w:tabs>
                <w:tab w:val="decimal" w:pos="720"/>
              </w:tabs>
              <w:spacing w:before="60" w:after="60" w:line="220" w:lineRule="atLeast"/>
              <w:ind w:firstLine="284"/>
              <w:rPr>
                <w:rFonts w:ascii="Arial" w:eastAsia="Arial Unicode MS" w:hAnsi="Arial"/>
                <w:sz w:val="16"/>
                <w:lang w:eastAsia="en-AU"/>
              </w:rPr>
            </w:pPr>
            <w:r w:rsidRPr="0097214A">
              <w:rPr>
                <w:rFonts w:ascii="Arial" w:eastAsia="Arial Unicode MS" w:hAnsi="Arial"/>
                <w:sz w:val="16"/>
                <w:lang w:eastAsia="en-AU"/>
              </w:rPr>
              <w:t>Predation, herbivory, competition, parasitism, mutualism</w:t>
            </w:r>
          </w:p>
        </w:tc>
      </w:tr>
      <w:tr w:rsidR="0097214A" w:rsidRPr="0097214A" w:rsidTr="00564ED4">
        <w:trPr>
          <w:trHeight w:val="264"/>
        </w:trPr>
        <w:tc>
          <w:tcPr>
            <w:tcW w:w="303" w:type="dxa"/>
            <w:tcBorders>
              <w:left w:val="nil"/>
              <w:bottom w:val="single" w:sz="8" w:space="0" w:color="C0C0C0"/>
              <w:right w:val="nil"/>
            </w:tcBorders>
            <w:shd w:val="clear" w:color="auto" w:fill="auto"/>
            <w:noWrap/>
            <w:vAlign w:val="bottom"/>
          </w:tcPr>
          <w:p w:rsidR="0097214A" w:rsidRPr="0097214A" w:rsidRDefault="0097214A" w:rsidP="0097214A">
            <w:pPr>
              <w:spacing w:before="60" w:after="60" w:line="220" w:lineRule="atLeast"/>
              <w:rPr>
                <w:rFonts w:ascii="Arial" w:eastAsia="Arial Unicode MS" w:hAnsi="Arial"/>
                <w:b/>
                <w:sz w:val="16"/>
                <w:lang w:eastAsia="en-AU"/>
              </w:rPr>
            </w:pPr>
          </w:p>
        </w:tc>
        <w:tc>
          <w:tcPr>
            <w:tcW w:w="516" w:type="dxa"/>
            <w:tcBorders>
              <w:left w:val="nil"/>
              <w:bottom w:val="single" w:sz="8" w:space="0" w:color="C0C0C0"/>
              <w:right w:val="nil"/>
            </w:tcBorders>
            <w:shd w:val="clear" w:color="auto" w:fill="auto"/>
            <w:vAlign w:val="bottom"/>
          </w:tcPr>
          <w:p w:rsidR="0097214A" w:rsidRPr="0097214A" w:rsidRDefault="0097214A" w:rsidP="0097214A">
            <w:pPr>
              <w:tabs>
                <w:tab w:val="decimal" w:pos="720"/>
              </w:tabs>
              <w:spacing w:before="60" w:after="60" w:line="220" w:lineRule="atLeast"/>
              <w:rPr>
                <w:rFonts w:ascii="Arial" w:eastAsia="Arial Unicode MS" w:hAnsi="Arial"/>
                <w:sz w:val="16"/>
                <w:lang w:eastAsia="en-AU"/>
              </w:rPr>
            </w:pPr>
          </w:p>
        </w:tc>
        <w:tc>
          <w:tcPr>
            <w:tcW w:w="761" w:type="dxa"/>
            <w:tcBorders>
              <w:left w:val="nil"/>
              <w:bottom w:val="single" w:sz="8" w:space="0" w:color="C0C0C0"/>
              <w:right w:val="nil"/>
            </w:tcBorders>
            <w:shd w:val="clear" w:color="auto" w:fill="auto"/>
            <w:noWrap/>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1" w:type="dxa"/>
            <w:tcBorders>
              <w:left w:val="nil"/>
              <w:bottom w:val="single" w:sz="8" w:space="0" w:color="C0C0C0"/>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bottom w:val="single" w:sz="8" w:space="0" w:color="C0C0C0"/>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bottom w:val="single" w:sz="8" w:space="0" w:color="C0C0C0"/>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bottom w:val="single" w:sz="8" w:space="0" w:color="C0C0C0"/>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bottom w:val="single" w:sz="8" w:space="0" w:color="C0C0C0"/>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bottom w:val="single" w:sz="8" w:space="0" w:color="C0C0C0"/>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bottom w:val="single" w:sz="8" w:space="0" w:color="C0C0C0"/>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c>
          <w:tcPr>
            <w:tcW w:w="760" w:type="dxa"/>
            <w:tcBorders>
              <w:left w:val="nil"/>
              <w:bottom w:val="single" w:sz="8" w:space="0" w:color="C0C0C0"/>
              <w:right w:val="nil"/>
            </w:tcBorders>
            <w:shd w:val="clear" w:color="auto" w:fill="auto"/>
            <w:vAlign w:val="bottom"/>
          </w:tcPr>
          <w:p w:rsidR="0097214A" w:rsidRPr="0097214A" w:rsidRDefault="0097214A" w:rsidP="0097214A">
            <w:pPr>
              <w:spacing w:before="60" w:after="60" w:line="220" w:lineRule="atLeast"/>
              <w:jc w:val="center"/>
              <w:rPr>
                <w:rFonts w:ascii="Arial" w:eastAsia="Arial Unicode MS" w:hAnsi="Arial"/>
                <w:sz w:val="16"/>
                <w:lang w:eastAsia="en-AU"/>
              </w:rPr>
            </w:pPr>
            <w:r w:rsidRPr="0097214A">
              <w:rPr>
                <w:rFonts w:ascii="Arial" w:eastAsia="Arial Unicode MS" w:hAnsi="Arial"/>
                <w:sz w:val="16"/>
                <w:lang w:eastAsia="en-AU"/>
              </w:rPr>
              <w:t>3</w:t>
            </w:r>
          </w:p>
        </w:tc>
      </w:tr>
    </w:tbl>
    <w:p w:rsidR="006361DA" w:rsidRDefault="006361DA" w:rsidP="006361DA">
      <w:r w:rsidRPr="0097214A">
        <w:t>Further work will focus on assigning the stressors across these habitats and ecological processes, and determining whether the stressors are likely to vary between the dry and wet season. Through the process of mapping the stressors into the current matrix, we will be able to assess and rank the magnitude of any associated future impact. Knowledge of the importance of the ecological process or value and the potential impact of the stressor will be essential when we assign ‘likelihood’ and ‘consequence’ to ecological risks. Currently, this process is outside the risk screening work that has been undertaken. The two components of work will be brought together prior to the risk analysis phase.</w:t>
      </w:r>
    </w:p>
    <w:p w:rsidR="0097214A" w:rsidRPr="0097214A" w:rsidRDefault="0097214A" w:rsidP="0097214A">
      <w:pPr>
        <w:pStyle w:val="Heading3"/>
      </w:pPr>
      <w:r w:rsidRPr="0097214A">
        <w:t>4.9.3  Risk screening</w:t>
      </w:r>
    </w:p>
    <w:p w:rsidR="0097214A" w:rsidRPr="0097214A" w:rsidRDefault="0097214A" w:rsidP="0097214A">
      <w:r w:rsidRPr="0097214A">
        <w:t>A stakeholder workshop was convened in February 2014 and facilitated by Dr Carmel Pollino from the CSIRO to complete a screening-level risk assessment. The main objective of this workshop was to undertake a scientifically defensible screening of risks identified through the causal models. The outcomes of the workshop were:</w:t>
      </w:r>
    </w:p>
    <w:p w:rsidR="0097214A" w:rsidRPr="0097214A" w:rsidRDefault="0097214A" w:rsidP="0097214A">
      <w:pPr>
        <w:pStyle w:val="bulletlist1"/>
      </w:pPr>
      <w:r w:rsidRPr="0097214A">
        <w:t>A refined set of likelihood and consequence statements;</w:t>
      </w:r>
    </w:p>
    <w:p w:rsidR="0097214A" w:rsidRPr="0097214A" w:rsidRDefault="0097214A" w:rsidP="0097214A">
      <w:pPr>
        <w:pStyle w:val="bulletlist1"/>
      </w:pPr>
      <w:r w:rsidRPr="0097214A">
        <w:t>An assessment of likelihoods and consequences to inform the next steps of the ecological risk assessment; and</w:t>
      </w:r>
    </w:p>
    <w:p w:rsidR="0097214A" w:rsidRPr="0097214A" w:rsidRDefault="0097214A" w:rsidP="0097214A">
      <w:pPr>
        <w:pStyle w:val="bulletlist1"/>
      </w:pPr>
      <w:r w:rsidRPr="0097214A">
        <w:t>An understanding of the key knowledge gaps.</w:t>
      </w:r>
    </w:p>
    <w:p w:rsidR="0097214A" w:rsidRPr="0097214A" w:rsidRDefault="0097214A" w:rsidP="0097214A">
      <w:r w:rsidRPr="0097214A">
        <w:t>Prior to the workshop, a survey was sent to workshop participants that contained a total of 68 likelihood and consequence statements encompassing all of the stressors and assessment endpoints identified in the causal models. The participants were asked to score the likelihood and consequence statements based on scales developed for this exercise. Participants were also asked to identify the evidence base for each likelihood and consequence score (i</w:t>
      </w:r>
      <w:r>
        <w:t>.</w:t>
      </w:r>
      <w:r w:rsidRPr="0097214A">
        <w:t>e. published literature, experimentation or observation, models, expert opinion, none), which enabled knowledge gaps to be identified and a qualitative assessment of uncertainty to be made.</w:t>
      </w:r>
    </w:p>
    <w:p w:rsidR="0097214A" w:rsidRPr="0097214A" w:rsidRDefault="0097214A" w:rsidP="0097214A">
      <w:r w:rsidRPr="0097214A">
        <w:t xml:space="preserve">During the workshop, the pre-workshop survey was reviewed by the participants in the context of assumptions and evidence, and statements that required clarification or explanation were resurveyed where deemed necessary. The post-workshop distributions of responses for the likelihood and consequence statements were then used to populate a Bayesian Belief Network (BBN), which produced a ranking for all the risks. The preliminary results indicate that the critical risks defined as stressor-effect are: feral animals-wildlife; weeds-vegetation; feral animals-vegetation; trace metals-sediment; weeds-habitat; sediment-habitat; feral animals (mammals)-habitat; and weeds-wildlife. </w:t>
      </w:r>
    </w:p>
    <w:p w:rsidR="0097214A" w:rsidRPr="0097214A" w:rsidRDefault="0097214A" w:rsidP="0097214A">
      <w:r w:rsidRPr="0097214A">
        <w:t>A further preliminary exercise was undertaken to map the risk screening results to the existing Key Knowledge Needs (KKNs) as part of an ongoing review of the KKN framework. This resulted in identifying: ‘orphan’ risks where there was no association with an existing KKN; and risks ranked as low but they are associated with a KKN that people believe is important.</w:t>
      </w:r>
    </w:p>
    <w:p w:rsidR="0097214A" w:rsidRPr="0097214A" w:rsidRDefault="0097214A" w:rsidP="0097214A">
      <w:pPr>
        <w:pStyle w:val="Heading3"/>
      </w:pPr>
      <w:r w:rsidRPr="0097214A">
        <w:t>4.9.4  Future work</w:t>
      </w:r>
    </w:p>
    <w:p w:rsidR="0097214A" w:rsidRPr="0097214A" w:rsidRDefault="0097214A" w:rsidP="0097214A">
      <w:r w:rsidRPr="0097214A">
        <w:t xml:space="preserve">The results of the risk screening are currently under final review. Information is being collated on those responses for likelihood and consequence statements that had high levels of uncertainty. The cultural-based ecological risks are not amenable to the process we undertook, so these will be addressed through a discussion with key stakeholders focusing on what </w:t>
      </w:r>
      <w:proofErr w:type="gramStart"/>
      <w:r w:rsidRPr="0097214A">
        <w:t>is important, and ranking risks</w:t>
      </w:r>
      <w:proofErr w:type="gramEnd"/>
      <w:r w:rsidRPr="0097214A">
        <w:t xml:space="preserve"> as high, medium or low. A review of quantitative risk analysis methods will be completed, prior to determining those risks that require a quantitative assessment.</w:t>
      </w:r>
    </w:p>
    <w:p w:rsidR="0097214A" w:rsidRDefault="0097214A" w:rsidP="0097214A"/>
    <w:p w:rsidR="003C2A06" w:rsidRDefault="003C2A06" w:rsidP="00A00BA3">
      <w:pPr>
        <w:sectPr w:rsidR="003C2A06" w:rsidSect="00BC3FC8">
          <w:headerReference w:type="even" r:id="rId127"/>
          <w:headerReference w:type="default" r:id="rId128"/>
          <w:pgSz w:w="10325" w:h="14573" w:code="13"/>
          <w:pgMar w:top="1440" w:right="1440" w:bottom="1440" w:left="1440" w:header="720" w:footer="720" w:gutter="0"/>
          <w:cols w:space="360"/>
          <w:noEndnote/>
          <w:titlePg/>
          <w:docGrid w:linePitch="272"/>
        </w:sectPr>
      </w:pPr>
    </w:p>
    <w:p w:rsidR="00405EC2" w:rsidRDefault="00BE286E" w:rsidP="00DE799E">
      <w:pPr>
        <w:pStyle w:val="Heading1"/>
      </w:pPr>
      <w:bookmarkStart w:id="257" w:name="_Toc399928195"/>
      <w:bookmarkStart w:id="258" w:name="_Toc272771485"/>
      <w:r>
        <w:t>5</w:t>
      </w:r>
      <w:r w:rsidR="00405EC2">
        <w:tab/>
        <w:t>Other science and technical activities</w:t>
      </w:r>
      <w:bookmarkEnd w:id="257"/>
    </w:p>
    <w:p w:rsidR="00405EC2" w:rsidRDefault="00BE286E" w:rsidP="00AF57DA">
      <w:pPr>
        <w:pStyle w:val="Heading2"/>
      </w:pPr>
      <w:bookmarkStart w:id="259" w:name="_Toc399928196"/>
      <w:r>
        <w:t>5</w:t>
      </w:r>
      <w:r w:rsidR="00405EC2" w:rsidRPr="00CD08B7">
        <w:t>.1</w:t>
      </w:r>
      <w:r w:rsidR="00405EC2" w:rsidRPr="00CD08B7">
        <w:tab/>
        <w:t>Introduction</w:t>
      </w:r>
      <w:bookmarkEnd w:id="259"/>
    </w:p>
    <w:p w:rsidR="003A457F" w:rsidRDefault="003A457F" w:rsidP="003A457F">
      <w:r>
        <w:t xml:space="preserve">In addition to research and monitoring on the impacts of uranium mining in the ARR, SSD undertakes a significant number of activities associated with environmental protection in Australia and overseas related to uranium and other environmental issues. These activities include assisting the Department with EPBC-related approvals and other significant projects, </w:t>
      </w:r>
      <w:r w:rsidR="00D978BB">
        <w:t>assisting the IAEA with Best Practice Environmental Management of Uranium Mining</w:t>
      </w:r>
      <w:proofErr w:type="gramStart"/>
      <w:r w:rsidR="00D978BB">
        <w:t xml:space="preserve">,  </w:t>
      </w:r>
      <w:r>
        <w:t>membership</w:t>
      </w:r>
      <w:proofErr w:type="gramEnd"/>
      <w:r>
        <w:t xml:space="preserve"> on technical committees, collaborative research with other research institutions and participating in international environmental protection activities. A summary of the key activities undertaken during 2013–14 is provided below.</w:t>
      </w:r>
    </w:p>
    <w:p w:rsidR="00151ED5" w:rsidRPr="00151ED5" w:rsidRDefault="00151ED5" w:rsidP="00151ED5">
      <w:pPr>
        <w:pStyle w:val="Heading2"/>
      </w:pPr>
      <w:bookmarkStart w:id="260" w:name="_Toc399928197"/>
      <w:r w:rsidRPr="00151ED5">
        <w:t>5.2</w:t>
      </w:r>
      <w:r w:rsidRPr="00151ED5">
        <w:tab/>
        <w:t>National initiatives for radiation protection of the environment</w:t>
      </w:r>
      <w:bookmarkEnd w:id="260"/>
    </w:p>
    <w:p w:rsidR="00151ED5" w:rsidRPr="00151ED5" w:rsidRDefault="00151ED5" w:rsidP="00151ED5">
      <w:r w:rsidRPr="00151ED5">
        <w:t xml:space="preserve">Two research scientists from the </w:t>
      </w:r>
      <w:r w:rsidR="008F5E63" w:rsidRPr="00C62BB6">
        <w:rPr>
          <w:b/>
          <w:i/>
          <w:sz w:val="23"/>
          <w:szCs w:val="23"/>
        </w:rPr>
        <w:t>eriss</w:t>
      </w:r>
      <w:r w:rsidRPr="00151ED5">
        <w:t xml:space="preserve"> Environmental Radioactivity program, Dr Andreas Bollhöfer and Dr Che Doering, are involved with ARPANSA-coordinated national initiatives for radiation protection of the environment.</w:t>
      </w:r>
    </w:p>
    <w:p w:rsidR="00151ED5" w:rsidRPr="00151ED5" w:rsidRDefault="00151ED5" w:rsidP="00151ED5">
      <w:r w:rsidRPr="00151ED5">
        <w:t xml:space="preserve">Dr Doering is a member of </w:t>
      </w:r>
      <w:r w:rsidR="008B5136">
        <w:t>the Radiation Health Committee Working G</w:t>
      </w:r>
      <w:r w:rsidRPr="00151ED5">
        <w:t>roup for development of a safety guide for radiation protection of the environment. The safety guide aims to provide nationally uniform best practice advice to industry and regulators on how to assess environmental impacts from ionising radiation associated with releases of radionuclides. The working group was established in March 2012 and comprises technical experts from both industry and government. The safety guide is currently under development, with an expected completion date in 2014.</w:t>
      </w:r>
    </w:p>
    <w:p w:rsidR="00151ED5" w:rsidRPr="00151ED5" w:rsidRDefault="00151ED5" w:rsidP="00151ED5">
      <w:r w:rsidRPr="00151ED5">
        <w:t>Dr Bollhöfer was the e</w:t>
      </w:r>
      <w:r w:rsidR="008B5136">
        <w:t>xpert scientific member of the Steering C</w:t>
      </w:r>
      <w:r w:rsidRPr="00151ED5">
        <w:t>ommittee for the joint ARPANSA and D</w:t>
      </w:r>
      <w:r w:rsidR="00A32B24">
        <w:t>oI</w:t>
      </w:r>
      <w:r w:rsidRPr="00151ED5">
        <w:t xml:space="preserve"> project to review existing radionuclide activity concentration data in non-human biota inhabiting Australian uranium mining environments. The steering committee was established in November 2011 to provide guidance and strategic directions for the project and to facilitate the collection of data from published and unpublished sources. The review is now completed and results have been published in the ARPANSA Technical Report Series. </w:t>
      </w:r>
    </w:p>
    <w:p w:rsidR="00151ED5" w:rsidRPr="00151ED5" w:rsidRDefault="00151ED5" w:rsidP="00151ED5">
      <w:pPr>
        <w:pStyle w:val="Heading2"/>
      </w:pPr>
      <w:bookmarkStart w:id="261" w:name="_Toc334196070"/>
      <w:bookmarkStart w:id="262" w:name="_Toc399928198"/>
      <w:r w:rsidRPr="00151ED5">
        <w:t>5.3</w:t>
      </w:r>
      <w:r w:rsidRPr="00151ED5">
        <w:tab/>
      </w:r>
      <w:bookmarkEnd w:id="261"/>
      <w:r w:rsidRPr="00151ED5">
        <w:t>The IAEA’s MODARIA program</w:t>
      </w:r>
      <w:bookmarkEnd w:id="262"/>
    </w:p>
    <w:p w:rsidR="00151ED5" w:rsidRPr="00151ED5" w:rsidRDefault="00151ED5" w:rsidP="00151ED5">
      <w:r w:rsidRPr="00151ED5">
        <w:t xml:space="preserve">The International Atomic Energy Agency’s (IAEA) four-year Modelling and Data for Radiological Impact Assessment (MODARIA) programme was launched in November 2012, to continue some of the work of the </w:t>
      </w:r>
      <w:r w:rsidRPr="001833EE">
        <w:t>EMRAS</w:t>
      </w:r>
      <w:r w:rsidRPr="00151ED5">
        <w:t xml:space="preserve"> (Environmental Modelling for Radiation Safety) and EMRAS II programmes in the field of radioecological modelling (see 2012–13 Annual Report). Researchers from </w:t>
      </w:r>
      <w:r w:rsidR="008F5E63" w:rsidRPr="00C12FC5">
        <w:rPr>
          <w:b/>
          <w:i/>
          <w:sz w:val="23"/>
          <w:szCs w:val="23"/>
        </w:rPr>
        <w:t>eris</w:t>
      </w:r>
      <w:r w:rsidR="008F5E63" w:rsidRPr="00C62BB6">
        <w:rPr>
          <w:b/>
          <w:i/>
          <w:sz w:val="23"/>
          <w:szCs w:val="23"/>
        </w:rPr>
        <w:t>s</w:t>
      </w:r>
      <w:r w:rsidRPr="00151ED5">
        <w:rPr>
          <w:i/>
          <w:sz w:val="26"/>
          <w:szCs w:val="26"/>
        </w:rPr>
        <w:t xml:space="preserve"> </w:t>
      </w:r>
      <w:r w:rsidRPr="00151ED5">
        <w:t>have contributed to var</w:t>
      </w:r>
      <w:r w:rsidR="006452CF">
        <w:t>ious EMRAS publications in 2012–13 and 2013–</w:t>
      </w:r>
      <w:r w:rsidRPr="00151ED5">
        <w:t xml:space="preserve">14. Three scientific papers and an IAEA Technical Report have been published, </w:t>
      </w:r>
      <w:r w:rsidR="000336FF">
        <w:t xml:space="preserve">while </w:t>
      </w:r>
      <w:r w:rsidRPr="00151ED5">
        <w:t xml:space="preserve">one paper dealing with modelling radiation exposure of wildlife in contaminated wetland ecosystems </w:t>
      </w:r>
      <w:r w:rsidR="000336FF">
        <w:t>was</w:t>
      </w:r>
      <w:r w:rsidRPr="00151ED5">
        <w:t xml:space="preserve"> submitted in early 2014. The Supervising Scientist will continue its involvement with Working Groups 3, 4 and 8 of the MODARIA program</w:t>
      </w:r>
      <w:r w:rsidR="000336FF">
        <w:t>me</w:t>
      </w:r>
      <w:r w:rsidRPr="00151ED5">
        <w:t xml:space="preserve"> in 2014</w:t>
      </w:r>
      <w:r w:rsidR="00A81AA9">
        <w:t>–20</w:t>
      </w:r>
      <w:r w:rsidRPr="00151ED5">
        <w:t xml:space="preserve">15, to remain informed on best practice developments and policy issues related to (a) the remediation of contaminated sites and recommendations on radiological impact assessment methodologies, and (b) protection of humans and the environment from the harmful effects of ionising radiation. This will also be beneficial to national initiatives supported by the Supervising Scientist such as the Radiation Health Committee and </w:t>
      </w:r>
      <w:r w:rsidR="005023D8">
        <w:t xml:space="preserve">the </w:t>
      </w:r>
      <w:r w:rsidRPr="00151ED5">
        <w:t>Australian Radiation Protection and Nuclear Safety Agency sponsored Working Group to develop an Australian ‘Safety Guide on Radiological Clearance/Closure Criteria and Management of Sites Contaminated as a Result of Past and Present Activities’.</w:t>
      </w:r>
    </w:p>
    <w:p w:rsidR="00151ED5" w:rsidRPr="00151ED5" w:rsidRDefault="00641D0D" w:rsidP="00151ED5">
      <w:pPr>
        <w:pStyle w:val="Heading2"/>
      </w:pPr>
      <w:bookmarkStart w:id="263" w:name="_Toc399928199"/>
      <w:r>
        <w:t>5.4</w:t>
      </w:r>
      <w:r>
        <w:tab/>
      </w:r>
      <w:r w:rsidR="00151ED5" w:rsidRPr="00151ED5">
        <w:t>The International Union of Radioecology</w:t>
      </w:r>
      <w:bookmarkEnd w:id="263"/>
    </w:p>
    <w:p w:rsidR="00151ED5" w:rsidRPr="00151ED5" w:rsidRDefault="00151ED5" w:rsidP="00151ED5">
      <w:r w:rsidRPr="00151ED5">
        <w:t>The International Union of Radioecology (IUR) is</w:t>
      </w:r>
      <w:r w:rsidR="008B5136">
        <w:t xml:space="preserve"> an independent, non-political </w:t>
      </w:r>
      <w:proofErr w:type="gramStart"/>
      <w:r w:rsidR="008B5136">
        <w:t>and  not</w:t>
      </w:r>
      <w:proofErr w:type="gramEnd"/>
      <w:r w:rsidR="008B5136">
        <w:t xml:space="preserve"> </w:t>
      </w:r>
      <w:r w:rsidRPr="00151ED5">
        <w:t xml:space="preserve">for-profit organisation dedicated to the worldwide development of radioecology, with nearly 1000 members from 58 countries. The IUR initiated a process for worldwide </w:t>
      </w:r>
      <w:r w:rsidR="005023D8" w:rsidRPr="00151ED5">
        <w:t>harmoni</w:t>
      </w:r>
      <w:r w:rsidR="005023D8">
        <w:t>s</w:t>
      </w:r>
      <w:r w:rsidR="005023D8" w:rsidRPr="00151ED5">
        <w:t xml:space="preserve">ation </w:t>
      </w:r>
      <w:r w:rsidRPr="00151ED5">
        <w:t>of R&amp;D program</w:t>
      </w:r>
      <w:r w:rsidR="00936D05">
        <w:t>me</w:t>
      </w:r>
      <w:r w:rsidRPr="00151ED5">
        <w:t xml:space="preserve">s and efforts in radioecology by inviting high-level representatives from various international networks and organisations to present relevant radioecology research activities and priorities of their organisation in Aix-en-Provence, France, in June 2014. In his role as Vice-President of the South Pacific Environmental Radioactivity Association (SPERA) and Program Leader of the Environmental Radioactivity program of the Supervising Scientist, Dr Andreas Bollhöfer </w:t>
      </w:r>
      <w:r w:rsidR="008B5136">
        <w:t>was</w:t>
      </w:r>
      <w:r w:rsidRPr="00151ED5">
        <w:t xml:space="preserve"> invited to attend this workshop, together with 15 high-level representatives from other organisations. It was decided to launch the FORUM (FOstering Radioecology by Uniting Members) as a tool to promote an international harmoni</w:t>
      </w:r>
      <w:r w:rsidR="005023D8">
        <w:t>s</w:t>
      </w:r>
      <w:r w:rsidRPr="00151ED5">
        <w:t>ation process for radioecology with the objectives to coordinate, integrate, communicate and maintain radioecology expertise worldwide. Furthe</w:t>
      </w:r>
      <w:r w:rsidR="00AE6874">
        <w:t>r meetings are planned for 2014–</w:t>
      </w:r>
      <w:r w:rsidRPr="00151ED5">
        <w:t>15.</w:t>
      </w:r>
    </w:p>
    <w:p w:rsidR="00151ED5" w:rsidRPr="00151ED5" w:rsidRDefault="00151ED5" w:rsidP="00151ED5">
      <w:pPr>
        <w:pStyle w:val="Heading2"/>
      </w:pPr>
      <w:bookmarkStart w:id="264" w:name="_Toc399928200"/>
      <w:r w:rsidRPr="00151ED5">
        <w:t>5.5</w:t>
      </w:r>
      <w:r w:rsidRPr="00151ED5">
        <w:tab/>
        <w:t>Revision of National Water Quality Guidelines</w:t>
      </w:r>
      <w:bookmarkEnd w:id="264"/>
    </w:p>
    <w:p w:rsidR="00151ED5" w:rsidRPr="00151ED5" w:rsidRDefault="00151ED5" w:rsidP="00151ED5">
      <w:r w:rsidRPr="00151ED5">
        <w:t>The Australian and New Zealand Guidelines for Fresh and Marine Water Quality (2000) and Australian Guidelines for Monitoring and Reporting (2000), constituting Guidelines 4 and 7 of the National Water Quality Management Strategy, respectively, are currently undergo</w:t>
      </w:r>
      <w:r w:rsidR="008B5136">
        <w:t>ing a targeted revision. These G</w:t>
      </w:r>
      <w:r w:rsidRPr="00151ED5">
        <w:t xml:space="preserve">uidelines represent key source information in Australia and New Zealand for managing natural water quality and protecting aquatic ecosystems. SSD continued to support the revision activities through the technical coordinator roles of </w:t>
      </w:r>
      <w:r w:rsidR="008F5E63" w:rsidRPr="00C62BB6">
        <w:rPr>
          <w:b/>
          <w:i/>
          <w:sz w:val="23"/>
          <w:szCs w:val="23"/>
        </w:rPr>
        <w:t>eriss</w:t>
      </w:r>
      <w:r w:rsidRPr="00151ED5">
        <w:t xml:space="preserve"> research scientists, Dr Rick van Dam and Dr Chris Humphrey, and the hosting of the revision project coordinator, Ms Kate Dixon, with the latter role ceasing in October 2013. Key activities of the </w:t>
      </w:r>
      <w:r w:rsidR="008F5E63" w:rsidRPr="00C62BB6">
        <w:rPr>
          <w:b/>
          <w:i/>
          <w:sz w:val="23"/>
          <w:szCs w:val="23"/>
        </w:rPr>
        <w:t>eriss</w:t>
      </w:r>
      <w:r w:rsidR="008F5E63" w:rsidRPr="00151ED5">
        <w:t xml:space="preserve"> </w:t>
      </w:r>
      <w:r w:rsidRPr="00151ED5">
        <w:t xml:space="preserve">personnel during 2013–14 included: attendance, drafting of technical material and/or facilitation of workshops focusing on (i) finalising the water quality management framework and associated weight of evidence approach, and (ii) developing the new web site structure; finalising a revised method for deriving toxicant guideline values; providing technical input to, and oversight of, new and revised materials on (i) the water quality management framework and (ii) monitoring and assessment; scoping the requirements for (i) toxicant guideline value revisions and (ii) ecoregional water quality and ecological information and guidance; creating a terminology glossary; and participation in Project Coordination Group and Joint Steering Committee meetings. </w:t>
      </w:r>
    </w:p>
    <w:p w:rsidR="00291525" w:rsidRPr="00291525" w:rsidRDefault="00291525" w:rsidP="00291525">
      <w:pPr>
        <w:pStyle w:val="Heading2"/>
      </w:pPr>
      <w:bookmarkStart w:id="265" w:name="_Toc334196073"/>
      <w:bookmarkStart w:id="266" w:name="_Toc399928201"/>
      <w:r w:rsidRPr="00291525">
        <w:t>5.6</w:t>
      </w:r>
      <w:r w:rsidRPr="00291525">
        <w:tab/>
      </w:r>
      <w:bookmarkEnd w:id="265"/>
      <w:r w:rsidRPr="00291525">
        <w:t>National Environmental Research Program (NERP)</w:t>
      </w:r>
      <w:bookmarkEnd w:id="266"/>
    </w:p>
    <w:p w:rsidR="00291525" w:rsidRPr="00291525" w:rsidRDefault="00291525" w:rsidP="00291525">
      <w:r w:rsidRPr="00291525">
        <w:t>The National Environmental Research Program (NER</w:t>
      </w:r>
      <w:r w:rsidR="008B5136">
        <w:t>P) being managed by DoE replaced</w:t>
      </w:r>
      <w:r w:rsidRPr="00291525">
        <w:t xml:space="preserve"> the Commonwealth Environment Research Facilities (CERF) program and focuses more on biodiversity and improving research delivery to the Australian Government, other end-users and stakeholders. Researchers from </w:t>
      </w:r>
      <w:r w:rsidR="008F5E63" w:rsidRPr="00C62BB6">
        <w:rPr>
          <w:b/>
          <w:i/>
          <w:sz w:val="23"/>
          <w:szCs w:val="23"/>
        </w:rPr>
        <w:t>eriss</w:t>
      </w:r>
      <w:r w:rsidR="008F5E63" w:rsidRPr="00291525">
        <w:t xml:space="preserve"> </w:t>
      </w:r>
      <w:r w:rsidRPr="00291525">
        <w:t>are collaborating in the NERP Northern Australia Hub.</w:t>
      </w:r>
    </w:p>
    <w:p w:rsidR="00291525" w:rsidRPr="00291525" w:rsidRDefault="00291525" w:rsidP="00291525">
      <w:r w:rsidRPr="00291525">
        <w:t xml:space="preserve">During the reporting period, advice </w:t>
      </w:r>
      <w:r w:rsidR="008B5136">
        <w:t>was</w:t>
      </w:r>
      <w:r w:rsidRPr="00291525">
        <w:t xml:space="preserve"> provided to the NERP Northern Australia Hub as requested </w:t>
      </w:r>
      <w:r w:rsidR="000A218C">
        <w:t xml:space="preserve">while </w:t>
      </w:r>
      <w:r w:rsidRPr="00291525">
        <w:t xml:space="preserve">a number of seminars </w:t>
      </w:r>
      <w:r w:rsidR="008B5136">
        <w:t>were</w:t>
      </w:r>
      <w:r w:rsidRPr="00291525">
        <w:t xml:space="preserve"> held at SSD where NERP researchers presented the findings of their projects to </w:t>
      </w:r>
      <w:r w:rsidR="008F5E63" w:rsidRPr="00C62BB6">
        <w:rPr>
          <w:b/>
          <w:i/>
          <w:sz w:val="23"/>
          <w:szCs w:val="23"/>
        </w:rPr>
        <w:t>eriss</w:t>
      </w:r>
      <w:r w:rsidRPr="00291525">
        <w:t xml:space="preserve"> staff.</w:t>
      </w:r>
    </w:p>
    <w:p w:rsidR="00291525" w:rsidRPr="00291525" w:rsidRDefault="00291525" w:rsidP="00291525">
      <w:pPr>
        <w:pStyle w:val="Heading2"/>
      </w:pPr>
      <w:bookmarkStart w:id="267" w:name="_Toc399928202"/>
      <w:r w:rsidRPr="00291525">
        <w:t>5.7</w:t>
      </w:r>
      <w:r w:rsidRPr="00291525">
        <w:tab/>
        <w:t>Kakadu Research Advisory Committee</w:t>
      </w:r>
      <w:bookmarkEnd w:id="267"/>
    </w:p>
    <w:p w:rsidR="00291525" w:rsidRDefault="00291525" w:rsidP="00291525">
      <w:r w:rsidRPr="00291525">
        <w:t>The leader of the Revegetation and Landscape Ecology Group, Dr Renée Bartolo, is a member of the Kakadu Research Advisory Committee (KRAC). Members of the committee are appointed by the Parks Board of Management to advise the Board and the Director of National Parks on strategic research issues and priorities required to support the socio-cultural and biophysical management objectives for the Park. During the reporting period, Dr Bartolo provided advice to Parks Australia staff through the KRAC.</w:t>
      </w:r>
    </w:p>
    <w:p w:rsidR="00291525" w:rsidRPr="00291525" w:rsidRDefault="00291525" w:rsidP="00291525">
      <w:pPr>
        <w:pStyle w:val="Heading2"/>
      </w:pPr>
      <w:bookmarkStart w:id="268" w:name="_Toc334196075"/>
      <w:bookmarkStart w:id="269" w:name="_Toc399928203"/>
      <w:r w:rsidRPr="00291525">
        <w:t>5.8</w:t>
      </w:r>
      <w:r w:rsidRPr="00291525">
        <w:tab/>
      </w:r>
      <w:bookmarkEnd w:id="268"/>
      <w:r w:rsidRPr="00291525">
        <w:t>EPBC compliance audits</w:t>
      </w:r>
      <w:bookmarkEnd w:id="269"/>
    </w:p>
    <w:p w:rsidR="00291525" w:rsidRPr="00291525" w:rsidRDefault="004C4609" w:rsidP="00291525">
      <w:proofErr w:type="gramStart"/>
      <w:r>
        <w:rPr>
          <w:b/>
          <w:i/>
          <w:sz w:val="23"/>
          <w:szCs w:val="23"/>
        </w:rPr>
        <w:t>o</w:t>
      </w:r>
      <w:r w:rsidR="00291525" w:rsidRPr="008F5E63">
        <w:rPr>
          <w:b/>
          <w:i/>
          <w:sz w:val="23"/>
          <w:szCs w:val="23"/>
        </w:rPr>
        <w:t>ss</w:t>
      </w:r>
      <w:proofErr w:type="gramEnd"/>
      <w:r w:rsidR="00291525" w:rsidRPr="004360DF">
        <w:rPr>
          <w:sz w:val="26"/>
          <w:szCs w:val="26"/>
        </w:rPr>
        <w:t xml:space="preserve"> </w:t>
      </w:r>
      <w:r w:rsidR="00291525" w:rsidRPr="00291525">
        <w:t xml:space="preserve">staff did not participate in the conduct of any compliance audits against approval conditions issued under the </w:t>
      </w:r>
      <w:r w:rsidR="00291525" w:rsidRPr="00154B02">
        <w:rPr>
          <w:i/>
        </w:rPr>
        <w:t xml:space="preserve">Environment Protection and Biodiversity Conservation Act 1999 </w:t>
      </w:r>
      <w:r w:rsidR="00291525" w:rsidRPr="00291525">
        <w:t>in this reporting period.</w:t>
      </w:r>
    </w:p>
    <w:p w:rsidR="004360DF" w:rsidRPr="004360DF" w:rsidRDefault="00641D0D" w:rsidP="004360DF">
      <w:pPr>
        <w:pStyle w:val="Heading2"/>
      </w:pPr>
      <w:bookmarkStart w:id="270" w:name="_Toc399928204"/>
      <w:r>
        <w:t>5.9</w:t>
      </w:r>
      <w:r>
        <w:tab/>
      </w:r>
      <w:r w:rsidR="004360DF" w:rsidRPr="004360DF">
        <w:t>Rum Jungle Technical Working Group</w:t>
      </w:r>
      <w:bookmarkEnd w:id="270"/>
    </w:p>
    <w:p w:rsidR="004360DF" w:rsidRPr="004360DF" w:rsidRDefault="004360DF" w:rsidP="004360DF">
      <w:r w:rsidRPr="004360DF">
        <w:t xml:space="preserve">The Rum Jungle legacy uranium and copper mine site is located close to the town of Batchelor, approximately 80 km south of Darwin. In 2008, the Rum Jungle Technical Working Group (RJTWG) was formed to progress and implement: </w:t>
      </w:r>
    </w:p>
    <w:p w:rsidR="004360DF" w:rsidRPr="004360DF" w:rsidRDefault="004360DF" w:rsidP="005558E1">
      <w:pPr>
        <w:pStyle w:val="bulletlist1"/>
      </w:pPr>
      <w:r w:rsidRPr="004360DF">
        <w:t>environmental maintenance activities</w:t>
      </w:r>
    </w:p>
    <w:p w:rsidR="004360DF" w:rsidRPr="004360DF" w:rsidRDefault="004360DF" w:rsidP="005558E1">
      <w:pPr>
        <w:pStyle w:val="bulletlist1"/>
      </w:pPr>
      <w:r w:rsidRPr="004360DF">
        <w:t>continuation of appropriate environmental monitoring program</w:t>
      </w:r>
      <w:r w:rsidR="005023D8">
        <w:t>me</w:t>
      </w:r>
      <w:r w:rsidRPr="004360DF">
        <w:t>s</w:t>
      </w:r>
      <w:r w:rsidR="005023D8">
        <w:t xml:space="preserve">, and </w:t>
      </w:r>
    </w:p>
    <w:p w:rsidR="004360DF" w:rsidRPr="004360DF" w:rsidRDefault="004360DF" w:rsidP="005558E1">
      <w:pPr>
        <w:pStyle w:val="bulletlist1"/>
      </w:pPr>
      <w:proofErr w:type="gramStart"/>
      <w:r w:rsidRPr="004360DF">
        <w:t>development</w:t>
      </w:r>
      <w:proofErr w:type="gramEnd"/>
      <w:r w:rsidRPr="004360DF">
        <w:t xml:space="preserve"> of contemporary site rehabilitation strategies for the site</w:t>
      </w:r>
      <w:r w:rsidR="007E3A6C">
        <w:t>.</w:t>
      </w:r>
    </w:p>
    <w:p w:rsidR="004360DF" w:rsidRPr="004360DF" w:rsidRDefault="004360DF" w:rsidP="004360DF">
      <w:r w:rsidRPr="004360DF">
        <w:t>The group comprises representatives from DME, NRETAS, Australian Government Department of Industry (DoI), NLC and SSD. Mr Richard McAllister (</w:t>
      </w:r>
      <w:r w:rsidR="005023D8">
        <w:t xml:space="preserve">Acting </w:t>
      </w:r>
      <w:r w:rsidRPr="004360DF">
        <w:t>Supervising Scientist) and Dr Rick van Dam (Acting Director</w:t>
      </w:r>
      <w:r w:rsidR="008B5136">
        <w:t>,</w:t>
      </w:r>
      <w:r w:rsidRPr="004360DF">
        <w:t xml:space="preserve"> </w:t>
      </w:r>
      <w:r w:rsidR="008F5E63" w:rsidRPr="00C62BB6">
        <w:rPr>
          <w:b/>
          <w:i/>
          <w:sz w:val="23"/>
          <w:szCs w:val="23"/>
        </w:rPr>
        <w:t>eriss</w:t>
      </w:r>
      <w:r w:rsidRPr="004360DF">
        <w:t>) represent SSD.</w:t>
      </w:r>
    </w:p>
    <w:p w:rsidR="004360DF" w:rsidRPr="004360DF" w:rsidRDefault="0060682E" w:rsidP="004360DF">
      <w:r>
        <w:t>An allocation of $7 million</w:t>
      </w:r>
      <w:r w:rsidR="004360DF" w:rsidRPr="004360DF">
        <w:t xml:space="preserve"> of special purpose funds was made in the 2009 Federal Budget to progress assessment of the site over a period of four years. The program</w:t>
      </w:r>
      <w:r w:rsidR="005023D8">
        <w:t>me</w:t>
      </w:r>
      <w:r w:rsidR="004360DF" w:rsidRPr="004360DF">
        <w:t xml:space="preserve"> of work is being manag</w:t>
      </w:r>
      <w:r w:rsidR="00A55B83">
        <w:t xml:space="preserve">ed by DME under the terms of a </w:t>
      </w:r>
      <w:r w:rsidR="004360DF" w:rsidRPr="004360DF">
        <w:t xml:space="preserve">National Partnership Agreement (NPA) between DME and the Australian Government Department of Resources Energy and Tourism. The ultimate objective of the work is to develop a costed rehabilitation plan consistent with contemporary best practice. The RJTWG provides technical advice and oversight of the projects commissioned to address the terms of the National Partnership Agreement (NPA). Background material and project updates have been published by DME on the website that has been created to inform members of the general public about the progress of activities carried out under the NPA: </w:t>
      </w:r>
      <w:r w:rsidR="00820CF1" w:rsidRPr="00820CF1">
        <w:t>www.nt.gov.au/d/rumjungle</w:t>
      </w:r>
      <w:r w:rsidR="004360DF" w:rsidRPr="004360DF">
        <w:t xml:space="preserve">. </w:t>
      </w:r>
    </w:p>
    <w:p w:rsidR="005023D8" w:rsidRPr="004360DF" w:rsidRDefault="005023D8" w:rsidP="005023D8">
      <w:r w:rsidRPr="004360DF">
        <w:t>In August 2013, the Commonwealth and NT Government signed a new Project Agreement for the Management of the Former Rum Jungle Mine Site (Stage 2). Under this Agreement</w:t>
      </w:r>
      <w:r>
        <w:t>,</w:t>
      </w:r>
      <w:r w:rsidRPr="004360DF">
        <w:t xml:space="preserve"> the Commonwealth has committed to providing an additional $11.561 </w:t>
      </w:r>
      <w:r w:rsidR="0060682E">
        <w:t>million</w:t>
      </w:r>
      <w:r w:rsidRPr="004360DF">
        <w:t xml:space="preserve"> towards progressing rehabilitation at the former Rum Jungle mine site, which includes site maintenance and environmental monitoring, technical investigations, plus specifications, drawings and costings for the rehabilitation design works.</w:t>
      </w:r>
    </w:p>
    <w:p w:rsidR="004360DF" w:rsidRPr="004360DF" w:rsidRDefault="004360DF" w:rsidP="004360DF">
      <w:r>
        <w:t>During 2013–</w:t>
      </w:r>
      <w:r w:rsidRPr="004360DF">
        <w:t xml:space="preserve">14, SSD attended one meeting of the RJTWG. </w:t>
      </w:r>
    </w:p>
    <w:p w:rsidR="004360DF" w:rsidRPr="004360DF" w:rsidRDefault="00FA5994" w:rsidP="004360DF">
      <w:pPr>
        <w:pStyle w:val="Heading2"/>
      </w:pPr>
      <w:bookmarkStart w:id="271" w:name="_Toc399928205"/>
      <w:r>
        <w:t>5.10</w:t>
      </w:r>
      <w:r>
        <w:tab/>
      </w:r>
      <w:r>
        <w:tab/>
      </w:r>
      <w:r w:rsidR="004360DF" w:rsidRPr="004360DF">
        <w:t>Advice to DoE’s expert panel for major coal seam gas projects</w:t>
      </w:r>
      <w:bookmarkEnd w:id="271"/>
    </w:p>
    <w:p w:rsidR="004360DF" w:rsidRPr="004360DF" w:rsidRDefault="004360DF" w:rsidP="004360DF">
      <w:r w:rsidRPr="004360DF">
        <w:t xml:space="preserve">The Australian Government plays a role in regulating coal seam gas proposals which could have a significant impact on matters protected by the Environment Protection and Biodiversity Conservation Act 1999 (EPBC Act). This includes Matters of National Environmental Significance (MNES), actions involving the Commonwealth and actions taken on, or impacting on, Commonwealth land. </w:t>
      </w:r>
    </w:p>
    <w:p w:rsidR="00820CF1" w:rsidRPr="004360DF" w:rsidRDefault="00820CF1" w:rsidP="00820CF1">
      <w:r w:rsidRPr="004360DF">
        <w:t xml:space="preserve">To help inform the Government’s role, </w:t>
      </w:r>
      <w:r>
        <w:t xml:space="preserve">the </w:t>
      </w:r>
      <w:r w:rsidRPr="005F79A4">
        <w:t xml:space="preserve">Independent Expert Scientific Committee on Coal Seam Gas and Large Coal Mining </w:t>
      </w:r>
      <w:proofErr w:type="gramStart"/>
      <w:r w:rsidRPr="005F79A4">
        <w:t>Development</w:t>
      </w:r>
      <w:r>
        <w:t>s</w:t>
      </w:r>
      <w:r w:rsidRPr="005F79A4" w:rsidDel="005F79A4">
        <w:t xml:space="preserve"> </w:t>
      </w:r>
      <w:r w:rsidRPr="00601F16">
        <w:t xml:space="preserve"> was</w:t>
      </w:r>
      <w:proofErr w:type="gramEnd"/>
      <w:r w:rsidRPr="00601F16">
        <w:t xml:space="preserve"> established as a statutory committee in 2012</w:t>
      </w:r>
      <w:r w:rsidRPr="004360DF">
        <w:t xml:space="preserve">, to provide </w:t>
      </w:r>
      <w:r>
        <w:t>the Minister</w:t>
      </w:r>
      <w:r w:rsidRPr="004360DF">
        <w:t xml:space="preserve"> with advice on projects approved under the EPBC Act. Those projects include the Queensland Curtis LNG project, the Santos Gladstone LNG project, and the Australia Pacific LNG project. The </w:t>
      </w:r>
      <w:r>
        <w:t>Committee</w:t>
      </w:r>
      <w:r w:rsidRPr="004360DF">
        <w:t xml:space="preserve"> provides advice on the adequacy of water management plans which the companies must submit under the conditions of approval.</w:t>
      </w:r>
    </w:p>
    <w:p w:rsidR="008B5136" w:rsidRPr="004360DF" w:rsidRDefault="00CB3A6B" w:rsidP="008B5136">
      <w:r w:rsidRPr="00CB3A6B">
        <w:rPr>
          <w:sz w:val="23"/>
          <w:szCs w:val="23"/>
        </w:rPr>
        <w:t xml:space="preserve">The </w:t>
      </w:r>
      <w:r w:rsidR="007E3A6C">
        <w:rPr>
          <w:b/>
          <w:i/>
          <w:sz w:val="23"/>
          <w:szCs w:val="23"/>
        </w:rPr>
        <w:t>e</w:t>
      </w:r>
      <w:r w:rsidR="008B5136" w:rsidRPr="00C62BB6">
        <w:rPr>
          <w:b/>
          <w:i/>
          <w:sz w:val="23"/>
          <w:szCs w:val="23"/>
        </w:rPr>
        <w:t>riss</w:t>
      </w:r>
      <w:r w:rsidR="008B5136" w:rsidRPr="004360DF">
        <w:rPr>
          <w:sz w:val="26"/>
          <w:szCs w:val="26"/>
        </w:rPr>
        <w:t xml:space="preserve"> </w:t>
      </w:r>
      <w:r w:rsidR="008B5136" w:rsidRPr="004360DF">
        <w:t xml:space="preserve">research scientists, Dr Rick van Dam and Dr Andrew Harford, have continued to provide specialist ecotoxicological advice to the </w:t>
      </w:r>
      <w:r w:rsidR="00820CF1">
        <w:t>Committee</w:t>
      </w:r>
      <w:r w:rsidR="008B5136" w:rsidRPr="004360DF">
        <w:t xml:space="preserve"> in relation to the potential for hydraulic fracturing chemicals and fluids from proposed coal seam gas operations to impact on relevant </w:t>
      </w:r>
      <w:r w:rsidR="005023D8">
        <w:t>MNES</w:t>
      </w:r>
      <w:r w:rsidR="008B5136" w:rsidRPr="004360DF">
        <w:t xml:space="preserve">. </w:t>
      </w:r>
      <w:r w:rsidR="008B5136">
        <w:t xml:space="preserve">Related, in December 2013, Dr van Dam was invited to a workshop in Canberra organised by the Department’s Office of Water Science, to identify gaps in knowledge on the potential impacts of hydraulic fracturing chemicals.  </w:t>
      </w:r>
      <w:r w:rsidR="008B5136" w:rsidRPr="004360DF">
        <w:t xml:space="preserve">This </w:t>
      </w:r>
      <w:r w:rsidR="008B5136">
        <w:t xml:space="preserve">advisory </w:t>
      </w:r>
      <w:r w:rsidR="008B5136" w:rsidRPr="004360DF">
        <w:t>role is expected to continue in 2014–15.</w:t>
      </w:r>
    </w:p>
    <w:p w:rsidR="004360DF" w:rsidRPr="004360DF" w:rsidRDefault="00641D0D" w:rsidP="004360DF">
      <w:pPr>
        <w:pStyle w:val="Heading2"/>
      </w:pPr>
      <w:bookmarkStart w:id="272" w:name="_Toc399928206"/>
      <w:r>
        <w:t>5.11</w:t>
      </w:r>
      <w:r>
        <w:tab/>
      </w:r>
      <w:r>
        <w:tab/>
      </w:r>
      <w:r w:rsidR="004360DF" w:rsidRPr="004360DF">
        <w:t>Developing toxicity testing methods for tropical marine species</w:t>
      </w:r>
      <w:bookmarkEnd w:id="272"/>
    </w:p>
    <w:p w:rsidR="004360DF" w:rsidRPr="004360DF" w:rsidRDefault="004360DF" w:rsidP="004360DF">
      <w:r w:rsidRPr="004360DF">
        <w:t xml:space="preserve">A review by </w:t>
      </w:r>
      <w:r w:rsidRPr="00641D0D">
        <w:rPr>
          <w:b/>
          <w:i/>
          <w:sz w:val="23"/>
          <w:szCs w:val="23"/>
        </w:rPr>
        <w:t>eriss</w:t>
      </w:r>
      <w:r w:rsidRPr="004360DF">
        <w:t xml:space="preserve"> and Australian Institute of Marine Science (AIMS) </w:t>
      </w:r>
      <w:r w:rsidR="0053238E">
        <w:t>research scientists in 2008</w:t>
      </w:r>
      <w:r w:rsidRPr="004360DF">
        <w:t xml:space="preserve"> identified a lack of laboratory-based methods for assessing the effects of contaminants on Australian tropical marine species. In 2012–13, funding was secured from Rio Tinto alumina and aluminium operations, the Northern Territory Research and Innovation Board and the Northern Australian Marine Research Alliance to undertake a three year project to develop such method</w:t>
      </w:r>
      <w:r>
        <w:t xml:space="preserve">s. </w:t>
      </w:r>
      <w:proofErr w:type="gramStart"/>
      <w:r w:rsidR="008F5E63" w:rsidRPr="00C62BB6">
        <w:rPr>
          <w:b/>
          <w:i/>
          <w:sz w:val="23"/>
          <w:szCs w:val="23"/>
        </w:rPr>
        <w:t>eriss</w:t>
      </w:r>
      <w:proofErr w:type="gramEnd"/>
      <w:r w:rsidRPr="004360DF">
        <w:t xml:space="preserve"> research scientists, Dr Rick van Dam and Dr Andrew Harford, are collaborators on the project in conjunction with scientists from AIMS, Charles Darwin University and Rio Tinto. </w:t>
      </w:r>
    </w:p>
    <w:p w:rsidR="008B5136" w:rsidRPr="004360DF" w:rsidRDefault="008B5136" w:rsidP="008B5136">
      <w:r w:rsidRPr="004360DF">
        <w:t>Key outcomes in the second year of the project included: (i) the development of two toxicity tests using hermit crab and a barnacle; (ii) progress with the development of a toxicity test using marine snails</w:t>
      </w:r>
      <w:r>
        <w:t>; and</w:t>
      </w:r>
      <w:r w:rsidRPr="004360DF">
        <w:t xml:space="preserve"> (iii) </w:t>
      </w:r>
      <w:r>
        <w:t xml:space="preserve">the development of a </w:t>
      </w:r>
      <w:r w:rsidRPr="004360DF">
        <w:t xml:space="preserve">pelagic toxicity test system for larval organisms.  </w:t>
      </w:r>
      <w:r w:rsidR="005023D8">
        <w:t>W</w:t>
      </w:r>
      <w:r w:rsidRPr="004360DF">
        <w:t xml:space="preserve">ork involving the development of a reliable test method for the tropical unicellular alga, </w:t>
      </w:r>
      <w:r w:rsidRPr="004360DF">
        <w:rPr>
          <w:i/>
        </w:rPr>
        <w:t>Isochrysis galbana</w:t>
      </w:r>
      <w:r w:rsidRPr="004360DF">
        <w:t>, and subsequent assessment of the toxicity of aluminium, gallium and molybdenum was presented at the 3</w:t>
      </w:r>
      <w:r w:rsidRPr="004360DF">
        <w:rPr>
          <w:vertAlign w:val="superscript"/>
        </w:rPr>
        <w:t>rd</w:t>
      </w:r>
      <w:r>
        <w:t xml:space="preserve"> SETAC-AU conference (1–</w:t>
      </w:r>
      <w:r w:rsidRPr="004360DF">
        <w:t>3 October 2013, Melbourne). The associated culturing of various other marine species for assessing their suitability for toxicity testing purposes is continuing. In 2014–15, the research team will proceed with further toxicity test development and subsequent assessment of the toxicity of aluminium, gallium and molybdenum.</w:t>
      </w:r>
    </w:p>
    <w:p w:rsidR="00623751" w:rsidRPr="00623751" w:rsidRDefault="008E569C" w:rsidP="00623751">
      <w:pPr>
        <w:pStyle w:val="Heading2"/>
      </w:pPr>
      <w:bookmarkStart w:id="273" w:name="_Toc399928207"/>
      <w:r>
        <w:t>5.12</w:t>
      </w:r>
      <w:r>
        <w:tab/>
      </w:r>
      <w:r>
        <w:tab/>
      </w:r>
      <w:r w:rsidR="00623751" w:rsidRPr="00623751">
        <w:t>Advice to DoI regarding the environmental hazard classification of uranium products</w:t>
      </w:r>
      <w:bookmarkEnd w:id="273"/>
    </w:p>
    <w:p w:rsidR="005023D8" w:rsidRPr="00623751" w:rsidRDefault="00820CF1" w:rsidP="005023D8">
      <w:r w:rsidRPr="00623751">
        <w:t>The Department of Industry provided funding to review the environmental hazard classification of uranium oxide (UO</w:t>
      </w:r>
      <w:r w:rsidRPr="00BC36A5">
        <w:rPr>
          <w:snapToGrid w:val="0"/>
          <w:color w:val="000000"/>
          <w:position w:val="-5"/>
          <w:sz w:val="13"/>
          <w:szCs w:val="0"/>
          <w:u w:color="000000"/>
        </w:rPr>
        <w:t>4</w:t>
      </w:r>
      <w:r w:rsidRPr="00623751">
        <w:t xml:space="preserve"> and U</w:t>
      </w:r>
      <w:r w:rsidRPr="00BC36A5">
        <w:rPr>
          <w:snapToGrid w:val="0"/>
          <w:color w:val="000000"/>
          <w:position w:val="-5"/>
          <w:sz w:val="13"/>
          <w:szCs w:val="0"/>
          <w:u w:color="000000"/>
        </w:rPr>
        <w:t>3</w:t>
      </w:r>
      <w:r w:rsidRPr="00623751">
        <w:t>O</w:t>
      </w:r>
      <w:r w:rsidRPr="00BC36A5">
        <w:rPr>
          <w:snapToGrid w:val="0"/>
          <w:color w:val="000000"/>
          <w:position w:val="-5"/>
          <w:sz w:val="13"/>
          <w:szCs w:val="0"/>
          <w:u w:color="000000"/>
        </w:rPr>
        <w:t>8</w:t>
      </w:r>
      <w:r w:rsidRPr="00623751">
        <w:t>)</w:t>
      </w:r>
      <w:r>
        <w:t xml:space="preserve"> </w:t>
      </w:r>
      <w:r w:rsidR="003A35B7">
        <w:t>products.</w:t>
      </w:r>
      <w:r w:rsidR="003A35B7" w:rsidRPr="00623751">
        <w:t xml:space="preserve"> These</w:t>
      </w:r>
      <w:r w:rsidR="005023D8" w:rsidRPr="00623751">
        <w:t xml:space="preserve"> products are classified as Dangerous Goods (DG) Class 7 (radioactive) and 9 (aquatic toxicant) for transport (via road/rail and ship) under the Australian Dangerous Goods (ADG) code, International Maritime Dangerous Goods (IMDG) code and the United Nations Globally Harmonized System of Classification and Labelling of Chemicals (GHS). Due to a lack of data regarding the solubility of the UO</w:t>
      </w:r>
      <w:r w:rsidR="005023D8" w:rsidRPr="00BC36A5">
        <w:rPr>
          <w:snapToGrid w:val="0"/>
          <w:color w:val="000000"/>
          <w:position w:val="-5"/>
          <w:sz w:val="13"/>
          <w:szCs w:val="0"/>
          <w:u w:color="000000"/>
        </w:rPr>
        <w:t>4</w:t>
      </w:r>
      <w:r w:rsidR="005023D8" w:rsidRPr="00623751">
        <w:t xml:space="preserve"> and U</w:t>
      </w:r>
      <w:r w:rsidR="005023D8" w:rsidRPr="00BC36A5">
        <w:rPr>
          <w:snapToGrid w:val="0"/>
          <w:color w:val="000000"/>
          <w:position w:val="-5"/>
          <w:sz w:val="13"/>
          <w:szCs w:val="0"/>
          <w:u w:color="000000"/>
        </w:rPr>
        <w:t>3</w:t>
      </w:r>
      <w:r w:rsidR="005023D8" w:rsidRPr="00623751">
        <w:t>O</w:t>
      </w:r>
      <w:r w:rsidR="005023D8" w:rsidRPr="00BC36A5">
        <w:rPr>
          <w:snapToGrid w:val="0"/>
          <w:color w:val="000000"/>
          <w:position w:val="-5"/>
          <w:sz w:val="13"/>
          <w:szCs w:val="0"/>
          <w:u w:color="000000"/>
        </w:rPr>
        <w:t>8</w:t>
      </w:r>
      <w:r w:rsidR="005023D8" w:rsidRPr="00623751">
        <w:t xml:space="preserve"> products</w:t>
      </w:r>
      <w:r w:rsidR="005023D8">
        <w:t>,</w:t>
      </w:r>
      <w:r w:rsidR="005023D8" w:rsidRPr="00623751">
        <w:t xml:space="preserve"> the DG9 classification was Chronic Category 4, which is a default safety net classification used when the data available does not allow classification under the formal criteria. This project produced the Transformation and Dissolution data that w</w:t>
      </w:r>
      <w:r w:rsidR="005023D8">
        <w:t>ere</w:t>
      </w:r>
      <w:r w:rsidR="005023D8" w:rsidRPr="00623751">
        <w:t xml:space="preserve"> needed </w:t>
      </w:r>
      <w:r w:rsidR="005023D8">
        <w:t xml:space="preserve">to </w:t>
      </w:r>
      <w:r w:rsidR="005023D8" w:rsidRPr="00623751">
        <w:t>reassess the classification of the U products, although freshwater toxicity data w</w:t>
      </w:r>
      <w:r w:rsidR="005023D8">
        <w:t>ere</w:t>
      </w:r>
      <w:r w:rsidR="005023D8" w:rsidRPr="00623751">
        <w:t xml:space="preserve"> used for the marine assessment because marine to</w:t>
      </w:r>
      <w:r w:rsidR="005023D8">
        <w:t xml:space="preserve">xicity data were not available. </w:t>
      </w:r>
      <w:r w:rsidR="00CB3A6B">
        <w:t>D</w:t>
      </w:r>
      <w:r w:rsidR="00CB3A6B" w:rsidRPr="00623751">
        <w:t>uring the tendering process</w:t>
      </w:r>
      <w:r w:rsidR="00CB3A6B">
        <w:t>,</w:t>
      </w:r>
      <w:r w:rsidR="00CB3A6B" w:rsidRPr="00C62BB6">
        <w:rPr>
          <w:b/>
          <w:i/>
          <w:sz w:val="23"/>
          <w:szCs w:val="23"/>
        </w:rPr>
        <w:t xml:space="preserve"> </w:t>
      </w:r>
      <w:r w:rsidR="005023D8" w:rsidRPr="00C62BB6">
        <w:rPr>
          <w:b/>
          <w:i/>
          <w:sz w:val="23"/>
          <w:szCs w:val="23"/>
        </w:rPr>
        <w:t>eriss</w:t>
      </w:r>
      <w:r w:rsidR="005023D8" w:rsidRPr="00623751">
        <w:rPr>
          <w:sz w:val="26"/>
          <w:szCs w:val="26"/>
        </w:rPr>
        <w:t xml:space="preserve"> </w:t>
      </w:r>
      <w:r w:rsidR="005023D8" w:rsidRPr="00623751">
        <w:t xml:space="preserve">research </w:t>
      </w:r>
      <w:proofErr w:type="gramStart"/>
      <w:r w:rsidR="005023D8" w:rsidRPr="00623751">
        <w:t>scientists,</w:t>
      </w:r>
      <w:proofErr w:type="gramEnd"/>
      <w:r w:rsidR="005023D8" w:rsidRPr="00623751">
        <w:t xml:space="preserve"> Dr Rick</w:t>
      </w:r>
      <w:r w:rsidR="00CB3A6B">
        <w:t xml:space="preserve"> van Dam and Dr Andrew Harford </w:t>
      </w:r>
      <w:r w:rsidR="005023D8" w:rsidRPr="00623751">
        <w:t xml:space="preserve">provided technical advice and reviewed the final reports produced for the project. </w:t>
      </w:r>
      <w:r w:rsidR="005023D8">
        <w:t>T</w:t>
      </w:r>
      <w:r w:rsidR="005023D8" w:rsidRPr="00623751">
        <w:t xml:space="preserve">echnical advice </w:t>
      </w:r>
      <w:r w:rsidR="005023D8">
        <w:t>to</w:t>
      </w:r>
      <w:r w:rsidR="005023D8" w:rsidRPr="00623751">
        <w:t xml:space="preserve"> the uranium industry </w:t>
      </w:r>
      <w:r w:rsidR="005023D8">
        <w:t>on</w:t>
      </w:r>
      <w:r w:rsidR="005023D8" w:rsidRPr="00623751">
        <w:t xml:space="preserve"> the environmental hazard of U products </w:t>
      </w:r>
      <w:r w:rsidR="005023D8">
        <w:t>may</w:t>
      </w:r>
      <w:r w:rsidR="005023D8" w:rsidRPr="00623751">
        <w:t xml:space="preserve"> continue.</w:t>
      </w:r>
    </w:p>
    <w:p w:rsidR="00914DBF" w:rsidRPr="00914DBF" w:rsidRDefault="00914DBF" w:rsidP="00914DBF">
      <w:pPr>
        <w:pStyle w:val="Heading2"/>
      </w:pPr>
      <w:bookmarkStart w:id="274" w:name="_Toc399928208"/>
      <w:r w:rsidRPr="00914DBF">
        <w:t xml:space="preserve">5.13 </w:t>
      </w:r>
      <w:r w:rsidR="00881D49">
        <w:tab/>
      </w:r>
      <w:r w:rsidRPr="00914DBF">
        <w:t>Other contributions</w:t>
      </w:r>
      <w:bookmarkEnd w:id="274"/>
    </w:p>
    <w:p w:rsidR="005023D8" w:rsidRPr="00914DBF" w:rsidRDefault="005023D8" w:rsidP="005023D8">
      <w:r>
        <w:t xml:space="preserve">Research staff within SSD undertook other collaborations within and outside of Australia not identified in earlier chapters. </w:t>
      </w:r>
      <w:r w:rsidRPr="00914DBF">
        <w:t>Dr Wayne Erskine is collaborating with Dr Anita Chalmers, Plant Ecologist, of the School of Environmental and Life Sciences, University of Newcastle, Ourimbah, NSW on dendrochronological potential of Australian native riparian trees and on structure and function of Melaleucas on Gulungul Creek, Ranger Mine Lease.</w:t>
      </w:r>
    </w:p>
    <w:p w:rsidR="005023D8" w:rsidRPr="00914DBF" w:rsidRDefault="005023D8" w:rsidP="005023D8">
      <w:r w:rsidRPr="00914DBF">
        <w:t>Dr Erskine is also collaborating with Drs John Tilleard and Tony Ladson of Moroka Pty Ltd and Dr Michael Cheetham of Earth Tech Pty Ltd on a project for the Goulburn-Broken Catchment Management Authority (Victoria) on the geomorphic basis of river management problems on the Yea and Acheron Rivers and their tributaries.</w:t>
      </w:r>
    </w:p>
    <w:p w:rsidR="00291525" w:rsidRPr="00291525" w:rsidRDefault="00291525" w:rsidP="00291525"/>
    <w:p w:rsidR="00151ED5" w:rsidRDefault="003915AF" w:rsidP="00A00BA3">
      <w:pPr>
        <w:sectPr w:rsidR="00151ED5" w:rsidSect="00A4422E">
          <w:headerReference w:type="even" r:id="rId129"/>
          <w:headerReference w:type="default" r:id="rId130"/>
          <w:headerReference w:type="first" r:id="rId131"/>
          <w:footerReference w:type="first" r:id="rId132"/>
          <w:pgSz w:w="10325" w:h="14573"/>
          <w:pgMar w:top="1440" w:right="1440" w:bottom="1440" w:left="1440" w:header="720" w:footer="720" w:gutter="0"/>
          <w:cols w:space="720"/>
          <w:titlePg/>
          <w:docGrid w:linePitch="272"/>
        </w:sectPr>
      </w:pPr>
      <w:r>
        <w:t xml:space="preserve"> </w:t>
      </w:r>
    </w:p>
    <w:p w:rsidR="00E87DED" w:rsidRPr="00934656" w:rsidRDefault="00C249E5" w:rsidP="00DE799E">
      <w:pPr>
        <w:pStyle w:val="Heading1"/>
      </w:pPr>
      <w:bookmarkStart w:id="275" w:name="_Toc399928209"/>
      <w:r>
        <w:t>6</w:t>
      </w:r>
      <w:r w:rsidR="00E87DED" w:rsidRPr="00934656">
        <w:tab/>
        <w:t xml:space="preserve">Communication </w:t>
      </w:r>
      <w:r w:rsidR="00E6708C">
        <w:t>activities</w:t>
      </w:r>
      <w:bookmarkEnd w:id="275"/>
    </w:p>
    <w:p w:rsidR="00E87DED" w:rsidRDefault="00C249E5" w:rsidP="00AF57DA">
      <w:pPr>
        <w:pStyle w:val="Heading2"/>
      </w:pPr>
      <w:bookmarkStart w:id="276" w:name="_Toc399928210"/>
      <w:r>
        <w:t>6</w:t>
      </w:r>
      <w:r w:rsidR="00E87DED" w:rsidRPr="00934656">
        <w:t>.1</w:t>
      </w:r>
      <w:r w:rsidR="00E87DED" w:rsidRPr="00934656">
        <w:tab/>
        <w:t>Introduction</w:t>
      </w:r>
      <w:bookmarkEnd w:id="276"/>
    </w:p>
    <w:p w:rsidR="00C46D67" w:rsidRPr="00C46D67" w:rsidRDefault="00972061" w:rsidP="00C46D67">
      <w:r>
        <w:t>In 2013–</w:t>
      </w:r>
      <w:r w:rsidR="00C46D67" w:rsidRPr="00C46D67">
        <w:t>2014 SSD undertook a range of communication activities to ensure its primary stakeholders (mining companies, traditional owners, government and NGOs) remained informed</w:t>
      </w:r>
      <w:r w:rsidR="008B5136">
        <w:t xml:space="preserve"> about supervision, assessment and </w:t>
      </w:r>
      <w:r w:rsidR="00C46D67" w:rsidRPr="00C46D67">
        <w:t>research into</w:t>
      </w:r>
      <w:r w:rsidR="008B5136">
        <w:t>,</w:t>
      </w:r>
      <w:r w:rsidR="00C46D67" w:rsidRPr="00C46D67">
        <w:t xml:space="preserve"> and monitoring of</w:t>
      </w:r>
      <w:r w:rsidR="008B5136">
        <w:t>,</w:t>
      </w:r>
      <w:r w:rsidR="00C46D67" w:rsidRPr="00C46D67">
        <w:t xml:space="preserve"> the environmental effects of</w:t>
      </w:r>
      <w:r w:rsidR="008B5136">
        <w:t xml:space="preserve"> uranium mining in the </w:t>
      </w:r>
      <w:r w:rsidR="003A35B7">
        <w:t xml:space="preserve">Region, </w:t>
      </w:r>
      <w:r w:rsidR="003A35B7" w:rsidRPr="00C46D67">
        <w:t>through</w:t>
      </w:r>
      <w:r w:rsidR="00C46D67" w:rsidRPr="00C46D67">
        <w:t xml:space="preserve"> statutory committees, assessments and reporting. Open communication also provided SSD with the opportunity to understand and address the broad range of concerns that accompany the sensitive issue of uranium mining.</w:t>
      </w:r>
      <w:r w:rsidR="00C46D67">
        <w:t xml:space="preserve"> </w:t>
      </w:r>
      <w:r w:rsidR="00C46D67" w:rsidRPr="00C46D67">
        <w:t xml:space="preserve">Communication with academic and research organisations was prioritised to position SSD at the forefront of research in its relevant fields, and as a desirable research partner. </w:t>
      </w:r>
    </w:p>
    <w:p w:rsidR="00C46D67" w:rsidRPr="00C46D67" w:rsidRDefault="00C46D67" w:rsidP="00C46D67">
      <w:r w:rsidRPr="00C46D67">
        <w:t xml:space="preserve">General SSD communications activities are coordinated through the Office of the Supervising Scientist’s new Science Knowledge &amp; Communication unit, which also oversees communication with </w:t>
      </w:r>
      <w:r w:rsidR="005259B3">
        <w:t>Indigenous</w:t>
      </w:r>
      <w:r w:rsidRPr="00C46D67">
        <w:t xml:space="preserve"> stakeholders</w:t>
      </w:r>
      <w:r w:rsidR="008B5136">
        <w:t>,</w:t>
      </w:r>
      <w:r w:rsidRPr="00C46D67">
        <w:t xml:space="preserve"> and the community</w:t>
      </w:r>
      <w:r w:rsidR="008B5136">
        <w:t>,</w:t>
      </w:r>
      <w:r w:rsidRPr="00C46D67">
        <w:t xml:space="preserve"> in partnership with the Jabiru-based Indigenous Communication Officer.</w:t>
      </w:r>
    </w:p>
    <w:p w:rsidR="00C46D67" w:rsidRPr="00C46D67" w:rsidRDefault="00C46D67" w:rsidP="00C46D67">
      <w:r w:rsidRPr="00C46D67">
        <w:t xml:space="preserve">SSD engages directly with the general public through school-based apprenticeships, intermittent employment for ad-hoc/ seasonal projects, displays and exhibits at festivals, school visits (to the Jabiru Field Station) and through publications which target local communities. </w:t>
      </w:r>
    </w:p>
    <w:p w:rsidR="00C46D67" w:rsidRPr="00C46D67" w:rsidRDefault="00C46D67" w:rsidP="00C46D67">
      <w:r w:rsidRPr="00C46D67">
        <w:t xml:space="preserve">SSD community engagement activities in the ARR during 2013–14 included display booths at the Mahbilil Festival, school talks, interactive informal information sessions on country with local traditional owners, and participation in World Wetlands Day. These activities assist in strengthening SSD’s relationships with local </w:t>
      </w:r>
      <w:r w:rsidR="005259B3">
        <w:t>Indigenous</w:t>
      </w:r>
      <w:r w:rsidRPr="00C46D67">
        <w:t xml:space="preserve"> stakeholders, non-governmental environmental groups and the general public.</w:t>
      </w:r>
    </w:p>
    <w:p w:rsidR="00C46D67" w:rsidRPr="00C46D67" w:rsidRDefault="00C46D67" w:rsidP="00C46D67">
      <w:r w:rsidRPr="00C46D67">
        <w:t>Other activities undertaken in the reporting period included hosting visits from interstate and international delegates and conference participation and presentations for professional development. In addition to these activities, the SSD website is an important tool in raising community awareness of the work of the Division and providing public access to the Division’s scientific data and reports, including the results of SSD’s research and environmental monitoring program</w:t>
      </w:r>
      <w:r w:rsidR="00936D05">
        <w:t>me</w:t>
      </w:r>
      <w:r w:rsidRPr="00C46D67">
        <w:t>s.</w:t>
      </w:r>
    </w:p>
    <w:p w:rsidR="00E87DED" w:rsidRDefault="00C249E5" w:rsidP="009E7FBE">
      <w:pPr>
        <w:pStyle w:val="Heading2"/>
      </w:pPr>
      <w:bookmarkStart w:id="277" w:name="_Toc399928211"/>
      <w:r>
        <w:t>6</w:t>
      </w:r>
      <w:r w:rsidR="00E87DED" w:rsidRPr="00934656">
        <w:t>.2</w:t>
      </w:r>
      <w:r w:rsidR="00E87DED" w:rsidRPr="00934656">
        <w:tab/>
        <w:t xml:space="preserve">Communication with the public including local community and </w:t>
      </w:r>
      <w:r w:rsidR="00845AC9">
        <w:t>Kakadu residents</w:t>
      </w:r>
      <w:bookmarkEnd w:id="277"/>
    </w:p>
    <w:p w:rsidR="00845AC9" w:rsidRPr="00D33513" w:rsidRDefault="00845AC9" w:rsidP="00845AC9">
      <w:pPr>
        <w:rPr>
          <w:iCs/>
        </w:rPr>
      </w:pPr>
      <w:r w:rsidRPr="00D33513">
        <w:rPr>
          <w:iCs/>
        </w:rPr>
        <w:t xml:space="preserve">SSD has a </w:t>
      </w:r>
      <w:r>
        <w:rPr>
          <w:iCs/>
        </w:rPr>
        <w:t>targeted</w:t>
      </w:r>
      <w:r w:rsidRPr="00D33513">
        <w:rPr>
          <w:iCs/>
        </w:rPr>
        <w:t xml:space="preserve"> strategy for communicating to the local </w:t>
      </w:r>
      <w:r w:rsidR="007C1988">
        <w:rPr>
          <w:iCs/>
        </w:rPr>
        <w:t>Indigenous</w:t>
      </w:r>
      <w:r w:rsidRPr="00D33513">
        <w:rPr>
          <w:iCs/>
        </w:rPr>
        <w:t xml:space="preserve"> </w:t>
      </w:r>
      <w:r>
        <w:rPr>
          <w:iCs/>
        </w:rPr>
        <w:t>communities</w:t>
      </w:r>
      <w:r w:rsidRPr="00D33513">
        <w:rPr>
          <w:iCs/>
        </w:rPr>
        <w:t xml:space="preserve"> the findings from the monitoring and research projects carried out in the region</w:t>
      </w:r>
      <w:r>
        <w:rPr>
          <w:iCs/>
        </w:rPr>
        <w:t xml:space="preserve"> as part of the Department’s overarching commitment to ‘Closing the Gap’</w:t>
      </w:r>
      <w:r w:rsidRPr="00D33513">
        <w:rPr>
          <w:iCs/>
        </w:rPr>
        <w:t xml:space="preserve">. For example, the </w:t>
      </w:r>
      <w:r>
        <w:rPr>
          <w:iCs/>
        </w:rPr>
        <w:t>Indigenous Communication Officer</w:t>
      </w:r>
      <w:r w:rsidRPr="00D33513">
        <w:rPr>
          <w:iCs/>
        </w:rPr>
        <w:t xml:space="preserve"> </w:t>
      </w:r>
      <w:r>
        <w:rPr>
          <w:iCs/>
        </w:rPr>
        <w:t xml:space="preserve">and the </w:t>
      </w:r>
      <w:r w:rsidRPr="00D33513">
        <w:rPr>
          <w:iCs/>
        </w:rPr>
        <w:t>Scienc</w:t>
      </w:r>
      <w:r w:rsidR="00972061">
        <w:rPr>
          <w:iCs/>
        </w:rPr>
        <w:t>e Knowledge &amp;</w:t>
      </w:r>
      <w:r>
        <w:rPr>
          <w:iCs/>
        </w:rPr>
        <w:t xml:space="preserve"> Communications u</w:t>
      </w:r>
      <w:r w:rsidRPr="00D33513">
        <w:rPr>
          <w:iCs/>
        </w:rPr>
        <w:t xml:space="preserve">nit </w:t>
      </w:r>
      <w:r>
        <w:rPr>
          <w:iCs/>
        </w:rPr>
        <w:t>collaboratively developed</w:t>
      </w:r>
      <w:r w:rsidRPr="00D33513">
        <w:rPr>
          <w:iCs/>
        </w:rPr>
        <w:t xml:space="preserve"> audiovisual material that can be </w:t>
      </w:r>
      <w:r>
        <w:rPr>
          <w:iCs/>
        </w:rPr>
        <w:t>used</w:t>
      </w:r>
      <w:r w:rsidRPr="00D33513">
        <w:rPr>
          <w:iCs/>
        </w:rPr>
        <w:t xml:space="preserve"> whilst visiting local Indigenous communities to assist with explaining the </w:t>
      </w:r>
      <w:r>
        <w:rPr>
          <w:iCs/>
        </w:rPr>
        <w:t xml:space="preserve">methods and </w:t>
      </w:r>
      <w:r w:rsidRPr="00D33513">
        <w:rPr>
          <w:iCs/>
        </w:rPr>
        <w:t xml:space="preserve">results from SSD’s monitoring of </w:t>
      </w:r>
      <w:r>
        <w:rPr>
          <w:iCs/>
        </w:rPr>
        <w:t xml:space="preserve">the </w:t>
      </w:r>
      <w:r w:rsidRPr="00D33513">
        <w:rPr>
          <w:iCs/>
        </w:rPr>
        <w:t xml:space="preserve">Ranger </w:t>
      </w:r>
      <w:r>
        <w:rPr>
          <w:iCs/>
        </w:rPr>
        <w:t>m</w:t>
      </w:r>
      <w:r w:rsidRPr="00D33513">
        <w:rPr>
          <w:iCs/>
        </w:rPr>
        <w:t xml:space="preserve">ine and the Jabiluka rehabilitation. In addition, the </w:t>
      </w:r>
      <w:r>
        <w:rPr>
          <w:iCs/>
        </w:rPr>
        <w:t>Indigenous Communication Officer</w:t>
      </w:r>
      <w:r w:rsidRPr="00D33513">
        <w:rPr>
          <w:iCs/>
        </w:rPr>
        <w:t xml:space="preserve"> maintains regular informal contact with the Mirarr people – the traditional owners of the land </w:t>
      </w:r>
      <w:r>
        <w:rPr>
          <w:iCs/>
        </w:rPr>
        <w:t>on which Ranger and Jabiluka lie</w:t>
      </w:r>
      <w:r w:rsidRPr="00D33513">
        <w:rPr>
          <w:iCs/>
        </w:rPr>
        <w:t xml:space="preserve">. This provides </w:t>
      </w:r>
      <w:r>
        <w:rPr>
          <w:iCs/>
        </w:rPr>
        <w:t>effective opportunities</w:t>
      </w:r>
      <w:r w:rsidRPr="00D33513">
        <w:rPr>
          <w:iCs/>
        </w:rPr>
        <w:t xml:space="preserve"> to communicate </w:t>
      </w:r>
      <w:r>
        <w:rPr>
          <w:iCs/>
        </w:rPr>
        <w:t>SSD’s</w:t>
      </w:r>
      <w:r w:rsidRPr="00D33513">
        <w:rPr>
          <w:iCs/>
        </w:rPr>
        <w:t xml:space="preserve"> role and function, and </w:t>
      </w:r>
      <w:r>
        <w:rPr>
          <w:iCs/>
        </w:rPr>
        <w:t>to</w:t>
      </w:r>
      <w:r w:rsidRPr="00D33513">
        <w:rPr>
          <w:iCs/>
        </w:rPr>
        <w:t xml:space="preserve"> keep the local com</w:t>
      </w:r>
      <w:r w:rsidR="008F05AD">
        <w:rPr>
          <w:iCs/>
        </w:rPr>
        <w:t>munities well informed about the</w:t>
      </w:r>
      <w:r w:rsidRPr="00D33513">
        <w:rPr>
          <w:iCs/>
        </w:rPr>
        <w:t xml:space="preserve"> m</w:t>
      </w:r>
      <w:r w:rsidR="00522173">
        <w:rPr>
          <w:iCs/>
        </w:rPr>
        <w:t>onitoring and research program</w:t>
      </w:r>
      <w:r w:rsidR="00936D05">
        <w:rPr>
          <w:iCs/>
        </w:rPr>
        <w:t>me</w:t>
      </w:r>
      <w:r w:rsidR="00522173">
        <w:rPr>
          <w:iCs/>
        </w:rPr>
        <w:t>s undertaken at SSD.</w:t>
      </w:r>
      <w:r w:rsidRPr="00D33513">
        <w:rPr>
          <w:iCs/>
        </w:rPr>
        <w:t xml:space="preserve"> </w:t>
      </w:r>
      <w:r>
        <w:rPr>
          <w:iCs/>
        </w:rPr>
        <w:t xml:space="preserve">Following an incident at Ranger </w:t>
      </w:r>
      <w:r w:rsidR="008F05AD">
        <w:rPr>
          <w:iCs/>
        </w:rPr>
        <w:t>Uranium Mine in December 2013, d</w:t>
      </w:r>
      <w:r>
        <w:rPr>
          <w:iCs/>
        </w:rPr>
        <w:t>irect communication with the Mirrar people was prioritised to ensure SSD was aware of their specific concern</w:t>
      </w:r>
      <w:r w:rsidR="00522173">
        <w:rPr>
          <w:iCs/>
        </w:rPr>
        <w:t xml:space="preserve">s and expectations. SSD </w:t>
      </w:r>
      <w:r>
        <w:rPr>
          <w:iCs/>
        </w:rPr>
        <w:t>provide</w:t>
      </w:r>
      <w:r w:rsidR="00522173">
        <w:rPr>
          <w:iCs/>
        </w:rPr>
        <w:t>d</w:t>
      </w:r>
      <w:r>
        <w:rPr>
          <w:iCs/>
        </w:rPr>
        <w:t xml:space="preserve"> accurate information </w:t>
      </w:r>
      <w:r w:rsidR="00522173">
        <w:rPr>
          <w:iCs/>
        </w:rPr>
        <w:t>regarding</w:t>
      </w:r>
      <w:r>
        <w:rPr>
          <w:iCs/>
        </w:rPr>
        <w:t xml:space="preserve"> the incident and assure</w:t>
      </w:r>
      <w:r w:rsidR="00522173">
        <w:rPr>
          <w:iCs/>
        </w:rPr>
        <w:t>d the Mirrar people</w:t>
      </w:r>
      <w:r>
        <w:rPr>
          <w:iCs/>
        </w:rPr>
        <w:t xml:space="preserve"> of their ongoing safety in the environment.  </w:t>
      </w:r>
    </w:p>
    <w:p w:rsidR="00845AC9" w:rsidRPr="00D33513" w:rsidRDefault="00845AC9" w:rsidP="00845AC9">
      <w:pPr>
        <w:rPr>
          <w:color w:val="FF0000"/>
        </w:rPr>
      </w:pPr>
      <w:r w:rsidRPr="00D33513">
        <w:rPr>
          <w:iCs/>
          <w:spacing w:val="-2"/>
        </w:rPr>
        <w:t xml:space="preserve">The </w:t>
      </w:r>
      <w:r>
        <w:rPr>
          <w:iCs/>
        </w:rPr>
        <w:t xml:space="preserve">Indigenous Communication Officer </w:t>
      </w:r>
      <w:r w:rsidRPr="00D33513">
        <w:rPr>
          <w:iCs/>
          <w:spacing w:val="-2"/>
        </w:rPr>
        <w:t xml:space="preserve">also regularly liaises with the broader Alligator Rivers Region stakeholder group, including Energy Resources of Australia Ltd (ERA) community relations staff, Joint Management Branch (JMB) Parks Australia staff, local Indigenous corporations and the Northern Land Council to ensure there is a continuous supply of information on current and proposed SSD activities. Consultation also occurs with </w:t>
      </w:r>
      <w:r>
        <w:rPr>
          <w:iCs/>
          <w:spacing w:val="-2"/>
        </w:rPr>
        <w:t>Kakadu residents</w:t>
      </w:r>
      <w:r w:rsidRPr="00D33513">
        <w:rPr>
          <w:iCs/>
          <w:spacing w:val="-2"/>
        </w:rPr>
        <w:t xml:space="preserve"> to explain SSD projects and seek permission to carry out research on </w:t>
      </w:r>
      <w:r>
        <w:rPr>
          <w:iCs/>
          <w:spacing w:val="-2"/>
        </w:rPr>
        <w:t>I</w:t>
      </w:r>
      <w:r w:rsidRPr="00D33513">
        <w:rPr>
          <w:iCs/>
          <w:spacing w:val="-2"/>
        </w:rPr>
        <w:t xml:space="preserve">ndigenous land, and with JMB and Tourism to advise when and where SSD will be carrying out research activities within Kakadu National </w:t>
      </w:r>
      <w:r w:rsidR="00A51EBB" w:rsidRPr="00A51EBB">
        <w:rPr>
          <w:iCs/>
          <w:spacing w:val="-2"/>
        </w:rPr>
        <w:t>Park.</w:t>
      </w:r>
      <w:r w:rsidRPr="00D33513">
        <w:rPr>
          <w:color w:val="FF0000"/>
        </w:rPr>
        <w:t xml:space="preserve"> </w:t>
      </w:r>
    </w:p>
    <w:p w:rsidR="00845AC9" w:rsidRPr="00D33513" w:rsidRDefault="00845AC9" w:rsidP="00845AC9">
      <w:pPr>
        <w:rPr>
          <w:iCs/>
        </w:rPr>
      </w:pPr>
      <w:r w:rsidRPr="00D33513">
        <w:rPr>
          <w:iCs/>
        </w:rPr>
        <w:t>Employment of Indigenous people for activities such as field research provides SSD staff the opportunity to work alongside landowners on their country, sharing knowledge and gaining greater insight into traditional</w:t>
      </w:r>
      <w:r w:rsidR="00147698">
        <w:rPr>
          <w:iCs/>
        </w:rPr>
        <w:t xml:space="preserve"> cultural values. It </w:t>
      </w:r>
      <w:r w:rsidRPr="00D33513">
        <w:rPr>
          <w:iCs/>
        </w:rPr>
        <w:t xml:space="preserve">also provides an opportunity for </w:t>
      </w:r>
      <w:r>
        <w:rPr>
          <w:iCs/>
        </w:rPr>
        <w:t>I</w:t>
      </w:r>
      <w:r w:rsidRPr="00D33513">
        <w:rPr>
          <w:iCs/>
        </w:rPr>
        <w:t>ndigenous people to gain valuable technical skills and a greater understanding of how SSD does its work. Regular contact betwe</w:t>
      </w:r>
      <w:r>
        <w:rPr>
          <w:iCs/>
        </w:rPr>
        <w:t xml:space="preserve">en SSD’s </w:t>
      </w:r>
      <w:r w:rsidRPr="00D33513">
        <w:rPr>
          <w:iCs/>
        </w:rPr>
        <w:t>Indi</w:t>
      </w:r>
      <w:r>
        <w:rPr>
          <w:iCs/>
        </w:rPr>
        <w:t>genous Communication Officer</w:t>
      </w:r>
      <w:r w:rsidRPr="00D33513">
        <w:rPr>
          <w:iCs/>
        </w:rPr>
        <w:t xml:space="preserve"> and the Gundjeihmi Aboriginal </w:t>
      </w:r>
      <w:r w:rsidRPr="00D33513">
        <w:rPr>
          <w:iCs/>
          <w:snapToGrid w:val="0"/>
          <w:lang w:val="en-US"/>
        </w:rPr>
        <w:t>Corporation</w:t>
      </w:r>
      <w:r w:rsidRPr="00D33513">
        <w:rPr>
          <w:iCs/>
          <w:lang w:val="en-US"/>
        </w:rPr>
        <w:t xml:space="preserve"> </w:t>
      </w:r>
      <w:r w:rsidRPr="00D33513">
        <w:rPr>
          <w:iCs/>
        </w:rPr>
        <w:t xml:space="preserve">(GAC) facilitate this interaction. </w:t>
      </w:r>
    </w:p>
    <w:p w:rsidR="00845AC9" w:rsidRPr="00D33513" w:rsidRDefault="00845AC9" w:rsidP="00845AC9">
      <w:r>
        <w:t>SSD’</w:t>
      </w:r>
      <w:r w:rsidRPr="00D33513">
        <w:t xml:space="preserve">s </w:t>
      </w:r>
      <w:r>
        <w:t>involvement in</w:t>
      </w:r>
      <w:r w:rsidRPr="00D33513">
        <w:t xml:space="preserve"> employment and training schemes for </w:t>
      </w:r>
      <w:r>
        <w:t>local people provides an avenue for</w:t>
      </w:r>
      <w:r w:rsidRPr="00D33513">
        <w:t xml:space="preserve"> communicating about the work and goals of the organisation, to both </w:t>
      </w:r>
      <w:r>
        <w:t>I</w:t>
      </w:r>
      <w:r w:rsidRPr="00D33513">
        <w:t>ndigenous and non</w:t>
      </w:r>
      <w:r>
        <w:t>-I</w:t>
      </w:r>
      <w:r w:rsidRPr="00D33513">
        <w:t xml:space="preserve">ndigenous trainees. Details of the traineeships provided by SSD are in Section </w:t>
      </w:r>
      <w:proofErr w:type="gramStart"/>
      <w:r w:rsidRPr="00D33513">
        <w:t>7.1.3 .</w:t>
      </w:r>
      <w:proofErr w:type="gramEnd"/>
    </w:p>
    <w:p w:rsidR="00845AC9" w:rsidRPr="00D33513" w:rsidRDefault="00845AC9" w:rsidP="00845AC9">
      <w:pPr>
        <w:rPr>
          <w:iCs/>
          <w:spacing w:val="-2"/>
        </w:rPr>
      </w:pPr>
      <w:r>
        <w:rPr>
          <w:iCs/>
          <w:spacing w:val="-2"/>
        </w:rPr>
        <w:t>The publications produced by</w:t>
      </w:r>
      <w:r w:rsidRPr="00D33513">
        <w:rPr>
          <w:iCs/>
          <w:spacing w:val="-2"/>
        </w:rPr>
        <w:t xml:space="preserve"> </w:t>
      </w:r>
      <w:r>
        <w:rPr>
          <w:iCs/>
          <w:spacing w:val="-2"/>
        </w:rPr>
        <w:t xml:space="preserve">SSD </w:t>
      </w:r>
      <w:r w:rsidRPr="00D33513">
        <w:rPr>
          <w:iCs/>
          <w:spacing w:val="-2"/>
        </w:rPr>
        <w:t xml:space="preserve">focus on research-related information, which is pitched at varying levels of scientific </w:t>
      </w:r>
      <w:r>
        <w:rPr>
          <w:iCs/>
          <w:spacing w:val="-2"/>
        </w:rPr>
        <w:t xml:space="preserve">detail and </w:t>
      </w:r>
      <w:r w:rsidRPr="00D33513">
        <w:rPr>
          <w:iCs/>
          <w:spacing w:val="-2"/>
        </w:rPr>
        <w:t>complexity</w:t>
      </w:r>
      <w:r>
        <w:rPr>
          <w:iCs/>
          <w:spacing w:val="-2"/>
        </w:rPr>
        <w:t>, depending on the intended audience</w:t>
      </w:r>
      <w:r w:rsidRPr="00D33513">
        <w:rPr>
          <w:iCs/>
          <w:spacing w:val="-2"/>
        </w:rPr>
        <w:t>. This approach aims to ensure that all stakeholders including traditional owners, industry stakeholders, residents of Jabiru and the general public are catered t</w:t>
      </w:r>
      <w:r w:rsidR="00A51EBB">
        <w:rPr>
          <w:iCs/>
          <w:spacing w:val="-2"/>
        </w:rPr>
        <w:t xml:space="preserve">o with publications that convey </w:t>
      </w:r>
      <w:r w:rsidRPr="00D33513">
        <w:rPr>
          <w:iCs/>
          <w:spacing w:val="-2"/>
        </w:rPr>
        <w:t>relevant aspects of the Division’s work</w:t>
      </w:r>
      <w:r w:rsidR="000E01AE">
        <w:rPr>
          <w:iCs/>
          <w:spacing w:val="-2"/>
        </w:rPr>
        <w:t xml:space="preserve"> in an accessible style</w:t>
      </w:r>
      <w:r w:rsidRPr="00D33513">
        <w:rPr>
          <w:iCs/>
          <w:spacing w:val="-2"/>
        </w:rPr>
        <w:t xml:space="preserve">. </w:t>
      </w:r>
    </w:p>
    <w:p w:rsidR="00845AC9" w:rsidRPr="00D33513" w:rsidRDefault="005C4056" w:rsidP="00845AC9">
      <w:pPr>
        <w:rPr>
          <w:iCs/>
          <w:spacing w:val="-2"/>
        </w:rPr>
      </w:pPr>
      <w:r>
        <w:rPr>
          <w:iCs/>
          <w:spacing w:val="-2"/>
        </w:rPr>
        <w:t>The Science Knowledge &amp;</w:t>
      </w:r>
      <w:r w:rsidR="00845AC9" w:rsidRPr="006568E3">
        <w:rPr>
          <w:iCs/>
          <w:spacing w:val="-2"/>
        </w:rPr>
        <w:t xml:space="preserve"> Communication unit produces and distributes several scientific report</w:t>
      </w:r>
      <w:r w:rsidR="00845AC9">
        <w:rPr>
          <w:iCs/>
          <w:spacing w:val="-2"/>
        </w:rPr>
        <w:t xml:space="preserve"> series, including the Supervising Scientist Report series, the Internal Report series</w:t>
      </w:r>
      <w:r w:rsidR="00845AC9" w:rsidRPr="006568E3">
        <w:rPr>
          <w:iCs/>
          <w:spacing w:val="-2"/>
        </w:rPr>
        <w:t xml:space="preserve">, </w:t>
      </w:r>
      <w:r w:rsidR="00845AC9">
        <w:rPr>
          <w:iCs/>
          <w:spacing w:val="-2"/>
        </w:rPr>
        <w:t xml:space="preserve">and a range of ad-hoc products, all of </w:t>
      </w:r>
      <w:r w:rsidR="00845AC9" w:rsidRPr="006568E3">
        <w:rPr>
          <w:iCs/>
          <w:spacing w:val="-2"/>
        </w:rPr>
        <w:t xml:space="preserve">which showcase and record the Divisions work. The unit also co-ordinates the </w:t>
      </w:r>
      <w:r w:rsidR="00845AC9">
        <w:rPr>
          <w:iCs/>
          <w:spacing w:val="-2"/>
        </w:rPr>
        <w:t xml:space="preserve">Division’s </w:t>
      </w:r>
      <w:r w:rsidR="00845AC9" w:rsidRPr="006568E3">
        <w:rPr>
          <w:iCs/>
          <w:spacing w:val="-2"/>
        </w:rPr>
        <w:t>contribution to the Department of</w:t>
      </w:r>
      <w:r w:rsidR="00A51EBB">
        <w:rPr>
          <w:iCs/>
          <w:spacing w:val="-2"/>
        </w:rPr>
        <w:t xml:space="preserve"> Environment annual r</w:t>
      </w:r>
      <w:r w:rsidR="00845AC9" w:rsidRPr="00D33513">
        <w:rPr>
          <w:iCs/>
          <w:spacing w:val="-2"/>
        </w:rPr>
        <w:t xml:space="preserve">eport </w:t>
      </w:r>
      <w:r w:rsidR="00845AC9">
        <w:rPr>
          <w:iCs/>
          <w:spacing w:val="-2"/>
        </w:rPr>
        <w:t>and produces</w:t>
      </w:r>
      <w:r w:rsidR="00147698">
        <w:rPr>
          <w:iCs/>
          <w:spacing w:val="-2"/>
        </w:rPr>
        <w:t xml:space="preserve"> the Supervising Scientist’s </w:t>
      </w:r>
      <w:r w:rsidR="00A51EBB">
        <w:rPr>
          <w:iCs/>
          <w:spacing w:val="-2"/>
        </w:rPr>
        <w:t>annual r</w:t>
      </w:r>
      <w:r w:rsidR="00845AC9" w:rsidRPr="00D33513">
        <w:rPr>
          <w:iCs/>
          <w:spacing w:val="-2"/>
        </w:rPr>
        <w:t xml:space="preserve">eport.  These publications are particularly useful for informing the </w:t>
      </w:r>
      <w:proofErr w:type="gramStart"/>
      <w:r w:rsidR="00CA7E3D">
        <w:rPr>
          <w:iCs/>
          <w:spacing w:val="-2"/>
        </w:rPr>
        <w:t>divisions</w:t>
      </w:r>
      <w:proofErr w:type="gramEnd"/>
      <w:r w:rsidR="00CA7E3D">
        <w:rPr>
          <w:iCs/>
          <w:spacing w:val="-2"/>
        </w:rPr>
        <w:t xml:space="preserve"> t</w:t>
      </w:r>
      <w:r w:rsidR="00845AC9" w:rsidRPr="00D33513">
        <w:rPr>
          <w:iCs/>
          <w:spacing w:val="-2"/>
        </w:rPr>
        <w:t xml:space="preserve">echnical advisors of the results of environmental monitoring and research by SSD staff and external authors. </w:t>
      </w:r>
      <w:r w:rsidR="00845AC9" w:rsidRPr="006568E3">
        <w:rPr>
          <w:iCs/>
          <w:spacing w:val="-2"/>
        </w:rPr>
        <w:t>At the May 2014 ARRAC meeting, ARRAC board members were supplied w</w:t>
      </w:r>
      <w:r>
        <w:rPr>
          <w:iCs/>
          <w:spacing w:val="-2"/>
        </w:rPr>
        <w:t xml:space="preserve">ith electronic versions of </w:t>
      </w:r>
      <w:r w:rsidRPr="005C4056">
        <w:rPr>
          <w:b/>
          <w:i/>
          <w:iCs/>
          <w:spacing w:val="-2"/>
          <w:sz w:val="23"/>
          <w:szCs w:val="23"/>
        </w:rPr>
        <w:t>eriss</w:t>
      </w:r>
      <w:r w:rsidR="00CB3A6B">
        <w:rPr>
          <w:iCs/>
          <w:spacing w:val="-2"/>
        </w:rPr>
        <w:t xml:space="preserve"> research s</w:t>
      </w:r>
      <w:r w:rsidR="00845AC9" w:rsidRPr="006568E3">
        <w:rPr>
          <w:iCs/>
          <w:spacing w:val="-2"/>
        </w:rPr>
        <w:t xml:space="preserve">ummaries, providing them with a comprehensive </w:t>
      </w:r>
      <w:r w:rsidR="00845AC9">
        <w:rPr>
          <w:iCs/>
          <w:spacing w:val="-2"/>
        </w:rPr>
        <w:t>collection</w:t>
      </w:r>
      <w:r w:rsidR="00845AC9" w:rsidRPr="006568E3">
        <w:rPr>
          <w:iCs/>
          <w:spacing w:val="-2"/>
        </w:rPr>
        <w:t xml:space="preserve"> of the work of the Division from </w:t>
      </w:r>
      <w:r w:rsidR="00845AC9" w:rsidRPr="00910A0F">
        <w:rPr>
          <w:iCs/>
          <w:spacing w:val="-2"/>
        </w:rPr>
        <w:t xml:space="preserve">2010 to </w:t>
      </w:r>
      <w:r w:rsidR="00845AC9">
        <w:rPr>
          <w:iCs/>
          <w:spacing w:val="-2"/>
        </w:rPr>
        <w:t>2013</w:t>
      </w:r>
      <w:r w:rsidR="00845AC9" w:rsidRPr="00D33513">
        <w:rPr>
          <w:iCs/>
          <w:spacing w:val="-2"/>
        </w:rPr>
        <w:t xml:space="preserve">. </w:t>
      </w:r>
    </w:p>
    <w:p w:rsidR="00845AC9" w:rsidRPr="00472529" w:rsidRDefault="00845AC9" w:rsidP="00845AC9">
      <w:pPr>
        <w:rPr>
          <w:iCs/>
          <w:spacing w:val="-2"/>
        </w:rPr>
      </w:pPr>
      <w:r w:rsidRPr="00D33513">
        <w:rPr>
          <w:iCs/>
          <w:spacing w:val="-2"/>
        </w:rPr>
        <w:t xml:space="preserve">All of the above activities served to enhance awareness and understanding of the work and role of SSD and to maintain the Division’s profile within the local and wider community. </w:t>
      </w:r>
    </w:p>
    <w:p w:rsidR="00E87DED" w:rsidRDefault="00C249E5" w:rsidP="009E7FBE">
      <w:pPr>
        <w:pStyle w:val="Heading2"/>
      </w:pPr>
      <w:bookmarkStart w:id="278" w:name="_Toc399928212"/>
      <w:r>
        <w:t>6</w:t>
      </w:r>
      <w:r w:rsidR="009E7FBE">
        <w:t>.3</w:t>
      </w:r>
      <w:r w:rsidR="00E87DED" w:rsidRPr="00934656">
        <w:tab/>
        <w:t>Communication with primary stakeholders</w:t>
      </w:r>
      <w:bookmarkEnd w:id="278"/>
      <w:r w:rsidR="00E87DED" w:rsidRPr="00934656">
        <w:t xml:space="preserve"> </w:t>
      </w:r>
    </w:p>
    <w:p w:rsidR="00845AC9" w:rsidRPr="00845AC9" w:rsidRDefault="00845AC9" w:rsidP="00845AC9">
      <w:pPr>
        <w:rPr>
          <w:iCs/>
        </w:rPr>
      </w:pPr>
      <w:r w:rsidRPr="00845AC9">
        <w:rPr>
          <w:iCs/>
        </w:rPr>
        <w:t xml:space="preserve">SSD </w:t>
      </w:r>
      <w:proofErr w:type="gramStart"/>
      <w:r w:rsidRPr="00845AC9">
        <w:rPr>
          <w:iCs/>
        </w:rPr>
        <w:t>staff engage</w:t>
      </w:r>
      <w:proofErr w:type="gramEnd"/>
      <w:r w:rsidRPr="00845AC9">
        <w:rPr>
          <w:iCs/>
        </w:rPr>
        <w:t xml:space="preserve"> with primary stakeholders</w:t>
      </w:r>
      <w:r w:rsidR="0075254A">
        <w:rPr>
          <w:iCs/>
        </w:rPr>
        <w:t>,</w:t>
      </w:r>
      <w:r w:rsidRPr="00845AC9">
        <w:rPr>
          <w:iCs/>
        </w:rPr>
        <w:t xml:space="preserve"> including the traditional owners of the Alligator Rivers Region, and ensure that SSD meets its obligations of fostering awareness of the research and monitoring activities of the Division. </w:t>
      </w:r>
      <w:r>
        <w:rPr>
          <w:iCs/>
        </w:rPr>
        <w:t>In 2013–</w:t>
      </w:r>
      <w:r w:rsidRPr="00845AC9">
        <w:rPr>
          <w:iCs/>
        </w:rPr>
        <w:t xml:space="preserve">14 SSD’s Science Knowledge </w:t>
      </w:r>
      <w:r w:rsidR="00A51EBB">
        <w:rPr>
          <w:iCs/>
        </w:rPr>
        <w:t>&amp;</w:t>
      </w:r>
      <w:r w:rsidRPr="00845AC9">
        <w:rPr>
          <w:iCs/>
        </w:rPr>
        <w:t xml:space="preserve"> Communication unit worked closely with the Indigenous Communication Officer to jointly develop a range of communications products for traditional owners, including videos with audio in the local </w:t>
      </w:r>
      <w:r w:rsidR="005259B3">
        <w:rPr>
          <w:iCs/>
        </w:rPr>
        <w:t>Indigenous</w:t>
      </w:r>
      <w:r w:rsidRPr="00845AC9">
        <w:rPr>
          <w:iCs/>
        </w:rPr>
        <w:t xml:space="preserve"> language and scientific posters pitched to a lay audience.  </w:t>
      </w:r>
    </w:p>
    <w:p w:rsidR="00845AC9" w:rsidRPr="00845AC9" w:rsidRDefault="00845AC9" w:rsidP="00845AC9">
      <w:pPr>
        <w:rPr>
          <w:iCs/>
        </w:rPr>
      </w:pPr>
      <w:r w:rsidRPr="00845AC9">
        <w:rPr>
          <w:iCs/>
        </w:rPr>
        <w:t>SSD</w:t>
      </w:r>
      <w:r w:rsidR="0075254A">
        <w:rPr>
          <w:iCs/>
        </w:rPr>
        <w:t>’</w:t>
      </w:r>
      <w:r w:rsidRPr="00845AC9">
        <w:rPr>
          <w:iCs/>
        </w:rPr>
        <w:t>s two specialised statutory committees, ARRTC and ARRAC, continued to facilitate discussion and information exchange between SSD and i</w:t>
      </w:r>
      <w:r w:rsidR="005C4056">
        <w:rPr>
          <w:iCs/>
        </w:rPr>
        <w:t>ts primary stakeholders in 2013–</w:t>
      </w:r>
      <w:r w:rsidRPr="00845AC9">
        <w:rPr>
          <w:iCs/>
        </w:rPr>
        <w:t>14. These committees were an important means of ensuring transparency and enhancing trust between the various stakeholder organisations. Details are in Chapter 2.</w:t>
      </w:r>
    </w:p>
    <w:p w:rsidR="002F3741" w:rsidRDefault="002F3741" w:rsidP="006361DA">
      <w:pPr>
        <w:rPr>
          <w:iCs/>
        </w:rPr>
      </w:pPr>
      <w:r>
        <w:rPr>
          <w:noProof/>
          <w:lang w:eastAsia="en-AU"/>
        </w:rPr>
        <w:drawing>
          <wp:anchor distT="0" distB="0" distL="114300" distR="114300" simplePos="0" relativeHeight="251735040" behindDoc="0" locked="0" layoutInCell="1" allowOverlap="1">
            <wp:simplePos x="0" y="0"/>
            <wp:positionH relativeFrom="column">
              <wp:posOffset>619125</wp:posOffset>
            </wp:positionH>
            <wp:positionV relativeFrom="paragraph">
              <wp:posOffset>685800</wp:posOffset>
            </wp:positionV>
            <wp:extent cx="3409950" cy="2554605"/>
            <wp:effectExtent l="19050" t="0" r="0" b="0"/>
            <wp:wrapTopAndBottom/>
            <wp:docPr id="8" name="Picture 7" descr="photo000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hoto0006.jpg"/>
                    <pic:cNvPicPr/>
                  </pic:nvPicPr>
                  <pic:blipFill>
                    <a:blip r:embed="rId133" cstate="screen"/>
                    <a:stretch>
                      <a:fillRect/>
                    </a:stretch>
                  </pic:blipFill>
                  <pic:spPr>
                    <a:xfrm>
                      <a:off x="0" y="0"/>
                      <a:ext cx="3409950" cy="2554605"/>
                    </a:xfrm>
                    <a:prstGeom prst="rect">
                      <a:avLst/>
                    </a:prstGeom>
                  </pic:spPr>
                </pic:pic>
              </a:graphicData>
            </a:graphic>
          </wp:anchor>
        </w:drawing>
      </w:r>
      <w:r w:rsidR="00F9111F" w:rsidRPr="00F9111F">
        <w:rPr>
          <w:noProof/>
          <w:lang w:eastAsia="en-AU"/>
        </w:rPr>
        <w:pict>
          <v:shape id="Text Box 302" o:spid="_x0000_s1032" type="#_x0000_t202" style="position:absolute;margin-left:36.75pt;margin-top:257.25pt;width:278.25pt;height:21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" stroked="f">
            <v:textbox style="mso-fit-shape-to-text:t" inset="0,0,0,0">
              <w:txbxContent>
                <w:p w:rsidR="00A70C56" w:rsidRPr="009E66FF" w:rsidRDefault="00A70C56" w:rsidP="00ED6B9E">
                  <w:pPr>
                    <w:pStyle w:val="table1"/>
                    <w:jc w:val="center"/>
                    <w:rPr>
                      <w:rFonts w:ascii="Times New Roman" w:hAnsi="Times New Roman"/>
                      <w:iCs/>
                      <w:noProof/>
                      <w:sz w:val="20"/>
                    </w:rPr>
                  </w:pPr>
                  <w:proofErr w:type="gramStart"/>
                  <w:r w:rsidRPr="00ED6B9E">
                    <w:rPr>
                      <w:b/>
                    </w:rPr>
                    <w:t>Figure 6.</w:t>
                  </w:r>
                  <w:proofErr w:type="gramEnd"/>
                  <w:r w:rsidR="00F9111F" w:rsidRPr="00ED6B9E">
                    <w:rPr>
                      <w:b/>
                    </w:rPr>
                    <w:fldChar w:fldCharType="begin"/>
                  </w:r>
                  <w:r w:rsidRPr="00ED6B9E">
                    <w:rPr>
                      <w:b/>
                    </w:rPr>
                    <w:instrText xml:space="preserve"> SEQ Figure \* ARABIC </w:instrText>
                  </w:r>
                  <w:r w:rsidR="00F9111F" w:rsidRPr="00ED6B9E">
                    <w:rPr>
                      <w:b/>
                    </w:rPr>
                    <w:fldChar w:fldCharType="separate"/>
                  </w:r>
                  <w:r w:rsidR="00520CAB">
                    <w:rPr>
                      <w:b/>
                      <w:noProof/>
                    </w:rPr>
                    <w:t>1</w:t>
                  </w:r>
                  <w:r w:rsidR="00F9111F" w:rsidRPr="00ED6B9E">
                    <w:rPr>
                      <w:b/>
                    </w:rPr>
                    <w:fldChar w:fldCharType="end"/>
                  </w:r>
                  <w:r>
                    <w:t xml:space="preserve"> Jabiru </w:t>
                  </w:r>
                  <w:proofErr w:type="gramStart"/>
                  <w:r>
                    <w:t>staff at the SSD stall</w:t>
                  </w:r>
                  <w:proofErr w:type="gramEnd"/>
                  <w:r>
                    <w:t xml:space="preserve"> at the </w:t>
                  </w:r>
                  <w:r w:rsidRPr="00845AC9">
                    <w:rPr>
                      <w:iCs/>
                    </w:rPr>
                    <w:t>Mahbilil Festival</w:t>
                  </w:r>
                  <w:r>
                    <w:rPr>
                      <w:iCs/>
                    </w:rPr>
                    <w:t>.</w:t>
                  </w:r>
                </w:p>
              </w:txbxContent>
            </v:textbox>
            <w10:wrap type="topAndBottom"/>
          </v:shape>
        </w:pict>
      </w:r>
      <w:r w:rsidR="00845AC9" w:rsidRPr="00845AC9">
        <w:rPr>
          <w:iCs/>
        </w:rPr>
        <w:t>SSD h</w:t>
      </w:r>
      <w:r w:rsidR="005C4056">
        <w:rPr>
          <w:iCs/>
        </w:rPr>
        <w:t>osted</w:t>
      </w:r>
      <w:r w:rsidR="00845AC9" w:rsidRPr="00845AC9">
        <w:rPr>
          <w:iCs/>
        </w:rPr>
        <w:t xml:space="preserve"> a stall at the Mahbilil Festival on14 September 2013</w:t>
      </w:r>
      <w:r w:rsidR="006271EC">
        <w:rPr>
          <w:iCs/>
        </w:rPr>
        <w:t xml:space="preserve"> (Figure 6.1)</w:t>
      </w:r>
      <w:r w:rsidR="00845AC9" w:rsidRPr="00845AC9">
        <w:rPr>
          <w:iCs/>
        </w:rPr>
        <w:t xml:space="preserve">, promoting the research and monitoring that is conducted by SSD. SSD uses its presence at the Mahbilil event to respond to general community concerns that might not otherwise be raised. </w:t>
      </w:r>
    </w:p>
    <w:p w:rsidR="006361DA" w:rsidRPr="00845AC9" w:rsidRDefault="006361DA" w:rsidP="006361DA">
      <w:pPr>
        <w:rPr>
          <w:iCs/>
        </w:rPr>
      </w:pPr>
      <w:r w:rsidRPr="00845AC9">
        <w:rPr>
          <w:iCs/>
        </w:rPr>
        <w:t>A range of other communication activities for traditional owners were undertaken by SSD in partnership with other organisations in the region. For example, each year Parks Joint Management Branch, in conjunction with the West Arnhem College, runs a Junior Ranger Program for school children. The program</w:t>
      </w:r>
      <w:r w:rsidR="00936D05">
        <w:rPr>
          <w:iCs/>
        </w:rPr>
        <w:t>me</w:t>
      </w:r>
      <w:r w:rsidRPr="00845AC9">
        <w:rPr>
          <w:iCs/>
        </w:rPr>
        <w:t xml:space="preserve"> runs for the school year and the students attend weekly activities, excursions and lessons. Part of the program</w:t>
      </w:r>
      <w:r w:rsidR="00936D05">
        <w:rPr>
          <w:iCs/>
        </w:rPr>
        <w:t>me</w:t>
      </w:r>
      <w:r w:rsidRPr="00845AC9">
        <w:rPr>
          <w:iCs/>
        </w:rPr>
        <w:t xml:space="preserve"> involves a unit on research and monitoring. SSD’s Jabiru Field Station traditionally provides the tutorial and venue, making good use of the Division’s macroinvertebrates to achieve learning outcomes.</w:t>
      </w:r>
    </w:p>
    <w:p w:rsidR="00845AC9" w:rsidRPr="00845AC9" w:rsidRDefault="00845AC9" w:rsidP="00845AC9">
      <w:pPr>
        <w:rPr>
          <w:iCs/>
        </w:rPr>
      </w:pPr>
      <w:r w:rsidRPr="00845AC9">
        <w:rPr>
          <w:iCs/>
        </w:rPr>
        <w:t>World Wetlands Day is held o</w:t>
      </w:r>
      <w:r w:rsidR="00ED6B9E">
        <w:rPr>
          <w:iCs/>
        </w:rPr>
        <w:t>n 2 February each year. In 2013–</w:t>
      </w:r>
      <w:r w:rsidRPr="00845AC9">
        <w:rPr>
          <w:iCs/>
        </w:rPr>
        <w:t xml:space="preserve">14 SSD and Parks organised stalls at </w:t>
      </w:r>
      <w:r w:rsidR="004113D4">
        <w:rPr>
          <w:iCs/>
        </w:rPr>
        <w:t xml:space="preserve">the </w:t>
      </w:r>
      <w:r w:rsidRPr="00845AC9">
        <w:rPr>
          <w:iCs/>
        </w:rPr>
        <w:t xml:space="preserve">Bowali Visitor Centre to celebrate the day and highlight the importance of wetlands and the significance of the Magela floodplains as a recognised wetland under the international Ramsar Convention. </w:t>
      </w:r>
    </w:p>
    <w:p w:rsidR="00E87DED" w:rsidRDefault="00C249E5" w:rsidP="009E7FBE">
      <w:pPr>
        <w:pStyle w:val="Heading2"/>
      </w:pPr>
      <w:bookmarkStart w:id="279" w:name="_Toc399928213"/>
      <w:r>
        <w:t>6</w:t>
      </w:r>
      <w:r w:rsidR="00E87DED" w:rsidRPr="00934656">
        <w:t>.</w:t>
      </w:r>
      <w:r w:rsidR="009E7FBE">
        <w:t>4</w:t>
      </w:r>
      <w:r w:rsidR="00E87DED" w:rsidRPr="00934656">
        <w:tab/>
        <w:t xml:space="preserve">Research protocols for </w:t>
      </w:r>
      <w:smartTag w:uri="urn:schemas-microsoft-com:office:smarttags" w:element="PlaceName">
        <w:r w:rsidR="00E87DED" w:rsidRPr="00934656">
          <w:t>Kakadu</w:t>
        </w:r>
      </w:smartTag>
      <w:r w:rsidR="00E87DED" w:rsidRPr="00934656">
        <w:t xml:space="preserve"> National Park</w:t>
      </w:r>
      <w:bookmarkEnd w:id="279"/>
    </w:p>
    <w:p w:rsidR="00ED6B9E" w:rsidRDefault="00ED6B9E" w:rsidP="00ED6B9E">
      <w:r>
        <w:t>Details of the proposed 2014–15 SSD research and monitoring activities within Kakadu National Park were submitted to Parks Joint Management Branch and the Northern Land Council in April 2014 as required under the protocols agreed to by the Director of National Parks and the Supervising Scientist.</w:t>
      </w:r>
    </w:p>
    <w:p w:rsidR="00ED6B9E" w:rsidRDefault="00ED6B9E" w:rsidP="00ED6B9E">
      <w:r>
        <w:t xml:space="preserve">The protocols define working arrangements for effective and timely communication between </w:t>
      </w:r>
      <w:r w:rsidRPr="004113D4">
        <w:rPr>
          <w:b/>
          <w:i/>
          <w:sz w:val="23"/>
          <w:szCs w:val="23"/>
        </w:rPr>
        <w:t>eriss</w:t>
      </w:r>
      <w:r>
        <w:t xml:space="preserve"> and Parks Joint Management Branch staff, the Kakadu Board of Management and traditional owners in relation to </w:t>
      </w:r>
      <w:r w:rsidRPr="00ED6B9E">
        <w:rPr>
          <w:b/>
          <w:i/>
          <w:sz w:val="23"/>
          <w:szCs w:val="23"/>
        </w:rPr>
        <w:t xml:space="preserve">eriss </w:t>
      </w:r>
      <w:r>
        <w:t>research and monitoring activities within Kakadu National Park.</w:t>
      </w:r>
    </w:p>
    <w:p w:rsidR="00E87DED" w:rsidRDefault="00C249E5" w:rsidP="009E7FBE">
      <w:pPr>
        <w:pStyle w:val="Heading2"/>
      </w:pPr>
      <w:bookmarkStart w:id="280" w:name="_Toc399928214"/>
      <w:r>
        <w:t>6</w:t>
      </w:r>
      <w:r w:rsidR="00E87DED" w:rsidRPr="00934656">
        <w:t>.</w:t>
      </w:r>
      <w:r w:rsidR="009E7FBE">
        <w:t>5</w:t>
      </w:r>
      <w:r w:rsidR="00E87DED" w:rsidRPr="00934656">
        <w:tab/>
        <w:t>Internal communication</w:t>
      </w:r>
      <w:bookmarkEnd w:id="280"/>
    </w:p>
    <w:p w:rsidR="00ED6B9E" w:rsidRPr="00ED6B9E" w:rsidRDefault="00ED6B9E" w:rsidP="00ED6B9E">
      <w:r w:rsidRPr="00ED6B9E">
        <w:t>SSD actively supports open exchange of information amongst staff within the Division, and in a broader context, within the Department.</w:t>
      </w:r>
    </w:p>
    <w:p w:rsidR="00ED6B9E" w:rsidRPr="00ED6B9E" w:rsidRDefault="00ED6B9E" w:rsidP="00ED6B9E">
      <w:r w:rsidRPr="00ED6B9E">
        <w:t>The Division maintains effective internal communication between staff of all levels through regular general staff meetings, and also team and program</w:t>
      </w:r>
      <w:r w:rsidR="00936D05">
        <w:t>me</w:t>
      </w:r>
      <w:r w:rsidRPr="00ED6B9E">
        <w:t xml:space="preserve"> meetings. Subject-specific working groups are convened as required to address strategic business issues within the Division, and SSD </w:t>
      </w:r>
      <w:proofErr w:type="gramStart"/>
      <w:r w:rsidRPr="00ED6B9E">
        <w:t>staff participate</w:t>
      </w:r>
      <w:proofErr w:type="gramEnd"/>
      <w:r w:rsidRPr="00ED6B9E">
        <w:t xml:space="preserve"> in a range of business-related and technical working groups across the Portfolio.  </w:t>
      </w:r>
    </w:p>
    <w:p w:rsidR="00ED6B9E" w:rsidRPr="00ED6B9E" w:rsidRDefault="00ED6B9E" w:rsidP="00ED6B9E">
      <w:r w:rsidRPr="00ED6B9E">
        <w:t xml:space="preserve">A number of IT systems were introduced during the reporting period </w:t>
      </w:r>
      <w:r w:rsidR="00EB7143">
        <w:t xml:space="preserve">to make </w:t>
      </w:r>
      <w:r w:rsidR="00EB7143" w:rsidRPr="00ED6B9E">
        <w:t>internal business</w:t>
      </w:r>
      <w:r w:rsidR="00EB7143">
        <w:t xml:space="preserve"> and scientific communication </w:t>
      </w:r>
      <w:r w:rsidRPr="00ED6B9E">
        <w:t xml:space="preserve">more efficient and effective </w:t>
      </w:r>
      <w:proofErr w:type="gramStart"/>
      <w:r w:rsidRPr="00ED6B9E">
        <w:t>These</w:t>
      </w:r>
      <w:proofErr w:type="gramEnd"/>
      <w:r w:rsidRPr="00ED6B9E">
        <w:t xml:space="preserve"> included a series of bulletin boards on the intranet which circulate corporate and other work-related messages to all staff.  The bulletin boards include a Research Update forum, allowing researchers to post aspects of interest from their work, with the capacity to host videos and </w:t>
      </w:r>
      <w:proofErr w:type="gramStart"/>
      <w:r w:rsidRPr="00ED6B9E">
        <w:t>chat</w:t>
      </w:r>
      <w:proofErr w:type="gramEnd"/>
      <w:r w:rsidRPr="00ED6B9E">
        <w:t xml:space="preserve"> functions. The SSD intranet more generally was restructured and furnished with a range of features to assist staff to readily access important inf</w:t>
      </w:r>
      <w:r w:rsidR="00661F18">
        <w:t xml:space="preserve">ormation about working in SSD. </w:t>
      </w:r>
      <w:r w:rsidRPr="00ED6B9E">
        <w:t>Intranet authorship training was provided to several staff with a view to creating a more flexible and responsive intranet structure and content.</w:t>
      </w:r>
    </w:p>
    <w:p w:rsidR="00ED6B9E" w:rsidRDefault="00ED6B9E" w:rsidP="00ED6B9E">
      <w:r>
        <w:t>The theme of enhancing communication systems with IT solutions underpinned a number of internal communication innova</w:t>
      </w:r>
      <w:r w:rsidR="00661F18">
        <w:t>tions in 2013–</w:t>
      </w:r>
      <w:r>
        <w:t xml:space="preserve">14. A system of electronic libraries was established to accommodate the scientific information resource which had previously been housed in SSDs recently decommissioned ‘bricks and mortar’ library. </w:t>
      </w:r>
    </w:p>
    <w:p w:rsidR="00ED6B9E" w:rsidRDefault="00ED6B9E" w:rsidP="00ED6B9E">
      <w:r>
        <w:t>Social media played a role in internal communication with the implementation of an emergency texting system, which enabled the quick and accurate notification of all staff, in the event of natural disasters and other emergencies which affect the work place. SSD is located in Australia’s cyclone region, so this is a critical communication innovation for staff safety.</w:t>
      </w:r>
    </w:p>
    <w:p w:rsidR="00ED6B9E" w:rsidRDefault="00ED6B9E" w:rsidP="00ED6B9E">
      <w:r>
        <w:t>Staff awareness of SSD scientific research activities is nurtured through a monthly ‘coffee break’ seminar series, featuring internal and external speakers from relevant scientific fields.  The seminars encourage and develop cross-pollination of ideas and innovation across the scientific program</w:t>
      </w:r>
      <w:r w:rsidR="00936D05">
        <w:t>me</w:t>
      </w:r>
      <w:r>
        <w:t xml:space="preserve"> areas of </w:t>
      </w:r>
      <w:r w:rsidRPr="00ED6B9E">
        <w:rPr>
          <w:b/>
          <w:i/>
          <w:sz w:val="23"/>
          <w:szCs w:val="23"/>
        </w:rPr>
        <w:t>eriss.</w:t>
      </w:r>
    </w:p>
    <w:p w:rsidR="00ED6B9E" w:rsidRPr="00D05134" w:rsidRDefault="00ED6B9E" w:rsidP="00ED6B9E">
      <w:r>
        <w:t xml:space="preserve">Innovative communication systems were developed and implemented to streamline project management within the organisation. </w:t>
      </w:r>
      <w:r w:rsidRPr="00EC39C9">
        <w:t xml:space="preserve">A project milestone tracking database which facilitates the reporting requirements of project managers in a transparent and efficient way facilitates clear </w:t>
      </w:r>
      <w:r>
        <w:t xml:space="preserve">and </w:t>
      </w:r>
      <w:r w:rsidRPr="00EC39C9">
        <w:t>targeted com</w:t>
      </w:r>
      <w:r>
        <w:t xml:space="preserve">munication between line areas. </w:t>
      </w:r>
      <w:r w:rsidRPr="00EC39C9">
        <w:t xml:space="preserve"> Milestones are</w:t>
      </w:r>
      <w:r>
        <w:t xml:space="preserve"> automatically</w:t>
      </w:r>
      <w:r w:rsidRPr="00EC39C9">
        <w:t xml:space="preserve"> reviewed every fortnight within SSD at multiple reporting levels, and are converted into a divisional project milestone report every quarter and annually. All staff </w:t>
      </w:r>
      <w:proofErr w:type="gramStart"/>
      <w:r w:rsidRPr="00EC39C9">
        <w:t>have</w:t>
      </w:r>
      <w:proofErr w:type="gramEnd"/>
      <w:r w:rsidRPr="00EC39C9">
        <w:t xml:space="preserve"> the ability to view and use the system.</w:t>
      </w:r>
    </w:p>
    <w:p w:rsidR="0047378C" w:rsidRPr="005558E1" w:rsidRDefault="00C249E5" w:rsidP="005558E1">
      <w:pPr>
        <w:pStyle w:val="Heading2"/>
        <w:rPr>
          <w:lang w:val="en-US"/>
        </w:rPr>
      </w:pPr>
      <w:bookmarkStart w:id="281" w:name="_Toc399928215"/>
      <w:r>
        <w:rPr>
          <w:lang w:val="en-US"/>
        </w:rPr>
        <w:t>6</w:t>
      </w:r>
      <w:r w:rsidR="00E87DED" w:rsidRPr="00934656">
        <w:rPr>
          <w:lang w:val="en-US"/>
        </w:rPr>
        <w:t>.</w:t>
      </w:r>
      <w:r w:rsidR="009E7FBE">
        <w:rPr>
          <w:lang w:val="en-US"/>
        </w:rPr>
        <w:t>6</w:t>
      </w:r>
      <w:r w:rsidR="00E87DED" w:rsidRPr="00934656">
        <w:rPr>
          <w:lang w:val="en-US"/>
        </w:rPr>
        <w:tab/>
        <w:t>Science communication</w:t>
      </w:r>
      <w:bookmarkEnd w:id="281"/>
      <w:r w:rsidR="00E87DED" w:rsidRPr="00934656">
        <w:rPr>
          <w:lang w:val="en-US"/>
        </w:rPr>
        <w:t xml:space="preserve"> </w:t>
      </w:r>
    </w:p>
    <w:p w:rsidR="00ED6B9E" w:rsidRPr="00ED6B9E" w:rsidRDefault="00ED6B9E" w:rsidP="00ED6B9E">
      <w:pPr>
        <w:rPr>
          <w:iCs/>
        </w:rPr>
      </w:pPr>
      <w:r w:rsidRPr="00ED6B9E">
        <w:rPr>
          <w:iCs/>
        </w:rPr>
        <w:t xml:space="preserve">The results of research and investigations undertaken by SSD are made available to key stakeholders as well as the scientific and wider community through publications in journals and conference proceedings, and in a range of internal and publicly distributed publications.  </w:t>
      </w:r>
      <w:r>
        <w:rPr>
          <w:iCs/>
        </w:rPr>
        <w:t>In 2013–</w:t>
      </w:r>
      <w:r w:rsidRPr="00ED6B9E">
        <w:rPr>
          <w:iCs/>
        </w:rPr>
        <w:t xml:space="preserve">14 SSD posted continuous, event-based and routine water monitoring results on its website for public viewing. The </w:t>
      </w:r>
      <w:r w:rsidR="0061746D">
        <w:rPr>
          <w:iCs/>
        </w:rPr>
        <w:t xml:space="preserve">surface </w:t>
      </w:r>
      <w:r w:rsidRPr="00ED6B9E">
        <w:rPr>
          <w:iCs/>
        </w:rPr>
        <w:t xml:space="preserve">water </w:t>
      </w:r>
      <w:r w:rsidR="0061746D">
        <w:rPr>
          <w:iCs/>
        </w:rPr>
        <w:t xml:space="preserve">quality </w:t>
      </w:r>
      <w:r w:rsidRPr="00ED6B9E">
        <w:rPr>
          <w:iCs/>
        </w:rPr>
        <w:t xml:space="preserve">monitoring data were updated regularly while the creeks were flowing. Biological and radon monitoring data were also posted online. </w:t>
      </w:r>
    </w:p>
    <w:p w:rsidR="00ED6B9E" w:rsidRPr="00ED6B9E" w:rsidRDefault="00ED6B9E" w:rsidP="00ED6B9E">
      <w:pPr>
        <w:rPr>
          <w:iCs/>
        </w:rPr>
      </w:pPr>
      <w:r w:rsidRPr="00ED6B9E">
        <w:rPr>
          <w:iCs/>
        </w:rPr>
        <w:t>In-house productions include the Supervising</w:t>
      </w:r>
      <w:r w:rsidR="00BD19AE">
        <w:rPr>
          <w:iCs/>
        </w:rPr>
        <w:t xml:space="preserve"> Scientist Report and Internal R</w:t>
      </w:r>
      <w:r w:rsidRPr="00ED6B9E">
        <w:rPr>
          <w:iCs/>
        </w:rPr>
        <w:t>eport series (for detailed reporting on scientific projects and particular issues), and other media such as posters and educational material to suit specific requirements or events.</w:t>
      </w:r>
    </w:p>
    <w:p w:rsidR="00ED6B9E" w:rsidRPr="00ED6B9E" w:rsidRDefault="00ED6B9E" w:rsidP="00ED6B9E">
      <w:pPr>
        <w:rPr>
          <w:iCs/>
        </w:rPr>
      </w:pPr>
      <w:r w:rsidRPr="00ED6B9E">
        <w:rPr>
          <w:iCs/>
        </w:rPr>
        <w:t xml:space="preserve">In addition, a number of the Division’s staff </w:t>
      </w:r>
      <w:proofErr w:type="gramStart"/>
      <w:r w:rsidRPr="00ED6B9E">
        <w:rPr>
          <w:iCs/>
        </w:rPr>
        <w:t>contribute</w:t>
      </w:r>
      <w:proofErr w:type="gramEnd"/>
      <w:r w:rsidRPr="00ED6B9E">
        <w:rPr>
          <w:iCs/>
        </w:rPr>
        <w:t xml:space="preserve"> to external scientific, technical and other professional organisations, including various editorial boards and panels.</w:t>
      </w:r>
    </w:p>
    <w:p w:rsidR="00ED6B9E" w:rsidRPr="00ED6B9E" w:rsidRDefault="00ED6B9E" w:rsidP="00ED6B9E">
      <w:pPr>
        <w:rPr>
          <w:iCs/>
        </w:rPr>
      </w:pPr>
      <w:r w:rsidRPr="00ED6B9E">
        <w:rPr>
          <w:iCs/>
        </w:rPr>
        <w:t xml:space="preserve">In keeping with the drive to innovate towards greater efficiency, SSD ceased distributing hard copies of most of its academic publications, and instead instituted various forms of electronic distribution as the default. The complete Supervising Scientist Report series is available in PDF format on the SSD website and comprehensive sets of SSD’s </w:t>
      </w:r>
      <w:proofErr w:type="gramStart"/>
      <w:r w:rsidRPr="00ED6B9E">
        <w:rPr>
          <w:iCs/>
        </w:rPr>
        <w:t>flagship  publications</w:t>
      </w:r>
      <w:proofErr w:type="gramEnd"/>
      <w:r w:rsidRPr="00ED6B9E">
        <w:rPr>
          <w:iCs/>
        </w:rPr>
        <w:t xml:space="preserve"> have been made available on memory sticks to key stakeholders.  The move towards electronic distribution supports the Department’s policy of reducing its environmental footprint and also reduces costs and administrative burden. </w:t>
      </w:r>
    </w:p>
    <w:p w:rsidR="00ED6B9E" w:rsidRPr="00ED6B9E" w:rsidRDefault="00ED6B9E" w:rsidP="00ED6B9E">
      <w:pPr>
        <w:rPr>
          <w:iCs/>
        </w:rPr>
      </w:pPr>
      <w:r w:rsidRPr="00ED6B9E">
        <w:rPr>
          <w:iCs/>
        </w:rPr>
        <w:t>A full list of papers and reports published during 2013–14 is provided in Appendix 2. Pa</w:t>
      </w:r>
      <w:r w:rsidR="00E93B54">
        <w:rPr>
          <w:iCs/>
        </w:rPr>
        <w:t>pers presented at national and i</w:t>
      </w:r>
      <w:r w:rsidRPr="00ED6B9E">
        <w:rPr>
          <w:iCs/>
        </w:rPr>
        <w:t>nternational conferences are listed in Appendix 3.</w:t>
      </w:r>
    </w:p>
    <w:p w:rsidR="00ED6B9E" w:rsidRPr="00ED6B9E" w:rsidRDefault="00ED6B9E" w:rsidP="00ED6B9E">
      <w:pPr>
        <w:rPr>
          <w:iCs/>
        </w:rPr>
      </w:pPr>
      <w:r w:rsidRPr="00ED6B9E">
        <w:rPr>
          <w:iCs/>
        </w:rPr>
        <w:t xml:space="preserve">SSD’s website continued to be redeveloped in keeping with new style and structure guidelines issued by the Department. The upgrade to a modern content management system enables more intuitive content navigation and also meets the intended legal and communication objectives. </w:t>
      </w:r>
    </w:p>
    <w:p w:rsidR="00027111" w:rsidRPr="00B0416B" w:rsidRDefault="00027111" w:rsidP="00027111">
      <w:pPr>
        <w:rPr>
          <w:lang w:eastAsia="en-AU"/>
        </w:rPr>
      </w:pPr>
      <w:r>
        <w:rPr>
          <w:lang w:eastAsia="en-AU"/>
        </w:rPr>
        <w:t>In 2013–14</w:t>
      </w:r>
      <w:r w:rsidRPr="00B0416B">
        <w:rPr>
          <w:lang w:eastAsia="en-AU"/>
        </w:rPr>
        <w:t>,</w:t>
      </w:r>
      <w:r w:rsidRPr="00B0416B">
        <w:rPr>
          <w:rFonts w:ascii="Arial" w:hAnsi="Arial" w:cs="Arial"/>
          <w:lang w:eastAsia="en-AU"/>
        </w:rPr>
        <w:t xml:space="preserve"> </w:t>
      </w:r>
      <w:r w:rsidRPr="00C62BB6">
        <w:rPr>
          <w:b/>
          <w:i/>
          <w:sz w:val="23"/>
          <w:szCs w:val="23"/>
        </w:rPr>
        <w:t>eriss</w:t>
      </w:r>
      <w:r w:rsidRPr="00B0416B">
        <w:t xml:space="preserve"> staff supervised</w:t>
      </w:r>
      <w:r w:rsidRPr="00B0416B">
        <w:rPr>
          <w:rFonts w:ascii="Arial" w:hAnsi="Arial" w:cs="Arial"/>
          <w:lang w:eastAsia="en-AU"/>
        </w:rPr>
        <w:t xml:space="preserve"> </w:t>
      </w:r>
      <w:r w:rsidRPr="00B0416B">
        <w:rPr>
          <w:lang w:eastAsia="en-AU"/>
        </w:rPr>
        <w:t>one post-graduate research project:</w:t>
      </w:r>
    </w:p>
    <w:p w:rsidR="00027111" w:rsidRPr="005558E1" w:rsidRDefault="00027111" w:rsidP="00027111">
      <w:pPr>
        <w:pStyle w:val="bulletlist1"/>
      </w:pPr>
      <w:r>
        <w:t>The effect of uranium on</w:t>
      </w:r>
      <w:r w:rsidRPr="005558E1">
        <w:t xml:space="preserve"> the structure and function of sediment bacteria communities (PhD, Macquarie University, to be completed January 2017)</w:t>
      </w:r>
    </w:p>
    <w:p w:rsidR="00027111" w:rsidRPr="00B0416B" w:rsidRDefault="00027111" w:rsidP="00027111">
      <w:r w:rsidRPr="00033356">
        <w:t xml:space="preserve"> SSD staff presented papers at a number of national and international conferences during the reporting </w:t>
      </w:r>
      <w:r w:rsidR="00812890">
        <w:t>period as described in Table 6.1</w:t>
      </w:r>
      <w:r>
        <w:t>.</w:t>
      </w:r>
    </w:p>
    <w:p w:rsidR="00027111" w:rsidRDefault="00027111" w:rsidP="005558E1">
      <w:pPr>
        <w:rPr>
          <w:spacing w:val="-2"/>
          <w:lang w:eastAsia="en-AU"/>
        </w:rPr>
      </w:pPr>
    </w:p>
    <w:tbl>
      <w:tblPr>
        <w:tblStyle w:val="TableGrid"/>
        <w:tblW w:w="7763"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ayout w:type="fixed"/>
        <w:tblLook w:val="04A0"/>
      </w:tblPr>
      <w:tblGrid>
        <w:gridCol w:w="4786"/>
        <w:gridCol w:w="2977"/>
      </w:tblGrid>
      <w:tr w:rsidR="00027111" w:rsidRPr="00586475" w:rsidTr="00910F47">
        <w:tc>
          <w:tcPr>
            <w:tcW w:w="7763" w:type="dxa"/>
            <w:gridSpan w:val="2"/>
            <w:shd w:val="clear" w:color="auto" w:fill="D9D9D9" w:themeFill="background1" w:themeFillShade="D9"/>
          </w:tcPr>
          <w:p w:rsidR="00027111" w:rsidRPr="00586475" w:rsidRDefault="00027111" w:rsidP="00027111">
            <w:pPr>
              <w:pStyle w:val="tablecaption"/>
              <w:rPr>
                <w:lang w:val="en-US"/>
              </w:rPr>
            </w:pPr>
            <w:r w:rsidRPr="00586475">
              <w:br w:type="page"/>
            </w:r>
            <w:r w:rsidR="00812890">
              <w:rPr>
                <w:lang w:val="en-US"/>
              </w:rPr>
              <w:t>Table 6.1</w:t>
            </w:r>
            <w:r w:rsidRPr="00586475">
              <w:rPr>
                <w:lang w:val="en-US"/>
              </w:rPr>
              <w:t xml:space="preserve"> conference presentations</w:t>
            </w:r>
            <w:r>
              <w:rPr>
                <w:lang w:val="en-US"/>
              </w:rPr>
              <w:t xml:space="preserve"> 2013-14</w:t>
            </w:r>
          </w:p>
        </w:tc>
      </w:tr>
      <w:tr w:rsidR="00027111" w:rsidRPr="00586475" w:rsidTr="00027111">
        <w:tc>
          <w:tcPr>
            <w:tcW w:w="4786" w:type="dxa"/>
            <w:tcBorders>
              <w:bottom w:val="single" w:sz="8" w:space="0" w:color="BFBFBF" w:themeColor="background1" w:themeShade="BF"/>
            </w:tcBorders>
          </w:tcPr>
          <w:p w:rsidR="00027111" w:rsidRPr="00586475" w:rsidRDefault="00027111" w:rsidP="00027111">
            <w:pPr>
              <w:pStyle w:val="table1"/>
              <w:rPr>
                <w:b/>
              </w:rPr>
            </w:pPr>
            <w:r w:rsidRPr="00586475">
              <w:rPr>
                <w:b/>
              </w:rPr>
              <w:t>Conference</w:t>
            </w:r>
          </w:p>
        </w:tc>
        <w:tc>
          <w:tcPr>
            <w:tcW w:w="2977" w:type="dxa"/>
            <w:tcBorders>
              <w:bottom w:val="single" w:sz="8" w:space="0" w:color="BFBFBF" w:themeColor="background1" w:themeShade="BF"/>
            </w:tcBorders>
          </w:tcPr>
          <w:p w:rsidR="00027111" w:rsidRPr="00586475" w:rsidRDefault="00027111" w:rsidP="00027111">
            <w:pPr>
              <w:pStyle w:val="table1"/>
              <w:rPr>
                <w:b/>
              </w:rPr>
            </w:pPr>
            <w:r w:rsidRPr="00586475">
              <w:rPr>
                <w:b/>
              </w:rPr>
              <w:t>Place/date (no. Papers)</w:t>
            </w:r>
          </w:p>
        </w:tc>
      </w:tr>
      <w:tr w:rsidR="00027111" w:rsidRPr="00334C57" w:rsidTr="00027111">
        <w:tc>
          <w:tcPr>
            <w:tcW w:w="4786" w:type="dxa"/>
            <w:tcBorders>
              <w:top w:val="single" w:sz="8" w:space="0" w:color="BFBFBF" w:themeColor="background1" w:themeShade="BF"/>
            </w:tcBorders>
          </w:tcPr>
          <w:p w:rsidR="00027111" w:rsidRPr="00334C57" w:rsidRDefault="00027111" w:rsidP="00027111">
            <w:pPr>
              <w:pStyle w:val="table1"/>
              <w:rPr>
                <w:highlight w:val="yellow"/>
              </w:rPr>
            </w:pPr>
            <w:r w:rsidRPr="00334C57">
              <w:t>SETAC-AU 2013, 3</w:t>
            </w:r>
            <w:r w:rsidRPr="00334C57">
              <w:rPr>
                <w:vertAlign w:val="superscript"/>
              </w:rPr>
              <w:t>rd</w:t>
            </w:r>
            <w:r w:rsidRPr="00334C57">
              <w:t xml:space="preserve"> Conference of the Society for Environmental Toxicology and Chemistry - Australasian chapter</w:t>
            </w:r>
          </w:p>
        </w:tc>
        <w:tc>
          <w:tcPr>
            <w:tcW w:w="2977" w:type="dxa"/>
            <w:tcBorders>
              <w:top w:val="single" w:sz="8" w:space="0" w:color="BFBFBF" w:themeColor="background1" w:themeShade="BF"/>
            </w:tcBorders>
          </w:tcPr>
          <w:p w:rsidR="00027111" w:rsidRPr="00334C57" w:rsidRDefault="00027111" w:rsidP="00027111">
            <w:pPr>
              <w:pStyle w:val="table1"/>
              <w:rPr>
                <w:highlight w:val="yellow"/>
              </w:rPr>
            </w:pPr>
            <w:r>
              <w:t>Melbourne, 1–</w:t>
            </w:r>
            <w:r w:rsidRPr="00334C57">
              <w:t>3 October 2013 (4 presentations)</w:t>
            </w:r>
          </w:p>
        </w:tc>
      </w:tr>
      <w:tr w:rsidR="00027111" w:rsidRPr="00586475" w:rsidTr="000271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86" w:type="dxa"/>
            <w:tcBorders>
              <w:top w:val="nil"/>
              <w:left w:val="nil"/>
              <w:bottom w:val="nil"/>
              <w:right w:val="nil"/>
            </w:tcBorders>
          </w:tcPr>
          <w:p w:rsidR="00027111" w:rsidRPr="00902067" w:rsidRDefault="00027111" w:rsidP="00027111">
            <w:pPr>
              <w:pStyle w:val="table1"/>
              <w:rPr>
                <w:highlight w:val="yellow"/>
              </w:rPr>
            </w:pPr>
            <w:r>
              <w:rPr>
                <w:lang w:val="en-US"/>
              </w:rPr>
              <w:t>Eighth International Conference on Mine Closure – Eden Project</w:t>
            </w:r>
          </w:p>
        </w:tc>
        <w:tc>
          <w:tcPr>
            <w:tcW w:w="2977" w:type="dxa"/>
            <w:tcBorders>
              <w:top w:val="nil"/>
              <w:left w:val="nil"/>
              <w:bottom w:val="nil"/>
              <w:right w:val="nil"/>
            </w:tcBorders>
          </w:tcPr>
          <w:p w:rsidR="00027111" w:rsidRPr="00902067" w:rsidRDefault="00027111" w:rsidP="00027111">
            <w:pPr>
              <w:pStyle w:val="table1"/>
              <w:rPr>
                <w:highlight w:val="yellow"/>
              </w:rPr>
            </w:pPr>
            <w:r>
              <w:rPr>
                <w:lang w:val="en-US"/>
              </w:rPr>
              <w:t>Cornwall</w:t>
            </w:r>
            <w:r w:rsidR="00AF3F72">
              <w:rPr>
                <w:lang w:val="en-US"/>
              </w:rPr>
              <w:t>,</w:t>
            </w:r>
            <w:r>
              <w:rPr>
                <w:lang w:val="en-US"/>
              </w:rPr>
              <w:t xml:space="preserve"> UK</w:t>
            </w:r>
            <w:r w:rsidR="00AF3F72">
              <w:rPr>
                <w:lang w:val="en-US"/>
              </w:rPr>
              <w:t>,</w:t>
            </w:r>
            <w:r>
              <w:rPr>
                <w:lang w:val="en-US"/>
              </w:rPr>
              <w:t xml:space="preserve"> 14–22 September 2013. (1 Presentation)</w:t>
            </w:r>
          </w:p>
        </w:tc>
      </w:tr>
      <w:tr w:rsidR="00027111" w:rsidRPr="00586475" w:rsidTr="00027111">
        <w:tblPrEx>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Ex>
        <w:tc>
          <w:tcPr>
            <w:tcW w:w="4786" w:type="dxa"/>
            <w:tcBorders>
              <w:top w:val="nil"/>
              <w:left w:val="nil"/>
              <w:bottom w:val="nil"/>
              <w:right w:val="nil"/>
            </w:tcBorders>
          </w:tcPr>
          <w:p w:rsidR="00027111" w:rsidRPr="00991EB0" w:rsidRDefault="00027111" w:rsidP="00027111">
            <w:pPr>
              <w:pStyle w:val="table1"/>
              <w:rPr>
                <w:highlight w:val="yellow"/>
              </w:rPr>
            </w:pPr>
            <w:r w:rsidRPr="00991EB0">
              <w:t>GEOBIA 2014, 5</w:t>
            </w:r>
            <w:r w:rsidRPr="00991EB0">
              <w:rPr>
                <w:vertAlign w:val="superscript"/>
              </w:rPr>
              <w:t>th</w:t>
            </w:r>
            <w:r w:rsidRPr="00991EB0">
              <w:t xml:space="preserve"> International Conference on Geographic Object-Based Image Analysis</w:t>
            </w:r>
          </w:p>
        </w:tc>
        <w:tc>
          <w:tcPr>
            <w:tcW w:w="2977" w:type="dxa"/>
            <w:tcBorders>
              <w:top w:val="nil"/>
              <w:left w:val="nil"/>
              <w:bottom w:val="nil"/>
              <w:right w:val="nil"/>
            </w:tcBorders>
          </w:tcPr>
          <w:p w:rsidR="00027111" w:rsidRPr="00991EB0" w:rsidRDefault="00027111" w:rsidP="00027111">
            <w:pPr>
              <w:pStyle w:val="table1"/>
              <w:rPr>
                <w:highlight w:val="yellow"/>
              </w:rPr>
            </w:pPr>
            <w:r>
              <w:t>Thessaloniki, Greece</w:t>
            </w:r>
            <w:r w:rsidR="00AF3F72">
              <w:t>,</w:t>
            </w:r>
            <w:r>
              <w:t xml:space="preserve"> 21–</w:t>
            </w:r>
            <w:r w:rsidRPr="00991EB0">
              <w:t>24 May 2014 (2 papers)</w:t>
            </w:r>
          </w:p>
        </w:tc>
      </w:tr>
      <w:tr w:rsidR="00027111" w:rsidRPr="00586475" w:rsidTr="00027111">
        <w:tc>
          <w:tcPr>
            <w:tcW w:w="4786" w:type="dxa"/>
          </w:tcPr>
          <w:p w:rsidR="00027111" w:rsidRPr="00991EB0" w:rsidRDefault="00027111" w:rsidP="00027111">
            <w:pPr>
              <w:pStyle w:val="table1"/>
              <w:rPr>
                <w:highlight w:val="yellow"/>
              </w:rPr>
            </w:pPr>
            <w:r w:rsidRPr="00991EB0">
              <w:t>IGARSS 2013, IEEE International Geoscience and Remote Sensing Symposium</w:t>
            </w:r>
          </w:p>
        </w:tc>
        <w:tc>
          <w:tcPr>
            <w:tcW w:w="2977" w:type="dxa"/>
          </w:tcPr>
          <w:p w:rsidR="00027111" w:rsidRPr="00991EB0" w:rsidRDefault="00027111" w:rsidP="00027111">
            <w:pPr>
              <w:pStyle w:val="table1"/>
              <w:rPr>
                <w:highlight w:val="yellow"/>
              </w:rPr>
            </w:pPr>
            <w:r w:rsidRPr="00991EB0">
              <w:t>Melbourne</w:t>
            </w:r>
            <w:r w:rsidR="00AF3F72">
              <w:t>,</w:t>
            </w:r>
            <w:r w:rsidRPr="00991EB0">
              <w:t xml:space="preserve"> </w:t>
            </w:r>
            <w:r w:rsidR="00910F47">
              <w:t xml:space="preserve">Australia, </w:t>
            </w:r>
            <w:r w:rsidRPr="00991EB0">
              <w:t xml:space="preserve">July 2013 </w:t>
            </w:r>
            <w:r w:rsidR="00910F47">
              <w:br/>
            </w:r>
            <w:r w:rsidRPr="00991EB0">
              <w:t>(1 paper)</w:t>
            </w:r>
          </w:p>
        </w:tc>
      </w:tr>
      <w:tr w:rsidR="00027111" w:rsidRPr="00602479" w:rsidTr="00027111">
        <w:tc>
          <w:tcPr>
            <w:tcW w:w="4786" w:type="dxa"/>
          </w:tcPr>
          <w:p w:rsidR="00027111" w:rsidRPr="00602479" w:rsidRDefault="00027111" w:rsidP="00027111">
            <w:pPr>
              <w:pStyle w:val="table1"/>
              <w:rPr>
                <w:highlight w:val="yellow"/>
              </w:rPr>
            </w:pPr>
            <w:r w:rsidRPr="00602479">
              <w:t>17</w:t>
            </w:r>
            <w:r w:rsidRPr="00602479">
              <w:rPr>
                <w:vertAlign w:val="superscript"/>
              </w:rPr>
              <w:t>th</w:t>
            </w:r>
            <w:r w:rsidRPr="00602479">
              <w:t xml:space="preserve"> Radiochemical Conference</w:t>
            </w:r>
          </w:p>
        </w:tc>
        <w:tc>
          <w:tcPr>
            <w:tcW w:w="2977" w:type="dxa"/>
          </w:tcPr>
          <w:p w:rsidR="00027111" w:rsidRPr="00602479" w:rsidDel="00743F4A" w:rsidRDefault="00027111" w:rsidP="00027111">
            <w:pPr>
              <w:pStyle w:val="table1"/>
              <w:rPr>
                <w:highlight w:val="yellow"/>
              </w:rPr>
            </w:pPr>
            <w:r w:rsidRPr="00602479">
              <w:t>Mariánské Lázně, Czech Republic, May 2014 (1 paper)</w:t>
            </w:r>
          </w:p>
        </w:tc>
      </w:tr>
      <w:tr w:rsidR="00027111" w:rsidRPr="00602479" w:rsidTr="00027111">
        <w:tc>
          <w:tcPr>
            <w:tcW w:w="4786" w:type="dxa"/>
            <w:tcBorders>
              <w:bottom w:val="single" w:sz="8" w:space="0" w:color="BFBFBF" w:themeColor="background1" w:themeShade="BF"/>
            </w:tcBorders>
          </w:tcPr>
          <w:p w:rsidR="00027111" w:rsidRPr="00602479" w:rsidRDefault="00027111" w:rsidP="00027111">
            <w:pPr>
              <w:pStyle w:val="table1"/>
              <w:rPr>
                <w:highlight w:val="yellow"/>
              </w:rPr>
            </w:pPr>
            <w:r w:rsidRPr="00602479">
              <w:t>IUR International Workshop on Worldwide Harmonization of Radioecology Networks</w:t>
            </w:r>
          </w:p>
        </w:tc>
        <w:tc>
          <w:tcPr>
            <w:tcW w:w="2977" w:type="dxa"/>
            <w:tcBorders>
              <w:bottom w:val="single" w:sz="8" w:space="0" w:color="BFBFBF" w:themeColor="background1" w:themeShade="BF"/>
            </w:tcBorders>
          </w:tcPr>
          <w:p w:rsidR="00027111" w:rsidRPr="00602479" w:rsidDel="00743F4A" w:rsidRDefault="00027111" w:rsidP="00027111">
            <w:pPr>
              <w:pStyle w:val="table1"/>
              <w:rPr>
                <w:highlight w:val="yellow"/>
              </w:rPr>
            </w:pPr>
            <w:r>
              <w:t>La Baume, Aix-en-</w:t>
            </w:r>
            <w:r w:rsidRPr="00602479">
              <w:t>Provence, France, June 2014 (1 paper)</w:t>
            </w:r>
          </w:p>
        </w:tc>
      </w:tr>
    </w:tbl>
    <w:p w:rsidR="00027111" w:rsidRDefault="00027111" w:rsidP="005558E1">
      <w:pPr>
        <w:rPr>
          <w:spacing w:val="-2"/>
          <w:lang w:eastAsia="en-AU"/>
        </w:rPr>
      </w:pPr>
    </w:p>
    <w:p w:rsidR="00027111" w:rsidRPr="006271EC" w:rsidRDefault="00027111" w:rsidP="00027111">
      <w:r w:rsidRPr="006271EC">
        <w:t xml:space="preserve">Participation in international events allows staff to share their knowledge and expertise with peers and maintain awareness of international best practice in relevant areas. Participation is also seen as important in ensuring </w:t>
      </w:r>
      <w:proofErr w:type="gramStart"/>
      <w:r w:rsidRPr="006271EC">
        <w:t>SSD  maintains</w:t>
      </w:r>
      <w:proofErr w:type="gramEnd"/>
      <w:r w:rsidRPr="006271EC">
        <w:t xml:space="preserve"> its profile as a part of the broader scientific and technical community.</w:t>
      </w:r>
    </w:p>
    <w:p w:rsidR="00027111" w:rsidRDefault="00027111" w:rsidP="00027111">
      <w:pPr>
        <w:rPr>
          <w:spacing w:val="-2"/>
          <w:lang w:eastAsia="en-AU"/>
        </w:rPr>
        <w:sectPr w:rsidR="00027111" w:rsidSect="008639D6">
          <w:headerReference w:type="even" r:id="rId134"/>
          <w:headerReference w:type="default" r:id="rId135"/>
          <w:headerReference w:type="first" r:id="rId136"/>
          <w:pgSz w:w="10325" w:h="14573"/>
          <w:pgMar w:top="1440" w:right="1440" w:bottom="1440" w:left="1440" w:header="720" w:footer="720" w:gutter="0"/>
          <w:cols w:space="720"/>
          <w:titlePg/>
        </w:sectPr>
      </w:pPr>
      <w:r w:rsidRPr="00B0416B">
        <w:rPr>
          <w:spacing w:val="-2"/>
          <w:lang w:eastAsia="en-AU"/>
        </w:rPr>
        <w:t xml:space="preserve">SSD hosts researchers and visitors from other organisations to undertake collaborative funded projects, for sabbatical periods, or to present seminars or training workshops </w:t>
      </w:r>
      <w:r w:rsidR="00812890">
        <w:rPr>
          <w:spacing w:val="-2"/>
          <w:lang w:eastAsia="en-AU"/>
        </w:rPr>
        <w:t>(Table 6.2</w:t>
      </w:r>
      <w:r w:rsidRPr="005C59BE">
        <w:rPr>
          <w:spacing w:val="-2"/>
          <w:lang w:eastAsia="en-AU"/>
        </w:rPr>
        <w:t>).</w:t>
      </w:r>
    </w:p>
    <w:tbl>
      <w:tblPr>
        <w:tblW w:w="7563" w:type="dxa"/>
        <w:tblInd w:w="-118" w:type="dxa"/>
        <w:tblBorders>
          <w:bottom w:val="single" w:sz="6" w:space="0" w:color="C0C0C0"/>
          <w:insideV w:val="single" w:sz="6" w:space="0" w:color="C0C0C0"/>
        </w:tblBorders>
        <w:tblLayout w:type="fixed"/>
        <w:tblCellMar>
          <w:left w:w="0" w:type="dxa"/>
          <w:right w:w="0" w:type="dxa"/>
        </w:tblCellMar>
        <w:tblLook w:val="0000"/>
      </w:tblPr>
      <w:tblGrid>
        <w:gridCol w:w="4095"/>
        <w:gridCol w:w="2291"/>
        <w:gridCol w:w="1177"/>
      </w:tblGrid>
      <w:tr w:rsidR="00AE1C0F" w:rsidRPr="009D0EBF" w:rsidTr="00910F47">
        <w:tc>
          <w:tcPr>
            <w:tcW w:w="7563" w:type="dxa"/>
            <w:gridSpan w:val="3"/>
            <w:tcBorders>
              <w:bottom w:val="nil"/>
            </w:tcBorders>
            <w:shd w:val="clear" w:color="auto" w:fill="D9D9D9"/>
          </w:tcPr>
          <w:p w:rsidR="00AE1C0F" w:rsidRPr="009D0EBF" w:rsidRDefault="00B6420A" w:rsidP="00AE1C0F">
            <w:pPr>
              <w:pStyle w:val="tablecaption"/>
              <w:rPr>
                <w:lang w:val="en-US"/>
              </w:rPr>
            </w:pPr>
            <w:bookmarkStart w:id="282" w:name="_Toc272849733"/>
            <w:r>
              <w:rPr>
                <w:lang w:val="en-US"/>
              </w:rPr>
              <w:t>Table 6.2</w:t>
            </w:r>
            <w:r w:rsidR="00AE1C0F" w:rsidRPr="009D0EBF">
              <w:rPr>
                <w:lang w:val="en-US"/>
              </w:rPr>
              <w:t xml:space="preserve">  Rese</w:t>
            </w:r>
            <w:r>
              <w:rPr>
                <w:lang w:val="en-US"/>
              </w:rPr>
              <w:t>archers and other visitors, 2013</w:t>
            </w:r>
            <w:r w:rsidR="00AE1C0F" w:rsidRPr="009D0EBF">
              <w:rPr>
                <w:lang w:val="en-US"/>
              </w:rPr>
              <w:t>–</w:t>
            </w:r>
            <w:bookmarkEnd w:id="282"/>
            <w:r>
              <w:rPr>
                <w:lang w:val="en-US"/>
              </w:rPr>
              <w:t>14</w:t>
            </w:r>
          </w:p>
        </w:tc>
      </w:tr>
      <w:tr w:rsidR="00AE1C0F" w:rsidRPr="009D0EBF" w:rsidTr="00910F47">
        <w:tc>
          <w:tcPr>
            <w:tcW w:w="4095" w:type="dxa"/>
            <w:tcBorders>
              <w:bottom w:val="single" w:sz="8" w:space="0" w:color="C0C0C0"/>
              <w:right w:val="nil"/>
            </w:tcBorders>
          </w:tcPr>
          <w:p w:rsidR="00AE1C0F" w:rsidRPr="009D0EBF" w:rsidRDefault="00AE1C0F" w:rsidP="00AE1C0F">
            <w:pPr>
              <w:pStyle w:val="table1"/>
              <w:ind w:right="288"/>
              <w:rPr>
                <w:rFonts w:cs="Arial"/>
                <w:b/>
                <w:bCs/>
                <w:spacing w:val="-2"/>
                <w:lang w:val="en-US"/>
              </w:rPr>
            </w:pPr>
            <w:r w:rsidRPr="009D0EBF">
              <w:rPr>
                <w:rFonts w:cs="Arial"/>
                <w:b/>
                <w:bCs/>
                <w:spacing w:val="-2"/>
                <w:lang w:val="en-US"/>
              </w:rPr>
              <w:t>Activity</w:t>
            </w:r>
          </w:p>
        </w:tc>
        <w:tc>
          <w:tcPr>
            <w:tcW w:w="2291" w:type="dxa"/>
            <w:tcBorders>
              <w:left w:val="nil"/>
              <w:bottom w:val="single" w:sz="8" w:space="0" w:color="C0C0C0"/>
              <w:right w:val="nil"/>
            </w:tcBorders>
          </w:tcPr>
          <w:p w:rsidR="00AE1C0F" w:rsidRPr="009D0EBF" w:rsidRDefault="00AE1C0F" w:rsidP="00AE1C0F">
            <w:pPr>
              <w:pStyle w:val="table1"/>
              <w:rPr>
                <w:b/>
                <w:bCs/>
                <w:lang w:val="en-US"/>
              </w:rPr>
            </w:pPr>
            <w:r w:rsidRPr="009D0EBF">
              <w:rPr>
                <w:b/>
                <w:bCs/>
                <w:lang w:val="en-US"/>
              </w:rPr>
              <w:t>Visitor/organisation</w:t>
            </w:r>
          </w:p>
        </w:tc>
        <w:tc>
          <w:tcPr>
            <w:tcW w:w="1177" w:type="dxa"/>
            <w:tcBorders>
              <w:left w:val="nil"/>
              <w:bottom w:val="single" w:sz="8" w:space="0" w:color="C0C0C0"/>
            </w:tcBorders>
          </w:tcPr>
          <w:p w:rsidR="00AE1C0F" w:rsidRPr="009D0EBF" w:rsidRDefault="00AE1C0F" w:rsidP="00AE1C0F">
            <w:pPr>
              <w:pStyle w:val="table1"/>
              <w:rPr>
                <w:b/>
                <w:bCs/>
                <w:lang w:val="en-US"/>
              </w:rPr>
            </w:pPr>
            <w:r w:rsidRPr="009D0EBF">
              <w:rPr>
                <w:b/>
                <w:bCs/>
                <w:lang w:val="en-US"/>
              </w:rPr>
              <w:t>Date</w:t>
            </w:r>
          </w:p>
        </w:tc>
      </w:tr>
      <w:tr w:rsidR="00AE1C0F" w:rsidRPr="009D0EBF" w:rsidTr="00910F47">
        <w:tc>
          <w:tcPr>
            <w:tcW w:w="4095" w:type="dxa"/>
            <w:tcBorders>
              <w:top w:val="single" w:sz="8" w:space="0" w:color="C0C0C0"/>
              <w:bottom w:val="nil"/>
              <w:right w:val="nil"/>
            </w:tcBorders>
          </w:tcPr>
          <w:p w:rsidR="00AE1C0F" w:rsidRPr="00353D96" w:rsidRDefault="00AE1C0F" w:rsidP="00AE1C0F">
            <w:pPr>
              <w:pStyle w:val="table1"/>
              <w:ind w:right="284"/>
              <w:rPr>
                <w:rFonts w:cs="Arial"/>
                <w:b/>
                <w:lang w:eastAsia="en-AU"/>
              </w:rPr>
            </w:pPr>
            <w:r w:rsidRPr="00602479">
              <w:t>Riparian vegetation assessment on Gulungul Creek</w:t>
            </w:r>
            <w:r>
              <w:t>.</w:t>
            </w:r>
          </w:p>
        </w:tc>
        <w:tc>
          <w:tcPr>
            <w:tcW w:w="2291" w:type="dxa"/>
            <w:tcBorders>
              <w:top w:val="single" w:sz="8" w:space="0" w:color="C0C0C0"/>
              <w:left w:val="nil"/>
              <w:bottom w:val="nil"/>
              <w:right w:val="nil"/>
            </w:tcBorders>
          </w:tcPr>
          <w:p w:rsidR="00AE1C0F" w:rsidRPr="009D0EBF" w:rsidRDefault="00AE1C0F" w:rsidP="00AE1C0F">
            <w:pPr>
              <w:pStyle w:val="table1"/>
              <w:rPr>
                <w:rFonts w:cs="Arial"/>
                <w:lang w:eastAsia="en-AU"/>
              </w:rPr>
            </w:pPr>
            <w:r w:rsidRPr="00602479">
              <w:t xml:space="preserve">Dr Anita Chalmers, </w:t>
            </w:r>
            <w:r>
              <w:br/>
            </w:r>
            <w:r w:rsidRPr="00602479">
              <w:t>The University of Newcastle</w:t>
            </w:r>
            <w:r w:rsidR="00722400">
              <w:t>, NSW</w:t>
            </w:r>
          </w:p>
        </w:tc>
        <w:tc>
          <w:tcPr>
            <w:tcW w:w="1177" w:type="dxa"/>
            <w:tcBorders>
              <w:top w:val="single" w:sz="8" w:space="0" w:color="C0C0C0"/>
              <w:left w:val="nil"/>
              <w:bottom w:val="nil"/>
            </w:tcBorders>
          </w:tcPr>
          <w:p w:rsidR="00AE1C0F" w:rsidRPr="009D0EBF" w:rsidRDefault="00AE1C0F" w:rsidP="00722400">
            <w:pPr>
              <w:pStyle w:val="table1"/>
              <w:rPr>
                <w:rFonts w:cs="Arial"/>
                <w:spacing w:val="-2"/>
                <w:lang w:eastAsia="en-AU"/>
              </w:rPr>
            </w:pPr>
            <w:r>
              <w:t>15–</w:t>
            </w:r>
            <w:r w:rsidRPr="00602479">
              <w:t>29 June 2014</w:t>
            </w:r>
          </w:p>
        </w:tc>
      </w:tr>
      <w:tr w:rsidR="00AE1C0F" w:rsidRPr="009D0EBF" w:rsidTr="00910F47">
        <w:tc>
          <w:tcPr>
            <w:tcW w:w="4095" w:type="dxa"/>
            <w:tcBorders>
              <w:bottom w:val="nil"/>
              <w:right w:val="nil"/>
            </w:tcBorders>
          </w:tcPr>
          <w:p w:rsidR="00AE1C0F" w:rsidRPr="009D0EBF" w:rsidRDefault="00AE1C0F" w:rsidP="00AE1C0F">
            <w:pPr>
              <w:pStyle w:val="table1"/>
              <w:ind w:right="284"/>
            </w:pPr>
            <w:r w:rsidRPr="0091134D">
              <w:t>Annual data collection and survey of erosion points at Tin Camp Creek for erosion monitoring</w:t>
            </w:r>
            <w:r>
              <w:t>.</w:t>
            </w:r>
          </w:p>
        </w:tc>
        <w:tc>
          <w:tcPr>
            <w:tcW w:w="2291" w:type="dxa"/>
            <w:tcBorders>
              <w:left w:val="nil"/>
              <w:bottom w:val="nil"/>
              <w:right w:val="nil"/>
            </w:tcBorders>
          </w:tcPr>
          <w:p w:rsidR="00AE1C0F" w:rsidRPr="009D0EBF" w:rsidRDefault="00AE1C0F" w:rsidP="00AE1C0F">
            <w:pPr>
              <w:pStyle w:val="table1"/>
              <w:rPr>
                <w:lang w:eastAsia="en-AU"/>
              </w:rPr>
            </w:pPr>
            <w:r w:rsidRPr="0091134D">
              <w:t>Associate Professor Greg Hancock, The University of Newcastle</w:t>
            </w:r>
            <w:r w:rsidR="00722400">
              <w:t>,</w:t>
            </w:r>
            <w:r w:rsidRPr="0091134D">
              <w:t xml:space="preserve"> NSW</w:t>
            </w:r>
          </w:p>
        </w:tc>
        <w:tc>
          <w:tcPr>
            <w:tcW w:w="1177" w:type="dxa"/>
            <w:tcBorders>
              <w:left w:val="nil"/>
              <w:bottom w:val="nil"/>
            </w:tcBorders>
          </w:tcPr>
          <w:p w:rsidR="00AE1C0F" w:rsidRPr="009D0EBF" w:rsidRDefault="00AE1C0F" w:rsidP="00722400">
            <w:pPr>
              <w:pStyle w:val="table1"/>
              <w:rPr>
                <w:lang w:eastAsia="en-AU"/>
              </w:rPr>
            </w:pPr>
            <w:r w:rsidRPr="0091134D">
              <w:t>16–19 June 2014</w:t>
            </w:r>
          </w:p>
        </w:tc>
      </w:tr>
      <w:tr w:rsidR="00AE1C0F" w:rsidRPr="009D0EBF" w:rsidTr="00910F47">
        <w:tc>
          <w:tcPr>
            <w:tcW w:w="4095" w:type="dxa"/>
            <w:tcBorders>
              <w:bottom w:val="nil"/>
              <w:right w:val="nil"/>
            </w:tcBorders>
          </w:tcPr>
          <w:p w:rsidR="00AE1C0F" w:rsidRPr="009D0EBF" w:rsidRDefault="00AE1C0F" w:rsidP="00AE1C0F">
            <w:pPr>
              <w:pStyle w:val="table1"/>
              <w:ind w:right="284"/>
              <w:rPr>
                <w:rFonts w:cs="Arial"/>
                <w:lang w:eastAsia="en-AU"/>
              </w:rPr>
            </w:pPr>
            <w:r>
              <w:t>Work on the role of vegetation in stabilising channel islands in Gulungul Creek.</w:t>
            </w:r>
          </w:p>
        </w:tc>
        <w:tc>
          <w:tcPr>
            <w:tcW w:w="2291" w:type="dxa"/>
            <w:tcBorders>
              <w:left w:val="nil"/>
              <w:bottom w:val="nil"/>
              <w:right w:val="nil"/>
            </w:tcBorders>
          </w:tcPr>
          <w:p w:rsidR="00AE1C0F" w:rsidRPr="009D0EBF" w:rsidRDefault="00AE1C0F" w:rsidP="00AE1C0F">
            <w:pPr>
              <w:pStyle w:val="table1"/>
              <w:rPr>
                <w:rFonts w:cs="Arial"/>
                <w:lang w:eastAsia="en-AU"/>
              </w:rPr>
            </w:pPr>
            <w:r w:rsidRPr="00361522">
              <w:rPr>
                <w:rFonts w:cs="Arial"/>
                <w:szCs w:val="16"/>
              </w:rPr>
              <w:t>Dr Anita Chalme</w:t>
            </w:r>
            <w:r>
              <w:rPr>
                <w:rFonts w:cs="Arial"/>
                <w:szCs w:val="16"/>
              </w:rPr>
              <w:t>rs, T</w:t>
            </w:r>
            <w:r w:rsidRPr="00361522">
              <w:rPr>
                <w:rFonts w:cs="Arial"/>
                <w:szCs w:val="16"/>
              </w:rPr>
              <w:t>he University of Newcastle</w:t>
            </w:r>
            <w:r w:rsidR="00722400">
              <w:rPr>
                <w:rFonts w:cs="Arial"/>
                <w:szCs w:val="16"/>
              </w:rPr>
              <w:t>, NSW</w:t>
            </w:r>
          </w:p>
        </w:tc>
        <w:tc>
          <w:tcPr>
            <w:tcW w:w="1177" w:type="dxa"/>
            <w:tcBorders>
              <w:left w:val="nil"/>
              <w:bottom w:val="nil"/>
            </w:tcBorders>
          </w:tcPr>
          <w:p w:rsidR="00AE1C0F" w:rsidRPr="009D0EBF" w:rsidRDefault="004451A6" w:rsidP="00722400">
            <w:pPr>
              <w:pStyle w:val="table1"/>
              <w:rPr>
                <w:rFonts w:cs="Arial"/>
                <w:spacing w:val="-2"/>
                <w:lang w:eastAsia="en-AU"/>
              </w:rPr>
            </w:pPr>
            <w:r>
              <w:t>1–</w:t>
            </w:r>
            <w:r w:rsidR="00B6420A">
              <w:t>16 June 2014</w:t>
            </w:r>
          </w:p>
        </w:tc>
      </w:tr>
      <w:tr w:rsidR="00B6420A" w:rsidRPr="009D0EBF" w:rsidTr="00910F47">
        <w:tc>
          <w:tcPr>
            <w:tcW w:w="4095" w:type="dxa"/>
            <w:tcBorders>
              <w:bottom w:val="nil"/>
              <w:right w:val="nil"/>
            </w:tcBorders>
          </w:tcPr>
          <w:p w:rsidR="00B6420A" w:rsidRDefault="00B6420A" w:rsidP="00AE1C0F">
            <w:pPr>
              <w:pStyle w:val="table1"/>
              <w:ind w:right="284"/>
            </w:pPr>
            <w:r w:rsidRPr="0091134D">
              <w:t>Collaboration on long-term modelling of a conceptual rehabilitated Ranger mine landform for 10,000 years. Updating and enhancement of the CAESAR model to incorporate weathering and soil development. Presentation to staff.</w:t>
            </w:r>
          </w:p>
        </w:tc>
        <w:tc>
          <w:tcPr>
            <w:tcW w:w="2291" w:type="dxa"/>
            <w:tcBorders>
              <w:left w:val="nil"/>
              <w:bottom w:val="nil"/>
              <w:right w:val="nil"/>
            </w:tcBorders>
          </w:tcPr>
          <w:p w:rsidR="00B6420A" w:rsidRPr="00361522" w:rsidRDefault="00B6420A" w:rsidP="00AE1C0F">
            <w:pPr>
              <w:pStyle w:val="table1"/>
              <w:rPr>
                <w:rFonts w:cs="Arial"/>
                <w:szCs w:val="16"/>
              </w:rPr>
            </w:pPr>
            <w:r w:rsidRPr="0091134D">
              <w:rPr>
                <w:szCs w:val="16"/>
              </w:rPr>
              <w:t xml:space="preserve">Professor Tom Coulthard, </w:t>
            </w:r>
            <w:r w:rsidRPr="0091134D">
              <w:rPr>
                <w:szCs w:val="16"/>
              </w:rPr>
              <w:br/>
              <w:t>University of Hull</w:t>
            </w:r>
            <w:r w:rsidR="00722400">
              <w:rPr>
                <w:szCs w:val="16"/>
              </w:rPr>
              <w:t>, UK</w:t>
            </w:r>
          </w:p>
        </w:tc>
        <w:tc>
          <w:tcPr>
            <w:tcW w:w="1177" w:type="dxa"/>
            <w:tcBorders>
              <w:left w:val="nil"/>
              <w:bottom w:val="nil"/>
            </w:tcBorders>
          </w:tcPr>
          <w:p w:rsidR="00B6420A" w:rsidRDefault="00B6420A" w:rsidP="00722400">
            <w:pPr>
              <w:pStyle w:val="table1"/>
              <w:rPr>
                <w:rFonts w:cs="Arial"/>
                <w:lang w:eastAsia="en-AU"/>
              </w:rPr>
            </w:pPr>
            <w:r w:rsidRPr="0091134D">
              <w:t xml:space="preserve">25 May – </w:t>
            </w:r>
            <w:r w:rsidRPr="0091134D">
              <w:br/>
              <w:t>4 June 2014</w:t>
            </w:r>
          </w:p>
        </w:tc>
      </w:tr>
      <w:tr w:rsidR="00B6420A" w:rsidRPr="009D0EBF" w:rsidTr="00910F47">
        <w:tc>
          <w:tcPr>
            <w:tcW w:w="4095" w:type="dxa"/>
            <w:tcBorders>
              <w:bottom w:val="nil"/>
              <w:right w:val="nil"/>
            </w:tcBorders>
          </w:tcPr>
          <w:p w:rsidR="00B6420A" w:rsidRDefault="00B6420A" w:rsidP="00AE1C0F">
            <w:pPr>
              <w:pStyle w:val="table1"/>
              <w:ind w:right="284"/>
            </w:pPr>
            <w:r>
              <w:t>D</w:t>
            </w:r>
            <w:r w:rsidRPr="0091134D">
              <w:t>iscussion on the colla</w:t>
            </w:r>
            <w:r>
              <w:t xml:space="preserve">boration on long-term modelling </w:t>
            </w:r>
            <w:r w:rsidRPr="0091134D">
              <w:t>of a conceptual rehabilitated Ranger mine landform for 10,000 years. Presentation to staff.</w:t>
            </w:r>
          </w:p>
        </w:tc>
        <w:tc>
          <w:tcPr>
            <w:tcW w:w="2291" w:type="dxa"/>
            <w:tcBorders>
              <w:left w:val="nil"/>
              <w:bottom w:val="nil"/>
              <w:right w:val="nil"/>
            </w:tcBorders>
          </w:tcPr>
          <w:p w:rsidR="00B6420A" w:rsidRPr="00361522" w:rsidRDefault="00B6420A" w:rsidP="00AE1C0F">
            <w:pPr>
              <w:pStyle w:val="table1"/>
              <w:rPr>
                <w:rFonts w:cs="Arial"/>
                <w:szCs w:val="16"/>
              </w:rPr>
            </w:pPr>
            <w:r w:rsidRPr="0091134D">
              <w:rPr>
                <w:szCs w:val="16"/>
              </w:rPr>
              <w:t>Associate Professor Greg Hancock, The University of Newcastle</w:t>
            </w:r>
            <w:r w:rsidR="00722400">
              <w:rPr>
                <w:szCs w:val="16"/>
              </w:rPr>
              <w:t>,</w:t>
            </w:r>
            <w:r w:rsidRPr="0091134D">
              <w:rPr>
                <w:szCs w:val="16"/>
              </w:rPr>
              <w:t xml:space="preserve"> NSW</w:t>
            </w:r>
          </w:p>
        </w:tc>
        <w:tc>
          <w:tcPr>
            <w:tcW w:w="1177" w:type="dxa"/>
            <w:tcBorders>
              <w:left w:val="nil"/>
              <w:bottom w:val="nil"/>
            </w:tcBorders>
          </w:tcPr>
          <w:p w:rsidR="00B6420A" w:rsidRDefault="00B6420A" w:rsidP="00722400">
            <w:pPr>
              <w:pStyle w:val="table1"/>
              <w:rPr>
                <w:rFonts w:cs="Arial"/>
                <w:lang w:eastAsia="en-AU"/>
              </w:rPr>
            </w:pPr>
            <w:r w:rsidRPr="0091134D">
              <w:t>28–2 May 2014</w:t>
            </w:r>
          </w:p>
        </w:tc>
      </w:tr>
      <w:tr w:rsidR="00B6420A" w:rsidRPr="009D0EBF" w:rsidTr="00910F47">
        <w:tc>
          <w:tcPr>
            <w:tcW w:w="4095" w:type="dxa"/>
            <w:tcBorders>
              <w:top w:val="nil"/>
              <w:bottom w:val="nil"/>
              <w:right w:val="nil"/>
            </w:tcBorders>
          </w:tcPr>
          <w:p w:rsidR="00B6420A" w:rsidRDefault="00B6420A" w:rsidP="00AE1C0F">
            <w:pPr>
              <w:pStyle w:val="table1"/>
              <w:ind w:right="284"/>
            </w:pPr>
            <w:r>
              <w:t>Swampfox UAS delivery and training.</w:t>
            </w:r>
          </w:p>
        </w:tc>
        <w:tc>
          <w:tcPr>
            <w:tcW w:w="2291" w:type="dxa"/>
            <w:tcBorders>
              <w:top w:val="nil"/>
              <w:left w:val="nil"/>
              <w:bottom w:val="nil"/>
              <w:right w:val="nil"/>
            </w:tcBorders>
          </w:tcPr>
          <w:p w:rsidR="00B6420A" w:rsidRPr="00361522" w:rsidRDefault="00B6420A" w:rsidP="00AE1C0F">
            <w:pPr>
              <w:pStyle w:val="table1"/>
              <w:rPr>
                <w:rFonts w:cs="Arial"/>
                <w:szCs w:val="16"/>
              </w:rPr>
            </w:pPr>
            <w:r w:rsidRPr="00361522">
              <w:rPr>
                <w:rFonts w:cs="Arial"/>
                <w:szCs w:val="16"/>
              </w:rPr>
              <w:t>Lew Woods, Skycam</w:t>
            </w:r>
            <w:r w:rsidR="00722400">
              <w:rPr>
                <w:rFonts w:cs="Arial"/>
                <w:szCs w:val="16"/>
              </w:rPr>
              <w:t>,</w:t>
            </w:r>
            <w:r w:rsidRPr="00361522">
              <w:rPr>
                <w:rFonts w:cs="Arial"/>
                <w:szCs w:val="16"/>
              </w:rPr>
              <w:t xml:space="preserve"> NZ</w:t>
            </w:r>
          </w:p>
        </w:tc>
        <w:tc>
          <w:tcPr>
            <w:tcW w:w="1177" w:type="dxa"/>
            <w:tcBorders>
              <w:top w:val="nil"/>
              <w:left w:val="nil"/>
              <w:bottom w:val="nil"/>
            </w:tcBorders>
          </w:tcPr>
          <w:p w:rsidR="00B6420A" w:rsidRDefault="00B6420A" w:rsidP="00722400">
            <w:pPr>
              <w:pStyle w:val="table1"/>
              <w:rPr>
                <w:rFonts w:cs="Arial"/>
                <w:lang w:eastAsia="en-AU"/>
              </w:rPr>
            </w:pPr>
            <w:r>
              <w:t xml:space="preserve">28 April – </w:t>
            </w:r>
            <w:r>
              <w:br/>
              <w:t>2 May 2014</w:t>
            </w:r>
          </w:p>
        </w:tc>
      </w:tr>
      <w:tr w:rsidR="00B6420A" w:rsidRPr="009D0EBF" w:rsidTr="00910F47">
        <w:tc>
          <w:tcPr>
            <w:tcW w:w="4095" w:type="dxa"/>
            <w:tcBorders>
              <w:bottom w:val="nil"/>
              <w:right w:val="nil"/>
            </w:tcBorders>
          </w:tcPr>
          <w:p w:rsidR="00B6420A" w:rsidRDefault="00B6420A" w:rsidP="00AE1C0F">
            <w:pPr>
              <w:pStyle w:val="table1"/>
              <w:ind w:right="284"/>
            </w:pPr>
            <w:r w:rsidRPr="0091134D">
              <w:t>Discussion on the collaboration on long-term modelling of a conceptual rehabilitated Ranger mine landform for 10,000 years.</w:t>
            </w:r>
          </w:p>
        </w:tc>
        <w:tc>
          <w:tcPr>
            <w:tcW w:w="2291" w:type="dxa"/>
            <w:tcBorders>
              <w:left w:val="nil"/>
              <w:bottom w:val="nil"/>
              <w:right w:val="nil"/>
            </w:tcBorders>
          </w:tcPr>
          <w:p w:rsidR="00B6420A" w:rsidRPr="00361522" w:rsidRDefault="00B6420A" w:rsidP="00AE1C0F">
            <w:pPr>
              <w:pStyle w:val="table1"/>
              <w:rPr>
                <w:rFonts w:cs="Arial"/>
                <w:szCs w:val="16"/>
              </w:rPr>
            </w:pPr>
            <w:r w:rsidRPr="0091134D">
              <w:rPr>
                <w:szCs w:val="16"/>
              </w:rPr>
              <w:t>Associate Professor Greg Hancock, The University of Newcastle</w:t>
            </w:r>
            <w:r w:rsidR="00722400">
              <w:rPr>
                <w:szCs w:val="16"/>
              </w:rPr>
              <w:t>,</w:t>
            </w:r>
            <w:r w:rsidRPr="0091134D">
              <w:rPr>
                <w:szCs w:val="16"/>
              </w:rPr>
              <w:t xml:space="preserve"> NSW</w:t>
            </w:r>
          </w:p>
        </w:tc>
        <w:tc>
          <w:tcPr>
            <w:tcW w:w="1177" w:type="dxa"/>
            <w:tcBorders>
              <w:left w:val="nil"/>
              <w:bottom w:val="nil"/>
            </w:tcBorders>
          </w:tcPr>
          <w:p w:rsidR="00B6420A" w:rsidRDefault="00B6420A" w:rsidP="00722400">
            <w:pPr>
              <w:pStyle w:val="table1"/>
              <w:rPr>
                <w:rFonts w:cs="Arial"/>
                <w:lang w:eastAsia="en-AU"/>
              </w:rPr>
            </w:pPr>
            <w:r w:rsidRPr="0091134D">
              <w:t>10–14 February 2014</w:t>
            </w:r>
          </w:p>
        </w:tc>
      </w:tr>
      <w:tr w:rsidR="00B6420A" w:rsidRPr="009D0EBF" w:rsidTr="00910F47">
        <w:tc>
          <w:tcPr>
            <w:tcW w:w="4095" w:type="dxa"/>
            <w:tcBorders>
              <w:bottom w:val="nil"/>
              <w:right w:val="nil"/>
            </w:tcBorders>
          </w:tcPr>
          <w:p w:rsidR="00B6420A" w:rsidRDefault="00B6420A" w:rsidP="00AE1C0F">
            <w:pPr>
              <w:pStyle w:val="table1"/>
              <w:ind w:right="284"/>
            </w:pPr>
            <w:r>
              <w:t>Unmanned Aerial System (UAS) tests at Kakadu.</w:t>
            </w:r>
          </w:p>
        </w:tc>
        <w:tc>
          <w:tcPr>
            <w:tcW w:w="2291" w:type="dxa"/>
            <w:tcBorders>
              <w:left w:val="nil"/>
              <w:bottom w:val="nil"/>
              <w:right w:val="nil"/>
            </w:tcBorders>
          </w:tcPr>
          <w:p w:rsidR="00B6420A" w:rsidRPr="00361522" w:rsidRDefault="00B6420A" w:rsidP="00AE1C0F">
            <w:pPr>
              <w:pStyle w:val="table1"/>
              <w:rPr>
                <w:rFonts w:cs="Arial"/>
                <w:szCs w:val="16"/>
              </w:rPr>
            </w:pPr>
            <w:r w:rsidRPr="00361522">
              <w:rPr>
                <w:rFonts w:cs="Arial"/>
                <w:szCs w:val="16"/>
              </w:rPr>
              <w:t>Dr Peter Erskine, Dr Andrew Fletcher, Ashray Doshi, Centre for Mined Land Rehabilitation, University of Queensland</w:t>
            </w:r>
            <w:r>
              <w:rPr>
                <w:rFonts w:cs="Arial"/>
                <w:szCs w:val="16"/>
              </w:rPr>
              <w:br/>
            </w:r>
            <w:r w:rsidRPr="00361522">
              <w:rPr>
                <w:rFonts w:cs="Arial"/>
                <w:szCs w:val="16"/>
              </w:rPr>
              <w:t>Lew Woods, Skycam</w:t>
            </w:r>
            <w:r w:rsidR="00722400">
              <w:rPr>
                <w:rFonts w:cs="Arial"/>
                <w:szCs w:val="16"/>
              </w:rPr>
              <w:t>,</w:t>
            </w:r>
            <w:r w:rsidRPr="00361522">
              <w:rPr>
                <w:rFonts w:cs="Arial"/>
                <w:szCs w:val="16"/>
              </w:rPr>
              <w:t xml:space="preserve"> NZ</w:t>
            </w:r>
          </w:p>
        </w:tc>
        <w:tc>
          <w:tcPr>
            <w:tcW w:w="1177" w:type="dxa"/>
            <w:tcBorders>
              <w:left w:val="nil"/>
              <w:bottom w:val="nil"/>
            </w:tcBorders>
          </w:tcPr>
          <w:p w:rsidR="00B6420A" w:rsidRDefault="00B6420A" w:rsidP="00722400">
            <w:pPr>
              <w:pStyle w:val="table1"/>
              <w:rPr>
                <w:rFonts w:cs="Arial"/>
                <w:lang w:eastAsia="en-AU"/>
              </w:rPr>
            </w:pPr>
            <w:r>
              <w:t>7–11 October 2013</w:t>
            </w:r>
          </w:p>
        </w:tc>
      </w:tr>
      <w:tr w:rsidR="00B6420A" w:rsidRPr="009D0EBF" w:rsidTr="00910F47">
        <w:tc>
          <w:tcPr>
            <w:tcW w:w="4095" w:type="dxa"/>
            <w:tcBorders>
              <w:bottom w:val="nil"/>
              <w:right w:val="nil"/>
            </w:tcBorders>
          </w:tcPr>
          <w:p w:rsidR="00B6420A" w:rsidRDefault="00B6420A" w:rsidP="00AE1C0F">
            <w:pPr>
              <w:pStyle w:val="table1"/>
              <w:ind w:right="284"/>
            </w:pPr>
            <w:r w:rsidRPr="00260DB9">
              <w:t>Collection of annual data for erosion monitoring and landfor</w:t>
            </w:r>
            <w:r w:rsidR="00EF306A">
              <w:t xml:space="preserve">m evolution modelling research </w:t>
            </w:r>
            <w:r w:rsidRPr="00260DB9">
              <w:t>(Tin Camp Creek)</w:t>
            </w:r>
            <w:r w:rsidR="00EF306A">
              <w:t>.</w:t>
            </w:r>
          </w:p>
        </w:tc>
        <w:tc>
          <w:tcPr>
            <w:tcW w:w="2291" w:type="dxa"/>
            <w:tcBorders>
              <w:left w:val="nil"/>
              <w:bottom w:val="nil"/>
              <w:right w:val="nil"/>
            </w:tcBorders>
          </w:tcPr>
          <w:p w:rsidR="00B6420A" w:rsidRPr="00361522" w:rsidRDefault="00B6420A" w:rsidP="00AE1C0F">
            <w:pPr>
              <w:pStyle w:val="table1"/>
              <w:rPr>
                <w:rFonts w:cs="Arial"/>
                <w:szCs w:val="16"/>
              </w:rPr>
            </w:pPr>
            <w:r w:rsidRPr="00361522">
              <w:rPr>
                <w:rFonts w:cs="Arial"/>
                <w:szCs w:val="16"/>
              </w:rPr>
              <w:t>Associate Professor Greg Hancock, The University of Newcastle</w:t>
            </w:r>
            <w:r w:rsidR="00722400">
              <w:rPr>
                <w:rFonts w:cs="Arial"/>
                <w:szCs w:val="16"/>
              </w:rPr>
              <w:t>,</w:t>
            </w:r>
            <w:r w:rsidRPr="00361522">
              <w:rPr>
                <w:rFonts w:cs="Arial"/>
                <w:szCs w:val="16"/>
              </w:rPr>
              <w:t xml:space="preserve"> NSW</w:t>
            </w:r>
          </w:p>
        </w:tc>
        <w:tc>
          <w:tcPr>
            <w:tcW w:w="1177" w:type="dxa"/>
            <w:tcBorders>
              <w:left w:val="nil"/>
              <w:bottom w:val="nil"/>
            </w:tcBorders>
          </w:tcPr>
          <w:p w:rsidR="00B6420A" w:rsidRDefault="00B6420A" w:rsidP="00722400">
            <w:pPr>
              <w:pStyle w:val="table1"/>
              <w:rPr>
                <w:rFonts w:cs="Arial"/>
                <w:lang w:eastAsia="en-AU"/>
              </w:rPr>
            </w:pPr>
            <w:r w:rsidRPr="00586475">
              <w:t>2</w:t>
            </w:r>
            <w:r>
              <w:t>2</w:t>
            </w:r>
            <w:r w:rsidRPr="00586475">
              <w:t>–</w:t>
            </w:r>
            <w:r>
              <w:t>26 July 2013</w:t>
            </w:r>
          </w:p>
        </w:tc>
      </w:tr>
      <w:tr w:rsidR="00B6420A" w:rsidRPr="009D0EBF" w:rsidTr="00910F47">
        <w:tc>
          <w:tcPr>
            <w:tcW w:w="4095" w:type="dxa"/>
            <w:tcBorders>
              <w:bottom w:val="nil"/>
              <w:right w:val="nil"/>
            </w:tcBorders>
          </w:tcPr>
          <w:p w:rsidR="00B6420A" w:rsidRDefault="0096358F" w:rsidP="00AE1C0F">
            <w:pPr>
              <w:pStyle w:val="table1"/>
              <w:ind w:right="284"/>
            </w:pPr>
            <w:r>
              <w:t>Development of a satellite imagery catalogue.</w:t>
            </w:r>
          </w:p>
        </w:tc>
        <w:tc>
          <w:tcPr>
            <w:tcW w:w="2291" w:type="dxa"/>
            <w:tcBorders>
              <w:left w:val="nil"/>
              <w:bottom w:val="nil"/>
              <w:right w:val="nil"/>
            </w:tcBorders>
          </w:tcPr>
          <w:p w:rsidR="00B6420A" w:rsidRPr="00361522" w:rsidRDefault="0096358F" w:rsidP="00AE1C0F">
            <w:pPr>
              <w:pStyle w:val="table1"/>
              <w:rPr>
                <w:rFonts w:cs="Arial"/>
                <w:szCs w:val="16"/>
              </w:rPr>
            </w:pPr>
            <w:r w:rsidRPr="00361522">
              <w:rPr>
                <w:rFonts w:cs="Arial"/>
                <w:szCs w:val="16"/>
              </w:rPr>
              <w:t>Javier Chen (student), Charles Darwin University</w:t>
            </w:r>
            <w:r w:rsidR="00722400">
              <w:rPr>
                <w:rFonts w:cs="Arial"/>
                <w:szCs w:val="16"/>
              </w:rPr>
              <w:t>,</w:t>
            </w:r>
            <w:r w:rsidRPr="00361522">
              <w:rPr>
                <w:rFonts w:cs="Arial"/>
                <w:szCs w:val="16"/>
              </w:rPr>
              <w:t xml:space="preserve"> NT</w:t>
            </w:r>
          </w:p>
        </w:tc>
        <w:tc>
          <w:tcPr>
            <w:tcW w:w="1177" w:type="dxa"/>
            <w:tcBorders>
              <w:left w:val="nil"/>
              <w:bottom w:val="nil"/>
            </w:tcBorders>
          </w:tcPr>
          <w:p w:rsidR="00B6420A" w:rsidRDefault="0096358F" w:rsidP="00722400">
            <w:pPr>
              <w:pStyle w:val="table1"/>
              <w:rPr>
                <w:rFonts w:cs="Arial"/>
                <w:lang w:eastAsia="en-AU"/>
              </w:rPr>
            </w:pPr>
            <w:r>
              <w:t>March - May 2013</w:t>
            </w:r>
          </w:p>
        </w:tc>
      </w:tr>
      <w:tr w:rsidR="00B6420A" w:rsidRPr="009D0EBF" w:rsidTr="00910F47">
        <w:tc>
          <w:tcPr>
            <w:tcW w:w="4095" w:type="dxa"/>
            <w:tcBorders>
              <w:bottom w:val="nil"/>
              <w:right w:val="nil"/>
            </w:tcBorders>
          </w:tcPr>
          <w:p w:rsidR="00B6420A" w:rsidRDefault="0096358F" w:rsidP="00AE1C0F">
            <w:pPr>
              <w:pStyle w:val="table1"/>
              <w:ind w:right="284"/>
            </w:pPr>
            <w:r>
              <w:t>Processing of UAS imagery.</w:t>
            </w:r>
          </w:p>
        </w:tc>
        <w:tc>
          <w:tcPr>
            <w:tcW w:w="2291" w:type="dxa"/>
            <w:tcBorders>
              <w:left w:val="nil"/>
              <w:bottom w:val="nil"/>
              <w:right w:val="nil"/>
            </w:tcBorders>
          </w:tcPr>
          <w:p w:rsidR="00B6420A" w:rsidRPr="00361522" w:rsidRDefault="0096358F" w:rsidP="00AE1C0F">
            <w:pPr>
              <w:pStyle w:val="table1"/>
              <w:rPr>
                <w:rFonts w:cs="Arial"/>
                <w:szCs w:val="16"/>
              </w:rPr>
            </w:pPr>
            <w:r w:rsidRPr="00361522">
              <w:rPr>
                <w:rFonts w:cs="Arial"/>
                <w:szCs w:val="16"/>
              </w:rPr>
              <w:t xml:space="preserve">Sandra Grant (student), </w:t>
            </w:r>
            <w:r w:rsidR="004451A6">
              <w:rPr>
                <w:rFonts w:cs="Arial"/>
                <w:szCs w:val="16"/>
              </w:rPr>
              <w:br/>
            </w:r>
            <w:r w:rsidRPr="00361522">
              <w:rPr>
                <w:rFonts w:cs="Arial"/>
                <w:szCs w:val="16"/>
              </w:rPr>
              <w:t>Charles Darwin University</w:t>
            </w:r>
            <w:r w:rsidR="00722400">
              <w:rPr>
                <w:rFonts w:cs="Arial"/>
                <w:szCs w:val="16"/>
              </w:rPr>
              <w:t>,</w:t>
            </w:r>
            <w:r w:rsidRPr="00361522">
              <w:rPr>
                <w:rFonts w:cs="Arial"/>
                <w:szCs w:val="16"/>
              </w:rPr>
              <w:t xml:space="preserve"> NT</w:t>
            </w:r>
          </w:p>
        </w:tc>
        <w:tc>
          <w:tcPr>
            <w:tcW w:w="1177" w:type="dxa"/>
            <w:tcBorders>
              <w:left w:val="nil"/>
              <w:bottom w:val="nil"/>
            </w:tcBorders>
          </w:tcPr>
          <w:p w:rsidR="00B6420A" w:rsidRDefault="0096358F" w:rsidP="00722400">
            <w:pPr>
              <w:pStyle w:val="table1"/>
              <w:rPr>
                <w:rFonts w:cs="Arial"/>
                <w:lang w:eastAsia="en-AU"/>
              </w:rPr>
            </w:pPr>
            <w:r>
              <w:t>March - May 2013</w:t>
            </w:r>
          </w:p>
        </w:tc>
      </w:tr>
      <w:tr w:rsidR="00B6420A" w:rsidRPr="009D0EBF" w:rsidTr="00910F47">
        <w:tc>
          <w:tcPr>
            <w:tcW w:w="4095" w:type="dxa"/>
            <w:tcBorders>
              <w:bottom w:val="single" w:sz="8" w:space="0" w:color="C0C0C0"/>
              <w:right w:val="nil"/>
            </w:tcBorders>
          </w:tcPr>
          <w:p w:rsidR="00B6420A" w:rsidRDefault="0096358F" w:rsidP="00AE1C0F">
            <w:pPr>
              <w:pStyle w:val="table1"/>
              <w:ind w:right="284"/>
            </w:pPr>
            <w:r w:rsidRPr="00334C57">
              <w:t>Presentations given at Coffee Break seminar series and met to discuss current and future projects</w:t>
            </w:r>
            <w:r>
              <w:t>.</w:t>
            </w:r>
          </w:p>
        </w:tc>
        <w:tc>
          <w:tcPr>
            <w:tcW w:w="2291" w:type="dxa"/>
            <w:tcBorders>
              <w:left w:val="nil"/>
              <w:bottom w:val="single" w:sz="8" w:space="0" w:color="C0C0C0"/>
              <w:right w:val="nil"/>
            </w:tcBorders>
          </w:tcPr>
          <w:p w:rsidR="00B6420A" w:rsidRPr="00361522" w:rsidRDefault="0096358F" w:rsidP="00AE1C0F">
            <w:pPr>
              <w:pStyle w:val="table1"/>
              <w:rPr>
                <w:rFonts w:cs="Arial"/>
                <w:szCs w:val="16"/>
              </w:rPr>
            </w:pPr>
            <w:r w:rsidRPr="00361522">
              <w:rPr>
                <w:rFonts w:cs="Arial"/>
                <w:szCs w:val="16"/>
              </w:rPr>
              <w:t>Dr Anthony Chariton, CSIRO and Dr Donald Baird, University of New Brunswick</w:t>
            </w:r>
            <w:r w:rsidR="00722400">
              <w:rPr>
                <w:rFonts w:cs="Arial"/>
                <w:szCs w:val="16"/>
              </w:rPr>
              <w:t>, Canada</w:t>
            </w:r>
          </w:p>
        </w:tc>
        <w:tc>
          <w:tcPr>
            <w:tcW w:w="1177" w:type="dxa"/>
            <w:tcBorders>
              <w:left w:val="nil"/>
              <w:bottom w:val="single" w:sz="8" w:space="0" w:color="C0C0C0"/>
            </w:tcBorders>
          </w:tcPr>
          <w:p w:rsidR="00B6420A" w:rsidRDefault="0096358F" w:rsidP="00722400">
            <w:pPr>
              <w:pStyle w:val="table1"/>
              <w:rPr>
                <w:rFonts w:cs="Arial"/>
                <w:lang w:eastAsia="en-AU"/>
              </w:rPr>
            </w:pPr>
            <w:r w:rsidRPr="00334C57">
              <w:t>19 March 2013</w:t>
            </w:r>
          </w:p>
        </w:tc>
      </w:tr>
    </w:tbl>
    <w:p w:rsidR="0091134D" w:rsidRDefault="0091134D" w:rsidP="0091134D">
      <w:pPr>
        <w:pStyle w:val="bulletlist1"/>
        <w:numPr>
          <w:ilvl w:val="0"/>
          <w:numId w:val="0"/>
        </w:numPr>
        <w:ind w:left="284" w:hanging="284"/>
        <w:sectPr w:rsidR="0091134D" w:rsidSect="008639D6">
          <w:headerReference w:type="first" r:id="rId137"/>
          <w:pgSz w:w="10325" w:h="14573"/>
          <w:pgMar w:top="1440" w:right="1440" w:bottom="1440" w:left="1440" w:header="720" w:footer="720" w:gutter="0"/>
          <w:cols w:space="720"/>
          <w:titlePg/>
        </w:sectPr>
      </w:pPr>
    </w:p>
    <w:p w:rsidR="00E87DED" w:rsidRDefault="00C249E5" w:rsidP="00DE799E">
      <w:pPr>
        <w:pStyle w:val="Heading1"/>
      </w:pPr>
      <w:bookmarkStart w:id="283" w:name="_Toc399928216"/>
      <w:r>
        <w:t>7</w:t>
      </w:r>
      <w:r w:rsidR="00E87DED">
        <w:tab/>
        <w:t>Administrative arrangements</w:t>
      </w:r>
      <w:bookmarkEnd w:id="283"/>
    </w:p>
    <w:p w:rsidR="00E87DED" w:rsidRDefault="00C249E5" w:rsidP="00AF57DA">
      <w:pPr>
        <w:pStyle w:val="Heading2"/>
      </w:pPr>
      <w:bookmarkStart w:id="284" w:name="_Toc399928217"/>
      <w:r>
        <w:t>7</w:t>
      </w:r>
      <w:r w:rsidR="00E87DED">
        <w:t>.1</w:t>
      </w:r>
      <w:r w:rsidR="00E87DED">
        <w:tab/>
        <w:t>Human resource management</w:t>
      </w:r>
      <w:bookmarkEnd w:id="284"/>
    </w:p>
    <w:p w:rsidR="00E87DED" w:rsidRDefault="00C249E5" w:rsidP="00116315">
      <w:pPr>
        <w:pStyle w:val="Heading3"/>
      </w:pPr>
      <w:bookmarkStart w:id="285" w:name="_Toc365635594"/>
      <w:r>
        <w:t>7</w:t>
      </w:r>
      <w:r w:rsidR="00116315">
        <w:t xml:space="preserve">.1.1 </w:t>
      </w:r>
      <w:r w:rsidR="00E87DED">
        <w:t>Supervising Scientist</w:t>
      </w:r>
      <w:bookmarkEnd w:id="285"/>
    </w:p>
    <w:p w:rsidR="00153B3B" w:rsidRDefault="00153B3B" w:rsidP="00A00BA3">
      <w:bookmarkStart w:id="286" w:name="_Toc365635595"/>
      <w:r>
        <w:t xml:space="preserve">The Supervising Scientist is a statutory position established under the </w:t>
      </w:r>
      <w:r>
        <w:rPr>
          <w:i/>
        </w:rPr>
        <w:t>Environment Protection (Alligator Rivers Region) Act 1978</w:t>
      </w:r>
      <w:r>
        <w:rPr>
          <w:iCs/>
        </w:rPr>
        <w:t>.</w:t>
      </w:r>
      <w:r>
        <w:t xml:space="preserve"> Section 8 of the Act requires that the Supervising Scientist be engaged under the </w:t>
      </w:r>
      <w:r>
        <w:rPr>
          <w:i/>
          <w:iCs/>
        </w:rPr>
        <w:t>Public Service Act 1999</w:t>
      </w:r>
      <w:r>
        <w:t>.</w:t>
      </w:r>
    </w:p>
    <w:p w:rsidR="00153B3B" w:rsidRDefault="00153B3B" w:rsidP="00A00BA3">
      <w:r>
        <w:t xml:space="preserve">Mr Richard McAllister was appointed to the position in an acting capacity in April 2013. </w:t>
      </w:r>
    </w:p>
    <w:p w:rsidR="00E87DED" w:rsidRDefault="00C249E5" w:rsidP="00116315">
      <w:pPr>
        <w:pStyle w:val="Heading3"/>
      </w:pPr>
      <w:r>
        <w:t>7</w:t>
      </w:r>
      <w:r w:rsidR="00E87DED">
        <w:t>.1.2</w:t>
      </w:r>
      <w:r w:rsidR="00E87DED">
        <w:tab/>
      </w:r>
      <w:r w:rsidR="00116315">
        <w:t xml:space="preserve"> </w:t>
      </w:r>
      <w:r w:rsidR="00E87DED">
        <w:t>Structure</w:t>
      </w:r>
      <w:bookmarkEnd w:id="286"/>
    </w:p>
    <w:p w:rsidR="00E87DED" w:rsidRDefault="001723B5" w:rsidP="00A00BA3">
      <w:r>
        <w:t>SSD</w:t>
      </w:r>
      <w:r w:rsidR="00E87DED">
        <w:t xml:space="preserve"> consists of two branches, </w:t>
      </w:r>
      <w:r w:rsidR="006359C3" w:rsidRPr="00EC7431">
        <w:rPr>
          <w:b/>
          <w:i/>
          <w:sz w:val="23"/>
          <w:szCs w:val="23"/>
        </w:rPr>
        <w:t>oss</w:t>
      </w:r>
      <w:r>
        <w:rPr>
          <w:b/>
          <w:i/>
          <w:sz w:val="26"/>
        </w:rPr>
        <w:t xml:space="preserve"> </w:t>
      </w:r>
      <w:r w:rsidR="00E87DED">
        <w:t xml:space="preserve">and </w:t>
      </w:r>
      <w:r w:rsidR="0053238E" w:rsidRPr="00EC7431">
        <w:rPr>
          <w:b/>
          <w:i/>
          <w:sz w:val="23"/>
          <w:szCs w:val="23"/>
        </w:rPr>
        <w:t>eriss</w:t>
      </w:r>
      <w:r w:rsidR="00E87DED">
        <w:t>.</w:t>
      </w:r>
    </w:p>
    <w:p w:rsidR="00153B3B" w:rsidRDefault="00F9111F" w:rsidP="00A00BA3">
      <w:r>
        <w:rPr>
          <w:noProof/>
          <w:lang w:eastAsia="en-AU"/>
        </w:rPr>
        <w:pict>
          <v:shape id="Text Box 296" o:spid="_x0000_s1033" type="#_x0000_t202" style="position:absolute;margin-left:15pt;margin-top:342.5pt;width:347.25pt;height:31.5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" stroked="f">
            <v:textbox inset="0,0,0,0">
              <w:txbxContent>
                <w:p w:rsidR="00A70C56" w:rsidRPr="008005D9" w:rsidRDefault="00A70C56" w:rsidP="008005D9">
                  <w:pPr>
                    <w:pStyle w:val="figurecaption"/>
                    <w:spacing w:before="100"/>
                  </w:pPr>
                  <w:r>
                    <w:rPr>
                      <w:b/>
                    </w:rPr>
                    <w:t>Figure 7.1</w:t>
                  </w:r>
                  <w:r>
                    <w:t xml:space="preserve">  Organisational structure of the Supervising Scientist Division (as at 30 June 2013).</w:t>
                  </w:r>
                </w:p>
              </w:txbxContent>
            </v:textbox>
            <w10:wrap type="topAndBottom"/>
          </v:shape>
        </w:pict>
      </w:r>
      <w:r w:rsidR="00056C73">
        <w:rPr>
          <w:noProof/>
          <w:lang w:eastAsia="en-AU"/>
        </w:rPr>
        <w:drawing>
          <wp:anchor distT="0" distB="0" distL="114300" distR="114300" simplePos="0" relativeHeight="251661312" behindDoc="0" locked="0" layoutInCell="1" allowOverlap="1">
            <wp:simplePos x="0" y="0"/>
            <wp:positionH relativeFrom="column">
              <wp:posOffset>419100</wp:posOffset>
            </wp:positionH>
            <wp:positionV relativeFrom="paragraph">
              <wp:posOffset>53975</wp:posOffset>
            </wp:positionV>
            <wp:extent cx="4048125" cy="4229100"/>
            <wp:effectExtent l="19050" t="0" r="9525" b="0"/>
            <wp:wrapTopAndBottom/>
            <wp:docPr id="53" name="Picture 52" descr="2013-2014 SSD Organisational Structure Annual Report.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013-2014 SSD Organisational Structure Annual Report.gif"/>
                    <pic:cNvPicPr/>
                  </pic:nvPicPr>
                  <pic:blipFill>
                    <a:blip r:embed="rId138" cstate="screen"/>
                    <a:stretch>
                      <a:fillRect/>
                    </a:stretch>
                  </pic:blipFill>
                  <pic:spPr>
                    <a:xfrm>
                      <a:off x="0" y="0"/>
                      <a:ext cx="4048125" cy="4229100"/>
                    </a:xfrm>
                    <a:prstGeom prst="rect">
                      <a:avLst/>
                    </a:prstGeom>
                  </pic:spPr>
                </pic:pic>
              </a:graphicData>
            </a:graphic>
          </wp:anchor>
        </w:drawing>
      </w:r>
    </w:p>
    <w:p w:rsidR="00153B3B" w:rsidRDefault="00153B3B" w:rsidP="00A00BA3">
      <w:r>
        <w:t xml:space="preserve">The </w:t>
      </w:r>
      <w:r w:rsidR="00A5352C" w:rsidRPr="00A5352C">
        <w:rPr>
          <w:b/>
          <w:i/>
          <w:sz w:val="23"/>
          <w:szCs w:val="23"/>
        </w:rPr>
        <w:t>oss</w:t>
      </w:r>
      <w:r>
        <w:t xml:space="preserve"> is responsible for supervision, assessment, policy, information management and corporate support activities. The position of Assistant Secretary </w:t>
      </w:r>
      <w:proofErr w:type="gramStart"/>
      <w:r w:rsidRPr="00A5352C">
        <w:rPr>
          <w:b/>
          <w:i/>
          <w:sz w:val="23"/>
          <w:szCs w:val="23"/>
        </w:rPr>
        <w:t>oss</w:t>
      </w:r>
      <w:proofErr w:type="gramEnd"/>
      <w:r>
        <w:t xml:space="preserve"> has been vacant since April 2013. </w:t>
      </w:r>
    </w:p>
    <w:p w:rsidR="00153B3B" w:rsidRDefault="00A5352C" w:rsidP="00A00BA3">
      <w:proofErr w:type="gramStart"/>
      <w:r w:rsidRPr="00CD24A2">
        <w:rPr>
          <w:b/>
          <w:i/>
          <w:sz w:val="23"/>
          <w:szCs w:val="23"/>
        </w:rPr>
        <w:t>eriss</w:t>
      </w:r>
      <w:proofErr w:type="gramEnd"/>
      <w:r w:rsidR="00153B3B">
        <w:t xml:space="preserve"> is responsible for scientific research and m</w:t>
      </w:r>
      <w:r w:rsidR="00E93B54">
        <w:t xml:space="preserve">onitoring </w:t>
      </w:r>
      <w:r w:rsidR="00885193">
        <w:t xml:space="preserve">activities. </w:t>
      </w:r>
      <w:r w:rsidR="00E93B54">
        <w:t>Dr Rick v</w:t>
      </w:r>
      <w:r w:rsidR="00153B3B">
        <w:t xml:space="preserve">an Dam assumed the role of acting head of </w:t>
      </w:r>
      <w:r w:rsidR="0053238E" w:rsidRPr="00CD24A2">
        <w:rPr>
          <w:b/>
          <w:i/>
          <w:sz w:val="23"/>
          <w:szCs w:val="23"/>
        </w:rPr>
        <w:t>eriss</w:t>
      </w:r>
      <w:r w:rsidR="00153B3B">
        <w:t xml:space="preserve"> in November 2012.</w:t>
      </w:r>
    </w:p>
    <w:p w:rsidR="00153B3B" w:rsidRDefault="00153B3B" w:rsidP="00A00BA3">
      <w:r>
        <w:t>SSD will become part of the Department’s newly</w:t>
      </w:r>
      <w:r w:rsidR="008C4E0B">
        <w:t>-</w:t>
      </w:r>
      <w:r>
        <w:t>established Science Division on 1 July 2014 although there will be no change in functions or annual reporting.</w:t>
      </w:r>
    </w:p>
    <w:p w:rsidR="00E87DED" w:rsidRDefault="00E87DED" w:rsidP="00A00BA3">
      <w:r>
        <w:t>A</w:t>
      </w:r>
      <w:r w:rsidR="00C51011">
        <w:t>verage staffing numbers for 2012–2013 and 2013–2014</w:t>
      </w:r>
      <w:r>
        <w:t xml:space="preserve"> are given in Table</w:t>
      </w:r>
      <w:r w:rsidR="00E942FE">
        <w:t xml:space="preserve"> 7</w:t>
      </w:r>
      <w:r>
        <w:t>.1.</w:t>
      </w:r>
      <w:r w:rsidR="008005D9">
        <w:br/>
      </w:r>
    </w:p>
    <w:tbl>
      <w:tblPr>
        <w:tblW w:w="0" w:type="auto"/>
        <w:jc w:val="center"/>
        <w:tblLayout w:type="fixed"/>
        <w:tblCellMar>
          <w:left w:w="0" w:type="dxa"/>
          <w:right w:w="0" w:type="dxa"/>
        </w:tblCellMar>
        <w:tblLook w:val="0000"/>
      </w:tblPr>
      <w:tblGrid>
        <w:gridCol w:w="3260"/>
        <w:gridCol w:w="1560"/>
        <w:gridCol w:w="1417"/>
      </w:tblGrid>
      <w:tr w:rsidR="00E87DED" w:rsidRPr="00D74897" w:rsidTr="00033356">
        <w:trPr>
          <w:jc w:val="center"/>
        </w:trPr>
        <w:tc>
          <w:tcPr>
            <w:tcW w:w="6237" w:type="dxa"/>
            <w:gridSpan w:val="3"/>
            <w:shd w:val="clear" w:color="auto" w:fill="D9D9D9"/>
          </w:tcPr>
          <w:p w:rsidR="00E87DED" w:rsidRPr="00D74897" w:rsidRDefault="00E87DED" w:rsidP="00A00BA3">
            <w:pPr>
              <w:pStyle w:val="tablecaption"/>
              <w:rPr>
                <w:highlight w:val="yellow"/>
              </w:rPr>
            </w:pPr>
            <w:r w:rsidRPr="007834B2">
              <w:t xml:space="preserve">Table </w:t>
            </w:r>
            <w:r w:rsidR="00E942FE">
              <w:t>7.</w:t>
            </w:r>
            <w:r w:rsidRPr="007834B2">
              <w:t xml:space="preserve">1  Staffing numbers </w:t>
            </w:r>
            <w:r w:rsidRPr="007834B2">
              <w:rPr>
                <w:rFonts w:cs="Times New Roman"/>
                <w:snapToGrid w:val="0"/>
                <w:color w:val="000000"/>
                <w:position w:val="4"/>
                <w:sz w:val="12"/>
                <w:szCs w:val="0"/>
                <w:u w:color="000000"/>
              </w:rPr>
              <w:t>(1)</w:t>
            </w:r>
            <w:r w:rsidRPr="007834B2">
              <w:t xml:space="preserve"> and locations</w:t>
            </w:r>
          </w:p>
        </w:tc>
      </w:tr>
      <w:tr w:rsidR="00E87DED" w:rsidRPr="007834B2" w:rsidTr="00033356">
        <w:trPr>
          <w:jc w:val="center"/>
        </w:trPr>
        <w:tc>
          <w:tcPr>
            <w:tcW w:w="3260" w:type="dxa"/>
            <w:tcBorders>
              <w:bottom w:val="single" w:sz="8" w:space="0" w:color="BFBFBF" w:themeColor="background1" w:themeShade="BF"/>
            </w:tcBorders>
          </w:tcPr>
          <w:p w:rsidR="00E87DED" w:rsidRPr="007834B2" w:rsidRDefault="00E87DED" w:rsidP="00DD0EF9">
            <w:pPr>
              <w:pStyle w:val="table1"/>
              <w:rPr>
                <w:b/>
              </w:rPr>
            </w:pPr>
          </w:p>
        </w:tc>
        <w:tc>
          <w:tcPr>
            <w:tcW w:w="1560" w:type="dxa"/>
            <w:tcBorders>
              <w:bottom w:val="single" w:sz="8" w:space="0" w:color="BFBFBF" w:themeColor="background1" w:themeShade="BF"/>
            </w:tcBorders>
          </w:tcPr>
          <w:p w:rsidR="00E87DED" w:rsidRPr="007834B2" w:rsidRDefault="00E87DED" w:rsidP="00231D44">
            <w:pPr>
              <w:pStyle w:val="table1"/>
              <w:jc w:val="center"/>
              <w:rPr>
                <w:b/>
              </w:rPr>
            </w:pPr>
            <w:r w:rsidRPr="007834B2">
              <w:rPr>
                <w:b/>
              </w:rPr>
              <w:t>201</w:t>
            </w:r>
            <w:r w:rsidR="00E93B54">
              <w:rPr>
                <w:b/>
              </w:rPr>
              <w:t>2–</w:t>
            </w:r>
            <w:r w:rsidR="00231D44">
              <w:rPr>
                <w:b/>
              </w:rPr>
              <w:t>2013</w:t>
            </w:r>
          </w:p>
        </w:tc>
        <w:tc>
          <w:tcPr>
            <w:tcW w:w="1417" w:type="dxa"/>
            <w:tcBorders>
              <w:bottom w:val="single" w:sz="8" w:space="0" w:color="BFBFBF" w:themeColor="background1" w:themeShade="BF"/>
            </w:tcBorders>
          </w:tcPr>
          <w:p w:rsidR="00E87DED" w:rsidRPr="007834B2" w:rsidRDefault="00E87DED" w:rsidP="00DD0EF9">
            <w:pPr>
              <w:pStyle w:val="table1"/>
              <w:jc w:val="center"/>
              <w:rPr>
                <w:b/>
              </w:rPr>
            </w:pPr>
            <w:r w:rsidRPr="007834B2">
              <w:rPr>
                <w:b/>
              </w:rPr>
              <w:t>201</w:t>
            </w:r>
            <w:r w:rsidR="00E93B54">
              <w:rPr>
                <w:b/>
              </w:rPr>
              <w:t>3–</w:t>
            </w:r>
            <w:r w:rsidR="00231D44">
              <w:rPr>
                <w:b/>
              </w:rPr>
              <w:t>2014</w:t>
            </w:r>
          </w:p>
        </w:tc>
      </w:tr>
      <w:tr w:rsidR="00E87DED" w:rsidRPr="007834B2" w:rsidTr="00033356">
        <w:trPr>
          <w:jc w:val="center"/>
        </w:trPr>
        <w:tc>
          <w:tcPr>
            <w:tcW w:w="3260" w:type="dxa"/>
            <w:tcBorders>
              <w:top w:val="single" w:sz="8" w:space="0" w:color="BFBFBF" w:themeColor="background1" w:themeShade="BF"/>
            </w:tcBorders>
          </w:tcPr>
          <w:p w:rsidR="00E87DED" w:rsidRPr="007834B2" w:rsidRDefault="00E87DED" w:rsidP="00DD0EF9">
            <w:pPr>
              <w:pStyle w:val="table1"/>
            </w:pPr>
            <w:smartTag w:uri="urn:schemas-microsoft-com:office:smarttags" w:element="place">
              <w:smartTag w:uri="urn:schemas-microsoft-com:office:smarttags" w:element="City">
                <w:r w:rsidRPr="007834B2">
                  <w:t>Darwin</w:t>
                </w:r>
              </w:smartTag>
            </w:smartTag>
          </w:p>
        </w:tc>
        <w:tc>
          <w:tcPr>
            <w:tcW w:w="1560" w:type="dxa"/>
            <w:tcBorders>
              <w:top w:val="single" w:sz="8" w:space="0" w:color="BFBFBF" w:themeColor="background1" w:themeShade="BF"/>
            </w:tcBorders>
          </w:tcPr>
          <w:p w:rsidR="00E87DED" w:rsidRPr="007834B2" w:rsidRDefault="00C51011" w:rsidP="00DD0EF9">
            <w:pPr>
              <w:pStyle w:val="table1"/>
              <w:tabs>
                <w:tab w:val="decimal" w:pos="720"/>
              </w:tabs>
            </w:pPr>
            <w:r>
              <w:t>40</w:t>
            </w:r>
          </w:p>
        </w:tc>
        <w:tc>
          <w:tcPr>
            <w:tcW w:w="1417" w:type="dxa"/>
            <w:tcBorders>
              <w:top w:val="single" w:sz="8" w:space="0" w:color="BFBFBF" w:themeColor="background1" w:themeShade="BF"/>
            </w:tcBorders>
          </w:tcPr>
          <w:p w:rsidR="00E87DED" w:rsidRPr="007834B2" w:rsidRDefault="00C51011" w:rsidP="00DD0EF9">
            <w:pPr>
              <w:pStyle w:val="table1"/>
              <w:tabs>
                <w:tab w:val="decimal" w:pos="720"/>
              </w:tabs>
            </w:pPr>
            <w:r>
              <w:t>37.5</w:t>
            </w:r>
          </w:p>
        </w:tc>
      </w:tr>
      <w:tr w:rsidR="00E87DED" w:rsidRPr="007834B2" w:rsidTr="00033356">
        <w:trPr>
          <w:jc w:val="center"/>
        </w:trPr>
        <w:tc>
          <w:tcPr>
            <w:tcW w:w="3260" w:type="dxa"/>
          </w:tcPr>
          <w:p w:rsidR="00E87DED" w:rsidRPr="007834B2" w:rsidRDefault="00E87DED" w:rsidP="00DD0EF9">
            <w:pPr>
              <w:pStyle w:val="table1"/>
            </w:pPr>
            <w:r w:rsidRPr="007834B2">
              <w:t>Jabiru</w:t>
            </w:r>
          </w:p>
        </w:tc>
        <w:tc>
          <w:tcPr>
            <w:tcW w:w="1560" w:type="dxa"/>
          </w:tcPr>
          <w:p w:rsidR="00E87DED" w:rsidRPr="007834B2" w:rsidRDefault="00E87DED" w:rsidP="00DD0EF9">
            <w:pPr>
              <w:pStyle w:val="table1"/>
              <w:tabs>
                <w:tab w:val="decimal" w:pos="720"/>
              </w:tabs>
            </w:pPr>
            <w:r w:rsidRPr="007834B2">
              <w:t>7</w:t>
            </w:r>
          </w:p>
        </w:tc>
        <w:tc>
          <w:tcPr>
            <w:tcW w:w="1417" w:type="dxa"/>
          </w:tcPr>
          <w:p w:rsidR="00E87DED" w:rsidRPr="007834B2" w:rsidRDefault="00E87DED" w:rsidP="00DD0EF9">
            <w:pPr>
              <w:pStyle w:val="table1"/>
              <w:tabs>
                <w:tab w:val="decimal" w:pos="720"/>
              </w:tabs>
            </w:pPr>
            <w:r>
              <w:t>7</w:t>
            </w:r>
            <w:r w:rsidR="00C51011">
              <w:t>.5</w:t>
            </w:r>
          </w:p>
        </w:tc>
      </w:tr>
      <w:tr w:rsidR="00E87DED" w:rsidRPr="007834B2" w:rsidTr="00B03EB8">
        <w:trPr>
          <w:jc w:val="center"/>
        </w:trPr>
        <w:tc>
          <w:tcPr>
            <w:tcW w:w="3260" w:type="dxa"/>
            <w:tcBorders>
              <w:bottom w:val="single" w:sz="8" w:space="0" w:color="BFBFBF" w:themeColor="background1" w:themeShade="BF"/>
            </w:tcBorders>
          </w:tcPr>
          <w:p w:rsidR="00E87DED" w:rsidRPr="007834B2" w:rsidRDefault="00E87DED" w:rsidP="00DD0EF9">
            <w:pPr>
              <w:pStyle w:val="table1"/>
            </w:pPr>
            <w:r w:rsidRPr="007834B2">
              <w:t>Total</w:t>
            </w:r>
          </w:p>
        </w:tc>
        <w:tc>
          <w:tcPr>
            <w:tcW w:w="1560" w:type="dxa"/>
            <w:tcBorders>
              <w:bottom w:val="single" w:sz="8" w:space="0" w:color="BFBFBF" w:themeColor="background1" w:themeShade="BF"/>
            </w:tcBorders>
          </w:tcPr>
          <w:p w:rsidR="00E87DED" w:rsidRPr="007834B2" w:rsidRDefault="00C51011" w:rsidP="00DD0EF9">
            <w:pPr>
              <w:pStyle w:val="table1"/>
              <w:tabs>
                <w:tab w:val="decimal" w:pos="720"/>
              </w:tabs>
            </w:pPr>
            <w:r>
              <w:t>47</w:t>
            </w:r>
          </w:p>
        </w:tc>
        <w:tc>
          <w:tcPr>
            <w:tcW w:w="1417" w:type="dxa"/>
            <w:tcBorders>
              <w:bottom w:val="single" w:sz="8" w:space="0" w:color="BFBFBF" w:themeColor="background1" w:themeShade="BF"/>
            </w:tcBorders>
          </w:tcPr>
          <w:p w:rsidR="00E87DED" w:rsidRPr="007834B2" w:rsidRDefault="00E87DED" w:rsidP="00DD0EF9">
            <w:pPr>
              <w:pStyle w:val="table1"/>
              <w:tabs>
                <w:tab w:val="decimal" w:pos="720"/>
              </w:tabs>
            </w:pPr>
            <w:r w:rsidRPr="007834B2">
              <w:t>4</w:t>
            </w:r>
            <w:r w:rsidR="00C51011">
              <w:t>5</w:t>
            </w:r>
          </w:p>
        </w:tc>
      </w:tr>
    </w:tbl>
    <w:p w:rsidR="00E87DED" w:rsidRDefault="009F731B" w:rsidP="00E87DED">
      <w:pPr>
        <w:pStyle w:val="tablenote"/>
        <w:spacing w:before="0"/>
      </w:pPr>
      <w:r>
        <w:tab/>
      </w:r>
      <w:r>
        <w:tab/>
      </w:r>
      <w:r>
        <w:tab/>
      </w:r>
      <w:r>
        <w:tab/>
      </w:r>
      <w:r w:rsidR="00E87DED" w:rsidRPr="007834B2">
        <w:t>(1)  Average full time equivalent from 1 July to 30 June</w:t>
      </w:r>
    </w:p>
    <w:p w:rsidR="00E87DED" w:rsidRPr="00116315" w:rsidRDefault="00C249E5" w:rsidP="00116315">
      <w:pPr>
        <w:pStyle w:val="Heading3"/>
      </w:pPr>
      <w:bookmarkStart w:id="287" w:name="_Toc365635596"/>
      <w:r w:rsidRPr="00116315">
        <w:t>7</w:t>
      </w:r>
      <w:r w:rsidR="00E87DED" w:rsidRPr="00116315">
        <w:t>.1.3</w:t>
      </w:r>
      <w:r w:rsidR="00E87DED" w:rsidRPr="00116315">
        <w:tab/>
      </w:r>
      <w:r w:rsidR="00116315">
        <w:t xml:space="preserve"> </w:t>
      </w:r>
      <w:r w:rsidR="00E87DED" w:rsidRPr="00116315">
        <w:t>Workforce management</w:t>
      </w:r>
      <w:bookmarkEnd w:id="287"/>
    </w:p>
    <w:p w:rsidR="00C51011" w:rsidRDefault="00C51011" w:rsidP="00A00BA3">
      <w:r>
        <w:t>SSD has a well established human resource management framework that strives to achieve continuous improvement in workforce capability, retention of staff and achievement of business outcomes. The framework is supported by a proactive performance development scheme with targeted learning and development aligned to achieving business outcomes.</w:t>
      </w:r>
    </w:p>
    <w:p w:rsidR="00C51011" w:rsidRDefault="00C51011" w:rsidP="00A00BA3">
      <w:r>
        <w:t xml:space="preserve">The SSD leadership group encourages and supports staff to build capability through on-the job training, coaching and mentoring, delivering papers at scientific conferences, and attendance at identified training courses, conferences and internal seminars. </w:t>
      </w:r>
      <w:proofErr w:type="gramStart"/>
      <w:r>
        <w:t>Staff are</w:t>
      </w:r>
      <w:proofErr w:type="gramEnd"/>
      <w:r>
        <w:t xml:space="preserve"> also provided </w:t>
      </w:r>
      <w:r w:rsidR="008C4E0B">
        <w:t xml:space="preserve">with </w:t>
      </w:r>
      <w:r>
        <w:t xml:space="preserve">opportunities to act in higher level positions – this prepares them for advancement and supports the Division’s succession plan. Through the Performance Development Scheme, </w:t>
      </w:r>
      <w:proofErr w:type="gramStart"/>
      <w:r>
        <w:t>staff identify</w:t>
      </w:r>
      <w:proofErr w:type="gramEnd"/>
      <w:r>
        <w:t xml:space="preserve"> training requirements to help deliver their work plan outcomes. Courses for project management, performance management, diversity in the workplace, work, health and safety, electronic records management and specialist software applications have been held in-house to assist with staff development. SSD </w:t>
      </w:r>
      <w:proofErr w:type="gramStart"/>
      <w:r>
        <w:t>staff have</w:t>
      </w:r>
      <w:proofErr w:type="gramEnd"/>
      <w:r>
        <w:t xml:space="preserve"> access to Canberra-based seminars and information sessions. Locally-hosted seminars, in addition to the SSD Internal Seminar Series, provide staff with a range of topics relevant to SSD business activities.</w:t>
      </w:r>
    </w:p>
    <w:p w:rsidR="00C51011" w:rsidRDefault="00C51011" w:rsidP="00A00BA3">
      <w:pPr>
        <w:rPr>
          <w:spacing w:val="-4"/>
        </w:rPr>
      </w:pPr>
      <w:r>
        <w:t xml:space="preserve">SSD is also committed to the training and development of </w:t>
      </w:r>
      <w:r w:rsidR="005259B3">
        <w:t>Indigenous</w:t>
      </w:r>
      <w:r>
        <w:t xml:space="preserve"> and non-</w:t>
      </w:r>
      <w:r w:rsidR="005259B3">
        <w:t>Indigenous</w:t>
      </w:r>
      <w:r>
        <w:t xml:space="preserve"> trainees. SSD acts as a ho</w:t>
      </w:r>
      <w:r w:rsidR="00FB5959">
        <w:t xml:space="preserve">st employer and provides on-the </w:t>
      </w:r>
      <w:r>
        <w:t xml:space="preserve">job training and mentoring while trainees enrol and complete a qualification in a course aligned with their on-the-job duties. During 2013–14 SSD </w:t>
      </w:r>
      <w:r w:rsidR="00623A18">
        <w:t xml:space="preserve">engaged a new </w:t>
      </w:r>
      <w:r w:rsidR="005259B3">
        <w:t>Indigenous</w:t>
      </w:r>
      <w:r w:rsidR="00623A18">
        <w:t xml:space="preserve"> school-</w:t>
      </w:r>
      <w:r>
        <w:t>base</w:t>
      </w:r>
      <w:r w:rsidR="00623A18">
        <w:t>d</w:t>
      </w:r>
      <w:r>
        <w:t xml:space="preserve"> apprentice completing a Certif</w:t>
      </w:r>
      <w:r w:rsidR="001B288D">
        <w:t>icate II in Lands Conservation M</w:t>
      </w:r>
      <w:r>
        <w:t xml:space="preserve">anagement; had one </w:t>
      </w:r>
      <w:r w:rsidR="005259B3">
        <w:t>Indigenous</w:t>
      </w:r>
      <w:r>
        <w:t xml:space="preserve"> trainee successfully complete a Certificate III in Lands Conservation and Management and continued to host a trainee completing a Certificate IV in Business. </w:t>
      </w:r>
      <w:r w:rsidR="00661F18">
        <w:rPr>
          <w:spacing w:val="-4"/>
        </w:rPr>
        <w:t>During 2013–</w:t>
      </w:r>
      <w:r>
        <w:rPr>
          <w:spacing w:val="-4"/>
        </w:rPr>
        <w:t>14 the health and wellbeing program</w:t>
      </w:r>
      <w:r w:rsidR="00936D05">
        <w:rPr>
          <w:spacing w:val="-4"/>
        </w:rPr>
        <w:t>me</w:t>
      </w:r>
      <w:r>
        <w:rPr>
          <w:spacing w:val="-4"/>
        </w:rPr>
        <w:t xml:space="preserve"> offered staff access to vaccinations for influenza and a team pedometer challenge</w:t>
      </w:r>
      <w:r w:rsidR="001B288D">
        <w:rPr>
          <w:spacing w:val="-4"/>
        </w:rPr>
        <w:t>.</w:t>
      </w:r>
      <w:r>
        <w:rPr>
          <w:spacing w:val="-4"/>
        </w:rPr>
        <w:t xml:space="preserve"> Internal health and wellbeing seminars on the </w:t>
      </w:r>
      <w:r w:rsidR="008C4E0B">
        <w:rPr>
          <w:spacing w:val="-4"/>
        </w:rPr>
        <w:t>D</w:t>
      </w:r>
      <w:r>
        <w:rPr>
          <w:spacing w:val="-4"/>
        </w:rPr>
        <w:t xml:space="preserve">epartment’s EAP program, mental health awareness and change management have been coordinated for staff. SSD has also supported Cancer Council fund raising events to raise awareness on cancer associated health risks. </w:t>
      </w:r>
    </w:p>
    <w:p w:rsidR="00E87DED" w:rsidRPr="00AB11B9" w:rsidRDefault="00C249E5" w:rsidP="00AF57DA">
      <w:pPr>
        <w:pStyle w:val="Heading2"/>
      </w:pPr>
      <w:bookmarkStart w:id="288" w:name="_Toc399928218"/>
      <w:r>
        <w:t>7</w:t>
      </w:r>
      <w:r w:rsidR="008C25AE">
        <w:t>.2</w:t>
      </w:r>
      <w:r w:rsidR="008C25AE">
        <w:tab/>
      </w:r>
      <w:r w:rsidR="00E87DED" w:rsidRPr="00AB11B9">
        <w:t>Work Health and Safety</w:t>
      </w:r>
      <w:bookmarkEnd w:id="288"/>
    </w:p>
    <w:p w:rsidR="00C51011" w:rsidRDefault="00C51011" w:rsidP="00A00BA3">
      <w:r>
        <w:rPr>
          <w:spacing w:val="-2"/>
        </w:rPr>
        <w:t>SSD continued to maintain a strong commitment to Work Health and Safety (WHS) during 2013–2014.</w:t>
      </w:r>
      <w:r>
        <w:t xml:space="preserve">  </w:t>
      </w:r>
      <w:r w:rsidR="008C4E0B">
        <w:t>N</w:t>
      </w:r>
      <w:r w:rsidR="00231D44">
        <w:t>o w</w:t>
      </w:r>
      <w:r>
        <w:t>orkers compensation claim</w:t>
      </w:r>
      <w:r w:rsidR="008C4E0B">
        <w:t>s were</w:t>
      </w:r>
      <w:r>
        <w:t xml:space="preserve"> submitted as a result of a </w:t>
      </w:r>
      <w:proofErr w:type="gramStart"/>
      <w:r>
        <w:t>slip,</w:t>
      </w:r>
      <w:proofErr w:type="gramEnd"/>
      <w:r>
        <w:t xml:space="preserve"> trip</w:t>
      </w:r>
      <w:r w:rsidR="008C4E0B">
        <w:t xml:space="preserve"> or</w:t>
      </w:r>
      <w:r>
        <w:t xml:space="preserve"> fall incident with the injured worker returning to full time duty following rehabilitation.</w:t>
      </w:r>
    </w:p>
    <w:p w:rsidR="00C51011" w:rsidRDefault="00C51011" w:rsidP="00A00BA3">
      <w:r>
        <w:t>In res</w:t>
      </w:r>
      <w:r w:rsidR="001B288D">
        <w:t>ponse to a Comcare report into quad b</w:t>
      </w:r>
      <w:r>
        <w:t>ike incidents</w:t>
      </w:r>
      <w:r w:rsidR="008C4E0B">
        <w:t>,</w:t>
      </w:r>
      <w:r>
        <w:t xml:space="preserve"> SSD p</w:t>
      </w:r>
      <w:r w:rsidR="001B288D">
        <w:t>hased out the remainder of its quad b</w:t>
      </w:r>
      <w:r>
        <w:t>ike fleet located at JFS and replaced the bikes with new all terrain vehicles which provide workers with a much higher level of safety.</w:t>
      </w:r>
    </w:p>
    <w:p w:rsidR="00C51011" w:rsidRDefault="00C51011" w:rsidP="00A00BA3">
      <w:r>
        <w:t>The Work Health and Safety Committee (WHSC) met regularly and focused on reviewing WHS procedures, risk management, chemical man</w:t>
      </w:r>
      <w:r w:rsidR="0053238E">
        <w:t>agement and field work safety.</w:t>
      </w:r>
    </w:p>
    <w:p w:rsidR="008C4E0B" w:rsidRDefault="008C4E0B" w:rsidP="008C4E0B">
      <w:r>
        <w:t xml:space="preserve">All senior managers, accompanied by an accredited Health and Safety Representative (HSR), participated in WHS site inspections (which occur every three months) to ensure the safety message is being delivered to workers from a senior level. The number of hazards identified has significantly reduced as a result of improved maintenance systems, reporting and further maturing of the safety culture at SSD. </w:t>
      </w:r>
    </w:p>
    <w:p w:rsidR="00C51011" w:rsidRDefault="00C51011" w:rsidP="00A00BA3">
      <w:r>
        <w:t>In 2013–14, safety education for staff focused on:</w:t>
      </w:r>
    </w:p>
    <w:p w:rsidR="00C51011" w:rsidRDefault="00C51011" w:rsidP="005558E1">
      <w:pPr>
        <w:pStyle w:val="bulletlist1"/>
      </w:pPr>
      <w:r>
        <w:t>flu vaccinations</w:t>
      </w:r>
    </w:p>
    <w:p w:rsidR="00C51011" w:rsidRDefault="00C51011" w:rsidP="005558E1">
      <w:pPr>
        <w:pStyle w:val="bulletlist1"/>
      </w:pPr>
      <w:r>
        <w:t>crocodile safety</w:t>
      </w:r>
    </w:p>
    <w:p w:rsidR="00C51011" w:rsidRDefault="00C51011" w:rsidP="005558E1">
      <w:pPr>
        <w:pStyle w:val="bulletlist1"/>
      </w:pPr>
      <w:r>
        <w:t>field work safety</w:t>
      </w:r>
    </w:p>
    <w:p w:rsidR="00C51011" w:rsidRDefault="00C51011" w:rsidP="005558E1">
      <w:pPr>
        <w:pStyle w:val="bulletlist1"/>
      </w:pPr>
      <w:r>
        <w:t>4WD training for new all terrain vehicles</w:t>
      </w:r>
    </w:p>
    <w:p w:rsidR="00C51011" w:rsidRDefault="00C51011" w:rsidP="005558E1">
      <w:pPr>
        <w:pStyle w:val="bulletlist1"/>
      </w:pPr>
      <w:r>
        <w:t>early identification and reporting of hazards</w:t>
      </w:r>
    </w:p>
    <w:p w:rsidR="00C51011" w:rsidRDefault="00C51011" w:rsidP="00A00BA3">
      <w:r>
        <w:rPr>
          <w:spacing w:val="2"/>
        </w:rPr>
        <w:t xml:space="preserve">Quarterly reports were provided to the </w:t>
      </w:r>
      <w:r>
        <w:t xml:space="preserve">Australian Radiation Protection and Nuclear Safety Agency (ARPANSA) in conformance with requirements to confirm SSD’s general control, safety and management plans of </w:t>
      </w:r>
      <w:r w:rsidR="00D807B2">
        <w:t>ionising</w:t>
      </w:r>
      <w:r>
        <w:t xml:space="preserve"> and n</w:t>
      </w:r>
      <w:r w:rsidR="00D807B2">
        <w:t>on ionising</w:t>
      </w:r>
      <w:r>
        <w:t xml:space="preserve"> source holdings.</w:t>
      </w:r>
    </w:p>
    <w:p w:rsidR="00E87DED" w:rsidRDefault="00C249E5" w:rsidP="00AF57DA">
      <w:pPr>
        <w:pStyle w:val="Heading2"/>
      </w:pPr>
      <w:bookmarkStart w:id="289" w:name="_Toc399928219"/>
      <w:r>
        <w:t>7</w:t>
      </w:r>
      <w:r w:rsidR="00E87DED">
        <w:t>.3</w:t>
      </w:r>
      <w:r w:rsidR="00E87DED">
        <w:tab/>
        <w:t>Finance</w:t>
      </w:r>
      <w:bookmarkEnd w:id="289"/>
    </w:p>
    <w:p w:rsidR="00C51011" w:rsidRDefault="00C51011" w:rsidP="00A00BA3">
      <w:r>
        <w:t>SSD is part of the Australian Government Department of the Environment (DoE) and full financial statements for the Department are contained in the Department’s annual report (www.environment.gov.au/about/publications/annual-report/index.html).</w:t>
      </w:r>
    </w:p>
    <w:p w:rsidR="00C51011" w:rsidRDefault="00C51011" w:rsidP="00A00BA3">
      <w:r>
        <w:t>A summary of the actual expenses of the Supervising Scientist against the Department’s outputs are provided in Table 7.2.</w:t>
      </w:r>
    </w:p>
    <w:tbl>
      <w:tblPr>
        <w:tblW w:w="0" w:type="auto"/>
        <w:tblLayout w:type="fixed"/>
        <w:tblCellMar>
          <w:left w:w="0" w:type="dxa"/>
          <w:right w:w="0" w:type="dxa"/>
        </w:tblCellMar>
        <w:tblLook w:val="0000"/>
      </w:tblPr>
      <w:tblGrid>
        <w:gridCol w:w="3828"/>
        <w:gridCol w:w="1842"/>
        <w:gridCol w:w="1701"/>
      </w:tblGrid>
      <w:tr w:rsidR="00E87DED" w:rsidTr="00DD0EF9">
        <w:trPr>
          <w:cantSplit/>
        </w:trPr>
        <w:tc>
          <w:tcPr>
            <w:tcW w:w="7371" w:type="dxa"/>
            <w:gridSpan w:val="3"/>
            <w:shd w:val="clear" w:color="auto" w:fill="D9D9D9"/>
          </w:tcPr>
          <w:p w:rsidR="00E87DED" w:rsidRDefault="00E87DED" w:rsidP="00A00BA3">
            <w:pPr>
              <w:pStyle w:val="tablecaption"/>
            </w:pPr>
            <w:r>
              <w:t xml:space="preserve">Table </w:t>
            </w:r>
            <w:r w:rsidR="00E942FE">
              <w:t>7</w:t>
            </w:r>
            <w:r>
              <w:t>.2  Summary of DIRECT program</w:t>
            </w:r>
            <w:r w:rsidR="00936D05">
              <w:t>me</w:t>
            </w:r>
            <w:r>
              <w:t xml:space="preserve"> expensES</w:t>
            </w:r>
          </w:p>
        </w:tc>
      </w:tr>
      <w:tr w:rsidR="00E87DED" w:rsidTr="001936FC">
        <w:tc>
          <w:tcPr>
            <w:tcW w:w="3828" w:type="dxa"/>
            <w:tcBorders>
              <w:bottom w:val="single" w:sz="8" w:space="0" w:color="BFBFBF" w:themeColor="background1" w:themeShade="BF"/>
            </w:tcBorders>
          </w:tcPr>
          <w:p w:rsidR="00E87DED" w:rsidRDefault="00E87DED" w:rsidP="00DD0EF9">
            <w:pPr>
              <w:pStyle w:val="table1"/>
              <w:spacing w:before="80" w:after="80"/>
            </w:pPr>
            <w:r>
              <w:t>PBS Outcome 5</w:t>
            </w:r>
          </w:p>
        </w:tc>
        <w:tc>
          <w:tcPr>
            <w:tcW w:w="1842" w:type="dxa"/>
            <w:tcBorders>
              <w:bottom w:val="single" w:sz="8" w:space="0" w:color="BFBFBF" w:themeColor="background1" w:themeShade="BF"/>
            </w:tcBorders>
          </w:tcPr>
          <w:p w:rsidR="00E87DED" w:rsidRDefault="00C51011" w:rsidP="00DD0EF9">
            <w:pPr>
              <w:pStyle w:val="table1"/>
              <w:jc w:val="center"/>
              <w:rPr>
                <w:color w:val="000000"/>
              </w:rPr>
            </w:pPr>
            <w:r>
              <w:rPr>
                <w:color w:val="000000"/>
              </w:rPr>
              <w:t>2012–2013</w:t>
            </w:r>
          </w:p>
        </w:tc>
        <w:tc>
          <w:tcPr>
            <w:tcW w:w="1701" w:type="dxa"/>
            <w:tcBorders>
              <w:bottom w:val="single" w:sz="8" w:space="0" w:color="BFBFBF" w:themeColor="background1" w:themeShade="BF"/>
            </w:tcBorders>
          </w:tcPr>
          <w:p w:rsidR="00E87DED" w:rsidRDefault="00C51011" w:rsidP="00DD0EF9">
            <w:pPr>
              <w:pStyle w:val="table1"/>
              <w:jc w:val="center"/>
              <w:rPr>
                <w:color w:val="000000"/>
              </w:rPr>
            </w:pPr>
            <w:r>
              <w:rPr>
                <w:color w:val="000000"/>
              </w:rPr>
              <w:t>2013–2014</w:t>
            </w:r>
          </w:p>
        </w:tc>
      </w:tr>
      <w:tr w:rsidR="00C51011" w:rsidTr="001936FC">
        <w:tc>
          <w:tcPr>
            <w:tcW w:w="3828" w:type="dxa"/>
            <w:tcBorders>
              <w:top w:val="single" w:sz="8" w:space="0" w:color="BFBFBF" w:themeColor="background1" w:themeShade="BF"/>
            </w:tcBorders>
          </w:tcPr>
          <w:p w:rsidR="00C51011" w:rsidRDefault="00C51011" w:rsidP="00DD0EF9">
            <w:pPr>
              <w:pStyle w:val="table1"/>
              <w:spacing w:before="80" w:after="80"/>
              <w:rPr>
                <w:b/>
              </w:rPr>
            </w:pPr>
            <w:r>
              <w:rPr>
                <w:b/>
              </w:rPr>
              <w:t>Program</w:t>
            </w:r>
            <w:r w:rsidR="00936D05">
              <w:rPr>
                <w:b/>
              </w:rPr>
              <w:t>me</w:t>
            </w:r>
            <w:r>
              <w:rPr>
                <w:b/>
              </w:rPr>
              <w:t xml:space="preserve"> 5.2 – Environmental Regulation </w:t>
            </w:r>
            <w:r>
              <w:rPr>
                <w:b/>
                <w:snapToGrid w:val="0"/>
                <w:color w:val="000000"/>
                <w:position w:val="4"/>
                <w:sz w:val="11"/>
                <w:szCs w:val="0"/>
                <w:u w:color="000000"/>
              </w:rPr>
              <w:t>*</w:t>
            </w:r>
          </w:p>
        </w:tc>
        <w:tc>
          <w:tcPr>
            <w:tcW w:w="1842" w:type="dxa"/>
            <w:tcBorders>
              <w:top w:val="single" w:sz="8" w:space="0" w:color="BFBFBF" w:themeColor="background1" w:themeShade="BF"/>
            </w:tcBorders>
          </w:tcPr>
          <w:p w:rsidR="00C51011" w:rsidRDefault="00C51011">
            <w:pPr>
              <w:pStyle w:val="table1"/>
              <w:spacing w:before="80" w:after="80"/>
              <w:jc w:val="center"/>
            </w:pPr>
            <w:r>
              <w:t>$9 192 765</w:t>
            </w:r>
          </w:p>
        </w:tc>
        <w:tc>
          <w:tcPr>
            <w:tcW w:w="1701" w:type="dxa"/>
            <w:tcBorders>
              <w:top w:val="single" w:sz="8" w:space="0" w:color="BFBFBF" w:themeColor="background1" w:themeShade="BF"/>
            </w:tcBorders>
          </w:tcPr>
          <w:p w:rsidR="00C51011" w:rsidRDefault="00C51011">
            <w:pPr>
              <w:pStyle w:val="table1"/>
              <w:spacing w:before="80" w:after="80"/>
              <w:ind w:right="284"/>
              <w:jc w:val="right"/>
              <w:rPr>
                <w:highlight w:val="green"/>
              </w:rPr>
            </w:pPr>
            <w:r>
              <w:t>$9 164 280</w:t>
            </w:r>
          </w:p>
        </w:tc>
      </w:tr>
      <w:tr w:rsidR="00C51011" w:rsidTr="00B03EB8">
        <w:tc>
          <w:tcPr>
            <w:tcW w:w="3828" w:type="dxa"/>
            <w:tcBorders>
              <w:bottom w:val="single" w:sz="8" w:space="0" w:color="BFBFBF" w:themeColor="background1" w:themeShade="BF"/>
            </w:tcBorders>
          </w:tcPr>
          <w:p w:rsidR="00C51011" w:rsidRDefault="00C51011" w:rsidP="00DD0EF9">
            <w:pPr>
              <w:pStyle w:val="table1"/>
              <w:spacing w:before="80" w:after="80"/>
            </w:pPr>
            <w:r>
              <w:t>Total*</w:t>
            </w:r>
          </w:p>
        </w:tc>
        <w:tc>
          <w:tcPr>
            <w:tcW w:w="1842" w:type="dxa"/>
            <w:tcBorders>
              <w:bottom w:val="single" w:sz="8" w:space="0" w:color="BFBFBF" w:themeColor="background1" w:themeShade="BF"/>
            </w:tcBorders>
          </w:tcPr>
          <w:p w:rsidR="00C51011" w:rsidRDefault="00C51011">
            <w:pPr>
              <w:pStyle w:val="table1"/>
              <w:spacing w:before="80" w:after="80"/>
              <w:jc w:val="center"/>
            </w:pPr>
            <w:r>
              <w:t>$9 192 765</w:t>
            </w:r>
          </w:p>
        </w:tc>
        <w:tc>
          <w:tcPr>
            <w:tcW w:w="1701" w:type="dxa"/>
            <w:tcBorders>
              <w:bottom w:val="single" w:sz="8" w:space="0" w:color="BFBFBF" w:themeColor="background1" w:themeShade="BF"/>
            </w:tcBorders>
          </w:tcPr>
          <w:p w:rsidR="00C51011" w:rsidRDefault="00C51011">
            <w:pPr>
              <w:pStyle w:val="table1"/>
              <w:spacing w:before="80" w:after="80"/>
              <w:ind w:right="284"/>
              <w:jc w:val="right"/>
            </w:pPr>
            <w:r>
              <w:t>$9 164 280</w:t>
            </w:r>
          </w:p>
        </w:tc>
      </w:tr>
    </w:tbl>
    <w:p w:rsidR="00E87DED" w:rsidRDefault="00E87DED" w:rsidP="00E87DED">
      <w:pPr>
        <w:pStyle w:val="tablenote"/>
        <w:spacing w:before="40" w:after="40"/>
        <w:ind w:left="0" w:firstLine="0"/>
      </w:pPr>
      <w:r>
        <w:t>*</w:t>
      </w:r>
      <w:r>
        <w:tab/>
      </w:r>
      <w:r w:rsidR="00C51011">
        <w:t xml:space="preserve">Excludes </w:t>
      </w:r>
      <w:r w:rsidR="008C4E0B">
        <w:t>D</w:t>
      </w:r>
      <w:r w:rsidR="00C51011">
        <w:t>epartmental corporate overheads of $5 012 737 in 12–13 and $4,724 426 in 13–14.</w:t>
      </w:r>
    </w:p>
    <w:p w:rsidR="00E87DED" w:rsidRDefault="00C249E5" w:rsidP="00AF57DA">
      <w:pPr>
        <w:pStyle w:val="Heading2"/>
      </w:pPr>
      <w:bookmarkStart w:id="290" w:name="_Toc399928220"/>
      <w:r>
        <w:t>7</w:t>
      </w:r>
      <w:r w:rsidR="00E87DED">
        <w:t>.4</w:t>
      </w:r>
      <w:r w:rsidR="00E87DED">
        <w:tab/>
        <w:t>Facilities</w:t>
      </w:r>
      <w:bookmarkEnd w:id="290"/>
    </w:p>
    <w:p w:rsidR="00E87DED" w:rsidRDefault="00C249E5" w:rsidP="00116315">
      <w:pPr>
        <w:pStyle w:val="Heading3"/>
      </w:pPr>
      <w:bookmarkStart w:id="291" w:name="_Toc365635600"/>
      <w:r>
        <w:t>7</w:t>
      </w:r>
      <w:r w:rsidR="00E87DED">
        <w:t>.4.1</w:t>
      </w:r>
      <w:r w:rsidR="00E87DED">
        <w:tab/>
      </w:r>
      <w:r w:rsidR="00116315">
        <w:t xml:space="preserve"> </w:t>
      </w:r>
      <w:smartTag w:uri="urn:schemas-microsoft-com:office:smarttags" w:element="place">
        <w:smartTag w:uri="urn:schemas-microsoft-com:office:smarttags" w:element="City">
          <w:r w:rsidR="00E87DED">
            <w:t>Darwin</w:t>
          </w:r>
        </w:smartTag>
      </w:smartTag>
      <w:r w:rsidR="00E87DED">
        <w:t xml:space="preserve"> facility</w:t>
      </w:r>
      <w:bookmarkEnd w:id="291"/>
    </w:p>
    <w:p w:rsidR="003E4424" w:rsidRDefault="00445F9E" w:rsidP="003E4424">
      <w:r>
        <w:rPr>
          <w:noProof/>
          <w:lang w:eastAsia="en-AU"/>
        </w:rPr>
        <w:drawing>
          <wp:anchor distT="0" distB="0" distL="114300" distR="114300" simplePos="0" relativeHeight="251664384" behindDoc="0" locked="0" layoutInCell="1" allowOverlap="1">
            <wp:simplePos x="0" y="0"/>
            <wp:positionH relativeFrom="column">
              <wp:posOffset>26035</wp:posOffset>
            </wp:positionH>
            <wp:positionV relativeFrom="paragraph">
              <wp:posOffset>1226820</wp:posOffset>
            </wp:positionV>
            <wp:extent cx="2922905" cy="3001010"/>
            <wp:effectExtent l="19050" t="0" r="0" b="0"/>
            <wp:wrapTopAndBottom/>
            <wp:docPr id="55" name="Picture 54" descr="old librar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old library.JPG"/>
                    <pic:cNvPicPr/>
                  </pic:nvPicPr>
                  <pic:blipFill>
                    <a:blip r:embed="rId139" cstate="screen"/>
                    <a:stretch>
                      <a:fillRect/>
                    </a:stretch>
                  </pic:blipFill>
                  <pic:spPr>
                    <a:xfrm>
                      <a:off x="0" y="0"/>
                      <a:ext cx="2922905" cy="3001010"/>
                    </a:xfrm>
                    <a:prstGeom prst="rect">
                      <a:avLst/>
                    </a:prstGeom>
                  </pic:spPr>
                </pic:pic>
              </a:graphicData>
            </a:graphic>
          </wp:anchor>
        </w:drawing>
      </w:r>
      <w:r w:rsidR="00F9111F">
        <w:rPr>
          <w:noProof/>
          <w:lang w:eastAsia="en-AU"/>
        </w:rPr>
        <w:pict>
          <v:shape id="Text Box 297" o:spid="_x0000_s1034" type="#_x0000_t202" style="position:absolute;margin-left:237pt;margin-top:178.25pt;width:138pt;height:32.25pt;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" stroked="f">
            <v:textbox inset="0,0,0,0">
              <w:txbxContent>
                <w:p w:rsidR="00A70C56" w:rsidRPr="00056C73" w:rsidRDefault="00A70C56" w:rsidP="00056C73">
                  <w:pPr>
                    <w:pStyle w:val="figurecaption0"/>
                    <w:jc w:val="center"/>
                  </w:pPr>
                  <w:r w:rsidRPr="00056C73">
                    <w:rPr>
                      <w:b/>
                    </w:rPr>
                    <w:t xml:space="preserve">Figure </w:t>
                  </w:r>
                  <w:proofErr w:type="gramStart"/>
                  <w:r w:rsidRPr="00056C73">
                    <w:rPr>
                      <w:b/>
                    </w:rPr>
                    <w:t>7.2</w:t>
                  </w:r>
                  <w:r w:rsidRPr="00056C73">
                    <w:t xml:space="preserve">  Library</w:t>
                  </w:r>
                  <w:proofErr w:type="gramEnd"/>
                  <w:r w:rsidRPr="00056C73">
                    <w:t xml:space="preserve"> disbandment</w:t>
                  </w:r>
                </w:p>
              </w:txbxContent>
            </v:textbox>
            <w10:wrap type="topAndBottom"/>
          </v:shape>
        </w:pict>
      </w:r>
      <w:r w:rsidR="00C51011">
        <w:t xml:space="preserve">The majority of SSD staff </w:t>
      </w:r>
      <w:proofErr w:type="gramStart"/>
      <w:r w:rsidR="00C51011">
        <w:t>are</w:t>
      </w:r>
      <w:proofErr w:type="gramEnd"/>
      <w:r w:rsidR="00C51011">
        <w:t xml:space="preserve"> situated at the DoE Darwin facility adjacent to the </w:t>
      </w:r>
      <w:smartTag w:uri="urn:schemas-microsoft-com:office:smarttags" w:element="place">
        <w:smartTag w:uri="urn:schemas-microsoft-com:office:smarttags" w:element="PlaceName">
          <w:r w:rsidR="00C51011">
            <w:t>Darwin</w:t>
          </w:r>
        </w:smartTag>
        <w:r w:rsidR="00C51011">
          <w:t xml:space="preserve"> </w:t>
        </w:r>
        <w:smartTag w:uri="urn:schemas-microsoft-com:office:smarttags" w:element="PlaceName">
          <w:r w:rsidR="00C51011">
            <w:t>International</w:t>
          </w:r>
        </w:smartTag>
        <w:r w:rsidR="00C51011">
          <w:t xml:space="preserve"> </w:t>
        </w:r>
        <w:smartTag w:uri="urn:schemas-microsoft-com:office:smarttags" w:element="PlaceType">
          <w:smartTag w:uri="urn:schemas-microsoft-com:office:smarttags" w:element="Street">
            <w:r w:rsidR="00C51011">
              <w:t>Airport</w:t>
            </w:r>
          </w:smartTag>
        </w:smartTag>
      </w:smartTag>
      <w:r w:rsidR="00C51011">
        <w:t>. This facility consists of office accommodation and laboratories. During the year the SSD library was disbanded and plans have been developed to reuse the space as a meeting room and general amenities area. All of the office and common areas underwent a makeover with floor coverings replaced and internal painting.</w:t>
      </w:r>
      <w:r w:rsidR="003E4424">
        <w:t xml:space="preserve"> The office space, library and amenities are shared with Parks Australia, which is also part of the </w:t>
      </w:r>
      <w:r w:rsidR="003E4424">
        <w:rPr>
          <w:lang w:eastAsia="en-AU"/>
        </w:rPr>
        <w:t>D</w:t>
      </w:r>
      <w:r w:rsidR="008C4E0B">
        <w:rPr>
          <w:lang w:eastAsia="en-AU"/>
        </w:rPr>
        <w:t>oE</w:t>
      </w:r>
      <w:r w:rsidR="000D7A14">
        <w:rPr>
          <w:lang w:eastAsia="en-AU"/>
        </w:rPr>
        <w:t>.</w:t>
      </w:r>
    </w:p>
    <w:p w:rsidR="00E87DED" w:rsidRDefault="00C249E5" w:rsidP="00116315">
      <w:pPr>
        <w:pStyle w:val="Heading3"/>
      </w:pPr>
      <w:bookmarkStart w:id="292" w:name="_Toc365635601"/>
      <w:r>
        <w:t>7</w:t>
      </w:r>
      <w:r w:rsidR="00E87DED">
        <w:t>.4.2</w:t>
      </w:r>
      <w:r w:rsidR="00E87DED">
        <w:tab/>
      </w:r>
      <w:r w:rsidR="00116315">
        <w:t xml:space="preserve"> </w:t>
      </w:r>
      <w:r w:rsidR="00E87DED">
        <w:t>Jabiru Field Station</w:t>
      </w:r>
      <w:bookmarkEnd w:id="292"/>
    </w:p>
    <w:p w:rsidR="003E4424" w:rsidRDefault="003E4424" w:rsidP="003E4424">
      <w:pPr>
        <w:rPr>
          <w:spacing w:val="-2"/>
        </w:rPr>
      </w:pPr>
      <w:r>
        <w:rPr>
          <w:spacing w:val="-2"/>
        </w:rPr>
        <w:t>The primary function of the</w:t>
      </w:r>
      <w:r w:rsidR="000D7A14">
        <w:rPr>
          <w:spacing w:val="-2"/>
        </w:rPr>
        <w:t xml:space="preserve"> </w:t>
      </w:r>
      <w:r w:rsidR="008C4E0B">
        <w:rPr>
          <w:spacing w:val="-2"/>
        </w:rPr>
        <w:t>Jabiru Field Station</w:t>
      </w:r>
      <w:r>
        <w:rPr>
          <w:spacing w:val="-2"/>
        </w:rPr>
        <w:t xml:space="preserve"> </w:t>
      </w:r>
      <w:r w:rsidR="008C4E0B">
        <w:rPr>
          <w:spacing w:val="-2"/>
        </w:rPr>
        <w:t>(</w:t>
      </w:r>
      <w:r>
        <w:rPr>
          <w:spacing w:val="-2"/>
        </w:rPr>
        <w:t>JFS</w:t>
      </w:r>
      <w:r w:rsidR="008C4E0B">
        <w:rPr>
          <w:spacing w:val="-2"/>
        </w:rPr>
        <w:t>)</w:t>
      </w:r>
      <w:r>
        <w:rPr>
          <w:spacing w:val="-2"/>
        </w:rPr>
        <w:t xml:space="preserve"> is to support the activities of the SSD in the Alligator Rivers Region. JFS </w:t>
      </w:r>
      <w:proofErr w:type="gramStart"/>
      <w:r>
        <w:rPr>
          <w:spacing w:val="-2"/>
        </w:rPr>
        <w:t>staff are</w:t>
      </w:r>
      <w:proofErr w:type="gramEnd"/>
      <w:r>
        <w:rPr>
          <w:spacing w:val="-2"/>
        </w:rPr>
        <w:t xml:space="preserve"> a multi-disciplinary team that </w:t>
      </w:r>
      <w:r w:rsidR="008C4E0B">
        <w:rPr>
          <w:spacing w:val="-2"/>
        </w:rPr>
        <w:t xml:space="preserve">assist with research, </w:t>
      </w:r>
      <w:r>
        <w:rPr>
          <w:spacing w:val="-2"/>
        </w:rPr>
        <w:t xml:space="preserve">implement environmental monitoring </w:t>
      </w:r>
      <w:r>
        <w:rPr>
          <w:noProof/>
          <w:spacing w:val="-2"/>
        </w:rPr>
        <w:t>program</w:t>
      </w:r>
      <w:r w:rsidR="008C4E0B">
        <w:rPr>
          <w:noProof/>
          <w:spacing w:val="-2"/>
        </w:rPr>
        <w:t>me</w:t>
      </w:r>
      <w:r>
        <w:rPr>
          <w:noProof/>
          <w:spacing w:val="-2"/>
        </w:rPr>
        <w:t xml:space="preserve">s, </w:t>
      </w:r>
      <w:r>
        <w:rPr>
          <w:spacing w:val="-2"/>
        </w:rPr>
        <w:t xml:space="preserve">community extension </w:t>
      </w:r>
      <w:r>
        <w:rPr>
          <w:noProof/>
          <w:spacing w:val="-2"/>
        </w:rPr>
        <w:t>activities,</w:t>
      </w:r>
      <w:r>
        <w:rPr>
          <w:spacing w:val="-2"/>
        </w:rPr>
        <w:t xml:space="preserve"> local administrative and financial management, and the management of assets and minor plant at JFS and related temporary accommodation. The JFS Manager has overall responsibility for managing the Field Station as well as supervisory and inspection responsibilities.</w:t>
      </w:r>
    </w:p>
    <w:p w:rsidR="003E1B35" w:rsidRDefault="00F9111F" w:rsidP="003E1B35">
      <w:r>
        <w:rPr>
          <w:noProof/>
          <w:lang w:eastAsia="en-AU"/>
        </w:rPr>
        <w:pict>
          <v:shape id="Text Box 339" o:spid="_x0000_s1035" type="#_x0000_t202" style="position:absolute;margin-left:240pt;margin-top:137pt;width:131.25pt;height:39pt;z-index:2517381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" stroked="f">
            <v:textbox inset="0,0,0,0">
              <w:txbxContent>
                <w:p w:rsidR="00A70C56" w:rsidRPr="003E4424" w:rsidRDefault="00A70C56" w:rsidP="003E1B35">
                  <w:pPr>
                    <w:pStyle w:val="figurecaption0"/>
                  </w:pPr>
                  <w:r>
                    <w:rPr>
                      <w:b/>
                    </w:rPr>
                    <w:t xml:space="preserve">Figure </w:t>
                  </w:r>
                  <w:proofErr w:type="gramStart"/>
                  <w:r>
                    <w:rPr>
                      <w:b/>
                    </w:rPr>
                    <w:t>7.3</w:t>
                  </w:r>
                  <w:r>
                    <w:t xml:space="preserve">  The</w:t>
                  </w:r>
                  <w:proofErr w:type="gramEnd"/>
                  <w:r>
                    <w:t xml:space="preserve"> new Polaris Rangers at Jabiru Field Station.</w:t>
                  </w:r>
                </w:p>
              </w:txbxContent>
            </v:textbox>
            <w10:wrap type="topAndBottom"/>
          </v:shape>
        </w:pict>
      </w:r>
      <w:r w:rsidR="003E1B35">
        <w:rPr>
          <w:noProof/>
          <w:lang w:eastAsia="en-AU"/>
        </w:rPr>
        <w:drawing>
          <wp:anchor distT="0" distB="0" distL="114300" distR="114300" simplePos="0" relativeHeight="251737088" behindDoc="0" locked="0" layoutInCell="1" allowOverlap="1">
            <wp:simplePos x="0" y="0"/>
            <wp:positionH relativeFrom="column">
              <wp:posOffset>9525</wp:posOffset>
            </wp:positionH>
            <wp:positionV relativeFrom="paragraph">
              <wp:posOffset>815975</wp:posOffset>
            </wp:positionV>
            <wp:extent cx="2924175" cy="2333625"/>
            <wp:effectExtent l="19050" t="0" r="9525" b="0"/>
            <wp:wrapTopAndBottom/>
            <wp:docPr id="1" name="Picture 3" descr="C:\Users\A15703\AppData\Local\Microsoft\Windows\Temporary Internet Files\Content.Word\IMG_0095.jpg"/>
            <wp:cNvGraphicFramePr/>
            <a:graphic xmlns:a="http://schemas.openxmlformats.org/drawingml/2006/main">
              <a:graphicData uri="http://schemas.openxmlformats.org/drawingml/2006/picture">
                <pic:pic xmlns:pic="http://schemas.openxmlformats.org/drawingml/2006/picture">
                  <pic:nvPicPr>
                    <pic:cNvPr id="0" name="Picture 1" descr="C:\Users\A15703\AppData\Local\Microsoft\Windows\Temporary Internet Files\Content.Word\IMG_0095.jpg"/>
                    <pic:cNvPicPr>
                      <a:picLocks noChangeAspect="1" noChangeArrowheads="1"/>
                    </pic:cNvPicPr>
                  </pic:nvPicPr>
                  <pic:blipFill>
                    <a:blip r:embed="rId140" cstate="screen"/>
                    <a:srcRect/>
                    <a:stretch>
                      <a:fillRect/>
                    </a:stretch>
                  </pic:blipFill>
                  <pic:spPr bwMode="auto">
                    <a:xfrm>
                      <a:off x="0" y="0"/>
                      <a:ext cx="2924175" cy="2333625"/>
                    </a:xfrm>
                    <a:prstGeom prst="rect">
                      <a:avLst/>
                    </a:prstGeom>
                    <a:noFill/>
                    <a:ln w="9525">
                      <a:noFill/>
                      <a:miter lim="800000"/>
                      <a:headEnd/>
                      <a:tailEnd/>
                    </a:ln>
                  </pic:spPr>
                </pic:pic>
              </a:graphicData>
            </a:graphic>
          </wp:anchor>
        </w:drawing>
      </w:r>
      <w:r w:rsidR="003E1B35">
        <w:t>During 2013–14 three Polaris Ranger all terrain vehicles (ATV’s), four Yamaha outboard motors and a new trailer were purchased. Related to this cyclic purchase, ageing plant was disposed of, including three quad bikes (as noted earlier), three ATV’s, two trailers and five outboard motors.</w:t>
      </w:r>
    </w:p>
    <w:p w:rsidR="00E87DED" w:rsidRPr="00A60923" w:rsidRDefault="00C249E5" w:rsidP="00AF57DA">
      <w:pPr>
        <w:pStyle w:val="Heading2"/>
      </w:pPr>
      <w:bookmarkStart w:id="293" w:name="_Toc399928221"/>
      <w:r>
        <w:rPr>
          <w:snapToGrid w:val="0"/>
        </w:rPr>
        <w:t>7</w:t>
      </w:r>
      <w:r w:rsidR="00E87DED">
        <w:rPr>
          <w:snapToGrid w:val="0"/>
        </w:rPr>
        <w:t>.5</w:t>
      </w:r>
      <w:r w:rsidR="00E87DED">
        <w:rPr>
          <w:snapToGrid w:val="0"/>
        </w:rPr>
        <w:tab/>
        <w:t>Information management</w:t>
      </w:r>
      <w:bookmarkEnd w:id="293"/>
    </w:p>
    <w:p w:rsidR="003E4424" w:rsidRDefault="003E4424" w:rsidP="003E4424">
      <w:pPr>
        <w:rPr>
          <w:spacing w:val="-2"/>
        </w:rPr>
      </w:pPr>
      <w:r>
        <w:rPr>
          <w:spacing w:val="-2"/>
        </w:rPr>
        <w:t>As noted earlier the SSD library was disbanded in late 2013 with a large volume of material recycled as it was already being held in electronic form, duplicated or no longer required. Important books and reference material were transferred to the Department’s library in Canberra or retained at SSD as a special collection.</w:t>
      </w:r>
    </w:p>
    <w:p w:rsidR="003E4424" w:rsidRDefault="003E4424" w:rsidP="003E4424">
      <w:r>
        <w:rPr>
          <w:spacing w:val="-2"/>
        </w:rPr>
        <w:t>Electronic records management (SPIRE) was rolled out for SSD in mid 2013 eliminating the need for paper files. A large volume of files have been archived and documents are progressively being scanned so that they can be filed in the SPIRE system. There is also a project underway to transfer electronic documents from the previous electronic records management systems to SPIRE.</w:t>
      </w:r>
    </w:p>
    <w:p w:rsidR="00E87DED" w:rsidRDefault="00C249E5" w:rsidP="00AF57DA">
      <w:pPr>
        <w:pStyle w:val="Heading2"/>
      </w:pPr>
      <w:bookmarkStart w:id="294" w:name="_Toc399928222"/>
      <w:r>
        <w:t>7</w:t>
      </w:r>
      <w:r w:rsidR="00E87DED">
        <w:t>.6</w:t>
      </w:r>
      <w:r w:rsidR="00E87DED">
        <w:tab/>
      </w:r>
      <w:r w:rsidR="00E87DED" w:rsidRPr="00A60923">
        <w:t>Interpretation</w:t>
      </w:r>
      <w:r w:rsidR="00E87DED">
        <w:t xml:space="preserve"> of Ranger Environmental Requirements</w:t>
      </w:r>
      <w:bookmarkEnd w:id="294"/>
    </w:p>
    <w:p w:rsidR="003E4424" w:rsidRDefault="003E4424" w:rsidP="003E4424">
      <w:r>
        <w:t>Section 19.2 of the Environmental Requirements of the Commonwealth of Australia for the Operation of the Ranger Uranium Mine provides for the publication of explanatory material agreed to by the major stakeholders to assist in the interpretation of provisions of the Environmental Requirements. No explanatory material was published during 2013–14.</w:t>
      </w:r>
    </w:p>
    <w:p w:rsidR="00E87DED" w:rsidRPr="00A60923" w:rsidRDefault="00C249E5" w:rsidP="00AF57DA">
      <w:pPr>
        <w:pStyle w:val="Heading2"/>
      </w:pPr>
      <w:bookmarkStart w:id="295" w:name="_Toc399928223"/>
      <w:r>
        <w:t>7</w:t>
      </w:r>
      <w:r w:rsidR="00E87DED">
        <w:t>.7</w:t>
      </w:r>
      <w:r w:rsidR="00E87DED">
        <w:tab/>
        <w:t>Ministerial directions</w:t>
      </w:r>
      <w:bookmarkEnd w:id="295"/>
    </w:p>
    <w:p w:rsidR="003E4424" w:rsidRDefault="003E4424" w:rsidP="003E4424">
      <w:r>
        <w:t xml:space="preserve">There were no Ministerial Directions issued to the Supervising Scientist under Section 7 of the </w:t>
      </w:r>
      <w:r>
        <w:rPr>
          <w:i/>
          <w:iCs/>
        </w:rPr>
        <w:t>Environment Protection (Alligator Rivers Region) Act 1978</w:t>
      </w:r>
      <w:r>
        <w:t xml:space="preserve"> during 2013–14.</w:t>
      </w:r>
    </w:p>
    <w:p w:rsidR="00E87DED" w:rsidRPr="00A60923" w:rsidRDefault="00C249E5" w:rsidP="00AF57DA">
      <w:pPr>
        <w:pStyle w:val="Heading2"/>
      </w:pPr>
      <w:bookmarkStart w:id="296" w:name="_Toc399928224"/>
      <w:r>
        <w:t>7</w:t>
      </w:r>
      <w:r w:rsidR="00E87DED">
        <w:t>.8</w:t>
      </w:r>
      <w:r w:rsidR="00E87DED">
        <w:tab/>
        <w:t>Environmental performance</w:t>
      </w:r>
      <w:bookmarkEnd w:id="296"/>
    </w:p>
    <w:p w:rsidR="003E4424" w:rsidRDefault="003E4424" w:rsidP="003E4424">
      <w:pPr>
        <w:rPr>
          <w:spacing w:val="-2"/>
        </w:rPr>
      </w:pPr>
      <w:bookmarkStart w:id="297" w:name="_Toc365635606"/>
      <w:r>
        <w:rPr>
          <w:spacing w:val="-2"/>
        </w:rPr>
        <w:t xml:space="preserve">SSD contributes to the Department’s sustainability objectives through a range of measures aimed at continuously improving the environmental performance of our business operations and minimising any associated environmental impacts. The </w:t>
      </w:r>
      <w:proofErr w:type="gramStart"/>
      <w:r>
        <w:rPr>
          <w:spacing w:val="-2"/>
        </w:rPr>
        <w:t>Division reports on its environmental performance in the Department’s</w:t>
      </w:r>
      <w:proofErr w:type="gramEnd"/>
      <w:r>
        <w:rPr>
          <w:spacing w:val="-2"/>
        </w:rPr>
        <w:t xml:space="preserve"> 2013–14 Annual Report.</w:t>
      </w:r>
    </w:p>
    <w:p w:rsidR="00E87DED" w:rsidRPr="00A60923" w:rsidRDefault="00C249E5" w:rsidP="00116315">
      <w:pPr>
        <w:pStyle w:val="Heading3"/>
      </w:pPr>
      <w:r>
        <w:t>7</w:t>
      </w:r>
      <w:r w:rsidR="00E87DED">
        <w:t>.8.1</w:t>
      </w:r>
      <w:r w:rsidR="00E87DED">
        <w:tab/>
      </w:r>
      <w:r w:rsidR="00116315">
        <w:t xml:space="preserve"> </w:t>
      </w:r>
      <w:r w:rsidR="00E87DED">
        <w:t>Environmental Management System</w:t>
      </w:r>
      <w:bookmarkEnd w:id="297"/>
      <w:r w:rsidR="00E87DED">
        <w:t xml:space="preserve"> </w:t>
      </w:r>
      <w:r w:rsidR="00E87DED" w:rsidDel="00C16D5E">
        <w:rPr>
          <w:rStyle w:val="CommentReference"/>
          <w:b w:val="0"/>
          <w:noProof w:val="0"/>
        </w:rPr>
        <w:t xml:space="preserve"> </w:t>
      </w:r>
    </w:p>
    <w:p w:rsidR="003E4424" w:rsidRDefault="003E4424" w:rsidP="003E4424">
      <w:pPr>
        <w:rPr>
          <w:b/>
          <w:bCs/>
        </w:rPr>
      </w:pPr>
      <w:r>
        <w:t xml:space="preserve">The Department has committed to extend the scope of its Environmental Management System (EMS) and associated certification to SSD in the future. In the interim, SSD’s operations are conducted in a manner consistent with the Department’s aim to minimise the ecological footprint on the environment. This involves a range of strategies including complying with legal and other agreements, actively promoting sustainable work practices, preventing pollution as </w:t>
      </w:r>
      <w:r w:rsidR="003E1B35">
        <w:t xml:space="preserve">a </w:t>
      </w:r>
      <w:r>
        <w:t>result of work practices, focus</w:t>
      </w:r>
      <w:r w:rsidR="003E1B35">
        <w:t>ing</w:t>
      </w:r>
      <w:r>
        <w:t xml:space="preserve"> on continuous improvement, public reporting of environmental performance as part of the Department’s annual report and procurement and use of sustainable goods and services.</w:t>
      </w:r>
    </w:p>
    <w:p w:rsidR="00E87DED" w:rsidRDefault="00C249E5" w:rsidP="00AF57DA">
      <w:pPr>
        <w:pStyle w:val="Heading2"/>
      </w:pPr>
      <w:bookmarkStart w:id="298" w:name="_Toc399928225"/>
      <w:r>
        <w:t>7</w:t>
      </w:r>
      <w:r w:rsidR="00E87DED">
        <w:t>.9</w:t>
      </w:r>
      <w:r w:rsidR="00E87DED">
        <w:tab/>
        <w:t xml:space="preserve">Animal </w:t>
      </w:r>
      <w:r w:rsidR="00E87DED" w:rsidRPr="00BD0D9A">
        <w:t>experimentation</w:t>
      </w:r>
      <w:r w:rsidR="00E87DED">
        <w:t xml:space="preserve"> ethics approvals</w:t>
      </w:r>
      <w:bookmarkEnd w:id="298"/>
    </w:p>
    <w:p w:rsidR="003E4424" w:rsidRDefault="00CB3A6B" w:rsidP="003E4424">
      <w:proofErr w:type="gramStart"/>
      <w:r>
        <w:rPr>
          <w:b/>
          <w:i/>
          <w:sz w:val="23"/>
          <w:szCs w:val="23"/>
        </w:rPr>
        <w:t>e</w:t>
      </w:r>
      <w:r w:rsidR="0053238E" w:rsidRPr="003F4ABF">
        <w:rPr>
          <w:b/>
          <w:i/>
          <w:sz w:val="23"/>
          <w:szCs w:val="23"/>
        </w:rPr>
        <w:t>riss</w:t>
      </w:r>
      <w:proofErr w:type="gramEnd"/>
      <w:r w:rsidR="003E4424" w:rsidRPr="003F4ABF">
        <w:rPr>
          <w:sz w:val="23"/>
          <w:szCs w:val="23"/>
        </w:rPr>
        <w:t xml:space="preserve"> </w:t>
      </w:r>
      <w:r w:rsidR="003E4424">
        <w:t xml:space="preserve">seeks the approval of </w:t>
      </w:r>
      <w:smartTag w:uri="urn:schemas-microsoft-com:office:smarttags" w:element="PlaceName">
        <w:r w:rsidR="003E4424">
          <w:t>Charles</w:t>
        </w:r>
      </w:smartTag>
      <w:r w:rsidR="003E4424">
        <w:t xml:space="preserve"> </w:t>
      </w:r>
      <w:smartTag w:uri="urn:schemas-microsoft-com:office:smarttags" w:element="PlaceName">
        <w:r w:rsidR="003E4424">
          <w:t>Darwin</w:t>
        </w:r>
      </w:smartTag>
      <w:r w:rsidR="003E4424">
        <w:t xml:space="preserve"> University’s</w:t>
      </w:r>
      <w:r w:rsidR="003E1B35">
        <w:t xml:space="preserve"> (CDU)</w:t>
      </w:r>
      <w:r w:rsidR="003E4424">
        <w:t xml:space="preserve"> </w:t>
      </w:r>
      <w:r w:rsidR="003E4424">
        <w:rPr>
          <w:iCs/>
        </w:rPr>
        <w:t>Animal Ethics Committee</w:t>
      </w:r>
      <w:r w:rsidR="003E4424">
        <w:t xml:space="preserve"> (AEC) to undertake scientific experiments involving vertebrate animals. The Animal Welfare Branch of the Northern </w:t>
      </w:r>
      <w:smartTag w:uri="urn:schemas-microsoft-com:office:smarttags" w:element="PlaceType">
        <w:r w:rsidR="003E4424">
          <w:t>Territory</w:t>
        </w:r>
      </w:smartTag>
      <w:r w:rsidR="003E4424">
        <w:t xml:space="preserve"> Government grants the </w:t>
      </w:r>
      <w:r w:rsidR="0053238E" w:rsidRPr="00CD24A2">
        <w:rPr>
          <w:b/>
          <w:i/>
          <w:sz w:val="23"/>
          <w:szCs w:val="23"/>
        </w:rPr>
        <w:t>eriss</w:t>
      </w:r>
      <w:r w:rsidR="003E4424">
        <w:rPr>
          <w:b/>
          <w:bCs/>
          <w:iCs/>
          <w:sz w:val="23"/>
        </w:rPr>
        <w:t xml:space="preserve"> </w:t>
      </w:r>
      <w:r w:rsidR="003E4424">
        <w:t xml:space="preserve">premises a licence to use animals for research purposes. This licence includes the laboratories in </w:t>
      </w:r>
      <w:smartTag w:uri="urn:schemas-microsoft-com:office:smarttags" w:element="place">
        <w:smartTag w:uri="urn:schemas-microsoft-com:office:smarttags" w:element="City">
          <w:r w:rsidR="003E4424">
            <w:t>Darwin</w:t>
          </w:r>
        </w:smartTag>
      </w:smartTag>
      <w:r w:rsidR="003E4424">
        <w:t xml:space="preserve"> and Jabiru, as well as field work conducted in the Alligator </w:t>
      </w:r>
      <w:smartTag w:uri="urn:schemas-microsoft-com:office:smarttags" w:element="PlaceType">
        <w:r w:rsidR="003E4424">
          <w:t>River</w:t>
        </w:r>
      </w:smartTag>
      <w:r w:rsidR="003E4424">
        <w:t>s Region. Since April 2011, the CDU AEC has begun issuing permits to persons involved or employed by a licensee conducting a teaching or research program</w:t>
      </w:r>
      <w:r w:rsidR="00936D05">
        <w:t>me</w:t>
      </w:r>
      <w:r w:rsidR="003E4424">
        <w:t xml:space="preserve">. </w:t>
      </w:r>
    </w:p>
    <w:p w:rsidR="003E4424" w:rsidRDefault="003E4424" w:rsidP="003E4424">
      <w:pPr>
        <w:rPr>
          <w:spacing w:val="-2"/>
        </w:rPr>
      </w:pPr>
      <w:r>
        <w:rPr>
          <w:spacing w:val="-2"/>
        </w:rPr>
        <w:t xml:space="preserve">A progress report for the project ‘Larval fish for toxicity tests at </w:t>
      </w:r>
      <w:r w:rsidR="0053238E" w:rsidRPr="003F4ABF">
        <w:rPr>
          <w:b/>
          <w:i/>
          <w:sz w:val="23"/>
          <w:szCs w:val="23"/>
        </w:rPr>
        <w:t>eriss</w:t>
      </w:r>
      <w:r w:rsidRPr="003F4ABF">
        <w:rPr>
          <w:spacing w:val="-2"/>
          <w:sz w:val="23"/>
          <w:szCs w:val="23"/>
        </w:rPr>
        <w:t>’</w:t>
      </w:r>
      <w:r>
        <w:rPr>
          <w:spacing w:val="-2"/>
        </w:rPr>
        <w:t xml:space="preserve"> (ref no A12028) was submitted to CDU AEC and approved on 28 October 2013. A final report will be submitted in September 2014. Individual permits for new </w:t>
      </w:r>
      <w:r w:rsidR="0053238E" w:rsidRPr="003F4ABF">
        <w:rPr>
          <w:b/>
          <w:i/>
          <w:sz w:val="23"/>
          <w:szCs w:val="23"/>
        </w:rPr>
        <w:t>eriss</w:t>
      </w:r>
      <w:r>
        <w:rPr>
          <w:spacing w:val="-2"/>
        </w:rPr>
        <w:t xml:space="preserve"> staff conducting research with fish were also granted during this time. This project is due for renewal during August 2014 and the individual permits are valid for two years. The number of fish used in toxicity tests at </w:t>
      </w:r>
      <w:r w:rsidR="0053238E" w:rsidRPr="003F4ABF">
        <w:rPr>
          <w:b/>
          <w:i/>
          <w:sz w:val="23"/>
          <w:szCs w:val="23"/>
        </w:rPr>
        <w:t>eriss</w:t>
      </w:r>
      <w:r w:rsidR="0053238E">
        <w:rPr>
          <w:spacing w:val="-2"/>
        </w:rPr>
        <w:t xml:space="preserve"> </w:t>
      </w:r>
      <w:r>
        <w:rPr>
          <w:spacing w:val="-2"/>
        </w:rPr>
        <w:t xml:space="preserve">was reported in July 2014 to the Northern </w:t>
      </w:r>
      <w:smartTag w:uri="urn:schemas-microsoft-com:office:smarttags" w:element="PlaceType">
        <w:r>
          <w:rPr>
            <w:spacing w:val="-2"/>
          </w:rPr>
          <w:t>Territory</w:t>
        </w:r>
      </w:smartTag>
      <w:r>
        <w:rPr>
          <w:spacing w:val="-2"/>
        </w:rPr>
        <w:t xml:space="preserve"> Government, as part of our licence requirements permitting the use of animals for research purposes. </w:t>
      </w:r>
    </w:p>
    <w:p w:rsidR="003E4424" w:rsidRDefault="003E4424" w:rsidP="003E4424">
      <w:pPr>
        <w:rPr>
          <w:spacing w:val="-2"/>
        </w:rPr>
      </w:pPr>
      <w:r>
        <w:rPr>
          <w:spacing w:val="-2"/>
        </w:rPr>
        <w:t>Progress reports for both fish communities projects</w:t>
      </w:r>
      <w:r w:rsidR="003E1B35">
        <w:rPr>
          <w:spacing w:val="-2"/>
        </w:rPr>
        <w:t xml:space="preserve"> - </w:t>
      </w:r>
      <w:r>
        <w:rPr>
          <w:spacing w:val="-2"/>
        </w:rPr>
        <w:t xml:space="preserve"> ‘ Fish community sampling in channel billabongs around Ranger mine using boat visual census (A11034)’ and ‘Monitoring mining impact using the structure of fish communities in shallow billabongs (A12007)’ were submitted to CDU AEC and approved on 5 March and 6 June 2014 respectively. Individual permits for </w:t>
      </w:r>
      <w:r w:rsidR="0053238E" w:rsidRPr="003F4ABF">
        <w:rPr>
          <w:b/>
          <w:i/>
          <w:sz w:val="23"/>
          <w:szCs w:val="23"/>
        </w:rPr>
        <w:t>eriss</w:t>
      </w:r>
      <w:r w:rsidRPr="003F4ABF">
        <w:rPr>
          <w:spacing w:val="-2"/>
          <w:sz w:val="23"/>
          <w:szCs w:val="23"/>
        </w:rPr>
        <w:t xml:space="preserve"> </w:t>
      </w:r>
      <w:r>
        <w:rPr>
          <w:spacing w:val="-2"/>
        </w:rPr>
        <w:t xml:space="preserve">staff conducting research with fish were also granted at this time. Both project approvals are valid for two years from the approval date. </w:t>
      </w:r>
      <w:r w:rsidR="00464A00" w:rsidRPr="00464A00">
        <w:rPr>
          <w:spacing w:val="-2"/>
        </w:rPr>
        <w:t>For the 2014 monitoring period, access to Mudginberri Billabong was not possible due to an important time of mourning for the local Indigenous community. The next assessment</w:t>
      </w:r>
      <w:r w:rsidR="00464A00">
        <w:rPr>
          <w:spacing w:val="-2"/>
        </w:rPr>
        <w:t xml:space="preserve"> for</w:t>
      </w:r>
      <w:r w:rsidR="00464A00" w:rsidRPr="00464A00">
        <w:rPr>
          <w:spacing w:val="-2"/>
        </w:rPr>
        <w:t xml:space="preserve"> </w:t>
      </w:r>
      <w:r w:rsidR="00464A00">
        <w:rPr>
          <w:spacing w:val="-2"/>
        </w:rPr>
        <w:t xml:space="preserve">the project </w:t>
      </w:r>
      <w:proofErr w:type="gramStart"/>
      <w:r w:rsidR="00464A00">
        <w:rPr>
          <w:spacing w:val="-2"/>
        </w:rPr>
        <w:t>‘ Fish</w:t>
      </w:r>
      <w:proofErr w:type="gramEnd"/>
      <w:r w:rsidR="00464A00">
        <w:rPr>
          <w:spacing w:val="-2"/>
        </w:rPr>
        <w:t xml:space="preserve"> community sampling in channel billabongs around Ranger mine using boat visual census (A11034)’ </w:t>
      </w:r>
      <w:r w:rsidR="00464A00" w:rsidRPr="00464A00">
        <w:rPr>
          <w:spacing w:val="-2"/>
        </w:rPr>
        <w:t>will be undertaken in 2015 and will be reporte</w:t>
      </w:r>
      <w:r w:rsidR="007F0C86">
        <w:rPr>
          <w:spacing w:val="-2"/>
        </w:rPr>
        <w:t>d in the Supervising Scientist Annual R</w:t>
      </w:r>
      <w:r w:rsidR="00464A00" w:rsidRPr="00464A00">
        <w:rPr>
          <w:spacing w:val="-2"/>
        </w:rPr>
        <w:t>eport for 2014–15.</w:t>
      </w:r>
      <w:r w:rsidR="00464A00">
        <w:rPr>
          <w:spacing w:val="-2"/>
        </w:rPr>
        <w:t xml:space="preserve"> </w:t>
      </w:r>
    </w:p>
    <w:p w:rsidR="003E4424" w:rsidRDefault="003E4424" w:rsidP="003E4424">
      <w:pPr>
        <w:spacing w:after="0" w:line="240" w:lineRule="auto"/>
        <w:rPr>
          <w:sz w:val="24"/>
          <w:szCs w:val="24"/>
          <w:lang w:eastAsia="en-AU"/>
        </w:rPr>
      </w:pPr>
      <w:r>
        <w:t>Table 7.3 provides information on new applications, renewals of approvals and approval expiries for projects during 2013–14.</w:t>
      </w:r>
      <w:r>
        <w:rPr>
          <w:sz w:val="24"/>
          <w:szCs w:val="24"/>
          <w:lang w:eastAsia="en-AU"/>
        </w:rPr>
        <w:t xml:space="preserve"> </w:t>
      </w:r>
    </w:p>
    <w:p w:rsidR="001A2862" w:rsidRDefault="001A2862" w:rsidP="003E4424">
      <w:pPr>
        <w:spacing w:after="0" w:line="240" w:lineRule="auto"/>
        <w:rPr>
          <w:sz w:val="24"/>
          <w:szCs w:val="24"/>
          <w:lang w:eastAsia="en-AU"/>
        </w:rPr>
      </w:pPr>
    </w:p>
    <w:tbl>
      <w:tblPr>
        <w:tblW w:w="7513" w:type="dxa"/>
        <w:tblCellMar>
          <w:left w:w="0" w:type="dxa"/>
          <w:right w:w="0" w:type="dxa"/>
        </w:tblCellMar>
        <w:tblLook w:val="04A0"/>
      </w:tblPr>
      <w:tblGrid>
        <w:gridCol w:w="2552"/>
        <w:gridCol w:w="1559"/>
        <w:gridCol w:w="992"/>
        <w:gridCol w:w="1276"/>
        <w:gridCol w:w="1134"/>
      </w:tblGrid>
      <w:tr w:rsidR="003E4424" w:rsidTr="003E4424">
        <w:tc>
          <w:tcPr>
            <w:tcW w:w="7513" w:type="dxa"/>
            <w:gridSpan w:val="5"/>
            <w:shd w:val="clear" w:color="auto" w:fill="D9D9D9"/>
            <w:hideMark/>
          </w:tcPr>
          <w:p w:rsidR="003E4424" w:rsidRDefault="003E4424">
            <w:pPr>
              <w:pStyle w:val="tablecaption"/>
            </w:pPr>
            <w:r>
              <w:t>Table 7.3  Animal Experimentation Ethics Approvals</w:t>
            </w:r>
          </w:p>
        </w:tc>
      </w:tr>
      <w:tr w:rsidR="003E4424" w:rsidTr="003E4424">
        <w:tc>
          <w:tcPr>
            <w:tcW w:w="2552" w:type="dxa"/>
            <w:tcBorders>
              <w:top w:val="nil"/>
              <w:left w:val="nil"/>
              <w:bottom w:val="single" w:sz="8" w:space="0" w:color="BFBFBF" w:themeColor="background1" w:themeShade="BF"/>
              <w:right w:val="nil"/>
            </w:tcBorders>
            <w:hideMark/>
          </w:tcPr>
          <w:p w:rsidR="003E4424" w:rsidRDefault="003E4424">
            <w:pPr>
              <w:pStyle w:val="table1"/>
            </w:pPr>
            <w:r>
              <w:t>Project title</w:t>
            </w:r>
          </w:p>
        </w:tc>
        <w:tc>
          <w:tcPr>
            <w:tcW w:w="1559" w:type="dxa"/>
            <w:tcBorders>
              <w:top w:val="nil"/>
              <w:left w:val="nil"/>
              <w:bottom w:val="single" w:sz="8" w:space="0" w:color="BFBFBF" w:themeColor="background1" w:themeShade="BF"/>
              <w:right w:val="nil"/>
            </w:tcBorders>
            <w:hideMark/>
          </w:tcPr>
          <w:p w:rsidR="003E4424" w:rsidRDefault="003E4424">
            <w:pPr>
              <w:pStyle w:val="table1"/>
              <w:jc w:val="center"/>
            </w:pPr>
            <w:r>
              <w:t>Ref no</w:t>
            </w:r>
          </w:p>
        </w:tc>
        <w:tc>
          <w:tcPr>
            <w:tcW w:w="992" w:type="dxa"/>
            <w:tcBorders>
              <w:top w:val="nil"/>
              <w:left w:val="nil"/>
              <w:bottom w:val="single" w:sz="8" w:space="0" w:color="BFBFBF" w:themeColor="background1" w:themeShade="BF"/>
              <w:right w:val="nil"/>
            </w:tcBorders>
            <w:hideMark/>
          </w:tcPr>
          <w:p w:rsidR="003E4424" w:rsidRDefault="003E4424">
            <w:pPr>
              <w:pStyle w:val="table1"/>
              <w:jc w:val="center"/>
            </w:pPr>
            <w:r>
              <w:t>Initial submission</w:t>
            </w:r>
          </w:p>
        </w:tc>
        <w:tc>
          <w:tcPr>
            <w:tcW w:w="1276" w:type="dxa"/>
            <w:tcBorders>
              <w:top w:val="nil"/>
              <w:left w:val="nil"/>
              <w:bottom w:val="single" w:sz="8" w:space="0" w:color="BFBFBF" w:themeColor="background1" w:themeShade="BF"/>
              <w:right w:val="nil"/>
            </w:tcBorders>
            <w:hideMark/>
          </w:tcPr>
          <w:p w:rsidR="003E4424" w:rsidRDefault="003E4424">
            <w:pPr>
              <w:pStyle w:val="table1"/>
              <w:jc w:val="center"/>
            </w:pPr>
            <w:r>
              <w:t>Approval/latest renewal</w:t>
            </w:r>
          </w:p>
        </w:tc>
        <w:tc>
          <w:tcPr>
            <w:tcW w:w="1134" w:type="dxa"/>
            <w:tcBorders>
              <w:top w:val="nil"/>
              <w:left w:val="nil"/>
              <w:bottom w:val="single" w:sz="8" w:space="0" w:color="BFBFBF" w:themeColor="background1" w:themeShade="BF"/>
              <w:right w:val="nil"/>
            </w:tcBorders>
            <w:hideMark/>
          </w:tcPr>
          <w:p w:rsidR="003E4424" w:rsidRDefault="003E4424">
            <w:pPr>
              <w:pStyle w:val="table1"/>
              <w:jc w:val="center"/>
            </w:pPr>
            <w:r>
              <w:t>Expiry</w:t>
            </w:r>
          </w:p>
        </w:tc>
      </w:tr>
      <w:tr w:rsidR="003E4424" w:rsidTr="003E4424">
        <w:tc>
          <w:tcPr>
            <w:tcW w:w="2552" w:type="dxa"/>
            <w:tcBorders>
              <w:top w:val="single" w:sz="8" w:space="0" w:color="BFBFBF" w:themeColor="background1" w:themeShade="BF"/>
              <w:left w:val="nil"/>
              <w:bottom w:val="nil"/>
              <w:right w:val="nil"/>
            </w:tcBorders>
            <w:hideMark/>
          </w:tcPr>
          <w:p w:rsidR="003E4424" w:rsidRDefault="003E4424">
            <w:pPr>
              <w:pStyle w:val="table1"/>
            </w:pPr>
            <w:r>
              <w:t xml:space="preserve">Larval fish toxicity testing at </w:t>
            </w:r>
            <w:r>
              <w:rPr>
                <w:rFonts w:ascii="Times New Roman" w:hAnsi="Times New Roman"/>
                <w:b/>
                <w:bCs/>
                <w:i/>
                <w:iCs/>
                <w:sz w:val="20"/>
              </w:rPr>
              <w:t>eriss</w:t>
            </w:r>
          </w:p>
        </w:tc>
        <w:tc>
          <w:tcPr>
            <w:tcW w:w="1559" w:type="dxa"/>
            <w:tcBorders>
              <w:top w:val="single" w:sz="8" w:space="0" w:color="BFBFBF" w:themeColor="background1" w:themeShade="BF"/>
              <w:left w:val="nil"/>
              <w:bottom w:val="nil"/>
              <w:right w:val="nil"/>
            </w:tcBorders>
            <w:hideMark/>
          </w:tcPr>
          <w:p w:rsidR="003E4424" w:rsidRDefault="003E4424">
            <w:pPr>
              <w:pStyle w:val="table1"/>
              <w:jc w:val="center"/>
            </w:pPr>
            <w:r>
              <w:t>A12028</w:t>
            </w:r>
            <w:r>
              <w:br/>
              <w:t>(previously 97016)</w:t>
            </w:r>
          </w:p>
        </w:tc>
        <w:tc>
          <w:tcPr>
            <w:tcW w:w="992" w:type="dxa"/>
            <w:tcBorders>
              <w:top w:val="single" w:sz="8" w:space="0" w:color="BFBFBF" w:themeColor="background1" w:themeShade="BF"/>
              <w:left w:val="nil"/>
              <w:bottom w:val="nil"/>
              <w:right w:val="nil"/>
            </w:tcBorders>
            <w:hideMark/>
          </w:tcPr>
          <w:p w:rsidR="003E4424" w:rsidRDefault="003E4424">
            <w:pPr>
              <w:pStyle w:val="table1"/>
              <w:jc w:val="center"/>
            </w:pPr>
            <w:r>
              <w:t>26 May 1997</w:t>
            </w:r>
          </w:p>
        </w:tc>
        <w:tc>
          <w:tcPr>
            <w:tcW w:w="1276" w:type="dxa"/>
            <w:tcBorders>
              <w:top w:val="single" w:sz="8" w:space="0" w:color="BFBFBF" w:themeColor="background1" w:themeShade="BF"/>
              <w:left w:val="nil"/>
              <w:bottom w:val="nil"/>
              <w:right w:val="nil"/>
            </w:tcBorders>
            <w:hideMark/>
          </w:tcPr>
          <w:p w:rsidR="003E4424" w:rsidRDefault="003E4424" w:rsidP="003E1B35">
            <w:pPr>
              <w:pStyle w:val="table1"/>
              <w:jc w:val="center"/>
            </w:pPr>
            <w:r>
              <w:t>2 Aug</w:t>
            </w:r>
            <w:r w:rsidR="003E1B35">
              <w:t xml:space="preserve"> - </w:t>
            </w:r>
            <w:r>
              <w:br/>
              <w:t>Sept 2012</w:t>
            </w:r>
          </w:p>
        </w:tc>
        <w:tc>
          <w:tcPr>
            <w:tcW w:w="1134" w:type="dxa"/>
            <w:tcBorders>
              <w:top w:val="single" w:sz="8" w:space="0" w:color="BFBFBF" w:themeColor="background1" w:themeShade="BF"/>
              <w:left w:val="nil"/>
              <w:bottom w:val="nil"/>
              <w:right w:val="nil"/>
            </w:tcBorders>
            <w:hideMark/>
          </w:tcPr>
          <w:p w:rsidR="003E4424" w:rsidRDefault="003E4424" w:rsidP="003E1B35">
            <w:pPr>
              <w:pStyle w:val="table1"/>
              <w:jc w:val="center"/>
            </w:pPr>
            <w:r>
              <w:t>2 Sept</w:t>
            </w:r>
            <w:r w:rsidR="003E1B35">
              <w:t xml:space="preserve"> </w:t>
            </w:r>
            <w:r>
              <w:t>2014</w:t>
            </w:r>
          </w:p>
        </w:tc>
      </w:tr>
      <w:tr w:rsidR="003E4424" w:rsidTr="003E4424">
        <w:tc>
          <w:tcPr>
            <w:tcW w:w="2552" w:type="dxa"/>
            <w:hideMark/>
          </w:tcPr>
          <w:p w:rsidR="003E4424" w:rsidRDefault="003E4424">
            <w:pPr>
              <w:pStyle w:val="table1"/>
            </w:pPr>
            <w:r>
              <w:rPr>
                <w:lang w:val="en-US"/>
              </w:rPr>
              <w:t>Monitoring mining impact using the structure of fish communities in shallow billabongs</w:t>
            </w:r>
          </w:p>
        </w:tc>
        <w:tc>
          <w:tcPr>
            <w:tcW w:w="1559" w:type="dxa"/>
            <w:hideMark/>
          </w:tcPr>
          <w:p w:rsidR="003E4424" w:rsidRDefault="003E4424">
            <w:pPr>
              <w:pStyle w:val="table1"/>
              <w:jc w:val="center"/>
            </w:pPr>
            <w:r>
              <w:t xml:space="preserve">A12007 </w:t>
            </w:r>
            <w:r>
              <w:br/>
              <w:t>(previously A09001)</w:t>
            </w:r>
          </w:p>
        </w:tc>
        <w:tc>
          <w:tcPr>
            <w:tcW w:w="992" w:type="dxa"/>
            <w:vAlign w:val="center"/>
            <w:hideMark/>
          </w:tcPr>
          <w:p w:rsidR="003E4424" w:rsidRDefault="003E4424">
            <w:pPr>
              <w:pStyle w:val="table1"/>
              <w:jc w:val="center"/>
            </w:pPr>
            <w:r>
              <w:t>25 Sep</w:t>
            </w:r>
            <w:r w:rsidR="000D7A14">
              <w:t>t</w:t>
            </w:r>
            <w:r>
              <w:t xml:space="preserve"> 2000</w:t>
            </w:r>
          </w:p>
        </w:tc>
        <w:tc>
          <w:tcPr>
            <w:tcW w:w="1276" w:type="dxa"/>
            <w:vAlign w:val="center"/>
            <w:hideMark/>
          </w:tcPr>
          <w:p w:rsidR="003E4424" w:rsidRDefault="003E4424">
            <w:pPr>
              <w:pStyle w:val="table1"/>
              <w:jc w:val="center"/>
            </w:pPr>
            <w:r>
              <w:t>06 June 2014</w:t>
            </w:r>
          </w:p>
        </w:tc>
        <w:tc>
          <w:tcPr>
            <w:tcW w:w="1134" w:type="dxa"/>
            <w:vAlign w:val="center"/>
            <w:hideMark/>
          </w:tcPr>
          <w:p w:rsidR="003E4424" w:rsidRDefault="003E4424">
            <w:pPr>
              <w:pStyle w:val="table1"/>
              <w:jc w:val="center"/>
            </w:pPr>
            <w:r>
              <w:t xml:space="preserve">06 June 2016 </w:t>
            </w:r>
          </w:p>
        </w:tc>
      </w:tr>
      <w:tr w:rsidR="003E4424" w:rsidTr="003E4424">
        <w:tc>
          <w:tcPr>
            <w:tcW w:w="2552" w:type="dxa"/>
            <w:tcBorders>
              <w:top w:val="nil"/>
              <w:left w:val="nil"/>
              <w:bottom w:val="single" w:sz="8" w:space="0" w:color="BFBFBF" w:themeColor="background1" w:themeShade="BF"/>
              <w:right w:val="nil"/>
            </w:tcBorders>
            <w:hideMark/>
          </w:tcPr>
          <w:p w:rsidR="003E4424" w:rsidRDefault="003E4424">
            <w:pPr>
              <w:pStyle w:val="table1"/>
              <w:rPr>
                <w:lang w:val="en-US"/>
              </w:rPr>
            </w:pPr>
            <w:r>
              <w:rPr>
                <w:lang w:val="en-US"/>
              </w:rPr>
              <w:t>Fish community sampling in channel billabongs around Ranger mine using boat visual census</w:t>
            </w:r>
          </w:p>
        </w:tc>
        <w:tc>
          <w:tcPr>
            <w:tcW w:w="1559" w:type="dxa"/>
            <w:tcBorders>
              <w:top w:val="nil"/>
              <w:left w:val="nil"/>
              <w:bottom w:val="single" w:sz="8" w:space="0" w:color="BFBFBF" w:themeColor="background1" w:themeShade="BF"/>
              <w:right w:val="nil"/>
            </w:tcBorders>
            <w:vAlign w:val="center"/>
            <w:hideMark/>
          </w:tcPr>
          <w:p w:rsidR="003E4424" w:rsidRDefault="003E4424">
            <w:pPr>
              <w:pStyle w:val="table1"/>
              <w:jc w:val="center"/>
            </w:pPr>
            <w:r>
              <w:t>A11034</w:t>
            </w:r>
          </w:p>
        </w:tc>
        <w:tc>
          <w:tcPr>
            <w:tcW w:w="992" w:type="dxa"/>
            <w:tcBorders>
              <w:top w:val="nil"/>
              <w:left w:val="nil"/>
              <w:bottom w:val="single" w:sz="8" w:space="0" w:color="BFBFBF" w:themeColor="background1" w:themeShade="BF"/>
              <w:right w:val="nil"/>
            </w:tcBorders>
            <w:vAlign w:val="center"/>
            <w:hideMark/>
          </w:tcPr>
          <w:p w:rsidR="003E4424" w:rsidRDefault="003E4424">
            <w:pPr>
              <w:pStyle w:val="table1"/>
              <w:jc w:val="center"/>
            </w:pPr>
            <w:r>
              <w:t>22 Feb 2012</w:t>
            </w:r>
          </w:p>
        </w:tc>
        <w:tc>
          <w:tcPr>
            <w:tcW w:w="1276" w:type="dxa"/>
            <w:tcBorders>
              <w:top w:val="nil"/>
              <w:left w:val="nil"/>
              <w:bottom w:val="single" w:sz="8" w:space="0" w:color="BFBFBF" w:themeColor="background1" w:themeShade="BF"/>
              <w:right w:val="nil"/>
            </w:tcBorders>
            <w:vAlign w:val="center"/>
            <w:hideMark/>
          </w:tcPr>
          <w:p w:rsidR="003E4424" w:rsidRDefault="003E4424">
            <w:pPr>
              <w:pStyle w:val="table1"/>
              <w:jc w:val="center"/>
            </w:pPr>
            <w:r>
              <w:t>05 Mar 2014</w:t>
            </w:r>
          </w:p>
        </w:tc>
        <w:tc>
          <w:tcPr>
            <w:tcW w:w="1134" w:type="dxa"/>
            <w:tcBorders>
              <w:top w:val="nil"/>
              <w:left w:val="nil"/>
              <w:bottom w:val="single" w:sz="8" w:space="0" w:color="BFBFBF" w:themeColor="background1" w:themeShade="BF"/>
              <w:right w:val="nil"/>
            </w:tcBorders>
            <w:vAlign w:val="center"/>
            <w:hideMark/>
          </w:tcPr>
          <w:p w:rsidR="003E4424" w:rsidRDefault="003E4424">
            <w:pPr>
              <w:pStyle w:val="table1"/>
              <w:jc w:val="center"/>
            </w:pPr>
            <w:r>
              <w:t>05 Mar 2016</w:t>
            </w:r>
          </w:p>
        </w:tc>
      </w:tr>
    </w:tbl>
    <w:p w:rsidR="00E87DED" w:rsidRDefault="00E87DED" w:rsidP="00A00BA3">
      <w:pPr>
        <w:sectPr w:rsidR="00E87DED">
          <w:headerReference w:type="even" r:id="rId141"/>
          <w:headerReference w:type="default" r:id="rId142"/>
          <w:footerReference w:type="even" r:id="rId143"/>
          <w:footerReference w:type="default" r:id="rId144"/>
          <w:headerReference w:type="first" r:id="rId145"/>
          <w:footerReference w:type="first" r:id="rId146"/>
          <w:pgSz w:w="10325" w:h="14573" w:code="13"/>
          <w:pgMar w:top="1440" w:right="1440" w:bottom="1440" w:left="1440" w:header="720" w:footer="720" w:gutter="0"/>
          <w:cols w:space="360"/>
          <w:noEndnote/>
          <w:titlePg/>
        </w:sectPr>
      </w:pPr>
    </w:p>
    <w:p w:rsidR="001E2A81" w:rsidRDefault="001E2A81" w:rsidP="00DE799E">
      <w:pPr>
        <w:pStyle w:val="Heading1"/>
        <w:rPr>
          <w:lang w:val="en-US"/>
        </w:rPr>
      </w:pPr>
      <w:bookmarkStart w:id="299" w:name="_Toc399928226"/>
      <w:bookmarkEnd w:id="258"/>
      <w:r>
        <w:rPr>
          <w:lang w:val="en-US"/>
        </w:rPr>
        <w:t xml:space="preserve">Appendix </w:t>
      </w:r>
      <w:proofErr w:type="gramStart"/>
      <w:r>
        <w:rPr>
          <w:lang w:val="en-US"/>
        </w:rPr>
        <w:t>1  ARRTC</w:t>
      </w:r>
      <w:proofErr w:type="gramEnd"/>
      <w:r>
        <w:rPr>
          <w:lang w:val="en-US"/>
        </w:rPr>
        <w:t xml:space="preserve"> Key Knowledge Needs</w:t>
      </w:r>
      <w:r>
        <w:t>: Uranium mining in the Alligator Rivers Region</w:t>
      </w:r>
      <w:bookmarkEnd w:id="299"/>
    </w:p>
    <w:p w:rsidR="005D45FC" w:rsidRPr="00A97510" w:rsidRDefault="005D45FC" w:rsidP="005D45FC">
      <w:pPr>
        <w:pStyle w:val="Heading2"/>
        <w:rPr>
          <w:sz w:val="30"/>
          <w:szCs w:val="30"/>
        </w:rPr>
      </w:pPr>
      <w:bookmarkStart w:id="300" w:name="_Toc209513827"/>
      <w:bookmarkStart w:id="301" w:name="_Toc209842555"/>
      <w:bookmarkStart w:id="302" w:name="_Toc240197831"/>
      <w:bookmarkStart w:id="303" w:name="_Toc240277604"/>
      <w:bookmarkStart w:id="304" w:name="_Toc272771525"/>
      <w:bookmarkStart w:id="305" w:name="_Toc274817029"/>
      <w:bookmarkStart w:id="306" w:name="_Toc303074468"/>
      <w:bookmarkStart w:id="307" w:name="_Toc334196181"/>
      <w:bookmarkStart w:id="308" w:name="_Toc365036685"/>
      <w:bookmarkStart w:id="309" w:name="_Toc365635609"/>
      <w:bookmarkStart w:id="310" w:name="_Toc396375434"/>
      <w:bookmarkStart w:id="311" w:name="_Toc396990213"/>
      <w:bookmarkStart w:id="312" w:name="_Toc397433348"/>
      <w:bookmarkStart w:id="313" w:name="_Toc399157576"/>
      <w:bookmarkStart w:id="314" w:name="_Toc399321048"/>
      <w:bookmarkStart w:id="315" w:name="_Toc399925874"/>
      <w:bookmarkStart w:id="316" w:name="_Toc399928227"/>
      <w:r w:rsidRPr="00A97510">
        <w:rPr>
          <w:sz w:val="30"/>
          <w:szCs w:val="30"/>
        </w:rPr>
        <w:t>Overall objective</w:t>
      </w:r>
      <w:bookmarkEnd w:id="300"/>
      <w:bookmarkEnd w:id="301"/>
      <w:bookmarkEnd w:id="302"/>
      <w:bookmarkEnd w:id="303"/>
      <w:bookmarkEnd w:id="304"/>
      <w:bookmarkEnd w:id="305"/>
      <w:bookmarkEnd w:id="306"/>
      <w:bookmarkEnd w:id="307"/>
      <w:bookmarkEnd w:id="308"/>
      <w:bookmarkEnd w:id="309"/>
      <w:bookmarkEnd w:id="310"/>
      <w:bookmarkEnd w:id="311"/>
      <w:bookmarkEnd w:id="312"/>
      <w:bookmarkEnd w:id="313"/>
      <w:bookmarkEnd w:id="314"/>
      <w:bookmarkEnd w:id="315"/>
      <w:bookmarkEnd w:id="316"/>
    </w:p>
    <w:p w:rsidR="005D45FC" w:rsidRDefault="005D45FC" w:rsidP="005D45FC">
      <w:r>
        <w:t>To undertake relevant research that will generate knowledge leading to improved management and protection of the ARR and monitoring that will be sufficiently sensitive to assess whether or not the environment is protected to the high standard demanded by the Australian Government and community.</w:t>
      </w:r>
    </w:p>
    <w:p w:rsidR="005D45FC" w:rsidRDefault="005D45FC" w:rsidP="005D45FC">
      <w:pPr>
        <w:pStyle w:val="Heading2"/>
      </w:pPr>
      <w:bookmarkStart w:id="317" w:name="_Toc209513828"/>
      <w:bookmarkStart w:id="318" w:name="_Toc209842556"/>
      <w:bookmarkStart w:id="319" w:name="_Toc240197832"/>
      <w:bookmarkStart w:id="320" w:name="_Toc240277605"/>
      <w:bookmarkStart w:id="321" w:name="_Toc272771526"/>
      <w:bookmarkStart w:id="322" w:name="_Toc274817030"/>
      <w:bookmarkStart w:id="323" w:name="_Toc303074469"/>
      <w:bookmarkStart w:id="324" w:name="_Toc334196182"/>
      <w:bookmarkStart w:id="325" w:name="_Toc365036686"/>
      <w:bookmarkStart w:id="326" w:name="_Toc365635610"/>
      <w:bookmarkStart w:id="327" w:name="_Toc396375435"/>
      <w:bookmarkStart w:id="328" w:name="_Toc396990214"/>
      <w:bookmarkStart w:id="329" w:name="_Toc397433349"/>
      <w:bookmarkStart w:id="330" w:name="_Toc399157577"/>
      <w:bookmarkStart w:id="331" w:name="_Toc399321049"/>
      <w:bookmarkStart w:id="332" w:name="_Toc399925875"/>
      <w:bookmarkStart w:id="333" w:name="_Toc399928228"/>
      <w:r w:rsidRPr="00A97510">
        <w:rPr>
          <w:sz w:val="30"/>
          <w:szCs w:val="30"/>
        </w:rPr>
        <w:t>Background</w:t>
      </w:r>
      <w:bookmarkEnd w:id="317"/>
      <w:bookmarkEnd w:id="318"/>
      <w:bookmarkEnd w:id="319"/>
      <w:bookmarkEnd w:id="320"/>
      <w:bookmarkEnd w:id="321"/>
      <w:bookmarkEnd w:id="322"/>
      <w:bookmarkEnd w:id="323"/>
      <w:bookmarkEnd w:id="324"/>
      <w:bookmarkEnd w:id="325"/>
      <w:bookmarkEnd w:id="326"/>
      <w:bookmarkEnd w:id="327"/>
      <w:bookmarkEnd w:id="328"/>
      <w:bookmarkEnd w:id="329"/>
      <w:bookmarkEnd w:id="330"/>
      <w:bookmarkEnd w:id="331"/>
      <w:bookmarkEnd w:id="332"/>
      <w:bookmarkEnd w:id="333"/>
    </w:p>
    <w:p w:rsidR="005D45FC" w:rsidRDefault="005D45FC" w:rsidP="005D45FC">
      <w:r>
        <w:t>In assessing the Key Knowledge Needs for research and monitoring in the Alligator Rivers Region, ARRTC has taken into account current mining plans in the region and the standards for environmental protection and rehabilitation determined by the Australian Government. The assumptions made for uranium mining operations in the region are:</w:t>
      </w:r>
    </w:p>
    <w:p w:rsidR="005D45FC" w:rsidRDefault="00405604" w:rsidP="00405604">
      <w:pPr>
        <w:pStyle w:val="bulletlist1"/>
      </w:pPr>
      <w:proofErr w:type="gramStart"/>
      <w:r>
        <w:t>m</w:t>
      </w:r>
      <w:r w:rsidR="005D45FC">
        <w:t>ining</w:t>
      </w:r>
      <w:proofErr w:type="gramEnd"/>
      <w:r w:rsidR="005D45FC">
        <w:t xml:space="preserve"> of uranium at Ranger cease</w:t>
      </w:r>
      <w:r>
        <w:t>d</w:t>
      </w:r>
      <w:r w:rsidR="005D45FC">
        <w:t xml:space="preserve"> in 2012. This will be followed by milling until about 2020 and final rehabilitation expecte</w:t>
      </w:r>
      <w:r>
        <w:t>d to be completed by about 2026.</w:t>
      </w:r>
    </w:p>
    <w:p w:rsidR="005D45FC" w:rsidRDefault="005D45FC" w:rsidP="00405604">
      <w:pPr>
        <w:pStyle w:val="bulletlist1"/>
      </w:pPr>
      <w:r>
        <w:t>Nabarlek is decommissioned but has not reached a status where the NT Government will agree to issue a Revegetation Certificate to the mine operator. Assessment of the success of rehabilitation at Nabarlek is ongoing and may provide valuable data for consideration in the design and implementat</w:t>
      </w:r>
      <w:r w:rsidR="00405604">
        <w:t>ion of rehabilitation at Ranger.</w:t>
      </w:r>
    </w:p>
    <w:p w:rsidR="005D45FC" w:rsidRDefault="005D45FC" w:rsidP="00405604">
      <w:pPr>
        <w:pStyle w:val="bulletlist1"/>
      </w:pPr>
      <w:r>
        <w:t>Jabiluka will remain in a care and maintenance condition for some years. ERA, the project owner, has stated that further mining will not occur without the agreement of the traditional owners; and</w:t>
      </w:r>
    </w:p>
    <w:p w:rsidR="005D45FC" w:rsidRDefault="005D45FC" w:rsidP="00405604">
      <w:pPr>
        <w:pStyle w:val="bulletlist1"/>
      </w:pPr>
      <w:proofErr w:type="gramStart"/>
      <w:r>
        <w:t>grant</w:t>
      </w:r>
      <w:proofErr w:type="gramEnd"/>
      <w:r>
        <w:t xml:space="preserve"> of an exploration title at Koongarra is required under the terms of the </w:t>
      </w:r>
      <w:r>
        <w:rPr>
          <w:i/>
          <w:lang w:val="en-US"/>
        </w:rPr>
        <w:t>Aboriginal Land Rights (Northern Territory) Act 1976</w:t>
      </w:r>
      <w:r>
        <w:rPr>
          <w:lang w:val="en-US"/>
        </w:rPr>
        <w:t xml:space="preserve"> </w:t>
      </w:r>
      <w:r>
        <w:t>before the mining company can apply for a mining title.  As such, any future activity at Koongarra is subject to the agreement of the traditional owners and the Northern Land Council.</w:t>
      </w:r>
    </w:p>
    <w:p w:rsidR="005D45FC" w:rsidRDefault="005D45FC" w:rsidP="005D45FC">
      <w:r>
        <w:t>This scenario is considered to be a reasonable basis on which to base plans for research and monitoring, but such plans may need to be amended if mining plans change in the future. ARRTC will ensure the research and monitoring strategy is flexible enough to accommodate any new knowledge needs.</w:t>
      </w:r>
      <w:r w:rsidR="004B6CDB">
        <w:t xml:space="preserve"> </w:t>
      </w:r>
      <w:r>
        <w:t xml:space="preserve">The Australian Government has specified </w:t>
      </w:r>
      <w:r w:rsidR="000D7A14">
        <w:t>p</w:t>
      </w:r>
      <w:r>
        <w:t xml:space="preserve">rimary and </w:t>
      </w:r>
      <w:r w:rsidR="000D7A14">
        <w:t>s</w:t>
      </w:r>
      <w:r>
        <w:t>econdary environmental objectives for mining at Ranger in the Ranger Environmental Requirements. Similar standards would be expected for any future mining development at Jabiluka or Koongarra.</w:t>
      </w:r>
    </w:p>
    <w:p w:rsidR="004B6CDB" w:rsidRDefault="004B6CDB" w:rsidP="005D45FC"/>
    <w:p w:rsidR="005D45FC" w:rsidRPr="005D45FC" w:rsidRDefault="005D45FC" w:rsidP="005D45FC">
      <w:r w:rsidRPr="005D45FC">
        <w:t>Specifically, under the Ranger Environmental Requirements (ERs):</w:t>
      </w:r>
    </w:p>
    <w:p w:rsidR="005D45FC" w:rsidRPr="005D45FC" w:rsidRDefault="005D45FC" w:rsidP="005D45FC">
      <w:r w:rsidRPr="005D45FC">
        <w:t>The company must ensure that operations at Ranger are undertaken in such a way as to be consistent with the following primary environmental objectives:</w:t>
      </w:r>
    </w:p>
    <w:p w:rsidR="005D45FC" w:rsidRPr="00405604" w:rsidRDefault="005D45FC" w:rsidP="00CA7E3D">
      <w:pPr>
        <w:pStyle w:val="List2"/>
        <w:ind w:left="426" w:hanging="426"/>
      </w:pPr>
      <w:r w:rsidRPr="00405604">
        <w:t>(a)</w:t>
      </w:r>
      <w:r w:rsidRPr="00405604">
        <w:tab/>
      </w:r>
      <w:proofErr w:type="gramStart"/>
      <w:r w:rsidRPr="00405604">
        <w:t>maintain</w:t>
      </w:r>
      <w:proofErr w:type="gramEnd"/>
      <w:r w:rsidRPr="00405604">
        <w:t xml:space="preserve"> the values for which Kakadu National Park </w:t>
      </w:r>
      <w:r w:rsidR="00D81430">
        <w:t xml:space="preserve">(KNP) </w:t>
      </w:r>
      <w:r w:rsidRPr="00405604">
        <w:t>was inscribed on the World Heritage List</w:t>
      </w:r>
      <w:r w:rsidR="00043EA4">
        <w:t>.</w:t>
      </w:r>
    </w:p>
    <w:p w:rsidR="005D45FC" w:rsidRPr="00405604" w:rsidRDefault="005D45FC" w:rsidP="00CA7E3D">
      <w:pPr>
        <w:pStyle w:val="List2"/>
        <w:ind w:left="426" w:hanging="426"/>
      </w:pPr>
      <w:r w:rsidRPr="00405604">
        <w:t>(b)</w:t>
      </w:r>
      <w:r w:rsidRPr="00405604">
        <w:tab/>
      </w:r>
      <w:proofErr w:type="gramStart"/>
      <w:r w:rsidRPr="00405604">
        <w:t>maintain</w:t>
      </w:r>
      <w:proofErr w:type="gramEnd"/>
      <w:r w:rsidRPr="00405604">
        <w:t xml:space="preserve"> the ecosystem health of the wetlands listed under the Ramsar Convention on Wetlands (i</w:t>
      </w:r>
      <w:r w:rsidR="006F36EE">
        <w:t>.</w:t>
      </w:r>
      <w:r w:rsidRPr="00405604">
        <w:t>e</w:t>
      </w:r>
      <w:r w:rsidR="006F36EE">
        <w:t>.</w:t>
      </w:r>
      <w:r w:rsidR="00CA7E3D">
        <w:t xml:space="preserve"> </w:t>
      </w:r>
      <w:r w:rsidRPr="00405604">
        <w:t>the wetla</w:t>
      </w:r>
      <w:r w:rsidR="0044259D">
        <w:t>nds within Stages I and II of KNP</w:t>
      </w:r>
      <w:r w:rsidRPr="00405604">
        <w:t>)</w:t>
      </w:r>
      <w:r w:rsidR="00043EA4">
        <w:t>.</w:t>
      </w:r>
    </w:p>
    <w:p w:rsidR="005D45FC" w:rsidRPr="00405604" w:rsidRDefault="005D45FC" w:rsidP="00CA7E3D">
      <w:pPr>
        <w:pStyle w:val="List2"/>
        <w:ind w:left="426" w:hanging="426"/>
      </w:pPr>
      <w:r w:rsidRPr="00405604">
        <w:t>(c)</w:t>
      </w:r>
      <w:r w:rsidRPr="00405604">
        <w:tab/>
        <w:t xml:space="preserve">protect the health of </w:t>
      </w:r>
      <w:r w:rsidR="000A08E4">
        <w:t>Indigenous</w:t>
      </w:r>
      <w:r w:rsidRPr="00405604">
        <w:t xml:space="preserve"> and other members of the regional community, and</w:t>
      </w:r>
    </w:p>
    <w:p w:rsidR="005D45FC" w:rsidRPr="00405604" w:rsidRDefault="005D45FC" w:rsidP="00CA7E3D">
      <w:pPr>
        <w:pStyle w:val="List2"/>
        <w:ind w:left="426" w:hanging="426"/>
      </w:pPr>
      <w:r w:rsidRPr="00405604">
        <w:t>(d)</w:t>
      </w:r>
      <w:r w:rsidRPr="00405604">
        <w:tab/>
      </w:r>
      <w:proofErr w:type="gramStart"/>
      <w:r w:rsidRPr="00405604">
        <w:t>maintain</w:t>
      </w:r>
      <w:proofErr w:type="gramEnd"/>
      <w:r w:rsidRPr="00405604">
        <w:t xml:space="preserve"> the natural biological diversity of aquatic and terrestrial ecosystems of the Alligator Rivers Region, including ecological processes.</w:t>
      </w:r>
    </w:p>
    <w:p w:rsidR="005D45FC" w:rsidRPr="005D45FC" w:rsidRDefault="005D45FC" w:rsidP="005D45FC">
      <w:r w:rsidRPr="005D45FC">
        <w:t xml:space="preserve">With respect to </w:t>
      </w:r>
      <w:r w:rsidR="003F4ABF">
        <w:t>rehabilitation at Ranger, the ER</w:t>
      </w:r>
      <w:r w:rsidRPr="005D45FC">
        <w:t>s state that:</w:t>
      </w:r>
    </w:p>
    <w:p w:rsidR="005D45FC" w:rsidRPr="005D45FC" w:rsidRDefault="005D45FC" w:rsidP="00D81430">
      <w:pPr>
        <w:pStyle w:val="Quote1"/>
      </w:pPr>
      <w:r w:rsidRPr="005D45FC">
        <w:t xml:space="preserve">The company must rehabilitate the Ranger Project Area to establish an environment similar to the adjacent areas of </w:t>
      </w:r>
      <w:r w:rsidR="00D81430">
        <w:t>KNP</w:t>
      </w:r>
      <w:r w:rsidRPr="005D45FC">
        <w:t xml:space="preserve"> such that, in the opinion of the Minister with the advice of the Supervising Scientist, the rehabilitated area could be incorporated into the </w:t>
      </w:r>
      <w:r w:rsidR="00D81430">
        <w:t>KNP</w:t>
      </w:r>
      <w:r w:rsidRPr="005D45FC">
        <w:t>.</w:t>
      </w:r>
    </w:p>
    <w:p w:rsidR="005D45FC" w:rsidRPr="005D45FC" w:rsidRDefault="003F4ABF" w:rsidP="005D45FC">
      <w:r>
        <w:t>The ER</w:t>
      </w:r>
      <w:r w:rsidR="005D45FC" w:rsidRPr="005D45FC">
        <w:t>s go on to specify the major objectives of rehabilitation at Ranger as follows:</w:t>
      </w:r>
    </w:p>
    <w:p w:rsidR="005D45FC" w:rsidRPr="005D45FC" w:rsidRDefault="005D45FC" w:rsidP="00CA7E3D">
      <w:pPr>
        <w:pStyle w:val="List2"/>
        <w:ind w:left="426" w:hanging="426"/>
      </w:pPr>
      <w:r w:rsidRPr="005D45FC">
        <w:t>(a)</w:t>
      </w:r>
      <w:r w:rsidRPr="005D45FC">
        <w:tab/>
        <w:t xml:space="preserve">revegetation of the disturbed sites of the Ranger Project Area using local native plant species similar in density and abundance to those existing in adjacent areas of </w:t>
      </w:r>
      <w:r w:rsidR="00D81430">
        <w:t>KNP</w:t>
      </w:r>
      <w:r w:rsidRPr="005D45FC">
        <w:t>, to form an ecosystem the long term viability of which would not require a maintenance regime significantly different from that appropriate to adjacent areas of the park</w:t>
      </w:r>
      <w:r w:rsidR="00A97510">
        <w:t>.</w:t>
      </w:r>
    </w:p>
    <w:p w:rsidR="005D45FC" w:rsidRPr="005D45FC" w:rsidRDefault="005D45FC" w:rsidP="00CA7E3D">
      <w:pPr>
        <w:pStyle w:val="List2"/>
        <w:ind w:left="426" w:hanging="426"/>
      </w:pPr>
      <w:r w:rsidRPr="005D45FC">
        <w:t>(b)</w:t>
      </w:r>
      <w:r w:rsidRPr="005D45FC">
        <w:tab/>
        <w:t>stable radiological conditions on areas impacted by mining so that the health risk to members of the public, including traditional owners, is as low as reasonably achievable; members of the public do not receive a radiation dose which exceeds applicable limits recommended by the most recently published and relevant Australian standards, codes of practice, and guidelines; and there is a minimum of restrictions on the use of the area</w:t>
      </w:r>
      <w:r w:rsidR="00A97510">
        <w:t>.</w:t>
      </w:r>
    </w:p>
    <w:p w:rsidR="005D45FC" w:rsidRPr="005D45FC" w:rsidRDefault="005D45FC" w:rsidP="00CA7E3D">
      <w:pPr>
        <w:pStyle w:val="List2"/>
        <w:ind w:left="426" w:hanging="426"/>
      </w:pPr>
      <w:r w:rsidRPr="005D45FC">
        <w:t>(c)</w:t>
      </w:r>
      <w:r w:rsidRPr="005D45FC">
        <w:tab/>
      </w:r>
      <w:proofErr w:type="gramStart"/>
      <w:r w:rsidRPr="005D45FC">
        <w:t>erosion</w:t>
      </w:r>
      <w:proofErr w:type="gramEnd"/>
      <w:r w:rsidRPr="005D45FC">
        <w:t xml:space="preserve"> characteristics which, as far as can reasonably be achieved, do not vary significantly from those of comparable landforms in surrounding undisturbed areas</w:t>
      </w:r>
      <w:r w:rsidR="00A97510">
        <w:t>.</w:t>
      </w:r>
    </w:p>
    <w:p w:rsidR="005D45FC" w:rsidRPr="005D45FC" w:rsidRDefault="005D45FC" w:rsidP="005D45FC">
      <w:r w:rsidRPr="005D45FC">
        <w:t>A secondary environmental objective applies to water quality</w:t>
      </w:r>
      <w:r w:rsidR="00D81430">
        <w:t xml:space="preserve"> and is linked to the primary ER</w:t>
      </w:r>
      <w:r w:rsidRPr="005D45FC">
        <w:t>s. This ER states:</w:t>
      </w:r>
    </w:p>
    <w:p w:rsidR="005D45FC" w:rsidRPr="005D45FC" w:rsidRDefault="005D45FC" w:rsidP="00D81430">
      <w:pPr>
        <w:pStyle w:val="Quote1"/>
      </w:pPr>
      <w:r w:rsidRPr="005D45FC">
        <w:t>The company must not allow either surface or ground waters arising or discharging from the Ranger Project Area during its operation, or during or following rehabilitation, to compromise the achievement of the primary environmental objectives.</w:t>
      </w:r>
    </w:p>
    <w:p w:rsidR="005D45FC" w:rsidRPr="005D45FC" w:rsidRDefault="005D45FC" w:rsidP="005D45FC">
      <w:r w:rsidRPr="005D45FC">
        <w:t>While there are many possible different structures that could be used to specify the Key Knowledge Needs, ARRTC has chosen to list the knowledge needs under the following headings:</w:t>
      </w:r>
    </w:p>
    <w:p w:rsidR="005D45FC" w:rsidRPr="00A97510" w:rsidRDefault="005D45FC" w:rsidP="00A97510">
      <w:pPr>
        <w:pStyle w:val="bulletlist1"/>
      </w:pPr>
      <w:r w:rsidRPr="00A97510">
        <w:t>Ranger – current operations</w:t>
      </w:r>
    </w:p>
    <w:p w:rsidR="005D45FC" w:rsidRPr="00A97510" w:rsidRDefault="005D45FC" w:rsidP="00A97510">
      <w:pPr>
        <w:pStyle w:val="bulletlist1"/>
      </w:pPr>
      <w:r w:rsidRPr="00A97510">
        <w:t>Ranger – rehabilitation</w:t>
      </w:r>
    </w:p>
    <w:p w:rsidR="005D45FC" w:rsidRPr="00A97510" w:rsidRDefault="005D45FC" w:rsidP="00A97510">
      <w:pPr>
        <w:pStyle w:val="bulletlist1"/>
      </w:pPr>
      <w:r w:rsidRPr="00A97510">
        <w:t>Jabiluka</w:t>
      </w:r>
    </w:p>
    <w:p w:rsidR="005D45FC" w:rsidRPr="00A97510" w:rsidRDefault="005D45FC" w:rsidP="00A97510">
      <w:pPr>
        <w:pStyle w:val="bulletlist1"/>
      </w:pPr>
      <w:r w:rsidRPr="00A97510">
        <w:t>Nabarlek</w:t>
      </w:r>
    </w:p>
    <w:p w:rsidR="005D45FC" w:rsidRPr="00A97510" w:rsidRDefault="005D45FC" w:rsidP="00A97510">
      <w:pPr>
        <w:pStyle w:val="bulletlist1"/>
      </w:pPr>
      <w:r w:rsidRPr="00A97510">
        <w:t>General Alligator Rivers Region</w:t>
      </w:r>
    </w:p>
    <w:p w:rsidR="005D45FC" w:rsidRPr="004C6033" w:rsidRDefault="005D45FC" w:rsidP="00A97510">
      <w:pPr>
        <w:pStyle w:val="Heading2"/>
        <w:rPr>
          <w:sz w:val="30"/>
          <w:szCs w:val="30"/>
        </w:rPr>
      </w:pPr>
      <w:bookmarkStart w:id="334" w:name="_Toc209513829"/>
      <w:bookmarkStart w:id="335" w:name="_Toc209842557"/>
      <w:bookmarkStart w:id="336" w:name="_Toc240197833"/>
      <w:bookmarkStart w:id="337" w:name="_Toc240277606"/>
      <w:bookmarkStart w:id="338" w:name="_Toc272771527"/>
      <w:bookmarkStart w:id="339" w:name="_Toc274817031"/>
      <w:bookmarkStart w:id="340" w:name="_Toc303074470"/>
      <w:bookmarkStart w:id="341" w:name="_Toc334196183"/>
      <w:bookmarkStart w:id="342" w:name="_Toc365036687"/>
      <w:bookmarkStart w:id="343" w:name="_Toc365635611"/>
      <w:bookmarkStart w:id="344" w:name="_Toc396375436"/>
      <w:bookmarkStart w:id="345" w:name="_Toc396990215"/>
      <w:bookmarkStart w:id="346" w:name="_Toc397433350"/>
      <w:bookmarkStart w:id="347" w:name="_Toc399157578"/>
      <w:bookmarkStart w:id="348" w:name="_Toc399321050"/>
      <w:bookmarkStart w:id="349" w:name="_Toc399925876"/>
      <w:bookmarkStart w:id="350" w:name="_Toc399928229"/>
      <w:r w:rsidRPr="004C6033">
        <w:rPr>
          <w:sz w:val="30"/>
          <w:szCs w:val="30"/>
        </w:rPr>
        <w:t>1  Ranger – Current operations</w:t>
      </w:r>
      <w:bookmarkEnd w:id="334"/>
      <w:bookmarkEnd w:id="335"/>
      <w:bookmarkEnd w:id="336"/>
      <w:bookmarkEnd w:id="337"/>
      <w:bookmarkEnd w:id="338"/>
      <w:bookmarkEnd w:id="339"/>
      <w:bookmarkEnd w:id="340"/>
      <w:bookmarkEnd w:id="341"/>
      <w:bookmarkEnd w:id="342"/>
      <w:bookmarkEnd w:id="343"/>
      <w:bookmarkEnd w:id="344"/>
      <w:bookmarkEnd w:id="345"/>
      <w:bookmarkEnd w:id="346"/>
      <w:bookmarkEnd w:id="347"/>
      <w:bookmarkEnd w:id="348"/>
      <w:bookmarkEnd w:id="349"/>
      <w:bookmarkEnd w:id="350"/>
    </w:p>
    <w:p w:rsidR="005D45FC" w:rsidRPr="005D45FC" w:rsidRDefault="005D45FC" w:rsidP="00A97510">
      <w:pPr>
        <w:pStyle w:val="Heading2"/>
      </w:pPr>
      <w:bookmarkStart w:id="351" w:name="_Toc209513830"/>
      <w:bookmarkStart w:id="352" w:name="_Toc209842558"/>
      <w:bookmarkStart w:id="353" w:name="_Toc240197834"/>
      <w:bookmarkStart w:id="354" w:name="_Toc240277607"/>
      <w:bookmarkStart w:id="355" w:name="_Toc272771528"/>
      <w:bookmarkStart w:id="356" w:name="_Toc274817032"/>
      <w:bookmarkStart w:id="357" w:name="_Toc303074471"/>
      <w:bookmarkStart w:id="358" w:name="_Toc334196184"/>
      <w:bookmarkStart w:id="359" w:name="_Toc365036688"/>
      <w:bookmarkStart w:id="360" w:name="_Toc365635612"/>
      <w:bookmarkStart w:id="361" w:name="_Toc396375437"/>
      <w:bookmarkStart w:id="362" w:name="_Toc396990216"/>
      <w:bookmarkStart w:id="363" w:name="_Toc397433351"/>
      <w:bookmarkStart w:id="364" w:name="_Toc399157579"/>
      <w:bookmarkStart w:id="365" w:name="_Toc399321051"/>
      <w:bookmarkStart w:id="366" w:name="_Toc399925877"/>
      <w:bookmarkStart w:id="367" w:name="_Toc399928230"/>
      <w:r w:rsidRPr="005D45FC">
        <w:t>1.1  Reassess existing threats</w:t>
      </w:r>
      <w:bookmarkEnd w:id="351"/>
      <w:bookmarkEnd w:id="352"/>
      <w:bookmarkEnd w:id="353"/>
      <w:bookmarkEnd w:id="354"/>
      <w:bookmarkEnd w:id="355"/>
      <w:bookmarkEnd w:id="356"/>
      <w:bookmarkEnd w:id="357"/>
      <w:bookmarkEnd w:id="358"/>
      <w:bookmarkEnd w:id="359"/>
      <w:bookmarkEnd w:id="360"/>
      <w:bookmarkEnd w:id="361"/>
      <w:bookmarkEnd w:id="362"/>
      <w:bookmarkEnd w:id="363"/>
      <w:bookmarkEnd w:id="364"/>
      <w:bookmarkEnd w:id="365"/>
      <w:bookmarkEnd w:id="366"/>
      <w:bookmarkEnd w:id="367"/>
    </w:p>
    <w:p w:rsidR="005D45FC" w:rsidRPr="005D45FC" w:rsidRDefault="005D45FC" w:rsidP="00A97510">
      <w:pPr>
        <w:pStyle w:val="Heading3"/>
      </w:pPr>
      <w:r w:rsidRPr="005D45FC">
        <w:t>1.1.1  Surface water transport of radionuclides</w:t>
      </w:r>
    </w:p>
    <w:p w:rsidR="005D45FC" w:rsidRPr="005D45FC" w:rsidRDefault="005D45FC" w:rsidP="005D45FC">
      <w:r w:rsidRPr="005D45FC">
        <w:t xml:space="preserve">Using existing </w:t>
      </w:r>
      <w:proofErr w:type="gramStart"/>
      <w:r w:rsidRPr="005D45FC">
        <w:t>data,</w:t>
      </w:r>
      <w:proofErr w:type="gramEnd"/>
      <w:r w:rsidRPr="005D45FC">
        <w:t xml:space="preserve"> assess the present and future risks of increased radiation doses to the </w:t>
      </w:r>
      <w:r w:rsidR="005259B3">
        <w:t>Indigenous</w:t>
      </w:r>
      <w:r w:rsidRPr="005D45FC">
        <w:t xml:space="preserve"> population eating bush tucker potentially contaminated by the mining operations bearing in mind that the current traditional owners derive a significant proportion of their food from bush tucker.</w:t>
      </w:r>
    </w:p>
    <w:p w:rsidR="005D45FC" w:rsidRPr="005D45FC" w:rsidRDefault="005D45FC" w:rsidP="00A97510">
      <w:pPr>
        <w:pStyle w:val="Heading3"/>
      </w:pPr>
      <w:r w:rsidRPr="005D45FC">
        <w:t>1.1.2  Atmospheric transport of radionuclides</w:t>
      </w:r>
    </w:p>
    <w:p w:rsidR="005D45FC" w:rsidRPr="005D45FC" w:rsidRDefault="005D45FC" w:rsidP="005D45FC">
      <w:r w:rsidRPr="005D45FC">
        <w:t xml:space="preserve">Using existing data and atmospheric transport </w:t>
      </w:r>
      <w:proofErr w:type="gramStart"/>
      <w:r w:rsidRPr="005D45FC">
        <w:t>models,</w:t>
      </w:r>
      <w:proofErr w:type="gramEnd"/>
      <w:r w:rsidRPr="005D45FC">
        <w:t xml:space="preserve"> review and summarise, within a risk framework, dose rates for members of the general public arising from operations at the Ranger mine.</w:t>
      </w:r>
    </w:p>
    <w:p w:rsidR="005D45FC" w:rsidRPr="005D45FC" w:rsidRDefault="005D45FC" w:rsidP="009B7A07">
      <w:pPr>
        <w:pStyle w:val="Heading2"/>
      </w:pPr>
      <w:bookmarkStart w:id="368" w:name="_Toc209513831"/>
      <w:bookmarkStart w:id="369" w:name="_Toc209842559"/>
      <w:bookmarkStart w:id="370" w:name="_Toc240197835"/>
      <w:bookmarkStart w:id="371" w:name="_Toc240277608"/>
      <w:bookmarkStart w:id="372" w:name="_Toc272771529"/>
      <w:bookmarkStart w:id="373" w:name="_Toc274817033"/>
      <w:bookmarkStart w:id="374" w:name="_Toc303074472"/>
      <w:bookmarkStart w:id="375" w:name="_Toc334196185"/>
      <w:bookmarkStart w:id="376" w:name="_Toc365036689"/>
      <w:bookmarkStart w:id="377" w:name="_Toc365635613"/>
      <w:bookmarkStart w:id="378" w:name="_Toc396375438"/>
      <w:bookmarkStart w:id="379" w:name="_Toc396990217"/>
      <w:bookmarkStart w:id="380" w:name="_Toc397433352"/>
      <w:bookmarkStart w:id="381" w:name="_Toc399157580"/>
      <w:bookmarkStart w:id="382" w:name="_Toc399321052"/>
      <w:bookmarkStart w:id="383" w:name="_Toc399925878"/>
      <w:bookmarkStart w:id="384" w:name="_Toc399928231"/>
      <w:r w:rsidRPr="005D45FC">
        <w:t>1.2  Ongoing operational issues</w:t>
      </w:r>
      <w:bookmarkEnd w:id="368"/>
      <w:bookmarkEnd w:id="369"/>
      <w:bookmarkEnd w:id="370"/>
      <w:bookmarkEnd w:id="371"/>
      <w:bookmarkEnd w:id="372"/>
      <w:bookmarkEnd w:id="373"/>
      <w:bookmarkEnd w:id="374"/>
      <w:bookmarkEnd w:id="375"/>
      <w:bookmarkEnd w:id="376"/>
      <w:bookmarkEnd w:id="377"/>
      <w:bookmarkEnd w:id="378"/>
      <w:bookmarkEnd w:id="379"/>
      <w:bookmarkEnd w:id="380"/>
      <w:bookmarkEnd w:id="381"/>
      <w:bookmarkEnd w:id="382"/>
      <w:bookmarkEnd w:id="383"/>
      <w:bookmarkEnd w:id="384"/>
    </w:p>
    <w:p w:rsidR="005D45FC" w:rsidRPr="005D45FC" w:rsidRDefault="005D45FC" w:rsidP="009B7A07">
      <w:pPr>
        <w:pStyle w:val="Heading3"/>
      </w:pPr>
      <w:r w:rsidRPr="005D45FC">
        <w:t>1.2.1  Ecological risks via the surface water pathway</w:t>
      </w:r>
    </w:p>
    <w:p w:rsidR="005D45FC" w:rsidRPr="005D45FC" w:rsidRDefault="005D45FC" w:rsidP="005D45FC">
      <w:r w:rsidRPr="005D45FC">
        <w:t>Off-site contamination during mine operation (and subsequent to decommissioning – refer KKN 2.6.1) should be placed in a risk-based context. A conceptual model of the introduction, movement and distribution of contaminants, and the resultant biotic exposure (human and non-human) has been developed, and the ecological risks (i</w:t>
      </w:r>
      <w:r w:rsidR="009B7A07">
        <w:t>.</w:t>
      </w:r>
      <w:r w:rsidRPr="005D45FC">
        <w:t>e</w:t>
      </w:r>
      <w:r w:rsidR="009B7A07">
        <w:t>.</w:t>
      </w:r>
      <w:r w:rsidRPr="005D45FC">
        <w:t xml:space="preserve"> probability of occurrence </w:t>
      </w:r>
      <w:r w:rsidR="00D81430">
        <w:t>x</w:t>
      </w:r>
      <w:r w:rsidRPr="005D45FC">
        <w:t xml:space="preserve"> severity of consequence) of some of the contaminant/pathway sub-models have been estimated. This process should be completed for all the contaminant/pathway sub-models, noting, however, that the level of effort for each needs to be proportionate to the level of concern of the issue. It is critical that robust risk assessment methodologies are used, and that they explicitly incorporate uncertainty in both the assessment and subsequent decision making processes. Where ecological risk is significant, additional information may be required (e</w:t>
      </w:r>
      <w:r w:rsidR="00056175">
        <w:t>.</w:t>
      </w:r>
      <w:r w:rsidRPr="005D45FC">
        <w:t>g</w:t>
      </w:r>
      <w:r w:rsidR="00056175">
        <w:t>.</w:t>
      </w:r>
      <w:r w:rsidRPr="005D45FC">
        <w:t xml:space="preserve"> mass-balance and concentration dynamics, consideration of possible interactive effects, field data). Further, knowledge gaps preventing reasonable estimation of potential risks (i</w:t>
      </w:r>
      <w:r w:rsidR="00056175">
        <w:t>.</w:t>
      </w:r>
      <w:r w:rsidRPr="005D45FC">
        <w:t>e</w:t>
      </w:r>
      <w:r w:rsidR="00056175">
        <w:t>.</w:t>
      </w:r>
      <w:r w:rsidRPr="005D45FC">
        <w:t xml:space="preserve"> with unacceptable uncertainty) must be filled.</w:t>
      </w:r>
    </w:p>
    <w:p w:rsidR="005D45FC" w:rsidRPr="005D45FC" w:rsidRDefault="005D45FC" w:rsidP="005D45FC">
      <w:r w:rsidRPr="005D45FC">
        <w:t xml:space="preserve">The Magela floodplain risk assessment framework developed to estimate and compare mining and non-mining impacts should be revisited periodically, and updated to the current risk profile. It should be revised in the event that </w:t>
      </w:r>
      <w:r w:rsidRPr="005D45FC">
        <w:rPr>
          <w:bCs/>
        </w:rPr>
        <w:t xml:space="preserve">either </w:t>
      </w:r>
      <w:r w:rsidRPr="005D45FC">
        <w:rPr>
          <w:b/>
          <w:bCs/>
        </w:rPr>
        <w:t xml:space="preserve">(i) </w:t>
      </w:r>
      <w:r w:rsidRPr="005D45FC">
        <w:t>the annual monitoring program</w:t>
      </w:r>
      <w:r w:rsidR="00936D05">
        <w:t>me</w:t>
      </w:r>
      <w:r w:rsidRPr="005D45FC">
        <w:t xml:space="preserve"> or other sources indicate </w:t>
      </w:r>
      <w:r w:rsidRPr="005D45FC">
        <w:rPr>
          <w:bCs/>
        </w:rPr>
        <w:t>that</w:t>
      </w:r>
      <w:r w:rsidRPr="005D45FC">
        <w:t xml:space="preserve"> the inputs from mining have significantly increased relative to the situation in 2005, or </w:t>
      </w:r>
      <w:r w:rsidRPr="005D45FC">
        <w:rPr>
          <w:b/>
          <w:bCs/>
        </w:rPr>
        <w:t xml:space="preserve">(ii) </w:t>
      </w:r>
      <w:r w:rsidRPr="005D45FC">
        <w:rPr>
          <w:bCs/>
        </w:rPr>
        <w:t>an</w:t>
      </w:r>
      <w:r w:rsidRPr="005D45FC">
        <w:t xml:space="preserve"> additional significant contaminant transport pathway from the minesite is identified, </w:t>
      </w:r>
      <w:r w:rsidRPr="005D45FC">
        <w:rPr>
          <w:bCs/>
        </w:rPr>
        <w:t>or</w:t>
      </w:r>
      <w:r w:rsidRPr="005D45FC">
        <w:rPr>
          <w:b/>
          <w:bCs/>
        </w:rPr>
        <w:t xml:space="preserve"> (iii) </w:t>
      </w:r>
      <w:r w:rsidRPr="005D45FC">
        <w:t xml:space="preserve">there is a change in external stressors that could result in a significant increase in likelihood of impacts from the site. </w:t>
      </w:r>
    </w:p>
    <w:p w:rsidR="005D45FC" w:rsidRPr="005D45FC" w:rsidRDefault="005D45FC" w:rsidP="004C6033">
      <w:pPr>
        <w:pStyle w:val="Heading3"/>
      </w:pPr>
      <w:smartTag w:uri="urn:schemas-microsoft-com:office:smarttags" w:element="place">
        <w:smartTag w:uri="urn:schemas-microsoft-com:office:smarttags" w:element="PlaceName">
          <w:r w:rsidRPr="005D45FC">
            <w:t>1.2.2</w:t>
          </w:r>
        </w:smartTag>
        <w:r w:rsidRPr="005D45FC">
          <w:t xml:space="preserve">  </w:t>
        </w:r>
        <w:smartTag w:uri="urn:schemas-microsoft-com:office:smarttags" w:element="PlaceType">
          <w:r w:rsidRPr="005D45FC">
            <w:t>Land</w:t>
          </w:r>
        </w:smartTag>
      </w:smartTag>
      <w:r w:rsidRPr="005D45FC">
        <w:t xml:space="preserve"> irrigation</w:t>
      </w:r>
    </w:p>
    <w:p w:rsidR="005D45FC" w:rsidRPr="005D45FC" w:rsidRDefault="005D45FC" w:rsidP="005D45FC">
      <w:r w:rsidRPr="005D45FC">
        <w:t xml:space="preserve">Investigations are required into the storage and transport of contaminants in the land irrigation areas particularly subsequent to decommissioning. Contaminants of interest/concern in addition to radionuclides are magnesium, </w:t>
      </w:r>
      <w:r w:rsidRPr="005D45FC">
        <w:pgNum/>
      </w:r>
      <w:r w:rsidR="00043EA4">
        <w:t xml:space="preserve"> </w:t>
      </w:r>
      <w:r w:rsidRPr="005D45FC">
        <w:t>ecquere and manganese. Results from these investigations should be sufficient to quantify the role of irrigation areas as part of satisfying KKN 1.2.1, and form the basis for risk management into the future.</w:t>
      </w:r>
    </w:p>
    <w:p w:rsidR="005D45FC" w:rsidRPr="005D45FC" w:rsidRDefault="005D45FC" w:rsidP="004C6033">
      <w:pPr>
        <w:pStyle w:val="Heading3"/>
      </w:pPr>
      <w:r w:rsidRPr="005D45FC">
        <w:t>1.2.3  Wetland filters</w:t>
      </w:r>
    </w:p>
    <w:p w:rsidR="005D45FC" w:rsidRPr="005D45FC" w:rsidRDefault="005D45FC" w:rsidP="005D45FC">
      <w:r w:rsidRPr="005D45FC">
        <w:t>The key research issue associated with wetland filters in relation to ongoing operations is to determine whether their capacity to remove contaminants from the water column will continue to meet the needs of the water management system in order to ensure protection of the downstream environment. Aspects of contaminant removal capacity include (i) instantaneous rates of removal, (ii) temporal performance – including time to saturation, and (iii) behaviour under ‘breakdown’ conditions – including future stability after closure. Related to this is a reconciliation of the solute mass balance particularly for the Corridor Creek System (see KKN 1.2.5).</w:t>
      </w:r>
    </w:p>
    <w:p w:rsidR="005D45FC" w:rsidRPr="005D45FC" w:rsidRDefault="005D45FC" w:rsidP="004C6033">
      <w:pPr>
        <w:pStyle w:val="Heading3"/>
      </w:pPr>
      <w:r w:rsidRPr="005D45FC">
        <w:t>1.2.4  Ecotoxicology</w:t>
      </w:r>
    </w:p>
    <w:p w:rsidR="005D45FC" w:rsidRPr="005D45FC" w:rsidRDefault="005D45FC" w:rsidP="005D45FC">
      <w:r w:rsidRPr="005D45FC">
        <w:t>Past laboratory studies provide a significant bank of knowledge regarding the toxicity of two of the major contaminants, uranium and magnesium, associated with uranium mining in the ARR. Further studies are scheduled to assess (i) the toxicity of manganese and, potentially, ammonia (in the event that permeate produced by process water treatment will contain potentially toxic ammonia concentrations), and (ii) the relationship between dissolved organic matter and uranium toxicity. This knowledge should continue to be synthesised and interpreted, within the existing risk assessment framework (refer KKN 1.2.1), as it comes to hand.</w:t>
      </w:r>
    </w:p>
    <w:p w:rsidR="005D45FC" w:rsidRPr="005D45FC" w:rsidRDefault="005D45FC" w:rsidP="005D45FC">
      <w:r w:rsidRPr="005D45FC">
        <w:t>An additional issue that needs to be addressed is the direct and indirect effects on aquatic biota of sediment arising from the mine site. In the first instance, a conceptual model needs to be developed (building on the relevant components of the conceptual model developed under KKN 1.2.1) that describes the movement of sediment within the creek system, including the associated metal-sediment interactions and biological implications. Studies likely to arise from the outcomes of the conceptual model include:</w:t>
      </w:r>
    </w:p>
    <w:p w:rsidR="005D45FC" w:rsidRPr="005D45FC" w:rsidRDefault="005D45FC" w:rsidP="004C6033">
      <w:pPr>
        <w:pStyle w:val="bulletlist1"/>
      </w:pPr>
      <w:r w:rsidRPr="005D45FC">
        <w:t>the effects of susp</w:t>
      </w:r>
      <w:r w:rsidR="004C6033">
        <w:t>ended sediment on aquatic biota</w:t>
      </w:r>
    </w:p>
    <w:p w:rsidR="005D45FC" w:rsidRPr="005D45FC" w:rsidRDefault="005D45FC" w:rsidP="004C6033">
      <w:pPr>
        <w:pStyle w:val="bulletlist1"/>
      </w:pPr>
      <w:r w:rsidRPr="005D45FC">
        <w:t xml:space="preserve">the relationship between suspended sediment and key metals, and how this affects their bioavailability and toxicity </w:t>
      </w:r>
    </w:p>
    <w:p w:rsidR="005D45FC" w:rsidRPr="005D45FC" w:rsidRDefault="005D45FC" w:rsidP="004C6033">
      <w:pPr>
        <w:pStyle w:val="bulletlist1"/>
      </w:pPr>
      <w:r w:rsidRPr="005D45FC">
        <w:t>the effects of sediment-bound metals to benthic biota, including, initially, a review of existing information on uranium concentrations in sediments of waterbodies both on- and off the Ranger site, and uranium sedime</w:t>
      </w:r>
      <w:r w:rsidR="004C6033">
        <w:t>nt toxicity to freshwater biota.</w:t>
      </w:r>
      <w:r w:rsidRPr="005D45FC">
        <w:t xml:space="preserve"> </w:t>
      </w:r>
    </w:p>
    <w:p w:rsidR="005D45FC" w:rsidRPr="005D45FC" w:rsidRDefault="005D45FC" w:rsidP="005D45FC">
      <w:r w:rsidRPr="005D45FC">
        <w:t xml:space="preserve">Whilst of relevance at present, the above issues will be of additional importance as Ranger progresses towards closure and rehabilitation (refer KKN 2.6.1). Finally, the need for studies to assess the toxicity of various mine waters (treated and untreated) in response to specific supervisory/regulatory or operational requirements is likely to continue. </w:t>
      </w:r>
    </w:p>
    <w:p w:rsidR="005D45FC" w:rsidRPr="005D45FC" w:rsidRDefault="005D45FC" w:rsidP="004C6033">
      <w:pPr>
        <w:pStyle w:val="Heading3"/>
      </w:pPr>
      <w:r w:rsidRPr="005D45FC">
        <w:t>1.2.5  Mass balances and annual load limits</w:t>
      </w:r>
    </w:p>
    <w:p w:rsidR="005D45FC" w:rsidRPr="005D45FC" w:rsidRDefault="005D45FC" w:rsidP="005D45FC">
      <w:r w:rsidRPr="005D45FC">
        <w:t xml:space="preserve">With the expansion of land application areas and the increase in stockpile sheeting that has occurred in concert with the expansion of the footprints of the waste rock dumps and low grade ore stockpiles, it is becoming increasingly important to develop a solute mass balance for the site – such that the behaviour of major solute source terms and the spatial and temporal contribution of these sources to water quality in Magela Creek can be clearly understood. Validated grab sample and continuous data records are needed to construct a high reliability solute mass balance model. </w:t>
      </w:r>
    </w:p>
    <w:p w:rsidR="005D45FC" w:rsidRPr="005D45FC" w:rsidRDefault="005D45FC" w:rsidP="005D45FC">
      <w:r w:rsidRPr="005D45FC">
        <w:t xml:space="preserve">Related to mass balance is the issue of specifying allowable annual load limits from the site – as part of the site’s regulatory requirements. The technical basis for </w:t>
      </w:r>
      <w:proofErr w:type="gramStart"/>
      <w:r w:rsidRPr="005D45FC">
        <w:t>these load</w:t>
      </w:r>
      <w:proofErr w:type="gramEnd"/>
      <w:r w:rsidRPr="005D45FC">
        <w:t xml:space="preserve"> limits needs to be reviewed since they were originally developed decades ago. There has since been significantly increased knowledge of the environmental geochemistry of the site, a quantum increase in knowledge about ecotoxicological sensitivity of the aquatic systems and updated data on the diet profile of traditional owners.</w:t>
      </w:r>
    </w:p>
    <w:p w:rsidR="005D45FC" w:rsidRPr="005D45FC" w:rsidRDefault="005D45FC" w:rsidP="004C6033">
      <w:pPr>
        <w:pStyle w:val="Heading2"/>
      </w:pPr>
      <w:bookmarkStart w:id="385" w:name="_Toc209513832"/>
      <w:bookmarkStart w:id="386" w:name="_Toc209842560"/>
      <w:bookmarkStart w:id="387" w:name="_Toc240197836"/>
      <w:bookmarkStart w:id="388" w:name="_Toc240277609"/>
      <w:bookmarkStart w:id="389" w:name="_Toc272771530"/>
      <w:bookmarkStart w:id="390" w:name="_Toc274817034"/>
      <w:bookmarkStart w:id="391" w:name="_Toc303074473"/>
      <w:bookmarkStart w:id="392" w:name="_Toc334196186"/>
      <w:bookmarkStart w:id="393" w:name="_Toc365036690"/>
      <w:bookmarkStart w:id="394" w:name="_Toc365635614"/>
      <w:bookmarkStart w:id="395" w:name="_Toc396375439"/>
      <w:bookmarkStart w:id="396" w:name="_Toc396990218"/>
      <w:bookmarkStart w:id="397" w:name="_Toc397433353"/>
      <w:bookmarkStart w:id="398" w:name="_Toc399157581"/>
      <w:bookmarkStart w:id="399" w:name="_Toc399321053"/>
      <w:bookmarkStart w:id="400" w:name="_Toc399925879"/>
      <w:bookmarkStart w:id="401" w:name="_Toc399928232"/>
      <w:r w:rsidRPr="005D45FC">
        <w:t>1.3  Monitoring</w:t>
      </w:r>
      <w:bookmarkEnd w:id="385"/>
      <w:bookmarkEnd w:id="386"/>
      <w:bookmarkEnd w:id="387"/>
      <w:bookmarkEnd w:id="388"/>
      <w:bookmarkEnd w:id="389"/>
      <w:bookmarkEnd w:id="390"/>
      <w:bookmarkEnd w:id="391"/>
      <w:bookmarkEnd w:id="392"/>
      <w:bookmarkEnd w:id="393"/>
      <w:bookmarkEnd w:id="394"/>
      <w:bookmarkEnd w:id="395"/>
      <w:bookmarkEnd w:id="396"/>
      <w:bookmarkEnd w:id="397"/>
      <w:bookmarkEnd w:id="398"/>
      <w:bookmarkEnd w:id="399"/>
      <w:bookmarkEnd w:id="400"/>
      <w:bookmarkEnd w:id="401"/>
    </w:p>
    <w:p w:rsidR="005D45FC" w:rsidRPr="005D45FC" w:rsidRDefault="005D45FC" w:rsidP="004C6033">
      <w:pPr>
        <w:pStyle w:val="Heading3"/>
      </w:pPr>
      <w:r w:rsidRPr="005D45FC">
        <w:t>1.3.1  Surface water, groundwater, chemical, biological, sediment, radiological monitoring</w:t>
      </w:r>
    </w:p>
    <w:p w:rsidR="005D45FC" w:rsidRPr="005D45FC" w:rsidRDefault="005D45FC" w:rsidP="005D45FC">
      <w:r w:rsidRPr="005D45FC">
        <w:t>Routine and project-based chemical, biological, radiological and sediment monitoring should continue, together with associated research of an investigative nature or necessary to refine existing, or develop new (promising) techniques and models. A review of current water quality objectives for Ranger should be conducted to determine if they are adequate for future water management options for the whole-of-site, including the closure and rehabilitation phase (KKN 2.2.1 and KKN 2.2.2).</w:t>
      </w:r>
    </w:p>
    <w:p w:rsidR="004B6CDB" w:rsidRDefault="005D45FC" w:rsidP="004B6CDB">
      <w:r w:rsidRPr="005D45FC">
        <w:t>ARRTC supports the design and implementation of a risk-based radiological monitoring program</w:t>
      </w:r>
      <w:r w:rsidR="00936D05">
        <w:t>me</w:t>
      </w:r>
      <w:r w:rsidRPr="005D45FC">
        <w:t xml:space="preserve"> based on a robust statistical analysis of the data collected over the life of Ranger necessary </w:t>
      </w:r>
      <w:r w:rsidRPr="005D45FC">
        <w:rPr>
          <w:bCs/>
          <w:iCs/>
        </w:rPr>
        <w:t xml:space="preserve">to provide assurance for </w:t>
      </w:r>
      <w:r w:rsidR="005259B3">
        <w:rPr>
          <w:bCs/>
          <w:iCs/>
        </w:rPr>
        <w:t>Indigenous</w:t>
      </w:r>
      <w:r w:rsidRPr="005D45FC">
        <w:rPr>
          <w:bCs/>
          <w:iCs/>
        </w:rPr>
        <w:t xml:space="preserve"> people who source food items from the Magela Creek system downstream of Ranger</w:t>
      </w:r>
      <w:r w:rsidRPr="005D45FC">
        <w:t>.</w:t>
      </w:r>
      <w:bookmarkStart w:id="402" w:name="_Toc209513833"/>
      <w:bookmarkStart w:id="403" w:name="_Toc209842561"/>
      <w:bookmarkStart w:id="404" w:name="_Toc240197837"/>
      <w:bookmarkStart w:id="405" w:name="_Toc240277610"/>
      <w:bookmarkStart w:id="406" w:name="_Toc272771531"/>
      <w:bookmarkStart w:id="407" w:name="_Toc274817035"/>
      <w:bookmarkStart w:id="408" w:name="_Toc303074474"/>
      <w:bookmarkStart w:id="409" w:name="_Toc334196187"/>
      <w:bookmarkStart w:id="410" w:name="_Toc365036691"/>
      <w:bookmarkStart w:id="411" w:name="_Toc365635615"/>
    </w:p>
    <w:p w:rsidR="005D45FC" w:rsidRPr="004C6033" w:rsidRDefault="005D45FC" w:rsidP="004B6CDB">
      <w:pPr>
        <w:pStyle w:val="Heading2"/>
      </w:pPr>
      <w:bookmarkStart w:id="412" w:name="_Toc396375440"/>
      <w:bookmarkStart w:id="413" w:name="_Toc396990219"/>
      <w:bookmarkStart w:id="414" w:name="_Toc397433354"/>
      <w:bookmarkStart w:id="415" w:name="_Toc399157582"/>
      <w:bookmarkStart w:id="416" w:name="_Toc399321054"/>
      <w:bookmarkStart w:id="417" w:name="_Toc399925880"/>
      <w:bookmarkStart w:id="418" w:name="_Toc399928233"/>
      <w:r w:rsidRPr="004C6033">
        <w:t>2  Ranger – Rehabilitation</w:t>
      </w:r>
      <w:bookmarkEnd w:id="402"/>
      <w:bookmarkEnd w:id="403"/>
      <w:bookmarkEnd w:id="404"/>
      <w:bookmarkEnd w:id="405"/>
      <w:bookmarkEnd w:id="406"/>
      <w:bookmarkEnd w:id="407"/>
      <w:bookmarkEnd w:id="408"/>
      <w:bookmarkEnd w:id="409"/>
      <w:bookmarkEnd w:id="410"/>
      <w:bookmarkEnd w:id="411"/>
      <w:bookmarkEnd w:id="412"/>
      <w:bookmarkEnd w:id="413"/>
      <w:bookmarkEnd w:id="414"/>
      <w:bookmarkEnd w:id="415"/>
      <w:bookmarkEnd w:id="416"/>
      <w:bookmarkEnd w:id="417"/>
      <w:bookmarkEnd w:id="418"/>
    </w:p>
    <w:p w:rsidR="005D45FC" w:rsidRPr="005D45FC" w:rsidRDefault="005D45FC" w:rsidP="004C6033">
      <w:pPr>
        <w:pStyle w:val="Heading2"/>
      </w:pPr>
      <w:bookmarkStart w:id="419" w:name="_Toc209513834"/>
      <w:bookmarkStart w:id="420" w:name="_Toc209842562"/>
      <w:bookmarkStart w:id="421" w:name="_Toc240197838"/>
      <w:bookmarkStart w:id="422" w:name="_Toc240277611"/>
      <w:bookmarkStart w:id="423" w:name="_Toc272771532"/>
      <w:bookmarkStart w:id="424" w:name="_Toc274817036"/>
      <w:bookmarkStart w:id="425" w:name="_Toc303074475"/>
      <w:bookmarkStart w:id="426" w:name="_Toc334196188"/>
      <w:bookmarkStart w:id="427" w:name="_Toc365036692"/>
      <w:bookmarkStart w:id="428" w:name="_Toc365635616"/>
      <w:bookmarkStart w:id="429" w:name="_Toc396375441"/>
      <w:bookmarkStart w:id="430" w:name="_Toc396990220"/>
      <w:bookmarkStart w:id="431" w:name="_Toc397433355"/>
      <w:bookmarkStart w:id="432" w:name="_Toc399157583"/>
      <w:bookmarkStart w:id="433" w:name="_Toc399321055"/>
      <w:bookmarkStart w:id="434" w:name="_Toc399925881"/>
      <w:bookmarkStart w:id="435" w:name="_Toc399928234"/>
      <w:r w:rsidRPr="005D45FC">
        <w:t>2.1  Reference state and baseline data</w:t>
      </w:r>
      <w:bookmarkEnd w:id="419"/>
      <w:bookmarkEnd w:id="420"/>
      <w:bookmarkEnd w:id="421"/>
      <w:bookmarkEnd w:id="422"/>
      <w:bookmarkEnd w:id="423"/>
      <w:bookmarkEnd w:id="424"/>
      <w:bookmarkEnd w:id="425"/>
      <w:bookmarkEnd w:id="426"/>
      <w:bookmarkEnd w:id="427"/>
      <w:bookmarkEnd w:id="428"/>
      <w:bookmarkEnd w:id="429"/>
      <w:bookmarkEnd w:id="430"/>
      <w:bookmarkEnd w:id="431"/>
      <w:bookmarkEnd w:id="432"/>
      <w:bookmarkEnd w:id="433"/>
      <w:bookmarkEnd w:id="434"/>
      <w:bookmarkEnd w:id="435"/>
    </w:p>
    <w:p w:rsidR="005D45FC" w:rsidRPr="005D45FC" w:rsidRDefault="005D45FC" w:rsidP="004C6033">
      <w:pPr>
        <w:pStyle w:val="Heading3"/>
      </w:pPr>
      <w:r w:rsidRPr="005D45FC">
        <w:t>2.1.1  Defining the reference state and baseline data</w:t>
      </w:r>
    </w:p>
    <w:p w:rsidR="005D45FC" w:rsidRPr="005D45FC" w:rsidRDefault="005D45FC" w:rsidP="005D45FC">
      <w:r w:rsidRPr="005D45FC">
        <w:t xml:space="preserve">There is a requirement to define the baseline data/reference state that existed at the Ranger site prior to development. This will inform the process of the development of closure criteria which is compatible with the Environmental Requirements. The knowledge need is to develop and perform analysis to generate agreed reference data that cover the range of pre-mining and operational periods. </w:t>
      </w:r>
    </w:p>
    <w:p w:rsidR="005D45FC" w:rsidRPr="005D45FC" w:rsidRDefault="005D45FC" w:rsidP="004C6033">
      <w:pPr>
        <w:pStyle w:val="Heading2"/>
      </w:pPr>
      <w:bookmarkStart w:id="436" w:name="_Toc209513835"/>
      <w:bookmarkStart w:id="437" w:name="_Toc209842563"/>
      <w:bookmarkStart w:id="438" w:name="_Toc240197839"/>
      <w:bookmarkStart w:id="439" w:name="_Toc240277612"/>
      <w:bookmarkStart w:id="440" w:name="_Toc272771533"/>
      <w:bookmarkStart w:id="441" w:name="_Toc274817037"/>
      <w:bookmarkStart w:id="442" w:name="_Toc303074476"/>
      <w:bookmarkStart w:id="443" w:name="_Toc334196189"/>
      <w:bookmarkStart w:id="444" w:name="_Toc365036693"/>
      <w:bookmarkStart w:id="445" w:name="_Toc365635617"/>
      <w:bookmarkStart w:id="446" w:name="_Toc396375442"/>
      <w:bookmarkStart w:id="447" w:name="_Toc396990221"/>
      <w:bookmarkStart w:id="448" w:name="_Toc397433356"/>
      <w:bookmarkStart w:id="449" w:name="_Toc399157584"/>
      <w:bookmarkStart w:id="450" w:name="_Toc399321056"/>
      <w:bookmarkStart w:id="451" w:name="_Toc399925882"/>
      <w:bookmarkStart w:id="452" w:name="_Toc399928235"/>
      <w:r w:rsidRPr="005D45FC">
        <w:t>2.2  Landform</w:t>
      </w:r>
      <w:bookmarkEnd w:id="436"/>
      <w:bookmarkEnd w:id="437"/>
      <w:bookmarkEnd w:id="438"/>
      <w:bookmarkEnd w:id="439"/>
      <w:bookmarkEnd w:id="440"/>
      <w:bookmarkEnd w:id="441"/>
      <w:bookmarkEnd w:id="442"/>
      <w:bookmarkEnd w:id="443"/>
      <w:bookmarkEnd w:id="444"/>
      <w:bookmarkEnd w:id="445"/>
      <w:bookmarkEnd w:id="446"/>
      <w:bookmarkEnd w:id="447"/>
      <w:bookmarkEnd w:id="448"/>
      <w:bookmarkEnd w:id="449"/>
      <w:bookmarkEnd w:id="450"/>
      <w:bookmarkEnd w:id="451"/>
      <w:bookmarkEnd w:id="452"/>
    </w:p>
    <w:p w:rsidR="005D45FC" w:rsidRPr="005D45FC" w:rsidRDefault="005D45FC" w:rsidP="004C6033">
      <w:pPr>
        <w:pStyle w:val="Heading3"/>
      </w:pPr>
      <w:r w:rsidRPr="005D45FC">
        <w:t>2.2.1  Landform design</w:t>
      </w:r>
    </w:p>
    <w:p w:rsidR="005D45FC" w:rsidRPr="005D45FC" w:rsidRDefault="005D45FC" w:rsidP="005D45FC">
      <w:r w:rsidRPr="005D45FC">
        <w:t>An initial design is required for the proposed final landform. This would be based upon the optimum mine plan from the operational point of view and it would take into account the broad closure criteria, engineering considerations and the specific criteria developed for guidance in the design of the landform. This initial landform would need to be optimised using the information obtained in detailed water quality, geomorphic, hydrological and radiological program</w:t>
      </w:r>
      <w:r w:rsidR="00936D05">
        <w:t>me</w:t>
      </w:r>
      <w:r w:rsidRPr="005D45FC">
        <w:t>s listed below.</w:t>
      </w:r>
    </w:p>
    <w:p w:rsidR="005D45FC" w:rsidRPr="005D45FC" w:rsidRDefault="005D45FC" w:rsidP="005D45FC">
      <w:r w:rsidRPr="005D45FC">
        <w:t>Current and trial landforms at Ranger and at other sites such as Nabarlek should be used to test the various models and predictions for water quality, geomorphic behaviour and radiological characteristics at Ranger. The detailed design for the final landform at Ranger should be determined taking into account the results of the above research program</w:t>
      </w:r>
      <w:r w:rsidR="00936D05">
        <w:t>me</w:t>
      </w:r>
      <w:r w:rsidRPr="005D45FC">
        <w:t>s on surface and ground water, geomorphic modelling and radiological characteristics.</w:t>
      </w:r>
    </w:p>
    <w:p w:rsidR="005D45FC" w:rsidRPr="005D45FC" w:rsidRDefault="005D45FC" w:rsidP="004C6033">
      <w:pPr>
        <w:pStyle w:val="Heading3"/>
      </w:pPr>
      <w:r w:rsidRPr="005D45FC">
        <w:t>2.2.2  Development and agreement of closure criteria from the landform perspective</w:t>
      </w:r>
    </w:p>
    <w:p w:rsidR="005D45FC" w:rsidRPr="005D45FC" w:rsidRDefault="005D45FC" w:rsidP="005D45FC">
      <w:r w:rsidRPr="005D45FC">
        <w:t>Closure criteria from the landform perspective need to be established at both the broad scale and the specific. At the broad scale, agreement is needed, particularly with the traditional owners and within the context of the objectives for rehabilitation incorporated within the Ers, on the general strategy to be adopted in constructing the final landform. These considerations would include issues such as maximum height of the landform, the maximum slope gradient (from the aesthetic perspective), and the presence or absence of lakes or open water. At the specific scale, some criteria could usefully be developed as guidance for the initial landform design such as slope length and angle (from the erosion perspective), the minimum cover required over low grade ore, and the minimum distance of low grade ore from batter slopes. Specific criteria are needed that will be used to assess the success of landform construction. These would include, for example, maximum radon exhalation and gamma dose rates, maximum sediment delivery rates, maximum constituent concentration rates in runoff and maximum settling rates over tailings repositories.</w:t>
      </w:r>
    </w:p>
    <w:p w:rsidR="005D45FC" w:rsidRPr="005D45FC" w:rsidRDefault="005D45FC" w:rsidP="004C6033">
      <w:pPr>
        <w:pStyle w:val="Heading3"/>
      </w:pPr>
      <w:r w:rsidRPr="005D45FC">
        <w:t>2.2.3  Water quality in seepage and runoff from the final landform</w:t>
      </w:r>
    </w:p>
    <w:p w:rsidR="005D45FC" w:rsidRPr="005D45FC" w:rsidRDefault="005D45FC" w:rsidP="005D45FC">
      <w:r w:rsidRPr="005D45FC">
        <w:t>Existing water quality monitoring and research data on surface runoff and subsurface flow need to be analysed to develop models for the quality of water, and its time dependence, that would enter major drainage lines from the initial landform design. Options for adjusting the design to minimise solute concentrations and loads leaving the landform need to be assessed.</w:t>
      </w:r>
    </w:p>
    <w:p w:rsidR="005D45FC" w:rsidRPr="005D45FC" w:rsidRDefault="005D45FC" w:rsidP="005D45FC">
      <w:r w:rsidRPr="005D45FC">
        <w:t>There is a need to develop and analyse conceptual models of mine related turbidity and salinity impacts following closure. These models could be analysed in a variety of ways as a precursor to the development of a quantitative model of potential turbidity and salinity impacts off</w:t>
      </w:r>
      <w:r w:rsidR="000A218C">
        <w:t>-</w:t>
      </w:r>
      <w:r w:rsidRPr="005D45FC">
        <w:t>site caused by surface and subsurface water flow off the rehabilitated mine site. This analysis should explicitly acknowledge knowledge uncertainty (e</w:t>
      </w:r>
      <w:r w:rsidR="00D81430">
        <w:t>.</w:t>
      </w:r>
      <w:r w:rsidRPr="005D45FC">
        <w:t>g</w:t>
      </w:r>
      <w:r w:rsidR="00D81430">
        <w:t>.</w:t>
      </w:r>
      <w:r w:rsidRPr="005D45FC">
        <w:t xml:space="preserve"> plausible alternative conceptual models) and variability (e</w:t>
      </w:r>
      <w:r w:rsidR="004C6033">
        <w:t>.</w:t>
      </w:r>
      <w:r w:rsidRPr="005D45FC">
        <w:t>g</w:t>
      </w:r>
      <w:r w:rsidR="004C6033">
        <w:t>.</w:t>
      </w:r>
      <w:r w:rsidRPr="005D45FC">
        <w:t xml:space="preserve"> potential for Mg/Ca ratio variations in water flowing off the site) and explore the potential ramifications for the off-site impacts. (</w:t>
      </w:r>
      <w:proofErr w:type="gramStart"/>
      <w:r w:rsidRPr="005D45FC">
        <w:t>see</w:t>
      </w:r>
      <w:proofErr w:type="gramEnd"/>
      <w:r w:rsidRPr="005D45FC">
        <w:t xml:space="preserve"> also KKN 2.6.1)</w:t>
      </w:r>
    </w:p>
    <w:p w:rsidR="005D45FC" w:rsidRPr="005D45FC" w:rsidRDefault="005D45FC" w:rsidP="004C6033">
      <w:pPr>
        <w:pStyle w:val="Heading3"/>
      </w:pPr>
      <w:r w:rsidRPr="005D45FC">
        <w:t>2.2.4  Geomorphic behaviour and evolution of the landscape</w:t>
      </w:r>
    </w:p>
    <w:p w:rsidR="005D45FC" w:rsidRPr="005D45FC" w:rsidRDefault="005D45FC" w:rsidP="005D45FC">
      <w:r w:rsidRPr="005D45FC">
        <w:t>The existing data set used in determination of the key parameters for geomorphological modelling of the proposed final landform should be reviewed after consideration of the near surface characteristics of the initial proposed landform. Further measurements of erosion characteristics should be carried out if considered necessary. The current site-specific landform evolution models should be applied to the initial proposed landform to develop predictions for long term erosion rates, incision and gullying rates, and sediment delivery rates to the surrounding catchments. Options for adjusting the design to minimise erosion of the landform need to be assessed. In addition, an assessment is needed of the geomorphic stability of the Ranger mine site with respect to the erosional effects of extreme events.</w:t>
      </w:r>
    </w:p>
    <w:p w:rsidR="005D45FC" w:rsidRPr="005D45FC" w:rsidRDefault="005D45FC" w:rsidP="004C6033">
      <w:pPr>
        <w:pStyle w:val="Heading3"/>
      </w:pPr>
      <w:r w:rsidRPr="005D45FC">
        <w:t>2.2.5  Radiological characteristics of the final landform</w:t>
      </w:r>
    </w:p>
    <w:p w:rsidR="005D45FC" w:rsidRPr="005D45FC" w:rsidRDefault="005D45FC" w:rsidP="005D45FC">
      <w:r w:rsidRPr="005D45FC">
        <w:t xml:space="preserve">The characteristics of the final landform from the radiological exposure perspective need to be determined and methods need to be developed to minimise radiation exposure to ensure that restrictions on access to the land are minimised. Radon exhalation rates, gamma dose rates and radionuclide concentrations in dust need to be determined and models developed for both near-field and far-field exposure. </w:t>
      </w:r>
    </w:p>
    <w:p w:rsidR="005D45FC" w:rsidRPr="005D45FC" w:rsidRDefault="005D45FC" w:rsidP="005D45FC">
      <w:r w:rsidRPr="005D45FC">
        <w:t>The use of potential analogue sites for establishing pre-mining radiological conditions at Ranger should be further investigated to provide information on parameters such as pre-mining gamma dose rates, radon exhalation rates, and levels of radioactivity in dust. This information is needed to enable estimates to be made of the likely change in radiation exposure when accessing the rehabilitated site compared to pre-mining conditions.</w:t>
      </w:r>
    </w:p>
    <w:p w:rsidR="005D45FC" w:rsidRPr="005D45FC" w:rsidRDefault="005D45FC" w:rsidP="004C6033">
      <w:pPr>
        <w:pStyle w:val="Heading2"/>
      </w:pPr>
      <w:bookmarkStart w:id="453" w:name="_Toc209513836"/>
      <w:bookmarkStart w:id="454" w:name="_Toc209842564"/>
      <w:bookmarkStart w:id="455" w:name="_Toc240197840"/>
      <w:bookmarkStart w:id="456" w:name="_Toc240277613"/>
      <w:bookmarkStart w:id="457" w:name="_Toc272771534"/>
      <w:bookmarkStart w:id="458" w:name="_Toc274817038"/>
      <w:bookmarkStart w:id="459" w:name="_Toc303074477"/>
      <w:bookmarkStart w:id="460" w:name="_Toc334196190"/>
      <w:bookmarkStart w:id="461" w:name="_Toc365036694"/>
      <w:bookmarkStart w:id="462" w:name="_Toc365635618"/>
      <w:bookmarkStart w:id="463" w:name="_Toc396375443"/>
      <w:bookmarkStart w:id="464" w:name="_Toc396990222"/>
      <w:bookmarkStart w:id="465" w:name="_Toc397433357"/>
      <w:bookmarkStart w:id="466" w:name="_Toc399157585"/>
      <w:bookmarkStart w:id="467" w:name="_Toc399321057"/>
      <w:bookmarkStart w:id="468" w:name="_Toc399925883"/>
      <w:bookmarkStart w:id="469" w:name="_Toc399928236"/>
      <w:r w:rsidRPr="005D45FC">
        <w:t>2.3  Groundwater dispersion</w:t>
      </w:r>
      <w:bookmarkEnd w:id="453"/>
      <w:bookmarkEnd w:id="454"/>
      <w:bookmarkEnd w:id="455"/>
      <w:bookmarkEnd w:id="456"/>
      <w:bookmarkEnd w:id="457"/>
      <w:bookmarkEnd w:id="458"/>
      <w:bookmarkEnd w:id="459"/>
      <w:bookmarkEnd w:id="460"/>
      <w:bookmarkEnd w:id="461"/>
      <w:bookmarkEnd w:id="462"/>
      <w:bookmarkEnd w:id="463"/>
      <w:bookmarkEnd w:id="464"/>
      <w:bookmarkEnd w:id="465"/>
      <w:bookmarkEnd w:id="466"/>
      <w:bookmarkEnd w:id="467"/>
      <w:bookmarkEnd w:id="468"/>
      <w:bookmarkEnd w:id="469"/>
    </w:p>
    <w:p w:rsidR="005D45FC" w:rsidRPr="005D45FC" w:rsidRDefault="005D45FC" w:rsidP="004C6033">
      <w:pPr>
        <w:pStyle w:val="Heading3"/>
      </w:pPr>
      <w:r w:rsidRPr="005D45FC">
        <w:t>2.3.1  Containment of tailings and other mine wastes</w:t>
      </w:r>
    </w:p>
    <w:p w:rsidR="005D45FC" w:rsidRPr="005D45FC" w:rsidRDefault="005D45FC" w:rsidP="005D45FC">
      <w:r w:rsidRPr="005D45FC">
        <w:t>The primary method for protection of the environment from dispersion of contaminants from tailings and other wastes will be containment. For this purpose, investigations are required on the hydrogeological integrity of the pits, the long-term geotechnical properties of tailings and waste rock fill in mine voids, tailings deposition and transfer (including TD to Pit 3) methods, geochemical and geotechnical assessment of potential barrier materials, and strategies and technologies to access and ‘seal’ the surface of the tailings mass, drain and dispose of tailings porewater, backfill and cap the remaining pit void.</w:t>
      </w:r>
    </w:p>
    <w:p w:rsidR="005D45FC" w:rsidRPr="005D45FC" w:rsidRDefault="005D45FC" w:rsidP="004C6033">
      <w:pPr>
        <w:pStyle w:val="Heading3"/>
      </w:pPr>
      <w:r w:rsidRPr="005D45FC">
        <w:t>2.3.2  Geochemical characterisation of source terms</w:t>
      </w:r>
    </w:p>
    <w:p w:rsidR="005D45FC" w:rsidRPr="005D45FC" w:rsidRDefault="005D45FC" w:rsidP="005D45FC">
      <w:r w:rsidRPr="005D45FC">
        <w:t>Investigations are needed to characterise the source term for transport of contaminants from the tailings mass in groundwater. These will include determination of the permeability of the tailings and its variation through the tailings mass, strategies and technologies to enhance settled density and accelerate consolidation of tailings, and porewater concentrations of key constituents.</w:t>
      </w:r>
    </w:p>
    <w:p w:rsidR="005D45FC" w:rsidRPr="005D45FC" w:rsidRDefault="005D45FC" w:rsidP="005D45FC">
      <w:r w:rsidRPr="005D45FC">
        <w:t>There is a specific need to address the existence of groundwater mounds under the tailings dam and waste rock stockpiles. Models are needed to predict the behaviour of groundwater and solute transport in the vicinity of these mounds and options developed for their remediation to ensure that on-site revegetation can be achieved and that off-site solute transport from the mounds will meet environmental protection objectives. Assessment is also needed of the effectiveness (cost and environmental significance) of paste and cementation technologies for increasing tailings density and reducing the solubility of chemical constituents in tailings.</w:t>
      </w:r>
    </w:p>
    <w:p w:rsidR="005D45FC" w:rsidRPr="005D45FC" w:rsidRDefault="005D45FC" w:rsidP="004C6033">
      <w:pPr>
        <w:pStyle w:val="Heading3"/>
      </w:pPr>
      <w:r w:rsidRPr="005D45FC">
        <w:t>2.3.3  Aquifer characterisation and whole-of-site model</w:t>
      </w:r>
    </w:p>
    <w:p w:rsidR="005D45FC" w:rsidRPr="005D45FC" w:rsidRDefault="005D45FC" w:rsidP="005D45FC">
      <w:r w:rsidRPr="005D45FC">
        <w:t>The aquifers surrounding the</w:t>
      </w:r>
      <w:r w:rsidR="004B6CDB">
        <w:t xml:space="preserve"> tailings repositories (Pits 1 and</w:t>
      </w:r>
      <w:r w:rsidRPr="005D45FC">
        <w:t xml:space="preserve"> 3) need to be characterised to enable modelling of the dispersion of contaminants from the repositories. This will involve geophysics surveys, geotechnical drilling and groundwater monitoring and investigations on the interactions between the deep and shallow aquifers.</w:t>
      </w:r>
    </w:p>
    <w:p w:rsidR="005D45FC" w:rsidRPr="005D45FC" w:rsidRDefault="005D45FC" w:rsidP="004C6033">
      <w:pPr>
        <w:pStyle w:val="Heading3"/>
      </w:pPr>
      <w:r w:rsidRPr="005D45FC">
        <w:t>2.3.4  Hydrological/hydrogeochemical modelling</w:t>
      </w:r>
    </w:p>
    <w:p w:rsidR="005D45FC" w:rsidRPr="005D45FC" w:rsidRDefault="005D45FC" w:rsidP="005D45FC">
      <w:r w:rsidRPr="005D45FC">
        <w:t>Predictive hydrological/hydrogeological models need to be developed, tested and applied to assess the dispersion of contaminants from the tailings repositories over a period of 10 000 years. These models will be used to assess whether all relevant and appropriate factors have been considered in designing and constructing an in-pit tailings containment system that will prevent environmental detriment in the long term.</w:t>
      </w:r>
    </w:p>
    <w:p w:rsidR="005D45FC" w:rsidRPr="005D45FC" w:rsidRDefault="005D45FC" w:rsidP="004C6033">
      <w:pPr>
        <w:pStyle w:val="Heading2"/>
      </w:pPr>
      <w:bookmarkStart w:id="470" w:name="_Toc209513837"/>
      <w:bookmarkStart w:id="471" w:name="_Toc209842565"/>
      <w:bookmarkStart w:id="472" w:name="_Toc240197841"/>
      <w:bookmarkStart w:id="473" w:name="_Toc240277614"/>
      <w:bookmarkStart w:id="474" w:name="_Toc272771535"/>
      <w:bookmarkStart w:id="475" w:name="_Toc274817039"/>
      <w:bookmarkStart w:id="476" w:name="_Toc303074478"/>
      <w:bookmarkStart w:id="477" w:name="_Toc334196191"/>
      <w:bookmarkStart w:id="478" w:name="_Toc365036695"/>
      <w:bookmarkStart w:id="479" w:name="_Toc365635619"/>
      <w:bookmarkStart w:id="480" w:name="_Toc396375444"/>
      <w:bookmarkStart w:id="481" w:name="_Toc396990223"/>
      <w:bookmarkStart w:id="482" w:name="_Toc397433358"/>
      <w:bookmarkStart w:id="483" w:name="_Toc399157586"/>
      <w:bookmarkStart w:id="484" w:name="_Toc399321058"/>
      <w:bookmarkStart w:id="485" w:name="_Toc399925884"/>
      <w:bookmarkStart w:id="486" w:name="_Toc399928237"/>
      <w:r w:rsidRPr="005D45FC">
        <w:t>2.4  Water treatment</w:t>
      </w:r>
      <w:bookmarkEnd w:id="470"/>
      <w:bookmarkEnd w:id="471"/>
      <w:bookmarkEnd w:id="472"/>
      <w:bookmarkEnd w:id="473"/>
      <w:bookmarkEnd w:id="474"/>
      <w:bookmarkEnd w:id="475"/>
      <w:bookmarkEnd w:id="476"/>
      <w:bookmarkEnd w:id="477"/>
      <w:bookmarkEnd w:id="478"/>
      <w:bookmarkEnd w:id="479"/>
      <w:bookmarkEnd w:id="480"/>
      <w:bookmarkEnd w:id="481"/>
      <w:bookmarkEnd w:id="482"/>
      <w:bookmarkEnd w:id="483"/>
      <w:bookmarkEnd w:id="484"/>
      <w:bookmarkEnd w:id="485"/>
      <w:bookmarkEnd w:id="486"/>
    </w:p>
    <w:p w:rsidR="005D45FC" w:rsidRPr="005D45FC" w:rsidRDefault="005D45FC" w:rsidP="004C6033">
      <w:pPr>
        <w:pStyle w:val="Heading3"/>
      </w:pPr>
      <w:r w:rsidRPr="005D45FC">
        <w:t>2.4.1 Active treatment technologies for specific mine waters</w:t>
      </w:r>
    </w:p>
    <w:p w:rsidR="005D45FC" w:rsidRPr="005D45FC" w:rsidRDefault="005D45FC" w:rsidP="005D45FC">
      <w:r w:rsidRPr="005D45FC">
        <w:t>Substantial volumes of process water retained at Ranger in the tailings dam and Pit 1 must be disposed of by a combination of water treatment and evaporation during the mining and milling phases of the operation and during the rehabilitation phase. Research priorities include treatment technologies and enhanced evaporation technologies that can be implemented for very high salinity process water. A priority should be evaluation of the potential impact of treatment sludge and brine streams on long term tailings chemistry in the context of closure planning and potential post closure impacts on water quality.</w:t>
      </w:r>
    </w:p>
    <w:p w:rsidR="005D45FC" w:rsidRPr="005D45FC" w:rsidRDefault="005D45FC" w:rsidP="004C6033">
      <w:pPr>
        <w:pStyle w:val="Heading3"/>
      </w:pPr>
      <w:r w:rsidRPr="005D45FC">
        <w:t>2.4.2  Passive treatment of waters from the rehabilitated landform</w:t>
      </w:r>
    </w:p>
    <w:p w:rsidR="005D45FC" w:rsidRPr="005D45FC" w:rsidRDefault="005D45FC" w:rsidP="005D45FC">
      <w:r w:rsidRPr="005D45FC">
        <w:t xml:space="preserve">Sentinel wetlands may form part of the final landform at Ranger. Research on wetland filters during the operational phase of mining will provide information relevant to this issue. Research is needed to establish the effect of wet-dry seasonal cycling on contaminant retention and release, since this aspect will influence design criteria and whether such wetlands should be maintained as ephemeral or perennial waterbodies  There is also the need to assess the long-term behaviour of the physical and biotic components of the wetlands, their ecological health, and the extent of contaminant accumulation (both metals and radionuclides) in the context of potential human exposure routes. </w:t>
      </w:r>
    </w:p>
    <w:p w:rsidR="005D45FC" w:rsidRPr="005D45FC" w:rsidRDefault="005D45FC" w:rsidP="004C6033">
      <w:pPr>
        <w:pStyle w:val="Heading2"/>
      </w:pPr>
      <w:bookmarkStart w:id="487" w:name="_Toc209513838"/>
      <w:bookmarkStart w:id="488" w:name="_Toc209842566"/>
      <w:bookmarkStart w:id="489" w:name="_Toc240197842"/>
      <w:bookmarkStart w:id="490" w:name="_Toc240277615"/>
      <w:bookmarkStart w:id="491" w:name="_Toc272771536"/>
      <w:bookmarkStart w:id="492" w:name="_Toc274817040"/>
      <w:bookmarkStart w:id="493" w:name="_Toc303074479"/>
      <w:bookmarkStart w:id="494" w:name="_Toc334196192"/>
      <w:bookmarkStart w:id="495" w:name="_Toc365036696"/>
      <w:bookmarkStart w:id="496" w:name="_Toc365635620"/>
      <w:bookmarkStart w:id="497" w:name="_Toc396375445"/>
      <w:bookmarkStart w:id="498" w:name="_Toc396990224"/>
      <w:bookmarkStart w:id="499" w:name="_Toc397433359"/>
      <w:bookmarkStart w:id="500" w:name="_Toc399157587"/>
      <w:bookmarkStart w:id="501" w:name="_Toc399321059"/>
      <w:bookmarkStart w:id="502" w:name="_Toc399925885"/>
      <w:bookmarkStart w:id="503" w:name="_Toc399928238"/>
      <w:r w:rsidRPr="005D45FC">
        <w:t>2.5  Ecosystem establishment</w:t>
      </w:r>
      <w:bookmarkEnd w:id="487"/>
      <w:bookmarkEnd w:id="488"/>
      <w:bookmarkEnd w:id="489"/>
      <w:bookmarkEnd w:id="490"/>
      <w:bookmarkEnd w:id="491"/>
      <w:bookmarkEnd w:id="492"/>
      <w:bookmarkEnd w:id="493"/>
      <w:bookmarkEnd w:id="494"/>
      <w:bookmarkEnd w:id="495"/>
      <w:bookmarkEnd w:id="496"/>
      <w:bookmarkEnd w:id="497"/>
      <w:bookmarkEnd w:id="498"/>
      <w:bookmarkEnd w:id="499"/>
      <w:bookmarkEnd w:id="500"/>
      <w:bookmarkEnd w:id="501"/>
      <w:bookmarkEnd w:id="502"/>
      <w:bookmarkEnd w:id="503"/>
    </w:p>
    <w:p w:rsidR="005D45FC" w:rsidRPr="005D45FC" w:rsidRDefault="005D45FC" w:rsidP="004C6033">
      <w:pPr>
        <w:pStyle w:val="Heading3"/>
      </w:pPr>
      <w:r w:rsidRPr="005D45FC">
        <w:t>2.5.1  Development and agreement of closure criteria from ecosystem establishment perspective</w:t>
      </w:r>
    </w:p>
    <w:p w:rsidR="005D45FC" w:rsidRPr="005D45FC" w:rsidRDefault="005D45FC" w:rsidP="005D45FC">
      <w:r w:rsidRPr="005D45FC">
        <w:t>Closure criteria need to be established for a range of ecosystem components including surface water quality, flora and fauna. The environmental requirements provide some guidance but characterisation of the analogue ecosystems will be an important step in the process. Consultation on closure criteria with the traditional owners has commenced and it is important that this process continues as more definitive criteria are developed.</w:t>
      </w:r>
    </w:p>
    <w:p w:rsidR="005D45FC" w:rsidRPr="005D45FC" w:rsidRDefault="005D45FC" w:rsidP="004C6033">
      <w:pPr>
        <w:pStyle w:val="Heading3"/>
      </w:pPr>
      <w:r w:rsidRPr="005D45FC">
        <w:t>2.5.2  Characterisation of terrestrial and aquatic ecosystem types at analogue sites</w:t>
      </w:r>
    </w:p>
    <w:p w:rsidR="005D45FC" w:rsidRPr="005D45FC" w:rsidRDefault="005D45FC" w:rsidP="005D45FC">
      <w:r w:rsidRPr="005D45FC">
        <w:t xml:space="preserve">Identification and characterisation of analogue ecosystems (target habitats) can assist in defining the rehabilitation objective and developing robust, measurable and ecologically-based closure criteria. The concept of using analogue ecosystems for this purpose has been accepted by ARRTC and the traditional owners. Substantial work has been undertaken on the </w:t>
      </w:r>
      <w:smartTag w:uri="urn:schemas-microsoft-com:office:smarttags" w:element="place">
        <w:smartTag w:uri="urn:schemas-microsoft-com:office:smarttags" w:element="City">
          <w:r w:rsidRPr="005D45FC">
            <w:t>Georgetown</w:t>
          </w:r>
        </w:smartTag>
      </w:smartTag>
      <w:r w:rsidRPr="005D45FC">
        <w:t xml:space="preserve"> terrestrial analogue ecosystem while there is also a large body of information available on aquatic analogues, including streams and billabongs. Future work on the terrestrial analogue needs to address water and nutrient dynamics, while work on the aquatic analogue will include the development of strategies for restoration of degraded or removed natural waterbodies, Coonjimba and Djalkmara, on site.</w:t>
      </w:r>
    </w:p>
    <w:p w:rsidR="005D45FC" w:rsidRPr="005D45FC" w:rsidRDefault="005D45FC" w:rsidP="004C6033">
      <w:pPr>
        <w:pStyle w:val="Heading3"/>
      </w:pPr>
      <w:r w:rsidRPr="005D45FC">
        <w:t>2.5.3  Establishment and sustainability of ecosystems on mine landform</w:t>
      </w:r>
    </w:p>
    <w:p w:rsidR="005D45FC" w:rsidRPr="005D45FC" w:rsidRDefault="005D45FC" w:rsidP="005D45FC">
      <w:r w:rsidRPr="005D45FC">
        <w:t xml:space="preserve">Research on how the landform, terrestrial and aquatic vegetation, fauna, fauna habitat, and surface hydrology pathways will be reconstructed to address the Environmental Requirements for rehabilitation of the disturbed areas at Ranger is essential. Trial rehabilitation research sites should be established that demonstrate </w:t>
      </w:r>
      <w:proofErr w:type="gramStart"/>
      <w:r w:rsidRPr="005D45FC">
        <w:t>an ability</w:t>
      </w:r>
      <w:proofErr w:type="gramEnd"/>
      <w:r w:rsidRPr="005D45FC">
        <w:t xml:space="preserve"> by the mine operator to be able to reconstruct terrestrial and aquatic ecosystems, even if this is at a relatively small scale. Rehabilitation establishment issues that need to be addressed include species selection; seed collection, germination and storage; direct seeding techniques; propagation of species for planting; fertiliser strategies and weathering properties of waste rock. Rehabilitation management issues requiring investigation include the stabilisation of the land surface to erosion by establishment of vegetation, return of fauna; the exclusion of weeds; fire management and the re-establishment of nutrient cycles. The sustainable establishment and efficiency of constructed wetland filters, reinstated waterbodies (e</w:t>
      </w:r>
      <w:r w:rsidR="004C6033">
        <w:t>.</w:t>
      </w:r>
      <w:r w:rsidRPr="005D45FC">
        <w:t>g</w:t>
      </w:r>
      <w:r w:rsidR="004C6033">
        <w:t>.</w:t>
      </w:r>
      <w:r w:rsidRPr="005D45FC">
        <w:t xml:space="preserve"> Djalkmara Billabong) and reconstructed waterways also needs to be considered (see KKN 2.3.2).</w:t>
      </w:r>
    </w:p>
    <w:p w:rsidR="005D45FC" w:rsidRPr="005D45FC" w:rsidRDefault="005D45FC" w:rsidP="004C6033">
      <w:pPr>
        <w:pStyle w:val="Heading3"/>
      </w:pPr>
      <w:r w:rsidRPr="005D45FC">
        <w:t>2.5.4  Radiation exposure pathways associated with ecosystem re-establishment</w:t>
      </w:r>
    </w:p>
    <w:p w:rsidR="005D45FC" w:rsidRPr="005D45FC" w:rsidRDefault="005D45FC" w:rsidP="005D45FC">
      <w:r w:rsidRPr="005D45FC">
        <w:t>Radionuclide uptake by terrestrial plants and animals on the rehabilitated ecosystem may have a profound influence on the potential utilisation of the land by the traditional owners. Significant work has been completed on aquatic pathways, particularly the role of freshwater mussels, and this now forms part of the annual monitoring program</w:t>
      </w:r>
      <w:r w:rsidR="00936D05">
        <w:t>me</w:t>
      </w:r>
      <w:r w:rsidRPr="005D45FC">
        <w:t>. The focus is now on the terrestrial pathways and deri</w:t>
      </w:r>
      <w:r w:rsidR="00F020C4">
        <w:t>ving concentration factors for b</w:t>
      </w:r>
      <w:r w:rsidRPr="005D45FC">
        <w:t>ushtucker such as wallabies, fruits and yams. A project investigating the contemporary diet of traditional owners has commenced and needs to be completed. Models need to be developed that allow exposure pathways to be ranked for currently proposed and future identified land uses, so that identified potentially significant impacts via these pathways can be limited through appropriate design of the rehabilitation process.</w:t>
      </w:r>
    </w:p>
    <w:p w:rsidR="005D45FC" w:rsidRPr="005D45FC" w:rsidRDefault="005D45FC" w:rsidP="004C6033">
      <w:pPr>
        <w:pStyle w:val="Heading2"/>
      </w:pPr>
      <w:bookmarkStart w:id="504" w:name="_Toc209513839"/>
      <w:bookmarkStart w:id="505" w:name="_Toc209842567"/>
      <w:bookmarkStart w:id="506" w:name="_Toc240197843"/>
      <w:bookmarkStart w:id="507" w:name="_Toc240277616"/>
      <w:bookmarkStart w:id="508" w:name="_Toc272771537"/>
      <w:bookmarkStart w:id="509" w:name="_Toc274817041"/>
      <w:bookmarkStart w:id="510" w:name="_Toc303074480"/>
      <w:bookmarkStart w:id="511" w:name="_Toc334196193"/>
      <w:bookmarkStart w:id="512" w:name="_Toc365036697"/>
      <w:bookmarkStart w:id="513" w:name="_Toc365635621"/>
      <w:bookmarkStart w:id="514" w:name="_Toc396375446"/>
      <w:bookmarkStart w:id="515" w:name="_Toc396990225"/>
      <w:bookmarkStart w:id="516" w:name="_Toc397433360"/>
      <w:bookmarkStart w:id="517" w:name="_Toc399157588"/>
      <w:bookmarkStart w:id="518" w:name="_Toc399321060"/>
      <w:bookmarkStart w:id="519" w:name="_Toc399925886"/>
      <w:bookmarkStart w:id="520" w:name="_Toc399928239"/>
      <w:r w:rsidRPr="005D45FC">
        <w:t>2.6  Monitoring</w:t>
      </w:r>
      <w:bookmarkEnd w:id="504"/>
      <w:bookmarkEnd w:id="505"/>
      <w:bookmarkEnd w:id="506"/>
      <w:bookmarkEnd w:id="507"/>
      <w:bookmarkEnd w:id="508"/>
      <w:bookmarkEnd w:id="509"/>
      <w:bookmarkEnd w:id="510"/>
      <w:bookmarkEnd w:id="511"/>
      <w:bookmarkEnd w:id="512"/>
      <w:bookmarkEnd w:id="513"/>
      <w:bookmarkEnd w:id="514"/>
      <w:bookmarkEnd w:id="515"/>
      <w:bookmarkEnd w:id="516"/>
      <w:bookmarkEnd w:id="517"/>
      <w:bookmarkEnd w:id="518"/>
      <w:bookmarkEnd w:id="519"/>
      <w:bookmarkEnd w:id="520"/>
    </w:p>
    <w:p w:rsidR="005D45FC" w:rsidRPr="005D45FC" w:rsidRDefault="005D45FC" w:rsidP="004C6033">
      <w:pPr>
        <w:pStyle w:val="Heading3"/>
      </w:pPr>
      <w:r w:rsidRPr="005D45FC">
        <w:t>2.6.1  Monitoring of the rehabilitated landform</w:t>
      </w:r>
    </w:p>
    <w:p w:rsidR="005D45FC" w:rsidRPr="005D45FC" w:rsidRDefault="005D45FC" w:rsidP="005D45FC">
      <w:r w:rsidRPr="005D45FC">
        <w:t>A new management and monitoring regime for the rehabilitated Ranger landform needs to be developed and implemented.</w:t>
      </w:r>
      <w:r w:rsidRPr="005D45FC">
        <w:rPr>
          <w:b/>
          <w:bCs/>
          <w:i/>
          <w:iCs/>
        </w:rPr>
        <w:t xml:space="preserve"> </w:t>
      </w:r>
      <w:r w:rsidRPr="005D45FC">
        <w:t>It needs to address all relevant aspects of the rehabilitated landform including ground and surface water quality, radiological issues, erosion, flora, fauna, weeds, and fire. The monitoring regime should address the key issues identified by the ecological risk assessment of the rehabilitation phase (KKN 2.7.1).</w:t>
      </w:r>
    </w:p>
    <w:p w:rsidR="005D45FC" w:rsidRPr="005D45FC" w:rsidRDefault="005D45FC" w:rsidP="004C6033">
      <w:pPr>
        <w:pStyle w:val="Heading3"/>
      </w:pPr>
      <w:r w:rsidRPr="005D45FC">
        <w:t>2.6.2  Off-site monitoring during and following rehabilitation</w:t>
      </w:r>
    </w:p>
    <w:p w:rsidR="005D45FC" w:rsidRPr="005D45FC" w:rsidRDefault="005D45FC" w:rsidP="005D45FC">
      <w:r w:rsidRPr="005D45FC">
        <w:t>Building upon the program</w:t>
      </w:r>
      <w:r w:rsidR="00936D05">
        <w:t>me</w:t>
      </w:r>
      <w:r w:rsidRPr="005D45FC">
        <w:t xml:space="preserve"> developed and implemented for the operational phase of mining, a monitoring regime is also required to assess rehabilitation success with respect to protection of potentially impacted ecosystems and environmental values. This program</w:t>
      </w:r>
      <w:r w:rsidR="00936D05">
        <w:t>me</w:t>
      </w:r>
      <w:r w:rsidRPr="005D45FC">
        <w:t xml:space="preserve"> should address the dispersion of contaminants by surface water, ground water and via the atmosphere. The monitoring regime should address the key issues identified by the ecological risk assessment of the rehabilitation phase (KKN 2.7.1).</w:t>
      </w:r>
    </w:p>
    <w:p w:rsidR="005D45FC" w:rsidRPr="005D45FC" w:rsidRDefault="005D45FC" w:rsidP="004C6033">
      <w:pPr>
        <w:pStyle w:val="Heading2"/>
      </w:pPr>
      <w:bookmarkStart w:id="521" w:name="_Toc209513840"/>
      <w:bookmarkStart w:id="522" w:name="_Toc209842568"/>
      <w:bookmarkStart w:id="523" w:name="_Toc240197844"/>
      <w:bookmarkStart w:id="524" w:name="_Toc240277617"/>
      <w:bookmarkStart w:id="525" w:name="_Toc272771538"/>
      <w:bookmarkStart w:id="526" w:name="_Toc274817042"/>
      <w:bookmarkStart w:id="527" w:name="_Toc303074481"/>
      <w:bookmarkStart w:id="528" w:name="_Toc334196194"/>
      <w:bookmarkStart w:id="529" w:name="_Toc365036698"/>
      <w:bookmarkStart w:id="530" w:name="_Toc365635622"/>
      <w:bookmarkStart w:id="531" w:name="_Toc396375447"/>
      <w:bookmarkStart w:id="532" w:name="_Toc396990226"/>
      <w:bookmarkStart w:id="533" w:name="_Toc397433361"/>
      <w:bookmarkStart w:id="534" w:name="_Toc399157589"/>
      <w:bookmarkStart w:id="535" w:name="_Toc399321061"/>
      <w:bookmarkStart w:id="536" w:name="_Toc399925887"/>
      <w:bookmarkStart w:id="537" w:name="_Toc399928240"/>
      <w:r w:rsidRPr="005D45FC">
        <w:t>2.7  Risk assessment</w:t>
      </w:r>
      <w:bookmarkEnd w:id="521"/>
      <w:bookmarkEnd w:id="522"/>
      <w:bookmarkEnd w:id="523"/>
      <w:bookmarkEnd w:id="524"/>
      <w:bookmarkEnd w:id="525"/>
      <w:bookmarkEnd w:id="526"/>
      <w:bookmarkEnd w:id="527"/>
      <w:bookmarkEnd w:id="528"/>
      <w:bookmarkEnd w:id="529"/>
      <w:bookmarkEnd w:id="530"/>
      <w:bookmarkEnd w:id="531"/>
      <w:bookmarkEnd w:id="532"/>
      <w:bookmarkEnd w:id="533"/>
      <w:bookmarkEnd w:id="534"/>
      <w:bookmarkEnd w:id="535"/>
      <w:bookmarkEnd w:id="536"/>
      <w:bookmarkEnd w:id="537"/>
    </w:p>
    <w:p w:rsidR="005D45FC" w:rsidRPr="005D45FC" w:rsidRDefault="005D45FC" w:rsidP="004C6033">
      <w:pPr>
        <w:pStyle w:val="Heading3"/>
      </w:pPr>
      <w:r w:rsidRPr="005D45FC">
        <w:t>2.7.1  Ecological risk assessments of the rehabilitation and post rehabilitation phases</w:t>
      </w:r>
    </w:p>
    <w:p w:rsidR="005D45FC" w:rsidRPr="005D45FC" w:rsidRDefault="005D45FC" w:rsidP="005D45FC">
      <w:r w:rsidRPr="005D45FC">
        <w:t>In order to place potentially adverse on-site and off-site issues at Ranger during the rehabilitation phase within a risk management context, it is critical that a robust risk assessment framework be developed with stakeholders.  The greatest risk is likely to occur in the transition to the rehabilitation phase, when active operational environmental management systems are being progressively replaced by passive management systems. A conceptual model of transport/exposure pathways should be developed for rehabilitation and post rehabilitation regimes and the model should recognise the potential that some environmental stressors from the mine site could affect the park and vice versa. Implicit in this process should be consideration of the effects of extreme events and climate change.</w:t>
      </w:r>
    </w:p>
    <w:p w:rsidR="005D45FC" w:rsidRPr="005D45FC" w:rsidRDefault="005D45FC" w:rsidP="005D45FC">
      <w:r w:rsidRPr="005D45FC">
        <w:t>Conceptual modelling should be followed by a screening process to identify and prioritise key risks for further qualitative and/or quantitative assessments. The conceptual model should be linked to closure criteria and post-rehabilitation monitoring program</w:t>
      </w:r>
      <w:r w:rsidR="00936D05">
        <w:t>me</w:t>
      </w:r>
      <w:r w:rsidRPr="005D45FC">
        <w:t>s, and be continually tested and improved. Where appropriate, risk assessments should be incorporated into decision making processes for the closure plan. Outputs and all uncertainties from this risk assessment process should be effectively communicated to stakeholders.</w:t>
      </w:r>
    </w:p>
    <w:p w:rsidR="005D45FC" w:rsidRPr="005D45FC" w:rsidRDefault="005D45FC" w:rsidP="004C6033">
      <w:pPr>
        <w:pStyle w:val="Heading2"/>
      </w:pPr>
      <w:bookmarkStart w:id="538" w:name="_Toc209513841"/>
      <w:bookmarkStart w:id="539" w:name="_Toc209842569"/>
      <w:bookmarkStart w:id="540" w:name="_Toc240197845"/>
      <w:bookmarkStart w:id="541" w:name="_Toc240277618"/>
      <w:bookmarkStart w:id="542" w:name="_Toc272771539"/>
      <w:bookmarkStart w:id="543" w:name="_Toc274817043"/>
      <w:bookmarkStart w:id="544" w:name="_Toc303074482"/>
      <w:bookmarkStart w:id="545" w:name="_Toc334196195"/>
      <w:bookmarkStart w:id="546" w:name="_Toc365036699"/>
      <w:bookmarkStart w:id="547" w:name="_Toc365635623"/>
      <w:bookmarkStart w:id="548" w:name="_Toc396375448"/>
      <w:bookmarkStart w:id="549" w:name="_Toc396990227"/>
      <w:bookmarkStart w:id="550" w:name="_Toc397433362"/>
      <w:bookmarkStart w:id="551" w:name="_Toc399157590"/>
      <w:bookmarkStart w:id="552" w:name="_Toc399321062"/>
      <w:bookmarkStart w:id="553" w:name="_Toc399925888"/>
      <w:bookmarkStart w:id="554" w:name="_Toc399928241"/>
      <w:r w:rsidRPr="005D45FC">
        <w:t>2.8  Stewardship</w:t>
      </w:r>
      <w:bookmarkEnd w:id="538"/>
      <w:bookmarkEnd w:id="539"/>
      <w:bookmarkEnd w:id="540"/>
      <w:bookmarkEnd w:id="541"/>
      <w:bookmarkEnd w:id="542"/>
      <w:bookmarkEnd w:id="543"/>
      <w:bookmarkEnd w:id="544"/>
      <w:bookmarkEnd w:id="545"/>
      <w:bookmarkEnd w:id="546"/>
      <w:bookmarkEnd w:id="547"/>
      <w:bookmarkEnd w:id="548"/>
      <w:bookmarkEnd w:id="549"/>
      <w:bookmarkEnd w:id="550"/>
      <w:bookmarkEnd w:id="551"/>
      <w:bookmarkEnd w:id="552"/>
      <w:bookmarkEnd w:id="553"/>
      <w:bookmarkEnd w:id="554"/>
    </w:p>
    <w:p w:rsidR="005D45FC" w:rsidRPr="005D45FC" w:rsidRDefault="005D45FC" w:rsidP="005D45FC">
      <w:r w:rsidRPr="005D45FC">
        <w:t>The concept of Stewardship (including ownership and caring for the land) is somewhat broader and applies to all phases of, in this case, uranium mining. In this context it is considered to be the post closure phase of management of the site, i</w:t>
      </w:r>
      <w:r w:rsidR="00F020C4">
        <w:t>.</w:t>
      </w:r>
      <w:r w:rsidRPr="005D45FC">
        <w:t>e</w:t>
      </w:r>
      <w:r w:rsidR="00F020C4">
        <w:t>.</w:t>
      </w:r>
      <w:r w:rsidRPr="005D45FC">
        <w:t xml:space="preserve"> after relinquishment of the lease. If the rehabilitation phase is successful in meeting all objectives then this stewardship will effectively comprise an appropriate level of ongoing monitoring to confirm this. Should divergence from acceptable environmental outcomes be detected then some form of intervention is likely to be required. The nature, responsibility for, and duration of, the monitoring and any necessary intervention work remains to be determined.</w:t>
      </w:r>
    </w:p>
    <w:p w:rsidR="005D45FC" w:rsidRPr="004C6033" w:rsidRDefault="005D45FC" w:rsidP="004C6033">
      <w:pPr>
        <w:pStyle w:val="Heading2"/>
        <w:rPr>
          <w:sz w:val="30"/>
          <w:szCs w:val="30"/>
        </w:rPr>
      </w:pPr>
      <w:bookmarkStart w:id="555" w:name="_Toc209513842"/>
      <w:bookmarkStart w:id="556" w:name="_Toc209842570"/>
      <w:bookmarkStart w:id="557" w:name="_Toc240197846"/>
      <w:bookmarkStart w:id="558" w:name="_Toc240277619"/>
      <w:bookmarkStart w:id="559" w:name="_Toc272771540"/>
      <w:bookmarkStart w:id="560" w:name="_Toc274817044"/>
      <w:bookmarkStart w:id="561" w:name="_Toc303074483"/>
      <w:bookmarkStart w:id="562" w:name="_Toc334196196"/>
      <w:bookmarkStart w:id="563" w:name="_Toc365036700"/>
      <w:bookmarkStart w:id="564" w:name="_Toc365635624"/>
      <w:bookmarkStart w:id="565" w:name="_Toc396375449"/>
      <w:bookmarkStart w:id="566" w:name="_Toc396990228"/>
      <w:bookmarkStart w:id="567" w:name="_Toc397433363"/>
      <w:bookmarkStart w:id="568" w:name="_Toc399157591"/>
      <w:bookmarkStart w:id="569" w:name="_Toc399321063"/>
      <w:bookmarkStart w:id="570" w:name="_Toc399925889"/>
      <w:bookmarkStart w:id="571" w:name="_Toc399928242"/>
      <w:r w:rsidRPr="004C6033">
        <w:rPr>
          <w:sz w:val="30"/>
          <w:szCs w:val="30"/>
        </w:rPr>
        <w:t>3  Jabiluka</w:t>
      </w:r>
      <w:bookmarkEnd w:id="555"/>
      <w:bookmarkEnd w:id="556"/>
      <w:bookmarkEnd w:id="557"/>
      <w:bookmarkEnd w:id="558"/>
      <w:bookmarkEnd w:id="559"/>
      <w:bookmarkEnd w:id="560"/>
      <w:bookmarkEnd w:id="561"/>
      <w:bookmarkEnd w:id="562"/>
      <w:bookmarkEnd w:id="563"/>
      <w:bookmarkEnd w:id="564"/>
      <w:bookmarkEnd w:id="565"/>
      <w:bookmarkEnd w:id="566"/>
      <w:bookmarkEnd w:id="567"/>
      <w:bookmarkEnd w:id="568"/>
      <w:bookmarkEnd w:id="569"/>
      <w:bookmarkEnd w:id="570"/>
      <w:bookmarkEnd w:id="571"/>
    </w:p>
    <w:p w:rsidR="005D45FC" w:rsidRPr="005D45FC" w:rsidRDefault="005D45FC" w:rsidP="004C6033">
      <w:pPr>
        <w:pStyle w:val="Heading2"/>
      </w:pPr>
      <w:bookmarkStart w:id="572" w:name="_Toc209513843"/>
      <w:bookmarkStart w:id="573" w:name="_Toc209842571"/>
      <w:bookmarkStart w:id="574" w:name="_Toc240197847"/>
      <w:bookmarkStart w:id="575" w:name="_Toc240277620"/>
      <w:bookmarkStart w:id="576" w:name="_Toc272771541"/>
      <w:bookmarkStart w:id="577" w:name="_Toc274817045"/>
      <w:bookmarkStart w:id="578" w:name="_Toc303074484"/>
      <w:bookmarkStart w:id="579" w:name="_Toc334196197"/>
      <w:bookmarkStart w:id="580" w:name="_Toc365036701"/>
      <w:bookmarkStart w:id="581" w:name="_Toc365635625"/>
      <w:bookmarkStart w:id="582" w:name="_Toc396375450"/>
      <w:bookmarkStart w:id="583" w:name="_Toc396990229"/>
      <w:bookmarkStart w:id="584" w:name="_Toc397433364"/>
      <w:bookmarkStart w:id="585" w:name="_Toc399157592"/>
      <w:bookmarkStart w:id="586" w:name="_Toc399321064"/>
      <w:bookmarkStart w:id="587" w:name="_Toc399925890"/>
      <w:bookmarkStart w:id="588" w:name="_Toc399928243"/>
      <w:r w:rsidRPr="005D45FC">
        <w:t>3.1  Monitoring</w:t>
      </w:r>
      <w:bookmarkEnd w:id="572"/>
      <w:bookmarkEnd w:id="573"/>
      <w:bookmarkEnd w:id="574"/>
      <w:bookmarkEnd w:id="575"/>
      <w:bookmarkEnd w:id="576"/>
      <w:bookmarkEnd w:id="577"/>
      <w:bookmarkEnd w:id="578"/>
      <w:bookmarkEnd w:id="579"/>
      <w:bookmarkEnd w:id="580"/>
      <w:bookmarkEnd w:id="581"/>
      <w:bookmarkEnd w:id="582"/>
      <w:bookmarkEnd w:id="583"/>
      <w:bookmarkEnd w:id="584"/>
      <w:bookmarkEnd w:id="585"/>
      <w:bookmarkEnd w:id="586"/>
      <w:bookmarkEnd w:id="587"/>
      <w:bookmarkEnd w:id="588"/>
    </w:p>
    <w:p w:rsidR="005D45FC" w:rsidRPr="005D45FC" w:rsidRDefault="005D45FC" w:rsidP="004C6033">
      <w:pPr>
        <w:pStyle w:val="Heading3"/>
      </w:pPr>
      <w:r w:rsidRPr="005D45FC">
        <w:t>3.1.1  Monitoring during the care and maintenance phase</w:t>
      </w:r>
    </w:p>
    <w:p w:rsidR="005D45FC" w:rsidRPr="005D45FC" w:rsidRDefault="005D45FC" w:rsidP="005D45FC">
      <w:r w:rsidRPr="005D45FC">
        <w:t>A monitoring regime for Jabiluka during the care and maintenance phase needs to be implemented and regularly reviewed. The monitoring program</w:t>
      </w:r>
      <w:r w:rsidR="00936D05">
        <w:t>me</w:t>
      </w:r>
      <w:r w:rsidRPr="005D45FC">
        <w:t xml:space="preserve"> (addressing chemical, biological, sedimentalogical and radiological issues) should be commensurate with the environmental risks posed by the site, but should also serve as a component of any program</w:t>
      </w:r>
      <w:r w:rsidR="00936D05">
        <w:t>me</w:t>
      </w:r>
      <w:r w:rsidRPr="005D45FC">
        <w:t xml:space="preserve"> to collect baseline data required before development such as meteorological and sediment load data.</w:t>
      </w:r>
    </w:p>
    <w:p w:rsidR="005D45FC" w:rsidRPr="005D45FC" w:rsidRDefault="005D45FC" w:rsidP="004C6033">
      <w:pPr>
        <w:pStyle w:val="Heading2"/>
      </w:pPr>
      <w:bookmarkStart w:id="589" w:name="_Toc209513844"/>
      <w:bookmarkStart w:id="590" w:name="_Toc209842572"/>
      <w:bookmarkStart w:id="591" w:name="_Toc240197848"/>
      <w:bookmarkStart w:id="592" w:name="_Toc240277621"/>
      <w:bookmarkStart w:id="593" w:name="_Toc272771542"/>
      <w:bookmarkStart w:id="594" w:name="_Toc274817046"/>
      <w:bookmarkStart w:id="595" w:name="_Toc303074485"/>
      <w:bookmarkStart w:id="596" w:name="_Toc334196198"/>
      <w:bookmarkStart w:id="597" w:name="_Toc365036702"/>
      <w:bookmarkStart w:id="598" w:name="_Toc365635626"/>
      <w:bookmarkStart w:id="599" w:name="_Toc396375451"/>
      <w:bookmarkStart w:id="600" w:name="_Toc396990230"/>
      <w:bookmarkStart w:id="601" w:name="_Toc397433365"/>
      <w:bookmarkStart w:id="602" w:name="_Toc399157593"/>
      <w:bookmarkStart w:id="603" w:name="_Toc399321065"/>
      <w:bookmarkStart w:id="604" w:name="_Toc399925891"/>
      <w:bookmarkStart w:id="605" w:name="_Toc399928244"/>
      <w:r w:rsidRPr="005D45FC">
        <w:t>3.2  Research</w:t>
      </w:r>
      <w:bookmarkEnd w:id="589"/>
      <w:bookmarkEnd w:id="590"/>
      <w:bookmarkEnd w:id="591"/>
      <w:bookmarkEnd w:id="592"/>
      <w:bookmarkEnd w:id="593"/>
      <w:bookmarkEnd w:id="594"/>
      <w:bookmarkEnd w:id="595"/>
      <w:bookmarkEnd w:id="596"/>
      <w:bookmarkEnd w:id="597"/>
      <w:bookmarkEnd w:id="598"/>
      <w:bookmarkEnd w:id="599"/>
      <w:bookmarkEnd w:id="600"/>
      <w:bookmarkEnd w:id="601"/>
      <w:bookmarkEnd w:id="602"/>
      <w:bookmarkEnd w:id="603"/>
      <w:bookmarkEnd w:id="604"/>
      <w:bookmarkEnd w:id="605"/>
    </w:p>
    <w:p w:rsidR="005D45FC" w:rsidRPr="005D45FC" w:rsidRDefault="005D45FC" w:rsidP="004C6033">
      <w:pPr>
        <w:pStyle w:val="Heading3"/>
      </w:pPr>
      <w:r w:rsidRPr="005D45FC">
        <w:t>3.2.1  Research required prior to any development</w:t>
      </w:r>
    </w:p>
    <w:p w:rsidR="005D45FC" w:rsidRPr="005D45FC" w:rsidRDefault="005D45FC" w:rsidP="005D45FC">
      <w:r w:rsidRPr="005D45FC">
        <w:t>A review of knowledge needs is required to assess minimum requirements in advance of any development. This review would include radiological data, the groundwater regime (permeabilities, aquifer connectivity etc</w:t>
      </w:r>
      <w:r w:rsidR="00A974B7">
        <w:t>.</w:t>
      </w:r>
      <w:r w:rsidRPr="005D45FC">
        <w:t>), hydrometeorological data, waste rock erosion, assess site-specific ecotoxicology for uranium, additional baseline for flora and fauna surveys.</w:t>
      </w:r>
    </w:p>
    <w:p w:rsidR="005D45FC" w:rsidRPr="004C6033" w:rsidRDefault="005D45FC" w:rsidP="004C6033">
      <w:pPr>
        <w:pStyle w:val="Heading2"/>
        <w:rPr>
          <w:sz w:val="30"/>
          <w:szCs w:val="30"/>
        </w:rPr>
      </w:pPr>
      <w:bookmarkStart w:id="606" w:name="_Toc209513845"/>
      <w:bookmarkStart w:id="607" w:name="_Toc209842573"/>
      <w:bookmarkStart w:id="608" w:name="_Toc240197849"/>
      <w:bookmarkStart w:id="609" w:name="_Toc240277622"/>
      <w:bookmarkStart w:id="610" w:name="_Toc272771543"/>
      <w:bookmarkStart w:id="611" w:name="_Toc274817047"/>
      <w:bookmarkStart w:id="612" w:name="_Toc303074486"/>
      <w:bookmarkStart w:id="613" w:name="_Toc334196199"/>
      <w:bookmarkStart w:id="614" w:name="_Toc365036703"/>
      <w:bookmarkStart w:id="615" w:name="_Toc365635627"/>
      <w:bookmarkStart w:id="616" w:name="_Toc396375452"/>
      <w:bookmarkStart w:id="617" w:name="_Toc396990231"/>
      <w:bookmarkStart w:id="618" w:name="_Toc397433366"/>
      <w:bookmarkStart w:id="619" w:name="_Toc399157594"/>
      <w:bookmarkStart w:id="620" w:name="_Toc399321066"/>
      <w:bookmarkStart w:id="621" w:name="_Toc399925892"/>
      <w:bookmarkStart w:id="622" w:name="_Toc399928245"/>
      <w:r w:rsidRPr="004C6033">
        <w:rPr>
          <w:sz w:val="30"/>
          <w:szCs w:val="30"/>
        </w:rPr>
        <w:t>4  Nabarlek</w:t>
      </w:r>
      <w:bookmarkEnd w:id="606"/>
      <w:bookmarkEnd w:id="607"/>
      <w:bookmarkEnd w:id="608"/>
      <w:bookmarkEnd w:id="609"/>
      <w:bookmarkEnd w:id="610"/>
      <w:bookmarkEnd w:id="611"/>
      <w:bookmarkEnd w:id="612"/>
      <w:bookmarkEnd w:id="613"/>
      <w:bookmarkEnd w:id="614"/>
      <w:bookmarkEnd w:id="615"/>
      <w:bookmarkEnd w:id="616"/>
      <w:bookmarkEnd w:id="617"/>
      <w:bookmarkEnd w:id="618"/>
      <w:bookmarkEnd w:id="619"/>
      <w:bookmarkEnd w:id="620"/>
      <w:bookmarkEnd w:id="621"/>
      <w:bookmarkEnd w:id="622"/>
    </w:p>
    <w:p w:rsidR="005D45FC" w:rsidRPr="005D45FC" w:rsidRDefault="005D45FC" w:rsidP="004C6033">
      <w:pPr>
        <w:pStyle w:val="Heading2"/>
      </w:pPr>
      <w:bookmarkStart w:id="623" w:name="_Toc209513846"/>
      <w:bookmarkStart w:id="624" w:name="_Toc209842574"/>
      <w:bookmarkStart w:id="625" w:name="_Toc240197850"/>
      <w:bookmarkStart w:id="626" w:name="_Toc240277623"/>
      <w:bookmarkStart w:id="627" w:name="_Toc272771544"/>
      <w:bookmarkStart w:id="628" w:name="_Toc274817048"/>
      <w:bookmarkStart w:id="629" w:name="_Toc303074487"/>
      <w:bookmarkStart w:id="630" w:name="_Toc334196200"/>
      <w:bookmarkStart w:id="631" w:name="_Toc365036704"/>
      <w:bookmarkStart w:id="632" w:name="_Toc365635628"/>
      <w:bookmarkStart w:id="633" w:name="_Toc396375453"/>
      <w:bookmarkStart w:id="634" w:name="_Toc396990232"/>
      <w:bookmarkStart w:id="635" w:name="_Toc397433367"/>
      <w:bookmarkStart w:id="636" w:name="_Toc399157595"/>
      <w:bookmarkStart w:id="637" w:name="_Toc399321067"/>
      <w:bookmarkStart w:id="638" w:name="_Toc399925893"/>
      <w:bookmarkStart w:id="639" w:name="_Toc399928246"/>
      <w:r w:rsidRPr="005D45FC">
        <w:t>4.1  Success of revegetation</w:t>
      </w:r>
      <w:bookmarkEnd w:id="623"/>
      <w:bookmarkEnd w:id="624"/>
      <w:bookmarkEnd w:id="625"/>
      <w:bookmarkEnd w:id="626"/>
      <w:bookmarkEnd w:id="627"/>
      <w:bookmarkEnd w:id="628"/>
      <w:bookmarkEnd w:id="629"/>
      <w:bookmarkEnd w:id="630"/>
      <w:bookmarkEnd w:id="631"/>
      <w:bookmarkEnd w:id="632"/>
      <w:bookmarkEnd w:id="633"/>
      <w:bookmarkEnd w:id="634"/>
      <w:bookmarkEnd w:id="635"/>
      <w:bookmarkEnd w:id="636"/>
      <w:bookmarkEnd w:id="637"/>
      <w:bookmarkEnd w:id="638"/>
      <w:bookmarkEnd w:id="639"/>
    </w:p>
    <w:p w:rsidR="005D45FC" w:rsidRPr="005D45FC" w:rsidRDefault="005D45FC" w:rsidP="004C6033">
      <w:pPr>
        <w:pStyle w:val="Heading3"/>
      </w:pPr>
      <w:r w:rsidRPr="005D45FC">
        <w:t>4.1.1  Revegetation assessment</w:t>
      </w:r>
    </w:p>
    <w:p w:rsidR="005D45FC" w:rsidRPr="005D45FC" w:rsidRDefault="005D45FC" w:rsidP="005D45FC">
      <w:r w:rsidRPr="005D45FC">
        <w:t xml:space="preserve">Several assessments of the revegetation at Nabarlek have been undertaken; the most recent being completed by </w:t>
      </w:r>
      <w:r w:rsidRPr="004C6033">
        <w:rPr>
          <w:b/>
          <w:i/>
          <w:sz w:val="23"/>
          <w:szCs w:val="23"/>
        </w:rPr>
        <w:t>eriss</w:t>
      </w:r>
      <w:r w:rsidRPr="005D45FC">
        <w:t>. There is now general agreement that the rehabilitated areas require further work. Revised closure criteria are currently being developed through the mine-site technical committee and these should be reviewed by relevant stakeholders, including ARRTC. The required works should then be completed on site with further monitoring leading to the relinquishment of the lease.</w:t>
      </w:r>
    </w:p>
    <w:p w:rsidR="005D45FC" w:rsidRPr="005D45FC" w:rsidRDefault="005D45FC" w:rsidP="004C6033">
      <w:pPr>
        <w:pStyle w:val="Heading3"/>
      </w:pPr>
      <w:r w:rsidRPr="005D45FC">
        <w:t>4.1.2  Development of revegetation monitoring method</w:t>
      </w:r>
    </w:p>
    <w:p w:rsidR="005D45FC" w:rsidRPr="005D45FC" w:rsidRDefault="005D45FC" w:rsidP="005D45FC">
      <w:r w:rsidRPr="005D45FC">
        <w:t>A methodology and monitoring regime for the assessment of revegetation success at Nabarlek needs to be developed and implemented. Currently, resource intensive detailed vegetation and soil characterisation assessments along transects located randomly within characteristic areas of the rehabilitated landform are being undertaken. Whilst statistically valid, these assessments cover only a very small proportion of the site. Remote sensing (satellite) data are also being collected and the efficacy of remote sensing techniques for vegetation assessment in comparison to ground survey methods should continue. The outcomes of this research will be very relevant to Ranger.</w:t>
      </w:r>
    </w:p>
    <w:p w:rsidR="005D45FC" w:rsidRPr="005D45FC" w:rsidRDefault="005D45FC" w:rsidP="004C6033">
      <w:pPr>
        <w:pStyle w:val="Heading2"/>
      </w:pPr>
      <w:bookmarkStart w:id="640" w:name="_Toc209513847"/>
      <w:bookmarkStart w:id="641" w:name="_Toc209842575"/>
      <w:bookmarkStart w:id="642" w:name="_Toc240197851"/>
      <w:bookmarkStart w:id="643" w:name="_Toc240277624"/>
      <w:bookmarkStart w:id="644" w:name="_Toc272771545"/>
      <w:bookmarkStart w:id="645" w:name="_Toc274817049"/>
      <w:bookmarkStart w:id="646" w:name="_Toc303074488"/>
      <w:bookmarkStart w:id="647" w:name="_Toc334196201"/>
      <w:bookmarkStart w:id="648" w:name="_Toc365036705"/>
      <w:bookmarkStart w:id="649" w:name="_Toc365635629"/>
      <w:bookmarkStart w:id="650" w:name="_Toc396375454"/>
      <w:bookmarkStart w:id="651" w:name="_Toc396990233"/>
      <w:bookmarkStart w:id="652" w:name="_Toc397433368"/>
      <w:bookmarkStart w:id="653" w:name="_Toc399157596"/>
      <w:bookmarkStart w:id="654" w:name="_Toc399321068"/>
      <w:bookmarkStart w:id="655" w:name="_Toc399925894"/>
      <w:bookmarkStart w:id="656" w:name="_Toc399928247"/>
      <w:r w:rsidRPr="005D45FC">
        <w:t>4.2  Assessment of radiological, chemical and geomorphic success of rehabilitation</w:t>
      </w:r>
      <w:bookmarkEnd w:id="640"/>
      <w:bookmarkEnd w:id="641"/>
      <w:bookmarkEnd w:id="642"/>
      <w:bookmarkEnd w:id="643"/>
      <w:bookmarkEnd w:id="644"/>
      <w:bookmarkEnd w:id="645"/>
      <w:bookmarkEnd w:id="646"/>
      <w:bookmarkEnd w:id="647"/>
      <w:bookmarkEnd w:id="648"/>
      <w:bookmarkEnd w:id="649"/>
      <w:bookmarkEnd w:id="650"/>
      <w:bookmarkEnd w:id="651"/>
      <w:bookmarkEnd w:id="652"/>
      <w:bookmarkEnd w:id="653"/>
      <w:bookmarkEnd w:id="654"/>
      <w:bookmarkEnd w:id="655"/>
      <w:bookmarkEnd w:id="656"/>
    </w:p>
    <w:p w:rsidR="005D45FC" w:rsidRPr="005D45FC" w:rsidRDefault="005D45FC" w:rsidP="004C6033">
      <w:pPr>
        <w:pStyle w:val="Heading3"/>
      </w:pPr>
      <w:r w:rsidRPr="005D45FC">
        <w:t>4.2.1  Overall assessment of rehabilitation success at Nabarlek</w:t>
      </w:r>
    </w:p>
    <w:p w:rsidR="005D45FC" w:rsidRPr="005D45FC" w:rsidRDefault="005D45FC" w:rsidP="005D45FC">
      <w:r w:rsidRPr="005D45FC">
        <w:t>The current program</w:t>
      </w:r>
      <w:r w:rsidR="00936D05">
        <w:t>me</w:t>
      </w:r>
      <w:r w:rsidRPr="005D45FC">
        <w:t xml:space="preserve"> on erosion, surface water chemistry, groundwater chemistry and radiological issues should be continued to the extent required to carry out an overall assessment of the success of rehabilitation at Nabarlek. In particular, all significant radiological exposure pathways should be identified and a comprehensive radiation dose model developed. Additional monitoring of ground water plumes is required to allow assessment of potential future groundwater surface water interaction and possible environmental effects.</w:t>
      </w:r>
    </w:p>
    <w:p w:rsidR="005D45FC" w:rsidRPr="004C6033" w:rsidRDefault="005D45FC" w:rsidP="004C6033">
      <w:pPr>
        <w:pStyle w:val="Heading2"/>
        <w:rPr>
          <w:sz w:val="30"/>
          <w:szCs w:val="30"/>
        </w:rPr>
      </w:pPr>
      <w:bookmarkStart w:id="657" w:name="_Toc209513848"/>
      <w:bookmarkStart w:id="658" w:name="_Toc209842576"/>
      <w:bookmarkStart w:id="659" w:name="_Toc240197852"/>
      <w:bookmarkStart w:id="660" w:name="_Toc240277625"/>
      <w:bookmarkStart w:id="661" w:name="_Toc272771546"/>
      <w:bookmarkStart w:id="662" w:name="_Toc274817050"/>
      <w:bookmarkStart w:id="663" w:name="_Toc303074489"/>
      <w:bookmarkStart w:id="664" w:name="_Toc334196202"/>
      <w:bookmarkStart w:id="665" w:name="_Toc365036706"/>
      <w:bookmarkStart w:id="666" w:name="_Toc365635630"/>
      <w:bookmarkStart w:id="667" w:name="_Toc396375455"/>
      <w:bookmarkStart w:id="668" w:name="_Toc396990234"/>
      <w:bookmarkStart w:id="669" w:name="_Toc397433369"/>
      <w:bookmarkStart w:id="670" w:name="_Toc399157597"/>
      <w:bookmarkStart w:id="671" w:name="_Toc399321069"/>
      <w:bookmarkStart w:id="672" w:name="_Toc399925895"/>
      <w:bookmarkStart w:id="673" w:name="_Toc399928248"/>
      <w:r w:rsidRPr="004C6033">
        <w:rPr>
          <w:sz w:val="30"/>
          <w:szCs w:val="30"/>
        </w:rPr>
        <w:t>5  General Alligator Rivers Region</w:t>
      </w:r>
      <w:bookmarkEnd w:id="657"/>
      <w:bookmarkEnd w:id="658"/>
      <w:bookmarkEnd w:id="659"/>
      <w:bookmarkEnd w:id="660"/>
      <w:bookmarkEnd w:id="661"/>
      <w:bookmarkEnd w:id="662"/>
      <w:bookmarkEnd w:id="663"/>
      <w:bookmarkEnd w:id="664"/>
      <w:bookmarkEnd w:id="665"/>
      <w:bookmarkEnd w:id="666"/>
      <w:bookmarkEnd w:id="667"/>
      <w:bookmarkEnd w:id="668"/>
      <w:bookmarkEnd w:id="669"/>
      <w:bookmarkEnd w:id="670"/>
      <w:bookmarkEnd w:id="671"/>
      <w:bookmarkEnd w:id="672"/>
      <w:bookmarkEnd w:id="673"/>
    </w:p>
    <w:p w:rsidR="005D45FC" w:rsidRPr="005D45FC" w:rsidRDefault="005D45FC" w:rsidP="004C6033">
      <w:pPr>
        <w:pStyle w:val="Heading2"/>
      </w:pPr>
      <w:bookmarkStart w:id="674" w:name="_Toc240197853"/>
      <w:bookmarkStart w:id="675" w:name="_Toc240277626"/>
      <w:bookmarkStart w:id="676" w:name="_Toc272771547"/>
      <w:bookmarkStart w:id="677" w:name="_Toc274817051"/>
      <w:bookmarkStart w:id="678" w:name="_Toc303074490"/>
      <w:bookmarkStart w:id="679" w:name="_Toc334196203"/>
      <w:bookmarkStart w:id="680" w:name="_Toc365036707"/>
      <w:bookmarkStart w:id="681" w:name="_Toc365635631"/>
      <w:bookmarkStart w:id="682" w:name="_Toc396375456"/>
      <w:bookmarkStart w:id="683" w:name="_Toc396990235"/>
      <w:bookmarkStart w:id="684" w:name="_Toc397433370"/>
      <w:bookmarkStart w:id="685" w:name="_Toc399157598"/>
      <w:bookmarkStart w:id="686" w:name="_Toc399321070"/>
      <w:bookmarkStart w:id="687" w:name="_Toc399925896"/>
      <w:bookmarkStart w:id="688" w:name="_Toc399928249"/>
      <w:r w:rsidRPr="005D45FC">
        <w:t>5.1  Landscape scale analysis of impact</w:t>
      </w:r>
      <w:bookmarkEnd w:id="674"/>
      <w:bookmarkEnd w:id="675"/>
      <w:bookmarkEnd w:id="676"/>
      <w:bookmarkEnd w:id="677"/>
      <w:bookmarkEnd w:id="678"/>
      <w:bookmarkEnd w:id="679"/>
      <w:bookmarkEnd w:id="680"/>
      <w:bookmarkEnd w:id="681"/>
      <w:bookmarkEnd w:id="682"/>
      <w:bookmarkEnd w:id="683"/>
      <w:bookmarkEnd w:id="684"/>
      <w:bookmarkEnd w:id="685"/>
      <w:bookmarkEnd w:id="686"/>
      <w:bookmarkEnd w:id="687"/>
      <w:bookmarkEnd w:id="688"/>
    </w:p>
    <w:p w:rsidR="005D45FC" w:rsidRPr="005D45FC" w:rsidRDefault="005D45FC" w:rsidP="004C6033">
      <w:pPr>
        <w:pStyle w:val="Heading3"/>
      </w:pPr>
      <w:r w:rsidRPr="005D45FC">
        <w:t xml:space="preserve">5.1.1  Develop a landscape-scale ecological risk assessment framework for the Magela catchment that incorporates, and places into context, uranium mining activities and relevant regional landscape processes and threats, and that builds on previous work for the Magela floodplain </w:t>
      </w:r>
    </w:p>
    <w:p w:rsidR="005D45FC" w:rsidRPr="005D45FC" w:rsidRDefault="005D45FC" w:rsidP="005D45FC">
      <w:r w:rsidRPr="005D45FC">
        <w:t xml:space="preserve">Ecological risks associated with uranium mining activities in the ARR, such as current operations (Ranger) and rehabilitation (Nabarlek, Jabiluka, future Ranger, South Alligator Valley), should be assessed within a landscape analysis framework to provide context in relation to more diffuse threats associated with large-scale ecological disturbances, such as invasive species, unmanaged fire, cyclones and climate change. Most key landscape processes occur at regional scales, however the focus will be on the Magela catchment encompassing the RPA. A conceptual model should first be developed to capture links and interactions between multiple risks and assets at multiple scales within the Magela catchment, with risks associated with Ranger mining activities made explicit. The spatially explicit Relative Risk Model will be used to prioritise multiple risks for further qualitative and/or quantitative assessments. The conceptual model and risk assessment framework should be continually tested and improved as part of Best Practice. Where appropriate, risk assessments should be incorporated into decision making processes using advanced risk assessment frameworks such as Bayesian Networks, and all uncertainties made explicit. This risk assessment process should integrate outputs from KKN 1.2.1 (risks from the surface water pathway – Ranger current operations) and the new KKN 2.6.1 (risks associated with rehabilitation) to provide a landscape-scale context for the rehabilitation of Ranger into </w:t>
      </w:r>
      <w:smartTag w:uri="urn:schemas-microsoft-com:office:smarttags" w:element="place">
        <w:smartTag w:uri="urn:schemas-microsoft-com:office:smarttags" w:element="PlaceName">
          <w:r w:rsidRPr="005D45FC">
            <w:t>Kakadu</w:t>
          </w:r>
        </w:smartTag>
        <w:r w:rsidRPr="005D45FC">
          <w:t xml:space="preserve"> </w:t>
        </w:r>
        <w:smartTag w:uri="urn:schemas-microsoft-com:office:smarttags" w:element="PlaceType">
          <w:r w:rsidRPr="005D45FC">
            <w:t>National Park</w:t>
          </w:r>
        </w:smartTag>
      </w:smartTag>
      <w:r w:rsidRPr="005D45FC">
        <w:t>, and should be communicated to stakeholders.</w:t>
      </w:r>
    </w:p>
    <w:p w:rsidR="005D45FC" w:rsidRPr="005D45FC" w:rsidRDefault="005D45FC" w:rsidP="00CD24A2">
      <w:pPr>
        <w:pStyle w:val="Heading2"/>
      </w:pPr>
      <w:bookmarkStart w:id="689" w:name="_Toc209513849"/>
      <w:bookmarkStart w:id="690" w:name="_Toc209842577"/>
      <w:bookmarkStart w:id="691" w:name="_Toc240197854"/>
      <w:bookmarkStart w:id="692" w:name="_Toc240277627"/>
      <w:bookmarkStart w:id="693" w:name="_Toc272771548"/>
      <w:bookmarkStart w:id="694" w:name="_Toc274817052"/>
      <w:bookmarkStart w:id="695" w:name="_Toc303074491"/>
      <w:bookmarkStart w:id="696" w:name="_Toc334196204"/>
      <w:bookmarkStart w:id="697" w:name="_Toc365036708"/>
      <w:bookmarkStart w:id="698" w:name="_Toc365635632"/>
      <w:bookmarkStart w:id="699" w:name="_Toc396375457"/>
      <w:bookmarkStart w:id="700" w:name="_Toc396990236"/>
      <w:bookmarkStart w:id="701" w:name="_Toc397433371"/>
      <w:bookmarkStart w:id="702" w:name="_Toc399157599"/>
      <w:bookmarkStart w:id="703" w:name="_Toc399321071"/>
      <w:bookmarkStart w:id="704" w:name="_Toc399925897"/>
      <w:bookmarkStart w:id="705" w:name="_Toc399928250"/>
      <w:r w:rsidRPr="005D45FC">
        <w:t xml:space="preserve">5.2  </w:t>
      </w:r>
      <w:smartTag w:uri="urn:schemas-microsoft-com:office:smarttags" w:element="place">
        <w:smartTag w:uri="urn:schemas-microsoft-com:office:smarttags" w:element="PlaceName">
          <w:r w:rsidRPr="005D45FC">
            <w:t>South</w:t>
          </w:r>
        </w:smartTag>
        <w:r w:rsidRPr="005D45FC">
          <w:t xml:space="preserve"> </w:t>
        </w:r>
        <w:smartTag w:uri="urn:schemas-microsoft-com:office:smarttags" w:element="PlaceName">
          <w:r w:rsidRPr="005D45FC">
            <w:t>Alligator</w:t>
          </w:r>
        </w:smartTag>
        <w:r w:rsidRPr="005D45FC">
          <w:t xml:space="preserve"> </w:t>
        </w:r>
        <w:smartTag w:uri="urn:schemas-microsoft-com:office:smarttags" w:element="PlaceType">
          <w:r w:rsidRPr="005D45FC">
            <w:t>River</w:t>
          </w:r>
        </w:smartTag>
      </w:smartTag>
      <w:r w:rsidRPr="005D45FC">
        <w:t xml:space="preserve"> valley rehabilitation</w:t>
      </w:r>
      <w:bookmarkEnd w:id="689"/>
      <w:bookmarkEnd w:id="690"/>
      <w:bookmarkEnd w:id="691"/>
      <w:bookmarkEnd w:id="692"/>
      <w:bookmarkEnd w:id="693"/>
      <w:bookmarkEnd w:id="694"/>
      <w:bookmarkEnd w:id="695"/>
      <w:bookmarkEnd w:id="696"/>
      <w:bookmarkEnd w:id="697"/>
      <w:bookmarkEnd w:id="698"/>
      <w:bookmarkEnd w:id="699"/>
      <w:bookmarkEnd w:id="700"/>
      <w:bookmarkEnd w:id="701"/>
      <w:bookmarkEnd w:id="702"/>
      <w:bookmarkEnd w:id="703"/>
      <w:bookmarkEnd w:id="704"/>
      <w:bookmarkEnd w:id="705"/>
    </w:p>
    <w:p w:rsidR="005D45FC" w:rsidRPr="005D45FC" w:rsidRDefault="005D45FC" w:rsidP="00CD24A2">
      <w:pPr>
        <w:pStyle w:val="Heading3"/>
      </w:pPr>
      <w:r w:rsidRPr="005D45FC">
        <w:t xml:space="preserve">5.2.1  Assessment of past mining and milling sites in the </w:t>
      </w:r>
      <w:smartTag w:uri="urn:schemas-microsoft-com:office:smarttags" w:element="place">
        <w:smartTag w:uri="urn:schemas-microsoft-com:office:smarttags" w:element="PlaceName">
          <w:r w:rsidRPr="005D45FC">
            <w:t>South</w:t>
          </w:r>
        </w:smartTag>
        <w:r w:rsidRPr="005D45FC">
          <w:t xml:space="preserve"> </w:t>
        </w:r>
        <w:smartTag w:uri="urn:schemas-microsoft-com:office:smarttags" w:element="PlaceName">
          <w:r w:rsidRPr="005D45FC">
            <w:t>Alligator</w:t>
          </w:r>
        </w:smartTag>
        <w:r w:rsidRPr="005D45FC">
          <w:t xml:space="preserve"> </w:t>
        </w:r>
        <w:smartTag w:uri="urn:schemas-microsoft-com:office:smarttags" w:element="PlaceType">
          <w:r w:rsidRPr="005D45FC">
            <w:t>River</w:t>
          </w:r>
        </w:smartTag>
      </w:smartTag>
      <w:r w:rsidRPr="005D45FC">
        <w:t xml:space="preserve"> valley</w:t>
      </w:r>
    </w:p>
    <w:p w:rsidR="005D45FC" w:rsidRPr="005D45FC" w:rsidRDefault="005D45FC" w:rsidP="005D45FC">
      <w:r w:rsidRPr="005D45FC">
        <w:t>SSD conducts regular assessments of the status of mine sites in the SAR valley, provides advice to Parks Australia on technical issues associated with its rehabilitation program</w:t>
      </w:r>
      <w:r w:rsidR="00936D05">
        <w:t>me</w:t>
      </w:r>
      <w:r w:rsidRPr="005D45FC">
        <w:t xml:space="preserve"> and conducts a low level radiological monitoring program</w:t>
      </w:r>
      <w:r w:rsidR="00936D05">
        <w:t>me</w:t>
      </w:r>
      <w:r w:rsidRPr="005D45FC">
        <w:t>. This work should continue.</w:t>
      </w:r>
    </w:p>
    <w:p w:rsidR="005D45FC" w:rsidRPr="005D45FC" w:rsidRDefault="005D45FC" w:rsidP="00CD24A2">
      <w:pPr>
        <w:pStyle w:val="Heading2"/>
      </w:pPr>
      <w:bookmarkStart w:id="706" w:name="_Toc209513850"/>
      <w:bookmarkStart w:id="707" w:name="_Toc209842578"/>
      <w:bookmarkStart w:id="708" w:name="_Toc240197855"/>
      <w:bookmarkStart w:id="709" w:name="_Toc240277628"/>
      <w:bookmarkStart w:id="710" w:name="_Toc272771549"/>
      <w:bookmarkStart w:id="711" w:name="_Toc274817053"/>
      <w:bookmarkStart w:id="712" w:name="_Toc303074492"/>
      <w:bookmarkStart w:id="713" w:name="_Toc334196205"/>
      <w:bookmarkStart w:id="714" w:name="_Toc365036709"/>
      <w:bookmarkStart w:id="715" w:name="_Toc365635633"/>
      <w:bookmarkStart w:id="716" w:name="_Toc396375458"/>
      <w:bookmarkStart w:id="717" w:name="_Toc396990237"/>
      <w:bookmarkStart w:id="718" w:name="_Toc397433372"/>
      <w:bookmarkStart w:id="719" w:name="_Toc399157600"/>
      <w:bookmarkStart w:id="720" w:name="_Toc399321072"/>
      <w:bookmarkStart w:id="721" w:name="_Toc399925898"/>
      <w:bookmarkStart w:id="722" w:name="_Toc399928251"/>
      <w:r w:rsidRPr="005D45FC">
        <w:t>5.3  Develop monitoring program</w:t>
      </w:r>
      <w:r w:rsidR="00936D05">
        <w:t>me</w:t>
      </w:r>
      <w:r w:rsidRPr="005D45FC">
        <w:t xml:space="preserve"> related to </w:t>
      </w:r>
      <w:smartTag w:uri="urn:schemas-microsoft-com:office:smarttags" w:element="place">
        <w:r w:rsidRPr="005D45FC">
          <w:t>West Arnhem Land</w:t>
        </w:r>
      </w:smartTag>
      <w:r w:rsidRPr="005D45FC">
        <w:t xml:space="preserve"> exploration activities</w:t>
      </w:r>
      <w:bookmarkEnd w:id="706"/>
      <w:bookmarkEnd w:id="707"/>
      <w:bookmarkEnd w:id="708"/>
      <w:bookmarkEnd w:id="709"/>
      <w:bookmarkEnd w:id="710"/>
      <w:bookmarkEnd w:id="711"/>
      <w:bookmarkEnd w:id="712"/>
      <w:bookmarkEnd w:id="713"/>
      <w:bookmarkEnd w:id="714"/>
      <w:bookmarkEnd w:id="715"/>
      <w:bookmarkEnd w:id="716"/>
      <w:bookmarkEnd w:id="717"/>
      <w:bookmarkEnd w:id="718"/>
      <w:bookmarkEnd w:id="719"/>
      <w:bookmarkEnd w:id="720"/>
      <w:bookmarkEnd w:id="721"/>
      <w:bookmarkEnd w:id="722"/>
    </w:p>
    <w:p w:rsidR="005D45FC" w:rsidRPr="005D45FC" w:rsidRDefault="005D45FC" w:rsidP="00CD24A2">
      <w:pPr>
        <w:pStyle w:val="Heading3"/>
      </w:pPr>
      <w:r w:rsidRPr="005D45FC">
        <w:t xml:space="preserve">5.3.1  Baseline studies for biological assessment in </w:t>
      </w:r>
      <w:smartTag w:uri="urn:schemas-microsoft-com:office:smarttags" w:element="place">
        <w:r w:rsidRPr="005D45FC">
          <w:t>West Arnhem Land</w:t>
        </w:r>
      </w:smartTag>
    </w:p>
    <w:p w:rsidR="005D45FC" w:rsidRPr="005D45FC" w:rsidRDefault="005D45FC" w:rsidP="005D45FC">
      <w:pPr>
        <w:rPr>
          <w:b/>
        </w:rPr>
      </w:pPr>
      <w:r w:rsidRPr="005D45FC">
        <w:t xml:space="preserve">ARRTC believes there is a need to determine a baseline for (a) rare, threatened and endemic biota and (b) indicator species or groups such as macroinvertebrates in areas where advanced exploration or proposed mining projects are identified and in line with the current approvals process under the </w:t>
      </w:r>
      <w:r w:rsidR="00C467F3" w:rsidRPr="002F49B8">
        <w:rPr>
          <w:rFonts w:cs="TimesNewRomanPS-ItalicMT"/>
          <w:i/>
          <w:iCs/>
        </w:rPr>
        <w:t>Aboriginal Land Rights (Northern Territory) Act 1976</w:t>
      </w:r>
      <w:r w:rsidR="00ED06D5">
        <w:rPr>
          <w:rFonts w:cs="TimesNewRomanPS-ItalicMT"/>
          <w:i/>
          <w:iCs/>
        </w:rPr>
        <w:t>.</w:t>
      </w:r>
    </w:p>
    <w:p w:rsidR="005D45FC" w:rsidRPr="005D45FC" w:rsidRDefault="005D45FC" w:rsidP="00CD24A2">
      <w:pPr>
        <w:pStyle w:val="Heading2"/>
        <w:rPr>
          <w:lang w:val="pt-BR"/>
        </w:rPr>
      </w:pPr>
      <w:bookmarkStart w:id="723" w:name="_Toc209513851"/>
      <w:bookmarkStart w:id="724" w:name="_Toc209842579"/>
      <w:bookmarkStart w:id="725" w:name="_Toc240197856"/>
      <w:bookmarkStart w:id="726" w:name="_Toc240277629"/>
      <w:bookmarkStart w:id="727" w:name="_Toc272771550"/>
      <w:bookmarkStart w:id="728" w:name="_Toc274817054"/>
      <w:bookmarkStart w:id="729" w:name="_Toc303074493"/>
      <w:bookmarkStart w:id="730" w:name="_Toc334196206"/>
      <w:bookmarkStart w:id="731" w:name="_Toc365036710"/>
      <w:bookmarkStart w:id="732" w:name="_Toc365635634"/>
      <w:bookmarkStart w:id="733" w:name="_Toc396375459"/>
      <w:bookmarkStart w:id="734" w:name="_Toc396990238"/>
      <w:bookmarkStart w:id="735" w:name="_Toc397433373"/>
      <w:bookmarkStart w:id="736" w:name="_Toc399157601"/>
      <w:bookmarkStart w:id="737" w:name="_Toc399321073"/>
      <w:bookmarkStart w:id="738" w:name="_Toc399925899"/>
      <w:bookmarkStart w:id="739" w:name="_Toc399928252"/>
      <w:r w:rsidRPr="005D45FC">
        <w:rPr>
          <w:lang w:val="pt-BR"/>
        </w:rPr>
        <w:t>5.4  Koongarra</w:t>
      </w:r>
      <w:bookmarkEnd w:id="723"/>
      <w:bookmarkEnd w:id="724"/>
      <w:bookmarkEnd w:id="725"/>
      <w:bookmarkEnd w:id="726"/>
      <w:bookmarkEnd w:id="727"/>
      <w:bookmarkEnd w:id="728"/>
      <w:bookmarkEnd w:id="729"/>
      <w:bookmarkEnd w:id="730"/>
      <w:bookmarkEnd w:id="731"/>
      <w:bookmarkEnd w:id="732"/>
      <w:bookmarkEnd w:id="733"/>
      <w:bookmarkEnd w:id="734"/>
      <w:bookmarkEnd w:id="735"/>
      <w:bookmarkEnd w:id="736"/>
      <w:bookmarkEnd w:id="737"/>
      <w:bookmarkEnd w:id="738"/>
      <w:bookmarkEnd w:id="739"/>
    </w:p>
    <w:p w:rsidR="005D45FC" w:rsidRPr="005D45FC" w:rsidRDefault="005D45FC" w:rsidP="00CD24A2">
      <w:pPr>
        <w:pStyle w:val="Heading3"/>
        <w:rPr>
          <w:lang w:val="pt-BR"/>
        </w:rPr>
      </w:pPr>
      <w:r w:rsidRPr="005D45FC">
        <w:rPr>
          <w:lang w:val="pt-BR"/>
        </w:rPr>
        <w:t>5.4.1  Baseline monitoring program</w:t>
      </w:r>
      <w:r w:rsidR="00936D05">
        <w:rPr>
          <w:lang w:val="pt-BR"/>
        </w:rPr>
        <w:t>me</w:t>
      </w:r>
      <w:r w:rsidRPr="005D45FC">
        <w:rPr>
          <w:lang w:val="pt-BR"/>
        </w:rPr>
        <w:t xml:space="preserve"> for Koongarra</w:t>
      </w:r>
    </w:p>
    <w:p w:rsidR="005D45FC" w:rsidRPr="005D45FC" w:rsidRDefault="005D45FC" w:rsidP="005D45FC">
      <w:r w:rsidRPr="005D45FC">
        <w:t xml:space="preserve">In line with the current approvals process under the </w:t>
      </w:r>
      <w:r w:rsidR="00C467F3" w:rsidRPr="002F49B8">
        <w:rPr>
          <w:rFonts w:cs="TimesNewRomanPS-ItalicMT"/>
          <w:i/>
          <w:iCs/>
        </w:rPr>
        <w:t>Aboriginal Land Rights (Northern Territory) Act 1976</w:t>
      </w:r>
      <w:r w:rsidRPr="005D45FC">
        <w:t xml:space="preserve"> a low level monitoring program</w:t>
      </w:r>
      <w:r w:rsidR="00936D05">
        <w:t>me</w:t>
      </w:r>
      <w:r w:rsidRPr="005D45FC">
        <w:t xml:space="preserve"> should be developed for Koongarra to provide baseline data in advance of any possible future development at the site. Data from this program</w:t>
      </w:r>
      <w:r w:rsidR="00936D05">
        <w:t>me</w:t>
      </w:r>
      <w:r w:rsidRPr="005D45FC">
        <w:t xml:space="preserve"> could also have some relevance as a control system for comparison to Ranger, Jabiluka and Nabarlek.</w:t>
      </w:r>
    </w:p>
    <w:p w:rsidR="005D45FC" w:rsidRPr="005D45FC" w:rsidRDefault="005D45FC" w:rsidP="005D45FC">
      <w:pPr>
        <w:rPr>
          <w:i/>
          <w:iCs/>
        </w:rPr>
      </w:pPr>
      <w:r w:rsidRPr="005D45FC">
        <w:rPr>
          <w:i/>
        </w:rPr>
        <w:t xml:space="preserve">Note: </w:t>
      </w:r>
      <w:r w:rsidRPr="005D45FC">
        <w:rPr>
          <w:i/>
          <w:lang w:val="en-US"/>
        </w:rPr>
        <w:t xml:space="preserve">The Koongarra Project Area was added to the </w:t>
      </w:r>
      <w:r w:rsidRPr="005D45FC">
        <w:rPr>
          <w:i/>
        </w:rPr>
        <w:t xml:space="preserve">Kakadu World Heritage Area by the </w:t>
      </w:r>
      <w:r w:rsidRPr="005D45FC">
        <w:rPr>
          <w:i/>
          <w:lang w:val="en-US"/>
        </w:rPr>
        <w:t xml:space="preserve">World Heritage Committee </w:t>
      </w:r>
      <w:r w:rsidRPr="005D45FC">
        <w:rPr>
          <w:i/>
        </w:rPr>
        <w:t xml:space="preserve">on </w:t>
      </w:r>
      <w:r w:rsidRPr="005D45FC">
        <w:rPr>
          <w:i/>
          <w:lang w:val="en-US"/>
        </w:rPr>
        <w:t xml:space="preserve">27 June 2011, </w:t>
      </w:r>
      <w:r w:rsidRPr="005D45FC">
        <w:rPr>
          <w:i/>
          <w:iCs/>
          <w:lang w:val="en-US"/>
        </w:rPr>
        <w:t>and this KKN will need to be revisited pending the possible re-incorporation of the area into Kakadu National Park.</w:t>
      </w:r>
    </w:p>
    <w:p w:rsidR="001E2A81" w:rsidRDefault="001E2A81" w:rsidP="00A00BA3">
      <w:pPr>
        <w:sectPr w:rsidR="001E2A81">
          <w:headerReference w:type="even" r:id="rId147"/>
          <w:headerReference w:type="default" r:id="rId148"/>
          <w:headerReference w:type="first" r:id="rId149"/>
          <w:pgSz w:w="10325" w:h="14573" w:code="13"/>
          <w:pgMar w:top="1440" w:right="1440" w:bottom="1440" w:left="1440" w:header="720" w:footer="720" w:gutter="0"/>
          <w:cols w:space="360"/>
          <w:noEndnote/>
          <w:titlePg/>
        </w:sectPr>
      </w:pPr>
    </w:p>
    <w:p w:rsidR="00F74810" w:rsidRDefault="00F74810" w:rsidP="00DE799E">
      <w:pPr>
        <w:pStyle w:val="Heading1"/>
      </w:pPr>
      <w:bookmarkStart w:id="740" w:name="_Toc116123256"/>
      <w:bookmarkStart w:id="741" w:name="_Toc399928253"/>
      <w:r w:rsidRPr="00644FC3">
        <w:t xml:space="preserve">Appendix </w:t>
      </w:r>
      <w:proofErr w:type="gramStart"/>
      <w:r w:rsidRPr="00644FC3">
        <w:t>2  Publications</w:t>
      </w:r>
      <w:proofErr w:type="gramEnd"/>
      <w:r w:rsidRPr="00644FC3">
        <w:t xml:space="preserve"> for 201</w:t>
      </w:r>
      <w:r w:rsidR="007B43C7">
        <w:t>3</w:t>
      </w:r>
      <w:r w:rsidRPr="00644FC3">
        <w:t>–1</w:t>
      </w:r>
      <w:bookmarkEnd w:id="740"/>
      <w:r w:rsidR="007B43C7">
        <w:t>4</w:t>
      </w:r>
      <w:bookmarkEnd w:id="741"/>
    </w:p>
    <w:p w:rsidR="00367608" w:rsidRPr="002F728A" w:rsidRDefault="00367608" w:rsidP="002F728A">
      <w:pPr>
        <w:pStyle w:val="referencelist1"/>
      </w:pPr>
      <w:bookmarkStart w:id="742" w:name="_Toc146345161"/>
      <w:bookmarkStart w:id="743" w:name="_Toc146537772"/>
      <w:bookmarkStart w:id="744" w:name="_Toc146537947"/>
      <w:bookmarkStart w:id="745" w:name="_Toc146626961"/>
      <w:bookmarkStart w:id="746" w:name="_Toc176745458"/>
      <w:bookmarkStart w:id="747" w:name="_Toc176757110"/>
      <w:bookmarkStart w:id="748" w:name="_Toc176775546"/>
      <w:bookmarkStart w:id="749" w:name="_Toc209513854"/>
      <w:bookmarkStart w:id="750" w:name="_Toc209842582"/>
      <w:bookmarkStart w:id="751" w:name="_Toc240197859"/>
      <w:bookmarkStart w:id="752" w:name="_Toc240277632"/>
      <w:bookmarkStart w:id="753" w:name="_Toc272771553"/>
      <w:bookmarkStart w:id="754" w:name="_Toc274817057"/>
      <w:bookmarkStart w:id="755" w:name="_Toc303074496"/>
      <w:bookmarkStart w:id="756" w:name="_Toc334196209"/>
      <w:bookmarkStart w:id="757" w:name="_Toc365036713"/>
      <w:bookmarkStart w:id="758" w:name="_Toc365635637"/>
      <w:r w:rsidRPr="002F728A">
        <w:t xml:space="preserve">Bollhöfer A, Beraldo A, Pfitzner K, Esparon A &amp; Doering C 2014. </w:t>
      </w:r>
      <w:proofErr w:type="gramStart"/>
      <w:r w:rsidRPr="002F728A">
        <w:t>Determining a pre-mining radiological baseline from historic airborne gamma surveys: A case study.</w:t>
      </w:r>
      <w:proofErr w:type="gramEnd"/>
      <w:r w:rsidRPr="002F728A">
        <w:t xml:space="preserve"> </w:t>
      </w:r>
      <w:r w:rsidRPr="002F728A">
        <w:rPr>
          <w:i/>
        </w:rPr>
        <w:t>Science of the Total Environment</w:t>
      </w:r>
      <w:r w:rsidRPr="002F728A">
        <w:t xml:space="preserve"> 468–469, 764–773.</w:t>
      </w:r>
    </w:p>
    <w:p w:rsidR="00367608" w:rsidRPr="002F728A" w:rsidRDefault="00367608" w:rsidP="002F728A">
      <w:pPr>
        <w:pStyle w:val="referencelist1"/>
      </w:pPr>
      <w:r w:rsidRPr="002F728A">
        <w:t xml:space="preserve">Bollhöfer A, Schlosser C, Ross JO, Sartorius H &amp; Schmid S 2014. Variability of atmospheric Kr-85 activity concentrations observed close to the ITCZ in the Southern Hemisphere. </w:t>
      </w:r>
      <w:r w:rsidRPr="002F728A">
        <w:rPr>
          <w:i/>
        </w:rPr>
        <w:t>Journal of Environmental Radioactivity</w:t>
      </w:r>
      <w:r w:rsidRPr="002F728A">
        <w:t xml:space="preserve"> 127, 111–118</w:t>
      </w:r>
      <w:r w:rsidR="002F728A">
        <w:t>.</w:t>
      </w:r>
    </w:p>
    <w:p w:rsidR="00367608" w:rsidRPr="0071764C" w:rsidRDefault="00367608" w:rsidP="002F728A">
      <w:pPr>
        <w:pStyle w:val="referencelist1"/>
      </w:pPr>
      <w:r w:rsidRPr="0071764C">
        <w:t xml:space="preserve">Boyden J, Joyce K, Boggs G &amp; Wurm P 2013. </w:t>
      </w:r>
      <w:proofErr w:type="gramStart"/>
      <w:r w:rsidRPr="0071764C">
        <w:t>Object-based mapping of native vegetation and para grass (</w:t>
      </w:r>
      <w:r w:rsidRPr="0071764C">
        <w:rPr>
          <w:i/>
        </w:rPr>
        <w:t>Urochloa mutica</w:t>
      </w:r>
      <w:r w:rsidRPr="0071764C">
        <w:t>) on a monsoonal wetland of Kakadu NP using a Landsat 5 TM Dry-season time series.</w:t>
      </w:r>
      <w:proofErr w:type="gramEnd"/>
      <w:r w:rsidRPr="0071764C">
        <w:t xml:space="preserve"> </w:t>
      </w:r>
      <w:r w:rsidRPr="0071764C">
        <w:rPr>
          <w:i/>
        </w:rPr>
        <w:t>Journal of Spatial Science</w:t>
      </w:r>
      <w:r w:rsidR="00A974B7" w:rsidRPr="0071764C">
        <w:t xml:space="preserve"> 58</w:t>
      </w:r>
      <w:r w:rsidR="00C20D70" w:rsidRPr="0071764C">
        <w:t>(1),</w:t>
      </w:r>
      <w:r w:rsidRPr="0071764C">
        <w:t xml:space="preserve"> 53–77.</w:t>
      </w:r>
    </w:p>
    <w:p w:rsidR="00367608" w:rsidRPr="002F728A" w:rsidRDefault="00367608" w:rsidP="002F728A">
      <w:pPr>
        <w:pStyle w:val="referencelist1"/>
      </w:pPr>
      <w:proofErr w:type="gramStart"/>
      <w:r w:rsidRPr="0071764C">
        <w:t>Doering C &amp; Saey P 2014.</w:t>
      </w:r>
      <w:proofErr w:type="gramEnd"/>
      <w:r w:rsidRPr="0071764C">
        <w:t xml:space="preserve"> Hadley cell influence on 7Be activity concentrations at</w:t>
      </w:r>
      <w:r w:rsidRPr="002F728A">
        <w:t xml:space="preserve"> Australian mainland IMS radionuclide particulate stations. </w:t>
      </w:r>
      <w:r w:rsidRPr="002F728A">
        <w:rPr>
          <w:i/>
        </w:rPr>
        <w:t xml:space="preserve">Journal of Environmental Radioactivity </w:t>
      </w:r>
      <w:r w:rsidRPr="002F728A">
        <w:t>127, 88–94</w:t>
      </w:r>
      <w:r w:rsidR="002F728A">
        <w:t>.</w:t>
      </w:r>
    </w:p>
    <w:p w:rsidR="00367608" w:rsidRPr="002F728A" w:rsidRDefault="00367608" w:rsidP="002F728A">
      <w:pPr>
        <w:pStyle w:val="referencelist1"/>
      </w:pPr>
      <w:r w:rsidRPr="002F728A">
        <w:t>Erskine WD 2013. Synchronous linked changes in rainfall, floods and river channel changes in south eastern Australia since European settlement. In: E Boegh, E Blyth, DM Hannah, H Hisdal, H Kuntsmann, B Su and KK Yilmaz (eds</w:t>
      </w:r>
      <w:r w:rsidR="000336FF">
        <w:t>.</w:t>
      </w:r>
      <w:r w:rsidRPr="002F728A">
        <w:t xml:space="preserve">), Climate and Land Surface Changes in Hydrology. </w:t>
      </w:r>
      <w:r w:rsidRPr="002F728A">
        <w:rPr>
          <w:i/>
        </w:rPr>
        <w:t>International Association of Hydrological Sciences</w:t>
      </w:r>
      <w:r w:rsidRPr="002F728A">
        <w:t>, Wallingford, Publ. No. 359, 30–37.</w:t>
      </w:r>
    </w:p>
    <w:p w:rsidR="00367608" w:rsidRPr="002F728A" w:rsidRDefault="00367608" w:rsidP="002F728A">
      <w:pPr>
        <w:pStyle w:val="referencelist1"/>
      </w:pPr>
      <w:r w:rsidRPr="002F728A">
        <w:t>Erskine WD 2013. Flood-tidal and fluvial deltas of Tuggerah Lakes, Australia: Human impacts on geomorphology, sedimentology, hydrodynamics and seagrasses. In: G Young and G Perillo (eds</w:t>
      </w:r>
      <w:r w:rsidR="000336FF">
        <w:t>.</w:t>
      </w:r>
      <w:r w:rsidRPr="002F728A">
        <w:t xml:space="preserve">), Deltas: Landforms, Ecosystems and Human Activities. </w:t>
      </w:r>
      <w:r w:rsidRPr="002F728A">
        <w:rPr>
          <w:i/>
        </w:rPr>
        <w:t>International Association of Hydrological Sciences</w:t>
      </w:r>
      <w:r w:rsidRPr="002F728A">
        <w:t>, Wallingford, Publ. No. 358, 159–167.</w:t>
      </w:r>
    </w:p>
    <w:p w:rsidR="00367608" w:rsidRPr="002F728A" w:rsidRDefault="00367608" w:rsidP="002F728A">
      <w:pPr>
        <w:pStyle w:val="referencelist1"/>
      </w:pPr>
      <w:r w:rsidRPr="002F728A">
        <w:t xml:space="preserve">Erskine WD 2013. </w:t>
      </w:r>
      <w:proofErr w:type="gramStart"/>
      <w:r w:rsidRPr="002F728A">
        <w:t>The role of overbank deposition in floodplain formation and catastrophic floods in floodplain destruction in south eastern Australia.</w:t>
      </w:r>
      <w:proofErr w:type="gramEnd"/>
      <w:r w:rsidRPr="002F728A">
        <w:t xml:space="preserve"> In: EH Alcantara (ed</w:t>
      </w:r>
      <w:r w:rsidR="000336FF">
        <w:t>.</w:t>
      </w:r>
      <w:r w:rsidRPr="002F728A">
        <w:t>) Floodplains Environmental Management,</w:t>
      </w:r>
      <w:r w:rsidRPr="002F728A">
        <w:rPr>
          <w:i/>
        </w:rPr>
        <w:t xml:space="preserve"> Restoration and Ecological Implications</w:t>
      </w:r>
      <w:r w:rsidRPr="002F728A">
        <w:t>. Nova Science, New York, 181–210.</w:t>
      </w:r>
    </w:p>
    <w:p w:rsidR="00367608" w:rsidRPr="002F728A" w:rsidRDefault="00367608" w:rsidP="002F728A">
      <w:pPr>
        <w:pStyle w:val="referencelist1"/>
      </w:pPr>
      <w:proofErr w:type="gramStart"/>
      <w:r w:rsidRPr="002F728A">
        <w:t>Erskine WD &amp; Borgert R 2013.</w:t>
      </w:r>
      <w:proofErr w:type="gramEnd"/>
      <w:r w:rsidRPr="002F728A">
        <w:t xml:space="preserve"> </w:t>
      </w:r>
      <w:proofErr w:type="gramStart"/>
      <w:r w:rsidRPr="002F728A">
        <w:t>Geomorphology and sedimentology of the Mogo Creek fluvial delta, NSW, Australia.</w:t>
      </w:r>
      <w:proofErr w:type="gramEnd"/>
      <w:r w:rsidRPr="002F728A">
        <w:t xml:space="preserve"> In: G Young and G Perillo (</w:t>
      </w:r>
      <w:proofErr w:type="gramStart"/>
      <w:r w:rsidRPr="002F728A">
        <w:t>eds</w:t>
      </w:r>
      <w:proofErr w:type="gramEnd"/>
      <w:r w:rsidRPr="002F728A">
        <w:t>), Deltas: Landforms, Ecosystems and Human Activities.</w:t>
      </w:r>
      <w:r w:rsidRPr="002F728A">
        <w:rPr>
          <w:i/>
        </w:rPr>
        <w:t xml:space="preserve"> International Association of Hydrological Sciences</w:t>
      </w:r>
      <w:r w:rsidRPr="002F728A">
        <w:t>, Wallingford, Publ. No. 358, 218–225.</w:t>
      </w:r>
    </w:p>
    <w:p w:rsidR="00367608" w:rsidRPr="002F728A" w:rsidRDefault="00367608" w:rsidP="002F728A">
      <w:pPr>
        <w:pStyle w:val="referencelist1"/>
      </w:pPr>
      <w:proofErr w:type="gramStart"/>
      <w:r w:rsidRPr="002F728A">
        <w:t>Erskine F, Chalmers A &amp; Erskine W 2013.</w:t>
      </w:r>
      <w:proofErr w:type="gramEnd"/>
      <w:r w:rsidRPr="002F728A">
        <w:t xml:space="preserve"> </w:t>
      </w:r>
      <w:proofErr w:type="gramStart"/>
      <w:r w:rsidRPr="002F728A">
        <w:t xml:space="preserve">Survival of </w:t>
      </w:r>
      <w:r w:rsidRPr="002244FA">
        <w:rPr>
          <w:i/>
        </w:rPr>
        <w:t>Casuarina cunninghamiana</w:t>
      </w:r>
      <w:r w:rsidRPr="002F728A">
        <w:t xml:space="preserve"> on a recovering sand-bed stream in the Wollombi Valley of New South Wales.</w:t>
      </w:r>
      <w:proofErr w:type="gramEnd"/>
      <w:r w:rsidRPr="002F728A">
        <w:t xml:space="preserve"> </w:t>
      </w:r>
      <w:r w:rsidRPr="002F728A">
        <w:rPr>
          <w:i/>
        </w:rPr>
        <w:t>Cunninghamia</w:t>
      </w:r>
      <w:r w:rsidRPr="002F728A">
        <w:t xml:space="preserve"> 13, 295–304.</w:t>
      </w:r>
    </w:p>
    <w:p w:rsidR="00367608" w:rsidRPr="002F728A" w:rsidRDefault="00367608" w:rsidP="002F728A">
      <w:pPr>
        <w:pStyle w:val="referencelist1"/>
      </w:pPr>
      <w:proofErr w:type="gramStart"/>
      <w:r w:rsidRPr="002F728A">
        <w:t>Erskine WD &amp; Saynor MJ 2013.</w:t>
      </w:r>
      <w:proofErr w:type="gramEnd"/>
      <w:r w:rsidRPr="002F728A">
        <w:t xml:space="preserve"> Hydrology and bedload transport relationships for sand-bed streams in the Ngarradj Creek catchment, northern Australia.</w:t>
      </w:r>
      <w:r w:rsidRPr="002F728A">
        <w:rPr>
          <w:i/>
        </w:rPr>
        <w:t xml:space="preserve"> Journal of Hydrology </w:t>
      </w:r>
      <w:r w:rsidRPr="002F728A">
        <w:t xml:space="preserve">483, 68–79. </w:t>
      </w:r>
    </w:p>
    <w:p w:rsidR="00367608" w:rsidRPr="002F728A" w:rsidRDefault="00367608" w:rsidP="002F728A">
      <w:pPr>
        <w:pStyle w:val="referencelist1"/>
      </w:pPr>
      <w:r w:rsidRPr="002F728A">
        <w:t xml:space="preserve">Hahn T, Diamond J, Dobson S, Howe P, Kielhorn J, Koennecker G, Lee-Steere C, Mangelsdorf I, Schneider U, Sugaya Y, Taylor K, van Dam R &amp; Stauber J 2013. </w:t>
      </w:r>
      <w:proofErr w:type="gramStart"/>
      <w:r w:rsidRPr="002F728A">
        <w:t>Predicted no effect concentration (PNEC) derivation as a significant source of variability in environmental hazard assessments of chemicals in aquatic systems: An international analysis.</w:t>
      </w:r>
      <w:proofErr w:type="gramEnd"/>
      <w:r w:rsidRPr="002F728A">
        <w:t xml:space="preserve"> </w:t>
      </w:r>
      <w:r w:rsidRPr="002F728A">
        <w:rPr>
          <w:i/>
        </w:rPr>
        <w:t>Integrated Environmental Assessment and Management</w:t>
      </w:r>
      <w:r w:rsidR="0053167B">
        <w:t xml:space="preserve"> 10</w:t>
      </w:r>
      <w:r w:rsidR="00C20D70">
        <w:t>(1),</w:t>
      </w:r>
      <w:r w:rsidRPr="002F728A">
        <w:t xml:space="preserve"> 30–36.</w:t>
      </w:r>
    </w:p>
    <w:p w:rsidR="00367608" w:rsidRPr="002F728A" w:rsidRDefault="00367608" w:rsidP="002F728A">
      <w:pPr>
        <w:pStyle w:val="referencelist1"/>
      </w:pPr>
      <w:r w:rsidRPr="002F728A">
        <w:t>Hancock GR, Willgoose GR, Lowry J 2013 Transient landscapes: gully development and evolution using a landscape evolution model.</w:t>
      </w:r>
      <w:r w:rsidRPr="002F728A">
        <w:rPr>
          <w:i/>
        </w:rPr>
        <w:t xml:space="preserve"> Stochastic Environmental Research and Risk Assessment </w:t>
      </w:r>
      <w:r w:rsidR="00B15221">
        <w:t>28</w:t>
      </w:r>
      <w:r w:rsidR="00E54727">
        <w:t>(1),</w:t>
      </w:r>
      <w:r w:rsidRPr="002F728A">
        <w:t xml:space="preserve"> 83–98.  </w:t>
      </w:r>
    </w:p>
    <w:p w:rsidR="00367608" w:rsidRPr="002F728A" w:rsidRDefault="00367608" w:rsidP="002F728A">
      <w:pPr>
        <w:pStyle w:val="referencelist1"/>
      </w:pPr>
      <w:r w:rsidRPr="002F728A">
        <w:t xml:space="preserve">Harford AJ, DR Jones &amp; van Dam RA 2013. Highly treated mine waters may require major ion addition before environmental release. </w:t>
      </w:r>
      <w:r w:rsidRPr="002F728A">
        <w:rPr>
          <w:i/>
        </w:rPr>
        <w:t>Science of the Total Environment</w:t>
      </w:r>
      <w:r w:rsidRPr="002F728A">
        <w:t xml:space="preserve"> 443, 143–151.</w:t>
      </w:r>
    </w:p>
    <w:p w:rsidR="00367608" w:rsidRPr="002F728A" w:rsidRDefault="00367608" w:rsidP="002F728A">
      <w:pPr>
        <w:pStyle w:val="referencelist1"/>
      </w:pPr>
      <w:proofErr w:type="gramStart"/>
      <w:r w:rsidRPr="002F728A">
        <w:t>Harford AJ, Hogan AC, Jones DR &amp; van Dam RA (in press).</w:t>
      </w:r>
      <w:proofErr w:type="gramEnd"/>
      <w:r w:rsidRPr="002F728A">
        <w:t xml:space="preserve"> Ecotoxicology of actively treated mine waters. </w:t>
      </w:r>
      <w:r w:rsidRPr="00A10056">
        <w:rPr>
          <w:i/>
        </w:rPr>
        <w:t>Mine Water and the Environment</w:t>
      </w:r>
      <w:r w:rsidRPr="002F728A">
        <w:t>.</w:t>
      </w:r>
    </w:p>
    <w:p w:rsidR="00367608" w:rsidRPr="002F728A" w:rsidRDefault="00367608" w:rsidP="002F728A">
      <w:pPr>
        <w:pStyle w:val="referencelist1"/>
      </w:pPr>
      <w:r w:rsidRPr="002F728A">
        <w:t xml:space="preserve">Hogan AC, Trenfield MA, Harford AJ &amp; van Dam RA 2013. Toxicity of magnesium pulses to tropical freshwater species and the development of a duration-based water quality guideline. </w:t>
      </w:r>
      <w:r w:rsidRPr="00A10056">
        <w:rPr>
          <w:i/>
        </w:rPr>
        <w:t>Environmental Toxicology and Chemistry</w:t>
      </w:r>
      <w:r w:rsidR="00B15221">
        <w:t xml:space="preserve"> 32</w:t>
      </w:r>
      <w:r w:rsidR="00E54727">
        <w:t xml:space="preserve">(9), </w:t>
      </w:r>
      <w:r w:rsidRPr="002F728A">
        <w:t xml:space="preserve">1969–1980. </w:t>
      </w:r>
    </w:p>
    <w:p w:rsidR="00367608" w:rsidRPr="002F728A" w:rsidRDefault="00367608" w:rsidP="002F728A">
      <w:pPr>
        <w:pStyle w:val="referencelist1"/>
      </w:pPr>
      <w:r w:rsidRPr="002F728A">
        <w:t>Howard BJ, Beresford NA, Copplestone D, Telleria D, Proehl G, Fesenko S, Jeffree RA, Yankovich TL, Brown JE, Higley K, Johansen MP, Mulye H, Vandenhove H, Gashchak S, Wood MD, Takata H, Andersson P, Dale P,  Ryan J, Bol</w:t>
      </w:r>
      <w:r w:rsidR="00113222">
        <w:t>lhöfer A, Doering C, Barnett CL &amp;</w:t>
      </w:r>
      <w:r w:rsidRPr="002F728A">
        <w:t xml:space="preserve"> Wells C 2013. </w:t>
      </w:r>
      <w:proofErr w:type="gramStart"/>
      <w:r w:rsidRPr="002F728A">
        <w:t>The IAEA handbook on radionuclide transfer to wildlife.</w:t>
      </w:r>
      <w:proofErr w:type="gramEnd"/>
      <w:r w:rsidRPr="002F728A">
        <w:t xml:space="preserve"> </w:t>
      </w:r>
      <w:r w:rsidRPr="00A10056">
        <w:rPr>
          <w:i/>
        </w:rPr>
        <w:t>Journal of Environmental Radioactivity</w:t>
      </w:r>
      <w:r w:rsidRPr="002F728A">
        <w:t xml:space="preserve"> 121, 55–74.</w:t>
      </w:r>
    </w:p>
    <w:p w:rsidR="00367608" w:rsidRPr="002F728A" w:rsidRDefault="00367608" w:rsidP="002F728A">
      <w:pPr>
        <w:pStyle w:val="referencelist1"/>
      </w:pPr>
      <w:r w:rsidRPr="002F728A">
        <w:t xml:space="preserve">Johansen MP, Child DP, Davis E, Doering C, Harrison JJ, Hotchkis MAC, Payne TE, Thiruvoth S, Twining JR &amp; Wood MD 2014. Plutonium in wildlife and soils at the Maralinga legacy site: persistence over decadal time scales. </w:t>
      </w:r>
      <w:r w:rsidRPr="00A10056">
        <w:rPr>
          <w:i/>
        </w:rPr>
        <w:t>Journal of Environmental Radioactivity</w:t>
      </w:r>
      <w:r w:rsidR="00BF2135">
        <w:t xml:space="preserve"> 131, 72–80.</w:t>
      </w:r>
    </w:p>
    <w:p w:rsidR="007B43C7" w:rsidRPr="002F728A" w:rsidRDefault="00113222" w:rsidP="007B43C7">
      <w:pPr>
        <w:pStyle w:val="referencelist1"/>
      </w:pPr>
      <w:proofErr w:type="gramStart"/>
      <w:r>
        <w:t>Lowry, JBC, Coulthard, TJ &amp; Hancock, G</w:t>
      </w:r>
      <w:r w:rsidR="007B43C7" w:rsidRPr="001B0912">
        <w:t>R, 2013.</w:t>
      </w:r>
      <w:proofErr w:type="gramEnd"/>
      <w:r w:rsidR="007B43C7" w:rsidRPr="001B0912">
        <w:t xml:space="preserve"> Assessing the long-term geomorphic stability of a rehabilitated landform using the CAESAR-Lisflood landscape evolution model, in Proceedings of the 8</w:t>
      </w:r>
      <w:r w:rsidR="007B43C7" w:rsidRPr="00BF51B5">
        <w:rPr>
          <w:vertAlign w:val="superscript"/>
        </w:rPr>
        <w:t>th</w:t>
      </w:r>
      <w:r w:rsidR="007B43C7" w:rsidRPr="001B0912">
        <w:t xml:space="preserve"> International Conference on Mine Closure (eds</w:t>
      </w:r>
      <w:r w:rsidR="000336FF">
        <w:t>.</w:t>
      </w:r>
      <w:r w:rsidR="007B43C7" w:rsidRPr="001B0912">
        <w:t xml:space="preserve"> M Tibbett, AB Fourie, and C Digby) 18–20 September 2013, Australian Centre for Geomechanics, Perth, pp. 611–624.</w:t>
      </w:r>
    </w:p>
    <w:p w:rsidR="00F85259" w:rsidRPr="002F728A" w:rsidRDefault="00F85259" w:rsidP="002F728A">
      <w:pPr>
        <w:pStyle w:val="referencelist1"/>
      </w:pPr>
      <w:proofErr w:type="gramStart"/>
      <w:r w:rsidRPr="002F728A">
        <w:t>Medley P, Bollhöfer A &amp; Martin P 2013.</w:t>
      </w:r>
      <w:proofErr w:type="gramEnd"/>
      <w:r w:rsidRPr="002F728A">
        <w:t xml:space="preserve"> Variability of procedural blanks leads to greater uncertainty in assessing detection limits for the measurement of polonium-210. </w:t>
      </w:r>
      <w:r w:rsidRPr="00A10056">
        <w:rPr>
          <w:i/>
        </w:rPr>
        <w:t>Journal of Radioanalytical and Nuclear Chemistry</w:t>
      </w:r>
      <w:r w:rsidR="00B15221">
        <w:t xml:space="preserve"> 296</w:t>
      </w:r>
      <w:r w:rsidR="00E54727">
        <w:t>(2),</w:t>
      </w:r>
      <w:r w:rsidRPr="002F728A">
        <w:t xml:space="preserve"> 1155–1162. </w:t>
      </w:r>
    </w:p>
    <w:p w:rsidR="00F85259" w:rsidRPr="007E3BAA" w:rsidRDefault="00F85259" w:rsidP="002F728A">
      <w:pPr>
        <w:pStyle w:val="referencelist1"/>
      </w:pPr>
      <w:r w:rsidRPr="002F728A">
        <w:t xml:space="preserve"> </w:t>
      </w:r>
      <w:proofErr w:type="gramStart"/>
      <w:r w:rsidRPr="002F728A">
        <w:t>Medley P, Bollhöfer A, Parry D &amp; Martin P 2013.</w:t>
      </w:r>
      <w:proofErr w:type="gramEnd"/>
      <w:r w:rsidRPr="002F728A">
        <w:t xml:space="preserve"> Radium concentration factors in passionfruit (</w:t>
      </w:r>
      <w:r w:rsidRPr="00BF2135">
        <w:rPr>
          <w:i/>
        </w:rPr>
        <w:t>Passiflora foetida</w:t>
      </w:r>
      <w:r w:rsidRPr="002F728A">
        <w:t xml:space="preserve">) from the Alligator Rivers Region, Northern Territory, </w:t>
      </w:r>
      <w:proofErr w:type="gramStart"/>
      <w:r w:rsidRPr="007E3BAA">
        <w:t>Australia</w:t>
      </w:r>
      <w:proofErr w:type="gramEnd"/>
      <w:r w:rsidRPr="007E3BAA">
        <w:t xml:space="preserve">. </w:t>
      </w:r>
      <w:r w:rsidRPr="007E3BAA">
        <w:rPr>
          <w:i/>
        </w:rPr>
        <w:t>Journal of Environmental Radioactivity</w:t>
      </w:r>
      <w:r w:rsidRPr="007E3BAA">
        <w:t xml:space="preserve"> 126, 137–146.</w:t>
      </w:r>
    </w:p>
    <w:p w:rsidR="00A10056" w:rsidRPr="001B0912" w:rsidRDefault="00A10056" w:rsidP="00A10056">
      <w:pPr>
        <w:pStyle w:val="referencelist1"/>
      </w:pPr>
      <w:proofErr w:type="gramStart"/>
      <w:r w:rsidRPr="007E3BAA">
        <w:t>Medley P, Martin P, Bollhöfer A &amp; Parry D 2014.</w:t>
      </w:r>
      <w:proofErr w:type="gramEnd"/>
      <w:r w:rsidRPr="007E3BAA">
        <w:t xml:space="preserve"> </w:t>
      </w:r>
      <w:proofErr w:type="gramStart"/>
      <w:r w:rsidRPr="007E3BAA">
        <w:rPr>
          <w:vertAlign w:val="superscript"/>
        </w:rPr>
        <w:t>228</w:t>
      </w:r>
      <w:r w:rsidRPr="007E3BAA">
        <w:t xml:space="preserve">Ra and </w:t>
      </w:r>
      <w:r w:rsidRPr="007E3BAA">
        <w:rPr>
          <w:vertAlign w:val="superscript"/>
        </w:rPr>
        <w:t>226</w:t>
      </w:r>
      <w:r w:rsidRPr="007E3BAA">
        <w:t>Ra measurement on a BaSO</w:t>
      </w:r>
      <w:r w:rsidRPr="007E3BAA">
        <w:rPr>
          <w:vertAlign w:val="subscript"/>
        </w:rPr>
        <w:t>4</w:t>
      </w:r>
      <w:r w:rsidRPr="007E3BAA">
        <w:t xml:space="preserve"> co-precipitation source.</w:t>
      </w:r>
      <w:proofErr w:type="gramEnd"/>
      <w:r w:rsidRPr="007E3BAA">
        <w:t xml:space="preserve"> </w:t>
      </w:r>
      <w:proofErr w:type="gramStart"/>
      <w:r w:rsidRPr="007E3BAA">
        <w:rPr>
          <w:i/>
          <w:iCs/>
        </w:rPr>
        <w:t>Applied Radiation and Isotopes</w:t>
      </w:r>
      <w:r w:rsidR="002B502C">
        <w:t>.</w:t>
      </w:r>
      <w:proofErr w:type="gramEnd"/>
      <w:r w:rsidR="002B502C">
        <w:t xml:space="preserve"> </w:t>
      </w:r>
      <w:proofErr w:type="gramStart"/>
      <w:r w:rsidR="00B40C96">
        <w:t>doi</w:t>
      </w:r>
      <w:proofErr w:type="gramEnd"/>
      <w:r w:rsidR="00A260C0">
        <w:t xml:space="preserve">: </w:t>
      </w:r>
      <w:r w:rsidR="002B502C" w:rsidRPr="002B502C">
        <w:rPr>
          <w:bCs/>
        </w:rPr>
        <w:t>10.1016/j.apradiso.2014.</w:t>
      </w:r>
      <w:r w:rsidR="00B40C96">
        <w:rPr>
          <w:bCs/>
        </w:rPr>
        <w:br/>
      </w:r>
      <w:proofErr w:type="gramStart"/>
      <w:r w:rsidR="002B502C" w:rsidRPr="002B502C">
        <w:rPr>
          <w:bCs/>
        </w:rPr>
        <w:t>09.015</w:t>
      </w:r>
      <w:r w:rsidR="00A260C0">
        <w:rPr>
          <w:bCs/>
        </w:rPr>
        <w:t xml:space="preserve"> (in press)</w:t>
      </w:r>
      <w:r w:rsidR="002B502C">
        <w:rPr>
          <w:bCs/>
        </w:rPr>
        <w:t>.</w:t>
      </w:r>
      <w:proofErr w:type="gramEnd"/>
    </w:p>
    <w:p w:rsidR="00367608" w:rsidRPr="002F728A" w:rsidRDefault="00367608" w:rsidP="002F728A">
      <w:pPr>
        <w:pStyle w:val="referencelist1"/>
      </w:pPr>
      <w:r w:rsidRPr="002F728A">
        <w:t>Merrington G, An Y-J,·Grist EPM, Jeong S-W, Rattikansukha C, Roe S, Schneider U, Sthiannopkao S, Suter GW,·van Dam R, Van Sprang P, Wang J-Y, W</w:t>
      </w:r>
      <w:r w:rsidR="00113222">
        <w:t>arne MStJ, Yillia PT, Zhang X-W &amp;</w:t>
      </w:r>
      <w:r w:rsidRPr="002F728A">
        <w:t xml:space="preserve"> Leung KMY 2013. Water quality guidelines for chemicals: learning lessons to deliver meaningful environmental metrics.</w:t>
      </w:r>
      <w:r w:rsidRPr="00A10056">
        <w:rPr>
          <w:i/>
        </w:rPr>
        <w:t xml:space="preserve"> Science and Pollution Research </w:t>
      </w:r>
      <w:r w:rsidR="00E54727">
        <w:t>21, 6–</w:t>
      </w:r>
      <w:r w:rsidRPr="002F728A">
        <w:t>16.</w:t>
      </w:r>
    </w:p>
    <w:p w:rsidR="00367608" w:rsidRPr="002F728A" w:rsidRDefault="00367608" w:rsidP="002F728A">
      <w:pPr>
        <w:pStyle w:val="referencelist1"/>
      </w:pPr>
      <w:proofErr w:type="gramStart"/>
      <w:r w:rsidRPr="002F728A">
        <w:t xml:space="preserve">Sammut J </w:t>
      </w:r>
      <w:r w:rsidR="00113222">
        <w:t>&amp;</w:t>
      </w:r>
      <w:r w:rsidRPr="002F728A">
        <w:t xml:space="preserve"> Erskine WD 2013.</w:t>
      </w:r>
      <w:proofErr w:type="gramEnd"/>
      <w:r w:rsidRPr="002F728A">
        <w:t xml:space="preserve"> </w:t>
      </w:r>
      <w:proofErr w:type="gramStart"/>
      <w:r w:rsidRPr="002F728A">
        <w:t>Age and hydrological significance of lichen limits on sandstone rivers.</w:t>
      </w:r>
      <w:proofErr w:type="gramEnd"/>
      <w:r w:rsidRPr="002F728A">
        <w:t xml:space="preserve"> </w:t>
      </w:r>
      <w:r w:rsidRPr="00A10056">
        <w:rPr>
          <w:i/>
        </w:rPr>
        <w:t>Geografiska Annaler</w:t>
      </w:r>
      <w:r w:rsidRPr="002F728A">
        <w:t xml:space="preserve"> 95, 227–239.</w:t>
      </w:r>
    </w:p>
    <w:p w:rsidR="00367608" w:rsidRPr="002F728A" w:rsidRDefault="00367608" w:rsidP="002F728A">
      <w:pPr>
        <w:pStyle w:val="referencelist1"/>
      </w:pPr>
      <w:proofErr w:type="gramStart"/>
      <w:r w:rsidRPr="002F728A">
        <w:t>Saynor MJ &amp; Erskine WD 2013.</w:t>
      </w:r>
      <w:proofErr w:type="gramEnd"/>
      <w:r w:rsidRPr="002F728A">
        <w:t xml:space="preserve"> Classification of the little disturbed East Alligator River, northern Australia. </w:t>
      </w:r>
      <w:r w:rsidRPr="00A10056">
        <w:rPr>
          <w:i/>
        </w:rPr>
        <w:t>International Journal of Geosciences</w:t>
      </w:r>
      <w:r w:rsidR="0044259D">
        <w:t xml:space="preserve"> 4</w:t>
      </w:r>
      <w:r w:rsidRPr="002F728A">
        <w:t>(6A2), 53–65.</w:t>
      </w:r>
    </w:p>
    <w:p w:rsidR="00367608" w:rsidRPr="002F728A" w:rsidRDefault="00367608" w:rsidP="002F728A">
      <w:pPr>
        <w:pStyle w:val="referencelist1"/>
      </w:pPr>
      <w:proofErr w:type="gramStart"/>
      <w:r w:rsidRPr="002F728A">
        <w:t>Short JW, Humphrey CL &amp; Page TJ 2013.</w:t>
      </w:r>
      <w:proofErr w:type="gramEnd"/>
      <w:r w:rsidRPr="002F728A">
        <w:t xml:space="preserve"> A taxonomic revision and reappraisal of the Kakaducarididae Bruce, 1993 (</w:t>
      </w:r>
      <w:proofErr w:type="gramStart"/>
      <w:r w:rsidRPr="002F728A">
        <w:t>Crustacea :</w:t>
      </w:r>
      <w:proofErr w:type="gramEnd"/>
      <w:r w:rsidRPr="002F728A">
        <w:t xml:space="preserve"> Decapoda : Caridea) with the description of three new species of Leptopalaemon Bruce &amp; Short, 1993. </w:t>
      </w:r>
      <w:r w:rsidRPr="00A10056">
        <w:rPr>
          <w:i/>
        </w:rPr>
        <w:t xml:space="preserve">Invertebrate Systematics </w:t>
      </w:r>
      <w:r w:rsidRPr="002F728A">
        <w:t xml:space="preserve">27, 87–117. </w:t>
      </w:r>
    </w:p>
    <w:p w:rsidR="00367608" w:rsidRPr="002F728A" w:rsidRDefault="00367608" w:rsidP="002F728A">
      <w:pPr>
        <w:pStyle w:val="referencelist1"/>
      </w:pPr>
      <w:r w:rsidRPr="002F728A">
        <w:t>Sinclair A, Tayler K, van Dam R</w:t>
      </w:r>
      <w:r w:rsidR="00BF2135">
        <w:t xml:space="preserve"> &amp;</w:t>
      </w:r>
      <w:r w:rsidRPr="002F728A">
        <w:t xml:space="preserve"> Hogan </w:t>
      </w:r>
      <w:proofErr w:type="gramStart"/>
      <w:r w:rsidRPr="002F728A">
        <w:t>A</w:t>
      </w:r>
      <w:proofErr w:type="gramEnd"/>
      <w:r w:rsidRPr="002F728A">
        <w:t xml:space="preserve"> 2014. Site-specific water quality guidelines: 2. Development of a water quality regulation framework for pulse exposures of mine water discharges at </w:t>
      </w:r>
      <w:proofErr w:type="gramStart"/>
      <w:r w:rsidRPr="002F728A">
        <w:t>a uranium</w:t>
      </w:r>
      <w:proofErr w:type="gramEnd"/>
      <w:r w:rsidRPr="002F728A">
        <w:t xml:space="preserve"> mine in northern Australia. </w:t>
      </w:r>
      <w:r w:rsidRPr="00A10056">
        <w:rPr>
          <w:i/>
        </w:rPr>
        <w:t xml:space="preserve">Environmental Science and Pollution Research </w:t>
      </w:r>
      <w:r w:rsidRPr="002F728A">
        <w:t>21, 131–140.</w:t>
      </w:r>
    </w:p>
    <w:p w:rsidR="00367608" w:rsidRPr="002F728A" w:rsidRDefault="00367608" w:rsidP="002F728A">
      <w:pPr>
        <w:pStyle w:val="referencelist1"/>
      </w:pPr>
      <w:proofErr w:type="gramStart"/>
      <w:r w:rsidRPr="002F728A">
        <w:t>van</w:t>
      </w:r>
      <w:proofErr w:type="gramEnd"/>
      <w:r w:rsidRPr="002F728A">
        <w:t xml:space="preserve"> Dam RA, Humphrey CL, Harford AJ, Sinclair A, Jones DR, Davies S</w:t>
      </w:r>
      <w:r w:rsidR="00BF2135">
        <w:t xml:space="preserve"> &amp;</w:t>
      </w:r>
      <w:r w:rsidRPr="002F728A">
        <w:t xml:space="preserve"> Storey AW 2013. Site-specific water quality guidelines: 1. Derivation approaches based on physico-chemical, ecotoxicological and ecological data. </w:t>
      </w:r>
      <w:r w:rsidRPr="002F728A">
        <w:rPr>
          <w:i/>
        </w:rPr>
        <w:t>Environmental Science and Pollution Research</w:t>
      </w:r>
      <w:r w:rsidR="00E54727">
        <w:t xml:space="preserve"> 21, 118–</w:t>
      </w:r>
      <w:r w:rsidRPr="002F728A">
        <w:t>130.</w:t>
      </w:r>
    </w:p>
    <w:p w:rsidR="00367608" w:rsidRPr="002F728A" w:rsidRDefault="00367608" w:rsidP="002F728A">
      <w:pPr>
        <w:pStyle w:val="referencelist1"/>
      </w:pPr>
      <w:r w:rsidRPr="002F728A">
        <w:t xml:space="preserve">Warne MStJ, Batley GE, Braga O, Chapman JC, Fox DR, Hickey CW, Stauber JL, </w:t>
      </w:r>
      <w:r w:rsidR="00BF2135">
        <w:t>&amp;</w:t>
      </w:r>
      <w:r w:rsidR="00BF2135" w:rsidRPr="002F728A">
        <w:t xml:space="preserve"> </w:t>
      </w:r>
      <w:r w:rsidRPr="002F728A">
        <w:t xml:space="preserve">van Dam R 2013. </w:t>
      </w:r>
      <w:proofErr w:type="gramStart"/>
      <w:r w:rsidRPr="002F728A">
        <w:t>Revisions to the derivation of the Australian and New Zealand guidelines for toxicants in fresh and marine waters.</w:t>
      </w:r>
      <w:proofErr w:type="gramEnd"/>
      <w:r w:rsidRPr="002F728A">
        <w:t xml:space="preserve"> </w:t>
      </w:r>
      <w:r w:rsidRPr="00A10056">
        <w:rPr>
          <w:i/>
        </w:rPr>
        <w:t>Environmental Science and Pollution Research</w:t>
      </w:r>
      <w:r w:rsidR="00E54727">
        <w:t xml:space="preserve"> 21, 51–</w:t>
      </w:r>
      <w:r w:rsidRPr="002F728A">
        <w:t>60.</w:t>
      </w:r>
    </w:p>
    <w:p w:rsidR="00367608" w:rsidRPr="002F728A" w:rsidRDefault="00367608" w:rsidP="002F728A">
      <w:pPr>
        <w:pStyle w:val="referencelist1"/>
      </w:pPr>
      <w:proofErr w:type="gramStart"/>
      <w:r w:rsidRPr="002F728A">
        <w:t>Whiteside TG, Maier SW &amp; Boggs GS 2014.</w:t>
      </w:r>
      <w:proofErr w:type="gramEnd"/>
      <w:r w:rsidRPr="002F728A">
        <w:t xml:space="preserve"> Area-based and location-based validation of classified image objects. </w:t>
      </w:r>
      <w:r w:rsidRPr="002F728A">
        <w:rPr>
          <w:i/>
        </w:rPr>
        <w:t xml:space="preserve">International Journal of Applied Earth Observation and Geoinformation </w:t>
      </w:r>
      <w:r w:rsidRPr="002F728A">
        <w:t>28, 117–130.</w:t>
      </w:r>
    </w:p>
    <w:p w:rsidR="00367608" w:rsidRPr="002F728A" w:rsidRDefault="00367608" w:rsidP="002F728A">
      <w:pPr>
        <w:pStyle w:val="referencelist1"/>
      </w:pPr>
      <w:proofErr w:type="gramStart"/>
      <w:r w:rsidRPr="002F728A">
        <w:t>Whiteside T &amp; Bartolo R 2014.</w:t>
      </w:r>
      <w:proofErr w:type="gramEnd"/>
      <w:r w:rsidRPr="002F728A">
        <w:t xml:space="preserve"> </w:t>
      </w:r>
      <w:proofErr w:type="gramStart"/>
      <w:r w:rsidRPr="002F728A">
        <w:t>Object-based analysis of interannual variation within RAMSAR wetlands using time-series WorldView-2 multispectral imagery.</w:t>
      </w:r>
      <w:proofErr w:type="gramEnd"/>
      <w:r w:rsidRPr="002F728A">
        <w:t xml:space="preserve"> South-Eastern European </w:t>
      </w:r>
      <w:r w:rsidRPr="00A10056">
        <w:rPr>
          <w:i/>
        </w:rPr>
        <w:t>Journal of Earth Observation and Geomatics</w:t>
      </w:r>
      <w:r w:rsidRPr="002F728A">
        <w:t xml:space="preserve"> 3(2S), 753–756.</w:t>
      </w:r>
    </w:p>
    <w:p w:rsidR="00367608" w:rsidRPr="002F728A" w:rsidRDefault="00367608" w:rsidP="002F728A">
      <w:pPr>
        <w:pStyle w:val="referencelist1"/>
      </w:pPr>
      <w:r w:rsidRPr="002F728A">
        <w:t xml:space="preserve">Whiteside T, Bartolo, R, Erskine, P &amp; Fletcher </w:t>
      </w:r>
      <w:proofErr w:type="gramStart"/>
      <w:r w:rsidRPr="002F728A">
        <w:t>A</w:t>
      </w:r>
      <w:proofErr w:type="gramEnd"/>
      <w:r w:rsidRPr="002F728A">
        <w:t xml:space="preserve"> 2014. Object-based characterisation of reference sites for mine site closure using hyperspatial multispectral UAV imagery. South-Eastern European Journal of Earth Observation and Geomatics, 3(2S), 119–123.</w:t>
      </w:r>
    </w:p>
    <w:p w:rsidR="00367608" w:rsidRPr="002F728A" w:rsidRDefault="00367608" w:rsidP="002F728A">
      <w:pPr>
        <w:pStyle w:val="referencelist1"/>
      </w:pPr>
      <w:r w:rsidRPr="002F728A">
        <w:t xml:space="preserve">Yankovich T, Beresford NA, Fesenko S, FesenkovJ, Phaneuf M, Dagher E, Outolav I, Andersson P, Thiessen K, Ryan J, Wood MD, Bollhöfer A, Barnett CL &amp; Copplestone D 2013. </w:t>
      </w:r>
      <w:proofErr w:type="gramStart"/>
      <w:r w:rsidRPr="002F728A">
        <w:t>Establishing a database of radionuclide transfer parameters for freshwater wildlife.</w:t>
      </w:r>
      <w:proofErr w:type="gramEnd"/>
      <w:r w:rsidRPr="002F728A">
        <w:t xml:space="preserve"> </w:t>
      </w:r>
      <w:r w:rsidRPr="00A10056">
        <w:rPr>
          <w:i/>
        </w:rPr>
        <w:t>Journal of Environmental Radioactivity</w:t>
      </w:r>
      <w:r w:rsidRPr="002F728A">
        <w:t xml:space="preserve"> 126, 299–313.</w:t>
      </w:r>
    </w:p>
    <w:p w:rsidR="00F74810" w:rsidRDefault="00F74810" w:rsidP="00F74810">
      <w:pPr>
        <w:pStyle w:val="Heading2"/>
        <w:rPr>
          <w:snapToGrid w:val="0"/>
          <w:lang w:val="en-US"/>
        </w:rPr>
      </w:pPr>
      <w:bookmarkStart w:id="759" w:name="_Toc395005664"/>
      <w:bookmarkStart w:id="760" w:name="_Toc396375461"/>
      <w:bookmarkStart w:id="761" w:name="_Toc396990240"/>
      <w:bookmarkStart w:id="762" w:name="_Toc397433375"/>
      <w:bookmarkStart w:id="763" w:name="_Toc399157603"/>
      <w:bookmarkStart w:id="764" w:name="_Toc399321075"/>
      <w:bookmarkStart w:id="765" w:name="_Toc399925901"/>
      <w:bookmarkStart w:id="766" w:name="_Toc399928254"/>
      <w:r>
        <w:rPr>
          <w:snapToGrid w:val="0"/>
          <w:lang w:val="en-US"/>
        </w:rPr>
        <w:t>Unpublished papers and reports</w:t>
      </w:r>
      <w:bookmarkEnd w:id="742"/>
      <w:bookmarkEnd w:id="743"/>
      <w:bookmarkEnd w:id="744"/>
      <w:bookmarkEnd w:id="745"/>
      <w:bookmarkEnd w:id="746"/>
      <w:bookmarkEnd w:id="747"/>
      <w:bookmarkEnd w:id="748"/>
      <w:bookmarkEnd w:id="749"/>
      <w:bookmarkEnd w:id="750"/>
      <w:bookmarkEnd w:id="751"/>
      <w:bookmarkEnd w:id="752"/>
      <w:bookmarkEnd w:id="753"/>
      <w:bookmarkEnd w:id="754"/>
      <w:bookmarkEnd w:id="755"/>
      <w:bookmarkEnd w:id="756"/>
      <w:bookmarkEnd w:id="757"/>
      <w:bookmarkEnd w:id="758"/>
      <w:bookmarkEnd w:id="759"/>
      <w:bookmarkEnd w:id="760"/>
      <w:bookmarkEnd w:id="761"/>
      <w:bookmarkEnd w:id="762"/>
      <w:bookmarkEnd w:id="763"/>
      <w:bookmarkEnd w:id="764"/>
      <w:bookmarkEnd w:id="765"/>
      <w:bookmarkEnd w:id="766"/>
    </w:p>
    <w:p w:rsidR="00367608" w:rsidRPr="001B0912" w:rsidRDefault="00367608" w:rsidP="00367608">
      <w:pPr>
        <w:pStyle w:val="referencelist1"/>
      </w:pPr>
      <w:bookmarkStart w:id="767" w:name="_Toc209513855"/>
      <w:bookmarkStart w:id="768" w:name="_Toc209842583"/>
      <w:bookmarkStart w:id="769" w:name="_Toc240197860"/>
      <w:bookmarkStart w:id="770" w:name="_Toc240277633"/>
      <w:bookmarkStart w:id="771" w:name="_Toc272771554"/>
      <w:bookmarkStart w:id="772" w:name="_Toc274817058"/>
      <w:bookmarkStart w:id="773" w:name="_Toc303074497"/>
      <w:bookmarkStart w:id="774" w:name="_Toc334196210"/>
      <w:bookmarkStart w:id="775" w:name="_Toc365036714"/>
      <w:bookmarkStart w:id="776" w:name="_Toc365635638"/>
      <w:proofErr w:type="gramStart"/>
      <w:r w:rsidRPr="001B0912">
        <w:t>Alligator Rivers Region Advisory Committee 2013.</w:t>
      </w:r>
      <w:proofErr w:type="gramEnd"/>
      <w:r w:rsidRPr="001B0912">
        <w:t xml:space="preserve"> Alligator Rivers Region Advisory Committee 35</w:t>
      </w:r>
      <w:r w:rsidRPr="001B0912">
        <w:rPr>
          <w:vertAlign w:val="superscript"/>
        </w:rPr>
        <w:t>th</w:t>
      </w:r>
      <w:r w:rsidRPr="001B0912">
        <w:t xml:space="preserve"> Meeting, March 2011, Darwin, Meeting papers. </w:t>
      </w:r>
      <w:r w:rsidRPr="001B0912">
        <w:rPr>
          <w:lang w:val="en-US"/>
        </w:rPr>
        <w:t xml:space="preserve">Internal Report 606, </w:t>
      </w:r>
      <w:r w:rsidRPr="001B0912">
        <w:t>April</w:t>
      </w:r>
      <w:r w:rsidRPr="001B0912">
        <w:rPr>
          <w:lang w:val="en-US"/>
        </w:rPr>
        <w:t xml:space="preserve">, </w:t>
      </w:r>
      <w:r w:rsidRPr="001B0912">
        <w:t>Supervising Scientist, Darwin</w:t>
      </w:r>
      <w:r w:rsidR="0078713F">
        <w:t>, NT</w:t>
      </w:r>
      <w:r w:rsidRPr="001B0912">
        <w:t xml:space="preserve">. Unpublished paper. </w:t>
      </w:r>
    </w:p>
    <w:p w:rsidR="00367608" w:rsidRDefault="00367608" w:rsidP="00367608">
      <w:pPr>
        <w:pStyle w:val="referencelist1"/>
      </w:pPr>
      <w:proofErr w:type="gramStart"/>
      <w:r w:rsidRPr="001B0912">
        <w:t>Alligator Rivers Region Advisory Committee 2013.</w:t>
      </w:r>
      <w:proofErr w:type="gramEnd"/>
      <w:r w:rsidRPr="001B0912">
        <w:t xml:space="preserve"> Alligator Rivers Region Advisory Committee 36</w:t>
      </w:r>
      <w:r w:rsidRPr="001B0912">
        <w:rPr>
          <w:vertAlign w:val="superscript"/>
        </w:rPr>
        <w:t>th</w:t>
      </w:r>
      <w:r w:rsidRPr="001B0912">
        <w:t xml:space="preserve"> Meeting, September 2011, Darwin, Meeting papers. </w:t>
      </w:r>
      <w:r w:rsidRPr="001B0912">
        <w:rPr>
          <w:lang w:val="en-US"/>
        </w:rPr>
        <w:t xml:space="preserve">Internal Report 607, April, </w:t>
      </w:r>
      <w:r w:rsidRPr="001B0912">
        <w:t>Supervising Scientist, Darwin</w:t>
      </w:r>
      <w:r w:rsidR="0078713F">
        <w:t>, NT</w:t>
      </w:r>
      <w:r w:rsidRPr="001B0912">
        <w:t xml:space="preserve">. Unpublished paper. </w:t>
      </w:r>
    </w:p>
    <w:p w:rsidR="00367608" w:rsidRPr="001B0912" w:rsidRDefault="00367608" w:rsidP="00367608">
      <w:pPr>
        <w:pStyle w:val="referencelist1"/>
      </w:pPr>
      <w:r w:rsidRPr="001B0912">
        <w:t>Bartolo R, Paulka S, van Dam R, Iles S &amp; Harford S 2013. Rehabilitation and closure ecological risk assessment for Ranger Uranium Mine: Documentation of initial problem formulation activities. Internal Report 624, October,</w:t>
      </w:r>
      <w:r w:rsidR="0078713F">
        <w:t xml:space="preserve"> Supervising Scientist, Darwin, NT.</w:t>
      </w:r>
    </w:p>
    <w:p w:rsidR="00367608" w:rsidRPr="001B0912" w:rsidRDefault="00367608" w:rsidP="00367608">
      <w:pPr>
        <w:pStyle w:val="referencelist1"/>
      </w:pPr>
      <w:r w:rsidRPr="001B0912">
        <w:t xml:space="preserve">Bollhöfer A, Doering C, Medley P &amp; da Costa L 2013. </w:t>
      </w:r>
      <w:proofErr w:type="gramStart"/>
      <w:r w:rsidRPr="001B0912">
        <w:t>Assessment of expected maximum doses from the El Sherana airstrip containment, South Alligator river valley, Australia.</w:t>
      </w:r>
      <w:proofErr w:type="gramEnd"/>
      <w:r w:rsidRPr="001B0912">
        <w:t xml:space="preserve"> Internal Report 618, July</w:t>
      </w:r>
      <w:r w:rsidR="0078713F">
        <w:t>, Supervising Scientist, Darwin, NT.</w:t>
      </w:r>
    </w:p>
    <w:p w:rsidR="00367608" w:rsidRPr="001B0912" w:rsidRDefault="00367608" w:rsidP="00367608">
      <w:pPr>
        <w:pStyle w:val="referencelist1"/>
      </w:pPr>
      <w:proofErr w:type="gramStart"/>
      <w:r w:rsidRPr="00BF069F">
        <w:t>Boyden J, Lowry, J &amp; Walden D 2013.</w:t>
      </w:r>
      <w:proofErr w:type="gramEnd"/>
      <w:r w:rsidRPr="00BF069F">
        <w:t xml:space="preserve"> </w:t>
      </w:r>
      <w:proofErr w:type="gramStart"/>
      <w:r w:rsidRPr="00BF069F">
        <w:t>Spatial ra</w:t>
      </w:r>
      <w:r w:rsidR="00BF069F" w:rsidRPr="00BF069F">
        <w:t>ster data management - Phase I – Data a</w:t>
      </w:r>
      <w:r w:rsidRPr="00BF069F">
        <w:t xml:space="preserve">udit </w:t>
      </w:r>
      <w:r w:rsidR="00BF069F" w:rsidRPr="00BF069F">
        <w:t xml:space="preserve">and implementation of the </w:t>
      </w:r>
      <w:r w:rsidRPr="00BF069F">
        <w:t>raster catalogue.</w:t>
      </w:r>
      <w:proofErr w:type="gramEnd"/>
      <w:r w:rsidRPr="00BF069F">
        <w:t xml:space="preserve"> Internal Report 620, November, Supervising Scientist</w:t>
      </w:r>
      <w:r w:rsidR="00BF069F" w:rsidRPr="00BF069F">
        <w:t>, Darwin, NT.</w:t>
      </w:r>
    </w:p>
    <w:p w:rsidR="00367608" w:rsidRPr="001B0912" w:rsidRDefault="00367608" w:rsidP="00367608">
      <w:pPr>
        <w:pStyle w:val="referencelist1"/>
      </w:pPr>
      <w:r w:rsidRPr="001B0912">
        <w:t xml:space="preserve">Harford AJ, Trenfield MA, Cheng KL &amp; van Dam RA 2014. </w:t>
      </w:r>
      <w:proofErr w:type="gramStart"/>
      <w:r w:rsidRPr="001B0912">
        <w:t>Ecotoxicological assessment of manganese.</w:t>
      </w:r>
      <w:proofErr w:type="gramEnd"/>
      <w:r w:rsidRPr="001B0912">
        <w:t xml:space="preserve"> </w:t>
      </w:r>
      <w:proofErr w:type="gramStart"/>
      <w:r w:rsidRPr="001B0912">
        <w:t>Internal Report 630, April, Supervising Scientist, Darwin</w:t>
      </w:r>
      <w:r w:rsidR="00BF069F">
        <w:t>, NT</w:t>
      </w:r>
      <w:r w:rsidRPr="001B0912">
        <w:t>.</w:t>
      </w:r>
      <w:proofErr w:type="gramEnd"/>
    </w:p>
    <w:p w:rsidR="00367608" w:rsidRPr="001B0912" w:rsidRDefault="00367608" w:rsidP="00367608">
      <w:pPr>
        <w:pStyle w:val="referencelist1"/>
      </w:pPr>
      <w:proofErr w:type="gramStart"/>
      <w:r w:rsidRPr="001B0912">
        <w:t>Medley P 2013.</w:t>
      </w:r>
      <w:proofErr w:type="gramEnd"/>
      <w:r w:rsidRPr="001B0912">
        <w:t xml:space="preserve"> </w:t>
      </w:r>
      <w:proofErr w:type="gramStart"/>
      <w:r w:rsidRPr="001B0912">
        <w:t>Environmental Radioactivity Laboratory Manual.</w:t>
      </w:r>
      <w:proofErr w:type="gramEnd"/>
      <w:r w:rsidRPr="001B0912">
        <w:t xml:space="preserve"> Internal Report 581, Supervising Scientist. (</w:t>
      </w:r>
      <w:proofErr w:type="gramStart"/>
      <w:r w:rsidRPr="001B0912">
        <w:t>in</w:t>
      </w:r>
      <w:proofErr w:type="gramEnd"/>
      <w:r w:rsidRPr="001B0912">
        <w:t xml:space="preserve"> press)</w:t>
      </w:r>
    </w:p>
    <w:p w:rsidR="00367608" w:rsidRPr="001B0912" w:rsidRDefault="00367608" w:rsidP="00367608">
      <w:pPr>
        <w:pStyle w:val="referencelist1"/>
      </w:pPr>
      <w:proofErr w:type="gramStart"/>
      <w:r w:rsidRPr="001B0912">
        <w:t>Pickup G 2014.</w:t>
      </w:r>
      <w:proofErr w:type="gramEnd"/>
      <w:r w:rsidRPr="001B0912">
        <w:t xml:space="preserve"> Review of the </w:t>
      </w:r>
      <w:r w:rsidRPr="00F64605">
        <w:rPr>
          <w:b/>
          <w:bCs/>
          <w:i/>
          <w:iCs/>
          <w:sz w:val="23"/>
          <w:szCs w:val="23"/>
        </w:rPr>
        <w:t>eriss</w:t>
      </w:r>
      <w:r w:rsidRPr="001B0912">
        <w:t xml:space="preserve"> Hydrologic, Geomorphic and Chemical Processes program with the </w:t>
      </w:r>
      <w:r w:rsidRPr="001B0912">
        <w:rPr>
          <w:i/>
        </w:rPr>
        <w:t>CAESAR-Lisflood</w:t>
      </w:r>
      <w:r w:rsidRPr="001B0912">
        <w:t xml:space="preserve"> sediment model. Internal Report </w:t>
      </w:r>
      <w:proofErr w:type="gramStart"/>
      <w:r w:rsidRPr="001B0912">
        <w:t>629,</w:t>
      </w:r>
      <w:proofErr w:type="gramEnd"/>
      <w:r w:rsidRPr="001B0912">
        <w:t xml:space="preserve"> May, Supervising Scientist, Darwin</w:t>
      </w:r>
      <w:r w:rsidR="00BF069F">
        <w:t>, NT</w:t>
      </w:r>
      <w:r w:rsidRPr="001B0912">
        <w:t xml:space="preserve">. </w:t>
      </w:r>
    </w:p>
    <w:p w:rsidR="00367608" w:rsidRPr="001B0912" w:rsidRDefault="00367608" w:rsidP="00367608">
      <w:pPr>
        <w:pStyle w:val="referencelist1"/>
      </w:pPr>
      <w:proofErr w:type="gramStart"/>
      <w:r w:rsidRPr="001B0912">
        <w:t>Supervising Scientist Division 2013.</w:t>
      </w:r>
      <w:proofErr w:type="gramEnd"/>
      <w:r w:rsidRPr="001B0912">
        <w:t xml:space="preserve"> Environmental monitoring protocols to assess potential impacts from Ranger minesite on aquatic ecosystems: Macroinvertebrates. Internal Report 591, July, Supervising Scientist, Darwin</w:t>
      </w:r>
      <w:r w:rsidR="00BF069F">
        <w:t>, NT</w:t>
      </w:r>
      <w:r w:rsidRPr="001B0912">
        <w:t xml:space="preserve">. </w:t>
      </w:r>
    </w:p>
    <w:p w:rsidR="00367608" w:rsidRDefault="00367608" w:rsidP="00367608">
      <w:pPr>
        <w:pStyle w:val="referencelist1"/>
      </w:pPr>
      <w:proofErr w:type="gramStart"/>
      <w:r w:rsidRPr="001B0912">
        <w:t>Supervising Scientist 2014.</w:t>
      </w:r>
      <w:proofErr w:type="gramEnd"/>
      <w:r w:rsidRPr="001B0912">
        <w:t xml:space="preserve"> </w:t>
      </w:r>
      <w:proofErr w:type="gramStart"/>
      <w:r w:rsidR="00F04211" w:rsidRPr="00C43CF0">
        <w:rPr>
          <w:b/>
          <w:bCs/>
          <w:i/>
          <w:iCs/>
          <w:sz w:val="23"/>
          <w:szCs w:val="23"/>
        </w:rPr>
        <w:t>eriss</w:t>
      </w:r>
      <w:proofErr w:type="gramEnd"/>
      <w:r w:rsidRPr="00C43CF0">
        <w:rPr>
          <w:b/>
          <w:bCs/>
          <w:i/>
          <w:iCs/>
          <w:sz w:val="23"/>
          <w:szCs w:val="23"/>
        </w:rPr>
        <w:t xml:space="preserve"> </w:t>
      </w:r>
      <w:r w:rsidRPr="001B0912">
        <w:rPr>
          <w:i/>
          <w:iCs/>
        </w:rPr>
        <w:t>research summary 2012–2013</w:t>
      </w:r>
      <w:r w:rsidRPr="001B0912">
        <w:t xml:space="preserve">. Supervising Scientist Report 205, Supervising Scientist, Darwin NT. </w:t>
      </w:r>
    </w:p>
    <w:p w:rsidR="00671570" w:rsidRPr="001B0912" w:rsidRDefault="00671570" w:rsidP="00BF069F">
      <w:pPr>
        <w:pStyle w:val="referencelist1"/>
      </w:pPr>
      <w:proofErr w:type="gramStart"/>
      <w:r w:rsidRPr="00671570">
        <w:t>Supervising Scientist 2014.</w:t>
      </w:r>
      <w:proofErr w:type="gramEnd"/>
      <w:r w:rsidRPr="00671570">
        <w:t xml:space="preserve"> </w:t>
      </w:r>
      <w:r w:rsidRPr="00671570">
        <w:rPr>
          <w:i/>
        </w:rPr>
        <w:t>Interim Report:</w:t>
      </w:r>
      <w:r w:rsidRPr="00671570">
        <w:t xml:space="preserve"> </w:t>
      </w:r>
      <w:r w:rsidRPr="00671570">
        <w:rPr>
          <w:i/>
        </w:rPr>
        <w:t>Investigation into the environmental impacts of the leach tank failure at Ranger uranium mine, December 2013</w:t>
      </w:r>
      <w:r w:rsidRPr="00671570">
        <w:t>. Supervising Scientist Report 206, Supervising Scientist, Darwin NT.</w:t>
      </w:r>
      <w:r w:rsidR="000D0856">
        <w:t xml:space="preserve"> </w:t>
      </w:r>
    </w:p>
    <w:p w:rsidR="00367608" w:rsidRDefault="00367608" w:rsidP="00367608">
      <w:pPr>
        <w:pStyle w:val="referencelist1"/>
      </w:pPr>
      <w:proofErr w:type="gramStart"/>
      <w:r w:rsidRPr="00671570">
        <w:t>Tayler K 2013.</w:t>
      </w:r>
      <w:proofErr w:type="gramEnd"/>
      <w:r w:rsidRPr="00671570">
        <w:t xml:space="preserve"> </w:t>
      </w:r>
      <w:proofErr w:type="gramStart"/>
      <w:r w:rsidRPr="00671570">
        <w:t>Investigation into the exit of a controlled area vehicle from the Ranger Mine on 3</w:t>
      </w:r>
      <w:r w:rsidR="00671570" w:rsidRPr="00671570">
        <w:t xml:space="preserve"> November 2013.</w:t>
      </w:r>
      <w:proofErr w:type="gramEnd"/>
      <w:r w:rsidRPr="00671570">
        <w:t xml:space="preserve">  Internal Report 622, December, Supervising Scientist, Darwin</w:t>
      </w:r>
      <w:r w:rsidR="00C54599">
        <w:t>, NT</w:t>
      </w:r>
      <w:r w:rsidRPr="00671570">
        <w:t xml:space="preserve">. </w:t>
      </w:r>
    </w:p>
    <w:p w:rsidR="00003A5D" w:rsidRDefault="00003A5D" w:rsidP="000D0856">
      <w:pPr>
        <w:pStyle w:val="referencelist1"/>
      </w:pPr>
      <w:bookmarkStart w:id="777" w:name="_Toc395005665"/>
      <w:proofErr w:type="gramStart"/>
      <w:r>
        <w:t>Whiteside T &amp; Bartolo 2014.</w:t>
      </w:r>
      <w:proofErr w:type="gramEnd"/>
      <w:r>
        <w:t xml:space="preserve"> </w:t>
      </w:r>
      <w:proofErr w:type="gramStart"/>
      <w:r w:rsidRPr="00003A5D">
        <w:t>Vegetation map for Magela Creek floodplain using WorldView - 2 multispectral image data</w:t>
      </w:r>
      <w:r>
        <w:t>.</w:t>
      </w:r>
      <w:proofErr w:type="gramEnd"/>
      <w:r>
        <w:t xml:space="preserve"> April 2014. </w:t>
      </w:r>
      <w:proofErr w:type="gramStart"/>
      <w:r>
        <w:t xml:space="preserve">Internal Report 628, April, </w:t>
      </w:r>
      <w:r w:rsidRPr="001B0912">
        <w:t>Supervising Scientist, Darwin</w:t>
      </w:r>
      <w:r w:rsidR="00C54599">
        <w:t>, NT</w:t>
      </w:r>
      <w:r w:rsidRPr="001B0912">
        <w:t>.</w:t>
      </w:r>
      <w:proofErr w:type="gramEnd"/>
      <w:r w:rsidRPr="001B0912">
        <w:t xml:space="preserve"> </w:t>
      </w:r>
    </w:p>
    <w:p w:rsidR="007D3DFE" w:rsidRPr="002408E3" w:rsidRDefault="007D3DFE" w:rsidP="007D3DFE">
      <w:pPr>
        <w:pStyle w:val="referencelist1"/>
      </w:pPr>
      <w:proofErr w:type="gramStart"/>
      <w:r w:rsidRPr="002408E3">
        <w:t>Winderlich S &amp; Woinarski J (ed</w:t>
      </w:r>
      <w:r>
        <w:t>s</w:t>
      </w:r>
      <w:r w:rsidR="000336FF">
        <w:t>.</w:t>
      </w:r>
      <w:r w:rsidRPr="002408E3">
        <w:t>) 2014.</w:t>
      </w:r>
      <w:proofErr w:type="gramEnd"/>
      <w:r w:rsidRPr="002408E3">
        <w:t xml:space="preserve"> </w:t>
      </w:r>
      <w:proofErr w:type="gramStart"/>
      <w:r w:rsidRPr="002408E3">
        <w:t>Kakadu National Park Landscape Symposia Series.</w:t>
      </w:r>
      <w:proofErr w:type="gramEnd"/>
      <w:r w:rsidRPr="002408E3">
        <w:t xml:space="preserve"> Symposium </w:t>
      </w:r>
      <w:r>
        <w:t>7</w:t>
      </w:r>
      <w:r w:rsidRPr="002408E3">
        <w:t>: Conserv</w:t>
      </w:r>
      <w:r>
        <w:t>ation of threatened species, 26–</w:t>
      </w:r>
      <w:r w:rsidRPr="002408E3">
        <w:t xml:space="preserve">27 March 2013, Bowali Visitor Centre, Kakadu National Park. </w:t>
      </w:r>
      <w:proofErr w:type="gramStart"/>
      <w:r w:rsidRPr="002408E3">
        <w:t xml:space="preserve">Internal Report 623, </w:t>
      </w:r>
      <w:r>
        <w:t xml:space="preserve">June, </w:t>
      </w:r>
      <w:r w:rsidRPr="002408E3">
        <w:t>Supervising Scientist, Darwin</w:t>
      </w:r>
      <w:r w:rsidR="00C54599">
        <w:t>, NT</w:t>
      </w:r>
      <w:r w:rsidRPr="002408E3">
        <w:t>.</w:t>
      </w:r>
      <w:proofErr w:type="gramEnd"/>
      <w:r w:rsidR="000D0856" w:rsidRPr="000D0856">
        <w:t xml:space="preserve"> </w:t>
      </w:r>
    </w:p>
    <w:p w:rsidR="00F74810" w:rsidRDefault="00F74810" w:rsidP="00F74810">
      <w:pPr>
        <w:pStyle w:val="Heading2"/>
        <w:rPr>
          <w:lang w:val="en-US"/>
        </w:rPr>
      </w:pPr>
      <w:bookmarkStart w:id="778" w:name="_Toc396375462"/>
      <w:bookmarkStart w:id="779" w:name="_Toc396990241"/>
      <w:bookmarkStart w:id="780" w:name="_Toc397433376"/>
      <w:bookmarkStart w:id="781" w:name="_Toc399157604"/>
      <w:bookmarkStart w:id="782" w:name="_Toc399321076"/>
      <w:bookmarkStart w:id="783" w:name="_Toc399925902"/>
      <w:bookmarkStart w:id="784" w:name="_Toc399928255"/>
      <w:r>
        <w:rPr>
          <w:lang w:val="en-US"/>
        </w:rPr>
        <w:t>Consultancy reports</w:t>
      </w:r>
      <w:bookmarkEnd w:id="767"/>
      <w:bookmarkEnd w:id="768"/>
      <w:bookmarkEnd w:id="769"/>
      <w:bookmarkEnd w:id="770"/>
      <w:bookmarkEnd w:id="771"/>
      <w:bookmarkEnd w:id="772"/>
      <w:bookmarkEnd w:id="773"/>
      <w:bookmarkEnd w:id="774"/>
      <w:bookmarkEnd w:id="775"/>
      <w:bookmarkEnd w:id="776"/>
      <w:bookmarkEnd w:id="777"/>
      <w:bookmarkEnd w:id="778"/>
      <w:bookmarkEnd w:id="779"/>
      <w:bookmarkEnd w:id="780"/>
      <w:bookmarkEnd w:id="781"/>
      <w:bookmarkEnd w:id="782"/>
      <w:bookmarkEnd w:id="783"/>
      <w:bookmarkEnd w:id="784"/>
    </w:p>
    <w:p w:rsidR="00367608" w:rsidRPr="002155BE" w:rsidRDefault="00367608" w:rsidP="00367608">
      <w:pPr>
        <w:pStyle w:val="referencelist1"/>
        <w:rPr>
          <w:bCs/>
          <w:iCs/>
        </w:rPr>
      </w:pPr>
      <w:proofErr w:type="gramStart"/>
      <w:r w:rsidRPr="002155BE">
        <w:rPr>
          <w:bCs/>
          <w:iCs/>
        </w:rPr>
        <w:t>Ladson A, Tilleard J, Erskine W &amp; Cheetham M 2013.</w:t>
      </w:r>
      <w:proofErr w:type="gramEnd"/>
      <w:r w:rsidRPr="002155BE">
        <w:rPr>
          <w:bCs/>
          <w:iCs/>
        </w:rPr>
        <w:t xml:space="preserve"> </w:t>
      </w:r>
      <w:proofErr w:type="gramStart"/>
      <w:r w:rsidRPr="002155BE">
        <w:rPr>
          <w:bCs/>
          <w:iCs/>
        </w:rPr>
        <w:t>Geomorphology of the Yea and Acheron Rivers.</w:t>
      </w:r>
      <w:proofErr w:type="gramEnd"/>
      <w:r w:rsidRPr="002155BE">
        <w:rPr>
          <w:bCs/>
          <w:iCs/>
        </w:rPr>
        <w:t xml:space="preserve"> Report for Goulburn-Broken Catchment Management Authority by Moroka Pty Ltd.</w:t>
      </w:r>
    </w:p>
    <w:p w:rsidR="00F74810" w:rsidRDefault="00F74810" w:rsidP="00F74810">
      <w:pPr>
        <w:pStyle w:val="referencelist1"/>
      </w:pPr>
    </w:p>
    <w:p w:rsidR="00F74810" w:rsidRDefault="00F74810" w:rsidP="00A00BA3">
      <w:pPr>
        <w:sectPr w:rsidR="00F74810">
          <w:headerReference w:type="even" r:id="rId150"/>
          <w:headerReference w:type="default" r:id="rId151"/>
          <w:headerReference w:type="first" r:id="rId152"/>
          <w:pgSz w:w="10325" w:h="14573" w:code="13"/>
          <w:pgMar w:top="1440" w:right="1440" w:bottom="1440" w:left="1440" w:header="720" w:footer="720" w:gutter="0"/>
          <w:cols w:space="360"/>
          <w:noEndnote/>
          <w:titlePg/>
        </w:sectPr>
      </w:pPr>
    </w:p>
    <w:p w:rsidR="00F74810" w:rsidRDefault="00F74810" w:rsidP="00DE799E">
      <w:pPr>
        <w:pStyle w:val="Heading1"/>
        <w:rPr>
          <w:lang w:val="en-US"/>
        </w:rPr>
      </w:pPr>
      <w:bookmarkStart w:id="785" w:name="_Toc116123259"/>
      <w:bookmarkStart w:id="786" w:name="_Toc399928256"/>
      <w:r w:rsidRPr="00BF09DE">
        <w:rPr>
          <w:lang w:val="en-US"/>
        </w:rPr>
        <w:t xml:space="preserve">Appendix </w:t>
      </w:r>
      <w:proofErr w:type="gramStart"/>
      <w:r w:rsidRPr="00BF09DE">
        <w:rPr>
          <w:lang w:val="en-US"/>
        </w:rPr>
        <w:t>3  Presentations</w:t>
      </w:r>
      <w:proofErr w:type="gramEnd"/>
      <w:r w:rsidRPr="00BF09DE">
        <w:rPr>
          <w:lang w:val="en-US"/>
        </w:rPr>
        <w:t xml:space="preserve"> to conferences and symposia, 201</w:t>
      </w:r>
      <w:r w:rsidR="00893286">
        <w:rPr>
          <w:lang w:val="en-US"/>
        </w:rPr>
        <w:t>3</w:t>
      </w:r>
      <w:r w:rsidRPr="00BF09DE">
        <w:rPr>
          <w:lang w:val="en-US"/>
        </w:rPr>
        <w:t>–1</w:t>
      </w:r>
      <w:r w:rsidR="00893286">
        <w:rPr>
          <w:lang w:val="en-US"/>
        </w:rPr>
        <w:t>4</w:t>
      </w:r>
      <w:r w:rsidRPr="00BF09DE">
        <w:rPr>
          <w:rStyle w:val="FootnoteReference"/>
          <w:rFonts w:ascii="Helvetica" w:hAnsi="Helvetica"/>
          <w:position w:val="8"/>
          <w:sz w:val="24"/>
          <w:lang w:val="en-US"/>
        </w:rPr>
        <w:footnoteReference w:id="15"/>
      </w:r>
      <w:bookmarkEnd w:id="785"/>
      <w:bookmarkEnd w:id="786"/>
    </w:p>
    <w:p w:rsidR="00367608" w:rsidRPr="00367608" w:rsidRDefault="00367608" w:rsidP="00367608">
      <w:pPr>
        <w:pStyle w:val="referencelist1"/>
      </w:pPr>
      <w:proofErr w:type="gramStart"/>
      <w:r w:rsidRPr="00367608">
        <w:t>Chandler L, Humphrey C &amp; George A 2014.</w:t>
      </w:r>
      <w:proofErr w:type="gramEnd"/>
      <w:r w:rsidRPr="00367608">
        <w:t xml:space="preserve"> </w:t>
      </w:r>
      <w:proofErr w:type="gramStart"/>
      <w:r w:rsidRPr="00367608">
        <w:t>Examination of sampling processing methods for macroinvertebrate community monitoring in tropical shallow billabongs.</w:t>
      </w:r>
      <w:proofErr w:type="gramEnd"/>
      <w:r w:rsidRPr="00367608">
        <w:t xml:space="preserve"> Paper presented at ASFB &amp; ASL Congress, 30 June–3 July 2014, Darwin Australia.</w:t>
      </w:r>
    </w:p>
    <w:p w:rsidR="00367608" w:rsidRPr="00367608" w:rsidRDefault="00367608" w:rsidP="00367608">
      <w:pPr>
        <w:pStyle w:val="referencelist1"/>
      </w:pPr>
      <w:r w:rsidRPr="00367608">
        <w:t xml:space="preserve">Cheng K, </w:t>
      </w:r>
      <w:r w:rsidR="00C54599">
        <w:t>Harford AJ &amp;</w:t>
      </w:r>
      <w:r w:rsidRPr="00367608">
        <w:t xml:space="preserve"> van Dam RA 2013. </w:t>
      </w:r>
      <w:proofErr w:type="gramStart"/>
      <w:r w:rsidRPr="00367608">
        <w:t>Effect of manganese on tropical freshwate</w:t>
      </w:r>
      <w:r w:rsidR="00141E11">
        <w:t>r species.</w:t>
      </w:r>
      <w:proofErr w:type="gramEnd"/>
      <w:r w:rsidR="00141E11">
        <w:t xml:space="preserve"> Paper presented at 3</w:t>
      </w:r>
      <w:r w:rsidR="0061746D">
        <w:rPr>
          <w:vertAlign w:val="superscript"/>
        </w:rPr>
        <w:t>r</w:t>
      </w:r>
      <w:r w:rsidR="00141E11" w:rsidRPr="00141E11">
        <w:rPr>
          <w:vertAlign w:val="superscript"/>
        </w:rPr>
        <w:t>d</w:t>
      </w:r>
      <w:r w:rsidRPr="00367608">
        <w:t xml:space="preserve"> SETAC – Australasia Conference, 1–3 Oct 2013, Melbourne Australia.</w:t>
      </w:r>
    </w:p>
    <w:p w:rsidR="00367608" w:rsidRPr="00367608" w:rsidRDefault="00367608" w:rsidP="00367608">
      <w:pPr>
        <w:pStyle w:val="referencelist1"/>
      </w:pPr>
      <w:proofErr w:type="gramStart"/>
      <w:r w:rsidRPr="00367608">
        <w:t>George A &amp; Humphrey C 2013.</w:t>
      </w:r>
      <w:proofErr w:type="gramEnd"/>
      <w:r w:rsidRPr="00367608">
        <w:t xml:space="preserve"> </w:t>
      </w:r>
      <w:proofErr w:type="gramStart"/>
      <w:r w:rsidRPr="00367608">
        <w:t>Developing turbidity closure criteria for receiving surface waters at Ranger minesite.</w:t>
      </w:r>
      <w:proofErr w:type="gramEnd"/>
      <w:r w:rsidRPr="00367608">
        <w:t xml:space="preserve"> Paper presented at 52</w:t>
      </w:r>
      <w:r w:rsidRPr="00740FC1">
        <w:rPr>
          <w:vertAlign w:val="superscript"/>
        </w:rPr>
        <w:t>nd</w:t>
      </w:r>
      <w:r w:rsidRPr="00367608">
        <w:t xml:space="preserve"> Annual Congress of Australian Society for Limnology, 2–5 Dec 2013, Canberra Australia.</w:t>
      </w:r>
    </w:p>
    <w:p w:rsidR="00367608" w:rsidRPr="00367608" w:rsidRDefault="00367608" w:rsidP="00367608">
      <w:pPr>
        <w:pStyle w:val="referencelist1"/>
      </w:pPr>
      <w:proofErr w:type="gramStart"/>
      <w:r w:rsidRPr="00367608">
        <w:t>George A, Bartolo R, Humphrey C &amp; Harford A. 2014.</w:t>
      </w:r>
      <w:proofErr w:type="gramEnd"/>
      <w:r w:rsidRPr="00367608">
        <w:t xml:space="preserve"> Defining ecosystem processes for rehabilitation of Ranger uranium mine (NT). Paper presented at ASFB &amp; ASL Congress, 30 June–3 July 2014, Darwin Australia.</w:t>
      </w:r>
    </w:p>
    <w:p w:rsidR="00367608" w:rsidRPr="00367608" w:rsidRDefault="00367608" w:rsidP="00367608">
      <w:pPr>
        <w:pStyle w:val="referencelist1"/>
      </w:pPr>
      <w:r w:rsidRPr="00367608">
        <w:t>Harford AJ, Simpson SL, Chariton AA, Hump</w:t>
      </w:r>
      <w:r w:rsidR="00C54599">
        <w:t>hrey CL, Kumar A, Stauber JL &amp;</w:t>
      </w:r>
      <w:r w:rsidRPr="00367608">
        <w:t xml:space="preserve"> van Dam RA 2013. </w:t>
      </w:r>
      <w:proofErr w:type="gramStart"/>
      <w:r w:rsidRPr="00367608">
        <w:t>Derivation of a Sediment Quality Guideline for Uranium.</w:t>
      </w:r>
      <w:proofErr w:type="gramEnd"/>
      <w:r w:rsidRPr="00367608">
        <w:t xml:space="preserve"> Paper presented at 3</w:t>
      </w:r>
      <w:r w:rsidR="0061746D">
        <w:rPr>
          <w:vertAlign w:val="superscript"/>
        </w:rPr>
        <w:t>r</w:t>
      </w:r>
      <w:r w:rsidR="00141E11" w:rsidRPr="00141E11">
        <w:rPr>
          <w:vertAlign w:val="superscript"/>
        </w:rPr>
        <w:t>d</w:t>
      </w:r>
      <w:r w:rsidRPr="00367608">
        <w:t xml:space="preserve"> SETAC – Australasia Conference, 1–3 Oct 2013, Melbourne Australia.</w:t>
      </w:r>
    </w:p>
    <w:p w:rsidR="00C54599" w:rsidRDefault="00367608" w:rsidP="00367608">
      <w:pPr>
        <w:pStyle w:val="referencelist1"/>
      </w:pPr>
      <w:proofErr w:type="gramStart"/>
      <w:r w:rsidRPr="00367608">
        <w:t>Humphrey C &amp; Ellis M 2014.</w:t>
      </w:r>
      <w:proofErr w:type="gramEnd"/>
      <w:r w:rsidRPr="00367608">
        <w:t xml:space="preserve"> Toxicity monitoring of water quality using the freshwater snail, </w:t>
      </w:r>
      <w:r w:rsidRPr="00740FC1">
        <w:rPr>
          <w:i/>
        </w:rPr>
        <w:t>Amerianna cumingi</w:t>
      </w:r>
      <w:r w:rsidRPr="00367608">
        <w:t>: Investigative studies used to improve annual interpretation of wet season results. Paper presented at ASFB &amp; ASL Congress, 30 June–3 July 2014, Darwin Australia.</w:t>
      </w:r>
      <w:r w:rsidR="00740FC1">
        <w:t xml:space="preserve"> </w:t>
      </w:r>
    </w:p>
    <w:p w:rsidR="00367608" w:rsidRPr="00367608" w:rsidRDefault="00367608" w:rsidP="00367608">
      <w:pPr>
        <w:pStyle w:val="referencelist1"/>
      </w:pPr>
      <w:r w:rsidRPr="00367608">
        <w:t>Humphrey C 2013. Training presentations at Water quality and the environment: Master class, Australian Water Association, 4–5 September 2013, Perth WA (Names of co</w:t>
      </w:r>
      <w:r w:rsidR="00660A1C">
        <w:t>-</w:t>
      </w:r>
      <w:r w:rsidRPr="00367608">
        <w:t xml:space="preserve">authors and other contributors to individual presentations available on request.). </w:t>
      </w:r>
    </w:p>
    <w:p w:rsidR="00141E11" w:rsidRPr="00367608" w:rsidRDefault="00141E11" w:rsidP="00141E11">
      <w:pPr>
        <w:pStyle w:val="referencelist1"/>
      </w:pPr>
      <w:r>
        <w:t xml:space="preserve">Lowry J, Hancock G &amp; Coulthard T 2014. </w:t>
      </w:r>
      <w:proofErr w:type="gramStart"/>
      <w:r>
        <w:t xml:space="preserve">Using the </w:t>
      </w:r>
      <w:r w:rsidRPr="00C54599">
        <w:rPr>
          <w:i/>
        </w:rPr>
        <w:t>CAESAR-Lisflood</w:t>
      </w:r>
      <w:r>
        <w:t xml:space="preserve"> and SIBERIA landform evolution models to assess the evolution of a post-mining landscape at millennial time scales.</w:t>
      </w:r>
      <w:proofErr w:type="gramEnd"/>
      <w:r>
        <w:t xml:space="preserve"> Paper presented at European Geosciences Union General Assembly 2014, 27 April – 2 May 2014, Vienna Austria. </w:t>
      </w:r>
    </w:p>
    <w:p w:rsidR="00367608" w:rsidRPr="00367608" w:rsidRDefault="00367608" w:rsidP="00367608">
      <w:pPr>
        <w:pStyle w:val="referencelist1"/>
      </w:pPr>
      <w:proofErr w:type="gramStart"/>
      <w:r w:rsidRPr="00367608">
        <w:t>Medley P 2014.</w:t>
      </w:r>
      <w:proofErr w:type="gramEnd"/>
      <w:r w:rsidRPr="00367608">
        <w:t xml:space="preserve"> </w:t>
      </w:r>
      <w:proofErr w:type="gramStart"/>
      <w:r w:rsidRPr="00367608">
        <w:t>Optimising a method for low-level analysis of 210Pb via Liquid Scintillation Counting.</w:t>
      </w:r>
      <w:proofErr w:type="gramEnd"/>
      <w:r w:rsidRPr="00367608">
        <w:t xml:space="preserve"> Paper presented at the 17</w:t>
      </w:r>
      <w:r w:rsidRPr="00141E11">
        <w:rPr>
          <w:vertAlign w:val="superscript"/>
        </w:rPr>
        <w:t>th</w:t>
      </w:r>
      <w:r w:rsidRPr="00367608">
        <w:t xml:space="preserve"> Radiochemical Conference, 11–16 May, Mariánské Lázně, Czech Republic.</w:t>
      </w:r>
    </w:p>
    <w:p w:rsidR="00367608" w:rsidRPr="00367608" w:rsidRDefault="00367608" w:rsidP="00367608">
      <w:pPr>
        <w:pStyle w:val="referencelist1"/>
      </w:pPr>
      <w:r w:rsidRPr="00367608">
        <w:t xml:space="preserve">Prouse AE, Hogan AC, Harford AJ, van Dam RA &amp; Nugegoda D 2013. </w:t>
      </w:r>
      <w:proofErr w:type="gramStart"/>
      <w:r w:rsidRPr="00367608">
        <w:t xml:space="preserve">Recovery of </w:t>
      </w:r>
      <w:r w:rsidRPr="00740FC1">
        <w:rPr>
          <w:i/>
        </w:rPr>
        <w:t xml:space="preserve">Hydra viridissima </w:t>
      </w:r>
      <w:r w:rsidRPr="00367608">
        <w:t>(Green hydra) after multiple magnesium pulse exposures.</w:t>
      </w:r>
      <w:proofErr w:type="gramEnd"/>
      <w:r w:rsidRPr="00367608">
        <w:t xml:space="preserve"> Paper presented at 3</w:t>
      </w:r>
      <w:r w:rsidR="0061746D">
        <w:rPr>
          <w:vertAlign w:val="superscript"/>
        </w:rPr>
        <w:t>r</w:t>
      </w:r>
      <w:r w:rsidRPr="00141E11">
        <w:rPr>
          <w:vertAlign w:val="superscript"/>
        </w:rPr>
        <w:t>d</w:t>
      </w:r>
      <w:r w:rsidRPr="00367608">
        <w:t xml:space="preserve"> SETAC – Australasia Conference, 1–3 Oct 2013, Melbourne Australia</w:t>
      </w:r>
    </w:p>
    <w:p w:rsidR="00367608" w:rsidRPr="00367608" w:rsidRDefault="00367608" w:rsidP="00367608">
      <w:pPr>
        <w:pStyle w:val="referencelist1"/>
      </w:pPr>
      <w:r w:rsidRPr="00367608">
        <w:t xml:space="preserve">Sinclair A, Tayler K, van Dam R &amp; Hogan </w:t>
      </w:r>
      <w:proofErr w:type="gramStart"/>
      <w:r w:rsidRPr="00367608">
        <w:t>A</w:t>
      </w:r>
      <w:proofErr w:type="gramEnd"/>
      <w:r w:rsidRPr="00367608">
        <w:t xml:space="preserve"> 2013. From leading practice technology to regulation – the development of a framework for regulating short-term pulse exposures to mine water. Paper presented at 12</w:t>
      </w:r>
      <w:r w:rsidRPr="00740FC1">
        <w:rPr>
          <w:vertAlign w:val="superscript"/>
        </w:rPr>
        <w:t>th</w:t>
      </w:r>
      <w:r w:rsidRPr="00367608">
        <w:t xml:space="preserve"> Australia Institute of Mining and </w:t>
      </w:r>
      <w:proofErr w:type="gramStart"/>
      <w:r w:rsidRPr="00367608">
        <w:t>Metallurgy  (</w:t>
      </w:r>
      <w:proofErr w:type="gramEnd"/>
      <w:r w:rsidRPr="00367608">
        <w:t>AUSIMM) International Uranium conference, 11–12 June 2013, Darwin Australia.</w:t>
      </w:r>
    </w:p>
    <w:p w:rsidR="00367608" w:rsidRPr="00367608" w:rsidRDefault="00367608" w:rsidP="00367608">
      <w:pPr>
        <w:pStyle w:val="referencelist1"/>
      </w:pPr>
      <w:r w:rsidRPr="00367608">
        <w:t>Trenfield MA, van Dam J, Streten-Joyce C, van</w:t>
      </w:r>
      <w:r w:rsidR="00C54599">
        <w:t xml:space="preserve"> </w:t>
      </w:r>
      <w:proofErr w:type="gramStart"/>
      <w:r w:rsidR="00C54599">
        <w:t>Dam  RA</w:t>
      </w:r>
      <w:proofErr w:type="gramEnd"/>
      <w:r w:rsidR="00C54599">
        <w:t>, Harford AJ, Gibb K &amp;</w:t>
      </w:r>
      <w:r w:rsidRPr="00367608">
        <w:t xml:space="preserve"> Parry DL 2013. </w:t>
      </w:r>
      <w:proofErr w:type="gramStart"/>
      <w:r w:rsidRPr="00367608">
        <w:t xml:space="preserve">Aluminium toxicity to the tropical algae </w:t>
      </w:r>
      <w:r w:rsidRPr="00367608">
        <w:rPr>
          <w:i/>
        </w:rPr>
        <w:t>Isochrysis galbana</w:t>
      </w:r>
      <w:r w:rsidRPr="00367608">
        <w:t>.</w:t>
      </w:r>
      <w:proofErr w:type="gramEnd"/>
      <w:r w:rsidRPr="00367608">
        <w:t xml:space="preserve"> Paper presented at 3</w:t>
      </w:r>
      <w:r w:rsidR="0061746D">
        <w:rPr>
          <w:vertAlign w:val="superscript"/>
        </w:rPr>
        <w:t>r</w:t>
      </w:r>
      <w:r w:rsidR="00141E11" w:rsidRPr="00141E11">
        <w:rPr>
          <w:vertAlign w:val="superscript"/>
        </w:rPr>
        <w:t>d</w:t>
      </w:r>
      <w:r w:rsidRPr="00367608">
        <w:t xml:space="preserve"> SETAC – Australasia Conference, 1–3 Oct 2013, Melbourne Australia.</w:t>
      </w:r>
    </w:p>
    <w:p w:rsidR="00367608" w:rsidRPr="00367608" w:rsidRDefault="00C54599" w:rsidP="00367608">
      <w:pPr>
        <w:pStyle w:val="referencelist1"/>
      </w:pPr>
      <w:proofErr w:type="gramStart"/>
      <w:r>
        <w:t>van</w:t>
      </w:r>
      <w:proofErr w:type="gramEnd"/>
      <w:r>
        <w:t xml:space="preserve"> Dam RA, Harford AJ &amp;</w:t>
      </w:r>
      <w:r w:rsidR="00367608" w:rsidRPr="00367608">
        <w:t xml:space="preserve"> Hogan AC 2013. Revision of the national and Magela Creek site-specific freshwater quality trigger values for </w:t>
      </w:r>
      <w:r w:rsidR="00141E11">
        <w:t xml:space="preserve">uranium. Paper presented at </w:t>
      </w:r>
      <w:proofErr w:type="gramStart"/>
      <w:r w:rsidR="00141E11">
        <w:t>3</w:t>
      </w:r>
      <w:r w:rsidR="0061746D">
        <w:rPr>
          <w:vertAlign w:val="superscript"/>
        </w:rPr>
        <w:t>r</w:t>
      </w:r>
      <w:r w:rsidR="00141E11" w:rsidRPr="00141E11">
        <w:rPr>
          <w:vertAlign w:val="superscript"/>
        </w:rPr>
        <w:t>d</w:t>
      </w:r>
      <w:r w:rsidR="00367608" w:rsidRPr="00367608">
        <w:t xml:space="preserve">  SETAC</w:t>
      </w:r>
      <w:proofErr w:type="gramEnd"/>
      <w:r w:rsidR="00367608" w:rsidRPr="00367608">
        <w:t xml:space="preserve"> – Australasia Conference, 1–3 Oct 2013, Melbourne Australia.</w:t>
      </w:r>
    </w:p>
    <w:p w:rsidR="00367608" w:rsidRPr="00367608" w:rsidRDefault="00367608" w:rsidP="00367608">
      <w:pPr>
        <w:pStyle w:val="referencelist1"/>
      </w:pPr>
      <w:r w:rsidRPr="00367608">
        <w:t xml:space="preserve">Whiteside T &amp; Bartolo </w:t>
      </w:r>
      <w:proofErr w:type="gramStart"/>
      <w:r w:rsidRPr="00367608">
        <w:t>R  2014</w:t>
      </w:r>
      <w:proofErr w:type="gramEnd"/>
      <w:r w:rsidRPr="00367608">
        <w:t xml:space="preserve">. </w:t>
      </w:r>
      <w:proofErr w:type="gramStart"/>
      <w:r w:rsidRPr="00367608">
        <w:t>Object-based analysis of interannual variation within RAMSAR wetlands using time-series WorldView-2 multispectral imagery.</w:t>
      </w:r>
      <w:proofErr w:type="gramEnd"/>
      <w:r w:rsidRPr="00367608">
        <w:t xml:space="preserve"> Paper presented at GEOBIA 2014: 5</w:t>
      </w:r>
      <w:r w:rsidRPr="00740FC1">
        <w:rPr>
          <w:vertAlign w:val="superscript"/>
        </w:rPr>
        <w:t>th</w:t>
      </w:r>
      <w:r w:rsidRPr="00367608">
        <w:t xml:space="preserve"> International Conference of Geographic Object -based Image Analysis, 21–24 May 2014</w:t>
      </w:r>
      <w:proofErr w:type="gramStart"/>
      <w:r w:rsidRPr="00367608">
        <w:t>,Thessaloniki</w:t>
      </w:r>
      <w:proofErr w:type="gramEnd"/>
      <w:r w:rsidRPr="00367608">
        <w:t>, Greece.</w:t>
      </w:r>
    </w:p>
    <w:p w:rsidR="00367608" w:rsidRPr="00367608" w:rsidRDefault="00367608" w:rsidP="00367608">
      <w:pPr>
        <w:pStyle w:val="referencelist1"/>
      </w:pPr>
      <w:r w:rsidRPr="00367608">
        <w:t xml:space="preserve">Whiteside T, Bartolo, R, Erskine, P &amp; Fletcher, </w:t>
      </w:r>
      <w:proofErr w:type="gramStart"/>
      <w:r w:rsidRPr="00367608">
        <w:t>A</w:t>
      </w:r>
      <w:proofErr w:type="gramEnd"/>
      <w:r w:rsidRPr="00367608">
        <w:t xml:space="preserve"> 2014. Object-based characterisation of reference sites for mine site closure using hyperspatial multispectral UAV imagery. Paper presented at GEOBIA 2014: 5</w:t>
      </w:r>
      <w:r w:rsidRPr="00740FC1">
        <w:rPr>
          <w:vertAlign w:val="superscript"/>
        </w:rPr>
        <w:t>th</w:t>
      </w:r>
      <w:r w:rsidRPr="00367608">
        <w:t xml:space="preserve"> International Conference of Geographic Object-based Image Analysis, 21–24 May 2014</w:t>
      </w:r>
      <w:proofErr w:type="gramStart"/>
      <w:r w:rsidRPr="00367608">
        <w:t>,Thessaloniki</w:t>
      </w:r>
      <w:proofErr w:type="gramEnd"/>
      <w:r w:rsidRPr="00367608">
        <w:t>, Greece.</w:t>
      </w:r>
    </w:p>
    <w:p w:rsidR="00CA6E25" w:rsidRDefault="00CA6E25" w:rsidP="00CA6E25">
      <w:pPr>
        <w:pStyle w:val="referencelist1"/>
        <w:ind w:left="0" w:firstLine="0"/>
        <w:sectPr w:rsidR="00CA6E25">
          <w:headerReference w:type="even" r:id="rId153"/>
          <w:headerReference w:type="first" r:id="rId154"/>
          <w:pgSz w:w="10325" w:h="14573" w:code="13"/>
          <w:pgMar w:top="1440" w:right="1440" w:bottom="1440" w:left="1440" w:header="720" w:footer="720" w:gutter="0"/>
          <w:cols w:space="360"/>
          <w:noEndnote/>
          <w:titlePg/>
        </w:sectPr>
      </w:pPr>
    </w:p>
    <w:p w:rsidR="00CA6E25" w:rsidRPr="00CA6E25" w:rsidRDefault="00CA6E25" w:rsidP="00AD3091">
      <w:pPr>
        <w:spacing w:line="470" w:lineRule="exact"/>
        <w:rPr>
          <w:lang w:val="en-US"/>
        </w:rPr>
      </w:pPr>
      <w:bookmarkStart w:id="787" w:name="_Toc399928257"/>
      <w:r w:rsidRPr="00AD3091">
        <w:rPr>
          <w:rStyle w:val="Heading1Char"/>
        </w:rPr>
        <w:t xml:space="preserve">Appendix </w:t>
      </w:r>
      <w:proofErr w:type="gramStart"/>
      <w:r w:rsidRPr="00AD3091">
        <w:rPr>
          <w:rStyle w:val="Heading1Char"/>
        </w:rPr>
        <w:t>4  List</w:t>
      </w:r>
      <w:proofErr w:type="gramEnd"/>
      <w:r w:rsidRPr="00AD3091">
        <w:rPr>
          <w:rStyle w:val="Heading1Char"/>
        </w:rPr>
        <w:t xml:space="preserve"> of</w:t>
      </w:r>
      <w:bookmarkEnd w:id="787"/>
      <w:r w:rsidRPr="00AD3091">
        <w:rPr>
          <w:rStyle w:val="Heading1Char"/>
        </w:rPr>
        <w:t xml:space="preserve"> </w:t>
      </w:r>
      <w:r w:rsidR="00CB3A6B" w:rsidRPr="00AD3091">
        <w:rPr>
          <w:rFonts w:ascii="Arial" w:hAnsi="Arial" w:cs="Arial"/>
          <w:b/>
          <w:i/>
          <w:sz w:val="36"/>
          <w:szCs w:val="36"/>
        </w:rPr>
        <w:t>eriss</w:t>
      </w:r>
      <w:r w:rsidRPr="00AD3091">
        <w:t xml:space="preserve"> </w:t>
      </w:r>
      <w:r w:rsidRPr="00AD3091">
        <w:rPr>
          <w:rStyle w:val="Heading1Char"/>
        </w:rPr>
        <w:t>research projects</w:t>
      </w:r>
      <w:r w:rsidR="00EF3753" w:rsidRPr="00AD3091">
        <w:rPr>
          <w:rStyle w:val="Heading1Char"/>
        </w:rPr>
        <w:t>,</w:t>
      </w:r>
      <w:r w:rsidRPr="00AD3091">
        <w:rPr>
          <w:rStyle w:val="Heading1Char"/>
        </w:rPr>
        <w:t xml:space="preserve"> 201</w:t>
      </w:r>
      <w:r w:rsidR="007F10F7" w:rsidRPr="00AD3091">
        <w:rPr>
          <w:rStyle w:val="Heading1Char"/>
        </w:rPr>
        <w:t>3</w:t>
      </w:r>
      <w:r w:rsidR="00EF3753" w:rsidRPr="00AD3091">
        <w:rPr>
          <w:rStyle w:val="Heading1Char"/>
        </w:rPr>
        <w:t>–</w:t>
      </w:r>
      <w:r w:rsidRPr="00AD3091">
        <w:rPr>
          <w:rStyle w:val="Heading1Char"/>
        </w:rPr>
        <w:t>1</w:t>
      </w:r>
      <w:r w:rsidR="007F10F7" w:rsidRPr="00AD3091">
        <w:rPr>
          <w:rStyle w:val="Heading1Char"/>
        </w:rPr>
        <w:t>4</w:t>
      </w:r>
    </w:p>
    <w:tbl>
      <w:tblPr>
        <w:tblW w:w="7479" w:type="dxa"/>
        <w:tblBorders>
          <w:top w:val="single" w:sz="8" w:space="0" w:color="BFBFBF" w:themeColor="background1" w:themeShade="BF"/>
          <w:left w:val="single" w:sz="8" w:space="0" w:color="BFBFBF" w:themeColor="background1" w:themeShade="BF"/>
          <w:bottom w:val="single" w:sz="8" w:space="0" w:color="BFBFBF" w:themeColor="background1" w:themeShade="BF"/>
          <w:right w:val="single" w:sz="8" w:space="0" w:color="BFBFBF" w:themeColor="background1" w:themeShade="BF"/>
          <w:insideH w:val="single" w:sz="8" w:space="0" w:color="BFBFBF" w:themeColor="background1" w:themeShade="BF"/>
          <w:insideV w:val="single" w:sz="8" w:space="0" w:color="BFBFBF" w:themeColor="background1" w:themeShade="BF"/>
        </w:tblBorders>
        <w:tblLook w:val="04A0"/>
      </w:tblPr>
      <w:tblGrid>
        <w:gridCol w:w="1384"/>
        <w:gridCol w:w="4961"/>
        <w:gridCol w:w="1134"/>
      </w:tblGrid>
      <w:tr w:rsidR="00CA6E25" w:rsidRPr="00EA751F" w:rsidTr="002B51C1">
        <w:trPr>
          <w:cantSplit/>
          <w:trHeight w:val="315"/>
        </w:trPr>
        <w:tc>
          <w:tcPr>
            <w:tcW w:w="1384" w:type="dxa"/>
            <w:tcBorders>
              <w:left w:val="nil"/>
              <w:bottom w:val="single" w:sz="8" w:space="0" w:color="BFBFBF" w:themeColor="background1" w:themeShade="BF"/>
              <w:right w:val="nil"/>
            </w:tcBorders>
            <w:shd w:val="clear" w:color="auto" w:fill="auto"/>
            <w:noWrap/>
            <w:vAlign w:val="center"/>
            <w:hideMark/>
          </w:tcPr>
          <w:p w:rsidR="00CA6E25" w:rsidRPr="00EA751F" w:rsidRDefault="00CA6E25" w:rsidP="00EF3753">
            <w:pPr>
              <w:pStyle w:val="table1"/>
              <w:spacing w:line="200" w:lineRule="atLeast"/>
              <w:rPr>
                <w:b/>
                <w:lang w:eastAsia="en-AU"/>
              </w:rPr>
            </w:pPr>
            <w:r w:rsidRPr="00EA751F">
              <w:rPr>
                <w:b/>
                <w:lang w:eastAsia="en-AU"/>
              </w:rPr>
              <w:t>Project Code</w:t>
            </w:r>
          </w:p>
        </w:tc>
        <w:tc>
          <w:tcPr>
            <w:tcW w:w="4961" w:type="dxa"/>
            <w:tcBorders>
              <w:left w:val="nil"/>
              <w:bottom w:val="single" w:sz="8" w:space="0" w:color="BFBFBF" w:themeColor="background1" w:themeShade="BF"/>
              <w:right w:val="nil"/>
            </w:tcBorders>
            <w:shd w:val="clear" w:color="auto" w:fill="auto"/>
            <w:vAlign w:val="center"/>
            <w:hideMark/>
          </w:tcPr>
          <w:p w:rsidR="00CA6E25" w:rsidRPr="00EA751F" w:rsidRDefault="00CA6E25" w:rsidP="00EF3753">
            <w:pPr>
              <w:pStyle w:val="table1"/>
              <w:spacing w:line="200" w:lineRule="atLeast"/>
              <w:rPr>
                <w:b/>
                <w:lang w:eastAsia="en-AU"/>
              </w:rPr>
            </w:pPr>
            <w:r w:rsidRPr="00EA751F">
              <w:rPr>
                <w:b/>
                <w:lang w:eastAsia="en-AU"/>
              </w:rPr>
              <w:t>Project Title</w:t>
            </w:r>
          </w:p>
        </w:tc>
        <w:tc>
          <w:tcPr>
            <w:tcW w:w="1134" w:type="dxa"/>
            <w:tcBorders>
              <w:left w:val="nil"/>
              <w:bottom w:val="single" w:sz="8" w:space="0" w:color="BFBFBF" w:themeColor="background1" w:themeShade="BF"/>
              <w:right w:val="nil"/>
            </w:tcBorders>
            <w:shd w:val="clear" w:color="auto" w:fill="auto"/>
            <w:noWrap/>
            <w:vAlign w:val="center"/>
            <w:hideMark/>
          </w:tcPr>
          <w:p w:rsidR="00CA6E25" w:rsidRPr="00EA751F" w:rsidRDefault="00CA6E25" w:rsidP="00EF3753">
            <w:pPr>
              <w:pStyle w:val="table1"/>
              <w:spacing w:line="200" w:lineRule="atLeast"/>
              <w:ind w:right="-108"/>
              <w:rPr>
                <w:b/>
                <w:lang w:eastAsia="en-AU"/>
              </w:rPr>
            </w:pPr>
            <w:r w:rsidRPr="00EA751F">
              <w:rPr>
                <w:b/>
                <w:lang w:eastAsia="en-AU"/>
              </w:rPr>
              <w:t>Work group</w:t>
            </w:r>
            <w:r>
              <w:rPr>
                <w:b/>
                <w:lang w:eastAsia="en-AU"/>
              </w:rPr>
              <w:t>*</w:t>
            </w:r>
          </w:p>
        </w:tc>
      </w:tr>
      <w:tr w:rsidR="00CA6E25" w:rsidRPr="00EB3716" w:rsidTr="002B51C1">
        <w:trPr>
          <w:cantSplit/>
          <w:trHeight w:val="315"/>
        </w:trPr>
        <w:tc>
          <w:tcPr>
            <w:tcW w:w="1384" w:type="dxa"/>
            <w:tcBorders>
              <w:left w:val="nil"/>
              <w:bottom w:val="nil"/>
              <w:right w:val="nil"/>
            </w:tcBorders>
            <w:shd w:val="clear" w:color="auto" w:fill="auto"/>
            <w:noWrap/>
            <w:vAlign w:val="center"/>
            <w:hideMark/>
          </w:tcPr>
          <w:p w:rsidR="00CA6E25" w:rsidRPr="00EA751F" w:rsidRDefault="00CA6E25" w:rsidP="00EF3753">
            <w:pPr>
              <w:pStyle w:val="table1"/>
              <w:spacing w:line="200" w:lineRule="atLeast"/>
              <w:rPr>
                <w:b/>
                <w:i/>
                <w:lang w:eastAsia="en-AU"/>
              </w:rPr>
            </w:pPr>
            <w:r w:rsidRPr="008E421A">
              <w:rPr>
                <w:b/>
                <w:i/>
                <w:lang w:eastAsia="en-AU"/>
              </w:rPr>
              <w:t>Completed</w:t>
            </w:r>
          </w:p>
        </w:tc>
        <w:tc>
          <w:tcPr>
            <w:tcW w:w="4961" w:type="dxa"/>
            <w:tcBorders>
              <w:left w:val="nil"/>
              <w:bottom w:val="nil"/>
              <w:right w:val="nil"/>
            </w:tcBorders>
            <w:shd w:val="clear" w:color="auto" w:fill="auto"/>
            <w:vAlign w:val="center"/>
            <w:hideMark/>
          </w:tcPr>
          <w:p w:rsidR="00CA6E25" w:rsidRDefault="00CA6E25" w:rsidP="00EF3753">
            <w:pPr>
              <w:pStyle w:val="table1"/>
              <w:spacing w:line="200" w:lineRule="atLeast"/>
              <w:rPr>
                <w:lang w:eastAsia="en-AU"/>
              </w:rPr>
            </w:pPr>
          </w:p>
        </w:tc>
        <w:tc>
          <w:tcPr>
            <w:tcW w:w="1134" w:type="dxa"/>
            <w:tcBorders>
              <w:left w:val="nil"/>
              <w:bottom w:val="nil"/>
              <w:right w:val="nil"/>
            </w:tcBorders>
            <w:shd w:val="clear" w:color="auto" w:fill="auto"/>
            <w:noWrap/>
            <w:vAlign w:val="center"/>
            <w:hideMark/>
          </w:tcPr>
          <w:p w:rsidR="00CA6E25" w:rsidRDefault="00CA6E25" w:rsidP="00EF3753">
            <w:pPr>
              <w:pStyle w:val="table1"/>
              <w:spacing w:line="200" w:lineRule="atLeast"/>
              <w:rPr>
                <w:lang w:eastAsia="en-AU"/>
              </w:rPr>
            </w:pPr>
          </w:p>
        </w:tc>
      </w:tr>
      <w:tr w:rsidR="000126ED" w:rsidRPr="00EB3716" w:rsidTr="002B51C1">
        <w:trPr>
          <w:cantSplit/>
          <w:trHeight w:val="31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RES-2000-003</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rsidRPr="003C47D7">
              <w:t>Radiological assessment of the South Alligator River Valley</w:t>
            </w:r>
          </w:p>
        </w:tc>
        <w:tc>
          <w:tcPr>
            <w:tcW w:w="113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EnRad</w:t>
            </w:r>
          </w:p>
        </w:tc>
      </w:tr>
      <w:tr w:rsidR="000126ED" w:rsidRPr="00EB3716" w:rsidTr="002B51C1">
        <w:trPr>
          <w:cantSplit/>
          <w:trHeight w:val="31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RES-2008-001</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rsidRPr="003C47D7">
              <w:t xml:space="preserve">Characterisation of contamination at Land Application Areas at Ranger uranium mine </w:t>
            </w:r>
          </w:p>
        </w:tc>
        <w:tc>
          <w:tcPr>
            <w:tcW w:w="113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EnRad</w:t>
            </w:r>
          </w:p>
        </w:tc>
      </w:tr>
      <w:tr w:rsidR="000126ED" w:rsidRPr="00EB3716" w:rsidTr="002B51C1">
        <w:trPr>
          <w:cantSplit/>
          <w:trHeight w:val="31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RES-2012-001</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rsidRPr="003C47D7">
              <w:t>Effect of manganese on tropical freshwater species</w:t>
            </w:r>
          </w:p>
        </w:tc>
        <w:tc>
          <w:tcPr>
            <w:tcW w:w="113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Ecotox</w:t>
            </w:r>
          </w:p>
        </w:tc>
      </w:tr>
      <w:tr w:rsidR="000126ED" w:rsidRPr="00EB3716" w:rsidTr="002B51C1">
        <w:trPr>
          <w:cantSplit/>
          <w:trHeight w:val="31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RES-2012-004</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rsidRPr="003C47D7">
              <w:t>Model geomorphic stability of Ranger Pit 1 landform</w:t>
            </w:r>
          </w:p>
        </w:tc>
        <w:tc>
          <w:tcPr>
            <w:tcW w:w="1134" w:type="dxa"/>
            <w:tcBorders>
              <w:top w:val="nil"/>
              <w:left w:val="nil"/>
              <w:bottom w:val="nil"/>
              <w:right w:val="nil"/>
            </w:tcBorders>
            <w:shd w:val="clear" w:color="auto" w:fill="auto"/>
            <w:noWrap/>
            <w:vAlign w:val="center"/>
            <w:hideMark/>
          </w:tcPr>
          <w:p w:rsidR="000126ED" w:rsidRPr="003C47D7" w:rsidRDefault="000126ED" w:rsidP="000126ED">
            <w:pPr>
              <w:pStyle w:val="table1"/>
            </w:pPr>
            <w:r>
              <w:t>HGCP</w:t>
            </w:r>
          </w:p>
        </w:tc>
      </w:tr>
      <w:tr w:rsidR="000126ED" w:rsidRPr="00EB3716" w:rsidTr="002B51C1">
        <w:trPr>
          <w:cantSplit/>
          <w:trHeight w:val="31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RES-2012-01</w:t>
            </w:r>
            <w:r>
              <w:t>2</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rsidRPr="003C47D7">
              <w:t>Ranger Rehabilitation &amp; Closure Ecological Risk Assessment: Phase</w:t>
            </w:r>
            <w:r>
              <w:t xml:space="preserve"> 1, problem formulation</w:t>
            </w:r>
          </w:p>
        </w:tc>
        <w:tc>
          <w:tcPr>
            <w:tcW w:w="1134" w:type="dxa"/>
            <w:tcBorders>
              <w:top w:val="nil"/>
              <w:left w:val="nil"/>
              <w:bottom w:val="nil"/>
              <w:right w:val="nil"/>
            </w:tcBorders>
            <w:shd w:val="clear" w:color="auto" w:fill="auto"/>
            <w:noWrap/>
            <w:vAlign w:val="center"/>
            <w:hideMark/>
          </w:tcPr>
          <w:p w:rsidR="000126ED" w:rsidRPr="003C47D7" w:rsidRDefault="000126ED" w:rsidP="000126ED">
            <w:pPr>
              <w:pStyle w:val="table1"/>
            </w:pPr>
            <w:r>
              <w:t>RLE</w:t>
            </w:r>
          </w:p>
        </w:tc>
      </w:tr>
      <w:tr w:rsidR="000126ED" w:rsidRPr="00EB3716" w:rsidTr="00DC084F">
        <w:trPr>
          <w:cantSplit/>
          <w:trHeight w:val="592"/>
        </w:trPr>
        <w:tc>
          <w:tcPr>
            <w:tcW w:w="1384" w:type="dxa"/>
            <w:tcBorders>
              <w:top w:val="nil"/>
              <w:left w:val="nil"/>
              <w:bottom w:val="single" w:sz="8" w:space="0" w:color="BFBFBF" w:themeColor="background1" w:themeShade="BF"/>
              <w:right w:val="nil"/>
            </w:tcBorders>
            <w:shd w:val="clear" w:color="auto" w:fill="auto"/>
            <w:noWrap/>
            <w:vAlign w:val="center"/>
            <w:hideMark/>
          </w:tcPr>
          <w:p w:rsidR="000126ED" w:rsidRPr="003C47D7" w:rsidRDefault="000126ED" w:rsidP="000126ED">
            <w:pPr>
              <w:pStyle w:val="table1"/>
            </w:pPr>
            <w:r w:rsidRPr="003C47D7">
              <w:t>RES-2012-015</w:t>
            </w:r>
          </w:p>
        </w:tc>
        <w:tc>
          <w:tcPr>
            <w:tcW w:w="4961" w:type="dxa"/>
            <w:tcBorders>
              <w:top w:val="nil"/>
              <w:left w:val="nil"/>
              <w:bottom w:val="single" w:sz="8" w:space="0" w:color="BFBFBF" w:themeColor="background1" w:themeShade="BF"/>
              <w:right w:val="nil"/>
            </w:tcBorders>
            <w:shd w:val="clear" w:color="auto" w:fill="auto"/>
            <w:vAlign w:val="center"/>
            <w:hideMark/>
          </w:tcPr>
          <w:p w:rsidR="000126ED" w:rsidRPr="003C47D7" w:rsidRDefault="000126ED" w:rsidP="0061746D">
            <w:pPr>
              <w:pStyle w:val="table1"/>
            </w:pPr>
            <w:r w:rsidRPr="003C47D7">
              <w:t xml:space="preserve">The effect of multiple </w:t>
            </w:r>
            <w:r w:rsidR="0061746D">
              <w:t>magnesium</w:t>
            </w:r>
            <w:r w:rsidR="0061746D" w:rsidRPr="003C47D7">
              <w:t xml:space="preserve"> </w:t>
            </w:r>
            <w:r w:rsidRPr="003C47D7">
              <w:t>pulses on tropical freshwater species with an emphasis on recovery and carry over toxicity</w:t>
            </w:r>
          </w:p>
        </w:tc>
        <w:tc>
          <w:tcPr>
            <w:tcW w:w="1134" w:type="dxa"/>
            <w:tcBorders>
              <w:top w:val="nil"/>
              <w:left w:val="nil"/>
              <w:bottom w:val="single" w:sz="8" w:space="0" w:color="BFBFBF" w:themeColor="background1" w:themeShade="BF"/>
              <w:right w:val="nil"/>
            </w:tcBorders>
            <w:shd w:val="clear" w:color="auto" w:fill="auto"/>
            <w:noWrap/>
            <w:vAlign w:val="center"/>
            <w:hideMark/>
          </w:tcPr>
          <w:p w:rsidR="000126ED" w:rsidRPr="003C47D7" w:rsidRDefault="000126ED" w:rsidP="000126ED">
            <w:pPr>
              <w:pStyle w:val="table1"/>
            </w:pPr>
            <w:r>
              <w:t>Ecotox</w:t>
            </w:r>
          </w:p>
        </w:tc>
      </w:tr>
      <w:tr w:rsidR="000126ED" w:rsidRPr="00EB3716" w:rsidTr="002B51C1">
        <w:trPr>
          <w:cantSplit/>
          <w:trHeight w:val="315"/>
        </w:trPr>
        <w:tc>
          <w:tcPr>
            <w:tcW w:w="1384" w:type="dxa"/>
            <w:tcBorders>
              <w:left w:val="nil"/>
              <w:bottom w:val="nil"/>
              <w:right w:val="nil"/>
            </w:tcBorders>
            <w:shd w:val="clear" w:color="auto" w:fill="auto"/>
            <w:noWrap/>
            <w:vAlign w:val="center"/>
            <w:hideMark/>
          </w:tcPr>
          <w:p w:rsidR="000126ED" w:rsidRPr="00EA751F" w:rsidRDefault="000126ED" w:rsidP="00EF3753">
            <w:pPr>
              <w:pStyle w:val="table1"/>
              <w:spacing w:line="200" w:lineRule="atLeast"/>
              <w:rPr>
                <w:b/>
                <w:i/>
                <w:lang w:eastAsia="en-AU"/>
              </w:rPr>
            </w:pPr>
            <w:r w:rsidRPr="008E421A">
              <w:rPr>
                <w:b/>
                <w:i/>
                <w:lang w:eastAsia="en-AU"/>
              </w:rPr>
              <w:t>Continuing</w:t>
            </w:r>
          </w:p>
        </w:tc>
        <w:tc>
          <w:tcPr>
            <w:tcW w:w="4961" w:type="dxa"/>
            <w:tcBorders>
              <w:left w:val="nil"/>
              <w:bottom w:val="nil"/>
              <w:right w:val="nil"/>
            </w:tcBorders>
            <w:shd w:val="clear" w:color="auto" w:fill="auto"/>
            <w:vAlign w:val="center"/>
            <w:hideMark/>
          </w:tcPr>
          <w:p w:rsidR="000126ED" w:rsidRDefault="000126ED" w:rsidP="00EF3753">
            <w:pPr>
              <w:pStyle w:val="table1"/>
              <w:spacing w:line="200" w:lineRule="atLeast"/>
              <w:rPr>
                <w:lang w:eastAsia="en-AU"/>
              </w:rPr>
            </w:pPr>
          </w:p>
        </w:tc>
        <w:tc>
          <w:tcPr>
            <w:tcW w:w="1134" w:type="dxa"/>
            <w:tcBorders>
              <w:left w:val="nil"/>
              <w:bottom w:val="nil"/>
              <w:right w:val="nil"/>
            </w:tcBorders>
            <w:shd w:val="clear" w:color="auto" w:fill="auto"/>
            <w:noWrap/>
            <w:vAlign w:val="center"/>
            <w:hideMark/>
          </w:tcPr>
          <w:p w:rsidR="000126ED" w:rsidRDefault="000126ED" w:rsidP="00EF3753">
            <w:pPr>
              <w:pStyle w:val="table1"/>
              <w:spacing w:line="200" w:lineRule="atLeast"/>
              <w:rPr>
                <w:lang w:eastAsia="en-AU"/>
              </w:rPr>
            </w:pPr>
          </w:p>
        </w:tc>
      </w:tr>
      <w:tr w:rsidR="000126ED" w:rsidRPr="00EB3716" w:rsidTr="002B51C1">
        <w:trPr>
          <w:cantSplit/>
          <w:trHeight w:val="31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RES-1996-002</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rsidRPr="003C47D7">
              <w:t>Radionuclide uptake in traditional aboriginal foods</w:t>
            </w:r>
          </w:p>
        </w:tc>
        <w:tc>
          <w:tcPr>
            <w:tcW w:w="113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EnRad</w:t>
            </w:r>
          </w:p>
        </w:tc>
      </w:tr>
      <w:tr w:rsidR="000126ED" w:rsidRPr="00EB3716" w:rsidTr="002B51C1">
        <w:trPr>
          <w:cantSplit/>
          <w:trHeight w:val="31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RES-2005-002</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rsidRPr="003C47D7">
              <w:t>Development of surface water quality (solutes) closure criteria for Ranger billabongs using macroinvertebrate community data</w:t>
            </w:r>
          </w:p>
        </w:tc>
        <w:tc>
          <w:tcPr>
            <w:tcW w:w="113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AEP</w:t>
            </w:r>
          </w:p>
        </w:tc>
      </w:tr>
      <w:tr w:rsidR="000126ED" w:rsidRPr="00EB3716" w:rsidTr="002B51C1">
        <w:trPr>
          <w:cantSplit/>
          <w:trHeight w:val="31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RES-2005-003</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rsidRPr="003C47D7">
              <w:t>Use of analogue plant communities as a guide to revegetation and associated monitoring of the post-mine landform at Ranger</w:t>
            </w:r>
          </w:p>
        </w:tc>
        <w:tc>
          <w:tcPr>
            <w:tcW w:w="113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AEP</w:t>
            </w:r>
          </w:p>
        </w:tc>
      </w:tr>
      <w:tr w:rsidR="000126ED" w:rsidRPr="00EB3716" w:rsidTr="002B51C1">
        <w:trPr>
          <w:cantSplit/>
          <w:trHeight w:val="46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RES-2006-003</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rsidRPr="003C47D7">
              <w:t>Assessing the impact of extreme rainfall events on the geomorphic stability of the rehabilitated Ranger landform using the CAESAR landscape evolution model</w:t>
            </w:r>
          </w:p>
        </w:tc>
        <w:tc>
          <w:tcPr>
            <w:tcW w:w="1134" w:type="dxa"/>
            <w:tcBorders>
              <w:top w:val="nil"/>
              <w:left w:val="nil"/>
              <w:bottom w:val="nil"/>
              <w:right w:val="nil"/>
            </w:tcBorders>
            <w:shd w:val="clear" w:color="auto" w:fill="auto"/>
            <w:noWrap/>
            <w:vAlign w:val="center"/>
            <w:hideMark/>
          </w:tcPr>
          <w:p w:rsidR="000126ED" w:rsidRPr="003C47D7" w:rsidRDefault="000126ED" w:rsidP="000126ED">
            <w:pPr>
              <w:pStyle w:val="table1"/>
            </w:pPr>
            <w:r>
              <w:t>HGCP</w:t>
            </w:r>
          </w:p>
        </w:tc>
      </w:tr>
      <w:tr w:rsidR="000126ED" w:rsidRPr="00EB3716" w:rsidTr="002B51C1">
        <w:trPr>
          <w:cantSplit/>
          <w:trHeight w:val="46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RES-2007-002</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rsidRPr="003C47D7">
              <w:t>Loads of suspended sediment, metals and radionuclides in Magela and Gulungul creeks</w:t>
            </w:r>
          </w:p>
        </w:tc>
        <w:tc>
          <w:tcPr>
            <w:tcW w:w="1134" w:type="dxa"/>
            <w:tcBorders>
              <w:top w:val="nil"/>
              <w:left w:val="nil"/>
              <w:bottom w:val="nil"/>
              <w:right w:val="nil"/>
            </w:tcBorders>
            <w:shd w:val="clear" w:color="auto" w:fill="auto"/>
            <w:noWrap/>
            <w:vAlign w:val="center"/>
            <w:hideMark/>
          </w:tcPr>
          <w:p w:rsidR="000126ED" w:rsidRPr="003C47D7" w:rsidRDefault="000126ED" w:rsidP="000126ED">
            <w:pPr>
              <w:pStyle w:val="table1"/>
            </w:pPr>
            <w:r>
              <w:t>HGCP</w:t>
            </w:r>
          </w:p>
        </w:tc>
      </w:tr>
      <w:tr w:rsidR="000126ED" w:rsidRPr="00EB3716" w:rsidTr="002B51C1">
        <w:trPr>
          <w:cantSplit/>
          <w:trHeight w:val="46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RES-2007-004</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rsidRPr="003C47D7">
              <w:t>Assessing landslips in the Upper Magela Catchment</w:t>
            </w:r>
          </w:p>
        </w:tc>
        <w:tc>
          <w:tcPr>
            <w:tcW w:w="1134" w:type="dxa"/>
            <w:tcBorders>
              <w:top w:val="nil"/>
              <w:left w:val="nil"/>
              <w:bottom w:val="nil"/>
              <w:right w:val="nil"/>
            </w:tcBorders>
            <w:shd w:val="clear" w:color="auto" w:fill="auto"/>
            <w:noWrap/>
            <w:vAlign w:val="center"/>
            <w:hideMark/>
          </w:tcPr>
          <w:p w:rsidR="000126ED" w:rsidRPr="003C47D7" w:rsidRDefault="000126ED" w:rsidP="000126ED">
            <w:pPr>
              <w:pStyle w:val="table1"/>
            </w:pPr>
            <w:r>
              <w:t>HGCP</w:t>
            </w:r>
          </w:p>
        </w:tc>
      </w:tr>
      <w:tr w:rsidR="000126ED" w:rsidRPr="00EB3716" w:rsidTr="002B51C1">
        <w:trPr>
          <w:cantSplit/>
          <w:trHeight w:val="31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RES-2008-002</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rsidRPr="003C47D7">
              <w:t>Development and implementation of a remote sensing framework for environmental monitoring within the Alligator Rivers Region (focus on the Magela Floodplain)</w:t>
            </w:r>
          </w:p>
        </w:tc>
        <w:tc>
          <w:tcPr>
            <w:tcW w:w="1134" w:type="dxa"/>
            <w:tcBorders>
              <w:top w:val="nil"/>
              <w:left w:val="nil"/>
              <w:bottom w:val="nil"/>
              <w:right w:val="nil"/>
            </w:tcBorders>
            <w:shd w:val="clear" w:color="auto" w:fill="auto"/>
            <w:noWrap/>
            <w:vAlign w:val="center"/>
            <w:hideMark/>
          </w:tcPr>
          <w:p w:rsidR="000126ED" w:rsidRPr="003C47D7" w:rsidRDefault="000126ED" w:rsidP="000126ED">
            <w:pPr>
              <w:pStyle w:val="table1"/>
            </w:pPr>
            <w:r>
              <w:t>RLE</w:t>
            </w:r>
          </w:p>
        </w:tc>
      </w:tr>
      <w:tr w:rsidR="000126ED" w:rsidRPr="00EB3716" w:rsidTr="002B51C1">
        <w:trPr>
          <w:cantSplit/>
          <w:trHeight w:val="31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RES-2009-002</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rsidRPr="003C47D7">
              <w:t>The toxicity of uranium (U) to sediment biota of Magela Creek backflow billabong environments</w:t>
            </w:r>
          </w:p>
        </w:tc>
        <w:tc>
          <w:tcPr>
            <w:tcW w:w="113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Ecotox</w:t>
            </w:r>
          </w:p>
        </w:tc>
      </w:tr>
      <w:tr w:rsidR="000126ED" w:rsidRPr="00EB3716" w:rsidTr="002B51C1">
        <w:trPr>
          <w:cantSplit/>
          <w:trHeight w:val="31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RES-2009-003</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rsidRPr="003C47D7">
              <w:t>Effects of fine suspended sediment on billabong limnology (development of turbidity closure criteria)</w:t>
            </w:r>
          </w:p>
        </w:tc>
        <w:tc>
          <w:tcPr>
            <w:tcW w:w="113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AEP</w:t>
            </w:r>
          </w:p>
        </w:tc>
      </w:tr>
      <w:tr w:rsidR="000126ED" w:rsidRPr="00EB3716" w:rsidTr="002B51C1">
        <w:trPr>
          <w:cantSplit/>
          <w:trHeight w:val="46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RES-2009-004</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rsidRPr="003C47D7">
              <w:t>Radon exhalation from the Ranger uranium mine trial landform</w:t>
            </w:r>
          </w:p>
        </w:tc>
        <w:tc>
          <w:tcPr>
            <w:tcW w:w="113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EnRad</w:t>
            </w:r>
          </w:p>
        </w:tc>
      </w:tr>
      <w:tr w:rsidR="000126ED" w:rsidRPr="00EB3716" w:rsidTr="002B51C1">
        <w:trPr>
          <w:cantSplit/>
          <w:trHeight w:val="31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RES-2009-009</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rsidRPr="003C47D7">
              <w:t>Geological provenance of fine suspended sediment within the Magela Creek catchment</w:t>
            </w:r>
          </w:p>
        </w:tc>
        <w:tc>
          <w:tcPr>
            <w:tcW w:w="1134" w:type="dxa"/>
            <w:tcBorders>
              <w:top w:val="nil"/>
              <w:left w:val="nil"/>
              <w:bottom w:val="nil"/>
              <w:right w:val="nil"/>
            </w:tcBorders>
            <w:shd w:val="clear" w:color="auto" w:fill="auto"/>
            <w:noWrap/>
            <w:vAlign w:val="center"/>
            <w:hideMark/>
          </w:tcPr>
          <w:p w:rsidR="000126ED" w:rsidRPr="003C47D7" w:rsidRDefault="000126ED" w:rsidP="000126ED">
            <w:pPr>
              <w:pStyle w:val="table1"/>
            </w:pPr>
            <w:r>
              <w:t>RLE</w:t>
            </w:r>
          </w:p>
        </w:tc>
      </w:tr>
      <w:tr w:rsidR="000126ED" w:rsidRPr="00EB3716" w:rsidTr="002B51C1">
        <w:trPr>
          <w:cantSplit/>
          <w:trHeight w:val="31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RES-2009-011</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rsidRPr="003C47D7">
              <w:t>Ranger trial landform erosion and chemistry studies</w:t>
            </w:r>
          </w:p>
        </w:tc>
        <w:tc>
          <w:tcPr>
            <w:tcW w:w="1134" w:type="dxa"/>
            <w:tcBorders>
              <w:top w:val="nil"/>
              <w:left w:val="nil"/>
              <w:bottom w:val="nil"/>
              <w:right w:val="nil"/>
            </w:tcBorders>
            <w:shd w:val="clear" w:color="auto" w:fill="auto"/>
            <w:noWrap/>
            <w:vAlign w:val="center"/>
            <w:hideMark/>
          </w:tcPr>
          <w:p w:rsidR="000126ED" w:rsidRPr="003C47D7" w:rsidRDefault="000126ED" w:rsidP="000126ED">
            <w:pPr>
              <w:pStyle w:val="table1"/>
            </w:pPr>
            <w:r>
              <w:t>HGCP</w:t>
            </w:r>
          </w:p>
        </w:tc>
      </w:tr>
      <w:tr w:rsidR="000126ED" w:rsidRPr="00EB3716" w:rsidTr="002B51C1">
        <w:trPr>
          <w:cantSplit/>
          <w:trHeight w:val="31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RES-2010-007</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rsidRPr="003C47D7">
              <w:t>Assessing the geomorphic stability of the Ranger trial landform</w:t>
            </w:r>
          </w:p>
        </w:tc>
        <w:tc>
          <w:tcPr>
            <w:tcW w:w="1134" w:type="dxa"/>
            <w:tcBorders>
              <w:top w:val="nil"/>
              <w:left w:val="nil"/>
              <w:bottom w:val="nil"/>
              <w:right w:val="nil"/>
            </w:tcBorders>
            <w:shd w:val="clear" w:color="auto" w:fill="auto"/>
            <w:noWrap/>
            <w:vAlign w:val="center"/>
            <w:hideMark/>
          </w:tcPr>
          <w:p w:rsidR="000126ED" w:rsidRPr="003C47D7" w:rsidRDefault="000126ED" w:rsidP="000126ED">
            <w:pPr>
              <w:pStyle w:val="table1"/>
            </w:pPr>
            <w:r>
              <w:t>HGCP</w:t>
            </w:r>
          </w:p>
        </w:tc>
      </w:tr>
      <w:tr w:rsidR="000126ED" w:rsidRPr="00EB3716" w:rsidTr="002B51C1">
        <w:trPr>
          <w:cantSplit/>
          <w:trHeight w:val="31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RES-2012-002</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rsidRPr="003C47D7">
              <w:t>Dose rates to non-human biota</w:t>
            </w:r>
          </w:p>
        </w:tc>
        <w:tc>
          <w:tcPr>
            <w:tcW w:w="113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EnRad</w:t>
            </w:r>
          </w:p>
        </w:tc>
      </w:tr>
      <w:tr w:rsidR="000126ED" w:rsidRPr="00EB3716" w:rsidTr="002B51C1">
        <w:trPr>
          <w:cantSplit/>
          <w:trHeight w:val="31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t>RES-2012-003</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t>Toxicity of ammonia in Magela Creek water</w:t>
            </w:r>
          </w:p>
        </w:tc>
        <w:tc>
          <w:tcPr>
            <w:tcW w:w="1134" w:type="dxa"/>
            <w:tcBorders>
              <w:top w:val="nil"/>
              <w:left w:val="nil"/>
              <w:bottom w:val="nil"/>
              <w:right w:val="nil"/>
            </w:tcBorders>
            <w:shd w:val="clear" w:color="auto" w:fill="auto"/>
            <w:noWrap/>
            <w:vAlign w:val="center"/>
            <w:hideMark/>
          </w:tcPr>
          <w:p w:rsidR="000126ED" w:rsidRDefault="000126ED" w:rsidP="000126ED">
            <w:pPr>
              <w:pStyle w:val="table1"/>
            </w:pPr>
            <w:r>
              <w:t>Ecotox</w:t>
            </w:r>
          </w:p>
        </w:tc>
      </w:tr>
      <w:tr w:rsidR="000126ED" w:rsidRPr="00EB3716" w:rsidTr="002B51C1">
        <w:trPr>
          <w:cantSplit/>
          <w:trHeight w:val="31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RES-2012-008</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rsidRPr="003C47D7">
              <w:t>Radon exhalation fluxes expected from final landforms at the rehabilitated Ranger mine</w:t>
            </w:r>
          </w:p>
        </w:tc>
        <w:tc>
          <w:tcPr>
            <w:tcW w:w="113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EnRad</w:t>
            </w:r>
          </w:p>
        </w:tc>
      </w:tr>
      <w:tr w:rsidR="000126ED" w:rsidRPr="00EB3716" w:rsidTr="002B51C1">
        <w:trPr>
          <w:cantSplit/>
          <w:trHeight w:val="31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RES-2012-011</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rsidRPr="003C47D7">
              <w:t>Magela Creek floodplain vegetation mapping</w:t>
            </w:r>
          </w:p>
        </w:tc>
        <w:tc>
          <w:tcPr>
            <w:tcW w:w="1134" w:type="dxa"/>
            <w:tcBorders>
              <w:top w:val="nil"/>
              <w:left w:val="nil"/>
              <w:bottom w:val="nil"/>
              <w:right w:val="nil"/>
            </w:tcBorders>
            <w:shd w:val="clear" w:color="auto" w:fill="auto"/>
            <w:noWrap/>
            <w:vAlign w:val="center"/>
            <w:hideMark/>
          </w:tcPr>
          <w:p w:rsidR="000126ED" w:rsidRPr="003C47D7" w:rsidRDefault="000126ED" w:rsidP="000126ED">
            <w:pPr>
              <w:pStyle w:val="table1"/>
            </w:pPr>
            <w:r>
              <w:t>RLE</w:t>
            </w:r>
          </w:p>
        </w:tc>
      </w:tr>
      <w:tr w:rsidR="000126ED" w:rsidRPr="00EB3716" w:rsidTr="002B51C1">
        <w:trPr>
          <w:cantSplit/>
          <w:trHeight w:val="315"/>
        </w:trPr>
        <w:tc>
          <w:tcPr>
            <w:tcW w:w="1384" w:type="dxa"/>
            <w:tcBorders>
              <w:top w:val="nil"/>
              <w:left w:val="nil"/>
              <w:bottom w:val="nil"/>
              <w:right w:val="nil"/>
            </w:tcBorders>
            <w:shd w:val="clear" w:color="auto" w:fill="auto"/>
            <w:noWrap/>
            <w:vAlign w:val="center"/>
            <w:hideMark/>
          </w:tcPr>
          <w:p w:rsidR="000126ED" w:rsidRPr="003C47D7" w:rsidRDefault="000126ED" w:rsidP="000126ED">
            <w:pPr>
              <w:pStyle w:val="table1"/>
            </w:pPr>
            <w:r>
              <w:t>RES-2012-013</w:t>
            </w:r>
          </w:p>
        </w:tc>
        <w:tc>
          <w:tcPr>
            <w:tcW w:w="4961" w:type="dxa"/>
            <w:tcBorders>
              <w:top w:val="nil"/>
              <w:left w:val="nil"/>
              <w:bottom w:val="nil"/>
              <w:right w:val="nil"/>
            </w:tcBorders>
            <w:shd w:val="clear" w:color="auto" w:fill="auto"/>
            <w:vAlign w:val="center"/>
            <w:hideMark/>
          </w:tcPr>
          <w:p w:rsidR="000126ED" w:rsidRPr="003C47D7" w:rsidRDefault="000126ED" w:rsidP="000126ED">
            <w:pPr>
              <w:pStyle w:val="table1"/>
            </w:pPr>
            <w:r w:rsidRPr="003C47D7">
              <w:t>Toxicity monitoring research in Magela and Gulungul creeks</w:t>
            </w:r>
          </w:p>
        </w:tc>
        <w:tc>
          <w:tcPr>
            <w:tcW w:w="1134" w:type="dxa"/>
            <w:tcBorders>
              <w:top w:val="nil"/>
              <w:left w:val="nil"/>
              <w:bottom w:val="nil"/>
              <w:right w:val="nil"/>
            </w:tcBorders>
            <w:shd w:val="clear" w:color="auto" w:fill="auto"/>
            <w:noWrap/>
            <w:vAlign w:val="center"/>
            <w:hideMark/>
          </w:tcPr>
          <w:p w:rsidR="000126ED" w:rsidRPr="003C47D7" w:rsidRDefault="000126ED" w:rsidP="000126ED">
            <w:pPr>
              <w:pStyle w:val="table1"/>
            </w:pPr>
            <w:r w:rsidRPr="003C47D7">
              <w:t>AEP</w:t>
            </w:r>
          </w:p>
        </w:tc>
      </w:tr>
      <w:tr w:rsidR="000126ED" w:rsidRPr="00EB3716" w:rsidTr="002B51C1">
        <w:trPr>
          <w:cantSplit/>
          <w:trHeight w:val="315"/>
        </w:trPr>
        <w:tc>
          <w:tcPr>
            <w:tcW w:w="1384" w:type="dxa"/>
            <w:tcBorders>
              <w:top w:val="nil"/>
              <w:left w:val="nil"/>
              <w:bottom w:val="single" w:sz="8" w:space="0" w:color="BFBFBF" w:themeColor="background1" w:themeShade="BF"/>
              <w:right w:val="nil"/>
            </w:tcBorders>
            <w:shd w:val="clear" w:color="auto" w:fill="auto"/>
            <w:noWrap/>
            <w:vAlign w:val="center"/>
            <w:hideMark/>
          </w:tcPr>
          <w:p w:rsidR="000126ED" w:rsidRPr="003C47D7" w:rsidRDefault="000126ED" w:rsidP="000126ED">
            <w:pPr>
              <w:pStyle w:val="table1"/>
            </w:pPr>
            <w:r w:rsidRPr="003C47D7">
              <w:t>RES-2012-014</w:t>
            </w:r>
          </w:p>
        </w:tc>
        <w:tc>
          <w:tcPr>
            <w:tcW w:w="4961" w:type="dxa"/>
            <w:tcBorders>
              <w:top w:val="nil"/>
              <w:left w:val="nil"/>
              <w:bottom w:val="single" w:sz="8" w:space="0" w:color="BFBFBF" w:themeColor="background1" w:themeShade="BF"/>
              <w:right w:val="nil"/>
            </w:tcBorders>
            <w:shd w:val="clear" w:color="auto" w:fill="auto"/>
            <w:vAlign w:val="center"/>
            <w:hideMark/>
          </w:tcPr>
          <w:p w:rsidR="000126ED" w:rsidRPr="003C47D7" w:rsidRDefault="000126ED" w:rsidP="000126ED">
            <w:pPr>
              <w:pStyle w:val="table1"/>
            </w:pPr>
            <w:r w:rsidRPr="003C47D7">
              <w:t xml:space="preserve">The sensitivity of </w:t>
            </w:r>
            <w:r w:rsidRPr="003C47D7">
              <w:rPr>
                <w:i/>
              </w:rPr>
              <w:t>Moinodaphnia macleayi</w:t>
            </w:r>
            <w:r w:rsidRPr="003C47D7">
              <w:t xml:space="preserve"> to </w:t>
            </w:r>
            <w:r w:rsidR="0061746D">
              <w:t>uranium</w:t>
            </w:r>
          </w:p>
        </w:tc>
        <w:tc>
          <w:tcPr>
            <w:tcW w:w="1134" w:type="dxa"/>
            <w:tcBorders>
              <w:top w:val="nil"/>
              <w:left w:val="nil"/>
              <w:bottom w:val="single" w:sz="8" w:space="0" w:color="BFBFBF" w:themeColor="background1" w:themeShade="BF"/>
              <w:right w:val="nil"/>
            </w:tcBorders>
            <w:shd w:val="clear" w:color="auto" w:fill="auto"/>
            <w:noWrap/>
            <w:vAlign w:val="center"/>
            <w:hideMark/>
          </w:tcPr>
          <w:p w:rsidR="000126ED" w:rsidRPr="003C47D7" w:rsidRDefault="000126ED" w:rsidP="000126ED">
            <w:pPr>
              <w:pStyle w:val="table1"/>
            </w:pPr>
            <w:r>
              <w:t>Ecotox</w:t>
            </w:r>
          </w:p>
        </w:tc>
      </w:tr>
      <w:tr w:rsidR="000126ED" w:rsidRPr="00EB3716" w:rsidTr="002B51C1">
        <w:trPr>
          <w:cantSplit/>
          <w:trHeight w:val="315"/>
        </w:trPr>
        <w:tc>
          <w:tcPr>
            <w:tcW w:w="1384" w:type="dxa"/>
            <w:tcBorders>
              <w:left w:val="nil"/>
              <w:bottom w:val="nil"/>
              <w:right w:val="nil"/>
            </w:tcBorders>
            <w:shd w:val="clear" w:color="auto" w:fill="auto"/>
            <w:noWrap/>
            <w:vAlign w:val="center"/>
            <w:hideMark/>
          </w:tcPr>
          <w:p w:rsidR="000126ED" w:rsidRPr="000126ED" w:rsidRDefault="000126ED" w:rsidP="000126ED">
            <w:pPr>
              <w:pStyle w:val="table1"/>
              <w:rPr>
                <w:b/>
                <w:i/>
                <w:lang w:eastAsia="en-AU"/>
              </w:rPr>
            </w:pPr>
            <w:r w:rsidRPr="000126ED">
              <w:rPr>
                <w:b/>
                <w:i/>
                <w:lang w:eastAsia="en-AU"/>
              </w:rPr>
              <w:t>Commenced</w:t>
            </w:r>
          </w:p>
        </w:tc>
        <w:tc>
          <w:tcPr>
            <w:tcW w:w="4961" w:type="dxa"/>
            <w:tcBorders>
              <w:left w:val="nil"/>
              <w:bottom w:val="nil"/>
              <w:right w:val="nil"/>
            </w:tcBorders>
            <w:shd w:val="clear" w:color="auto" w:fill="auto"/>
            <w:vAlign w:val="center"/>
            <w:hideMark/>
          </w:tcPr>
          <w:p w:rsidR="000126ED" w:rsidRDefault="000126ED" w:rsidP="000126ED">
            <w:pPr>
              <w:pStyle w:val="table1"/>
              <w:rPr>
                <w:lang w:eastAsia="en-AU"/>
              </w:rPr>
            </w:pPr>
          </w:p>
        </w:tc>
        <w:tc>
          <w:tcPr>
            <w:tcW w:w="1134" w:type="dxa"/>
            <w:tcBorders>
              <w:left w:val="nil"/>
              <w:bottom w:val="nil"/>
              <w:right w:val="nil"/>
            </w:tcBorders>
            <w:shd w:val="clear" w:color="auto" w:fill="auto"/>
            <w:noWrap/>
            <w:vAlign w:val="center"/>
            <w:hideMark/>
          </w:tcPr>
          <w:p w:rsidR="000126ED" w:rsidRDefault="000126ED" w:rsidP="000126ED">
            <w:pPr>
              <w:pStyle w:val="table1"/>
              <w:rPr>
                <w:lang w:eastAsia="en-AU"/>
              </w:rPr>
            </w:pPr>
          </w:p>
        </w:tc>
      </w:tr>
      <w:tr w:rsidR="00604DEC" w:rsidRPr="00EB3716" w:rsidTr="002B51C1">
        <w:trPr>
          <w:cantSplit/>
          <w:trHeight w:val="315"/>
        </w:trPr>
        <w:tc>
          <w:tcPr>
            <w:tcW w:w="1384" w:type="dxa"/>
            <w:tcBorders>
              <w:top w:val="nil"/>
              <w:left w:val="nil"/>
              <w:bottom w:val="nil"/>
              <w:right w:val="nil"/>
            </w:tcBorders>
            <w:shd w:val="clear" w:color="auto" w:fill="auto"/>
            <w:noWrap/>
            <w:vAlign w:val="center"/>
            <w:hideMark/>
          </w:tcPr>
          <w:p w:rsidR="00604DEC" w:rsidRDefault="00604DEC" w:rsidP="00604DEC">
            <w:pPr>
              <w:pStyle w:val="table1"/>
              <w:rPr>
                <w:rFonts w:ascii="Calibri" w:eastAsiaTheme="minorHAnsi" w:hAnsi="Calibri" w:cs="Calibri"/>
                <w:sz w:val="22"/>
                <w:szCs w:val="22"/>
              </w:rPr>
            </w:pPr>
            <w:r>
              <w:t>RES-2007-005</w:t>
            </w:r>
          </w:p>
        </w:tc>
        <w:tc>
          <w:tcPr>
            <w:tcW w:w="4961" w:type="dxa"/>
            <w:tcBorders>
              <w:top w:val="nil"/>
              <w:left w:val="nil"/>
              <w:bottom w:val="nil"/>
              <w:right w:val="nil"/>
            </w:tcBorders>
            <w:shd w:val="clear" w:color="auto" w:fill="auto"/>
            <w:vAlign w:val="center"/>
            <w:hideMark/>
          </w:tcPr>
          <w:p w:rsidR="00604DEC" w:rsidRDefault="00604DEC" w:rsidP="00604DEC">
            <w:pPr>
              <w:pStyle w:val="table1"/>
              <w:rPr>
                <w:rFonts w:ascii="Calibri" w:eastAsiaTheme="minorHAnsi" w:hAnsi="Calibri" w:cs="Calibri"/>
                <w:sz w:val="22"/>
                <w:szCs w:val="22"/>
              </w:rPr>
            </w:pPr>
            <w:r>
              <w:t>Development of a spectral library for mine site rehabilitation assessment-vegetation components (Re-activated after being suspended)</w:t>
            </w:r>
          </w:p>
        </w:tc>
        <w:tc>
          <w:tcPr>
            <w:tcW w:w="1134" w:type="dxa"/>
            <w:tcBorders>
              <w:top w:val="nil"/>
              <w:left w:val="nil"/>
              <w:bottom w:val="nil"/>
              <w:right w:val="nil"/>
            </w:tcBorders>
            <w:shd w:val="clear" w:color="auto" w:fill="auto"/>
            <w:noWrap/>
            <w:vAlign w:val="center"/>
            <w:hideMark/>
          </w:tcPr>
          <w:p w:rsidR="00604DEC" w:rsidRDefault="00604DEC" w:rsidP="00604DEC">
            <w:pPr>
              <w:pStyle w:val="table1"/>
              <w:rPr>
                <w:rFonts w:ascii="Calibri" w:eastAsiaTheme="minorHAnsi" w:hAnsi="Calibri" w:cs="Calibri"/>
                <w:sz w:val="22"/>
                <w:szCs w:val="22"/>
              </w:rPr>
            </w:pPr>
            <w:r>
              <w:t>RLE</w:t>
            </w:r>
          </w:p>
        </w:tc>
      </w:tr>
      <w:tr w:rsidR="00604DEC" w:rsidRPr="00EB3716" w:rsidTr="002B51C1">
        <w:trPr>
          <w:cantSplit/>
          <w:trHeight w:val="315"/>
        </w:trPr>
        <w:tc>
          <w:tcPr>
            <w:tcW w:w="1384" w:type="dxa"/>
            <w:tcBorders>
              <w:top w:val="nil"/>
              <w:left w:val="nil"/>
              <w:bottom w:val="nil"/>
              <w:right w:val="nil"/>
            </w:tcBorders>
            <w:shd w:val="clear" w:color="auto" w:fill="auto"/>
            <w:noWrap/>
            <w:vAlign w:val="center"/>
            <w:hideMark/>
          </w:tcPr>
          <w:p w:rsidR="00604DEC" w:rsidRPr="003C47D7" w:rsidRDefault="00604DEC" w:rsidP="008F0CAA">
            <w:pPr>
              <w:pStyle w:val="table1"/>
            </w:pPr>
            <w:r w:rsidRPr="003C47D7">
              <w:t>RES-2013-002</w:t>
            </w:r>
          </w:p>
        </w:tc>
        <w:tc>
          <w:tcPr>
            <w:tcW w:w="4961" w:type="dxa"/>
            <w:tcBorders>
              <w:top w:val="nil"/>
              <w:left w:val="nil"/>
              <w:bottom w:val="nil"/>
              <w:right w:val="nil"/>
            </w:tcBorders>
            <w:shd w:val="clear" w:color="auto" w:fill="auto"/>
            <w:vAlign w:val="center"/>
            <w:hideMark/>
          </w:tcPr>
          <w:p w:rsidR="00604DEC" w:rsidRPr="003C47D7" w:rsidRDefault="00604DEC" w:rsidP="008F0CAA">
            <w:pPr>
              <w:pStyle w:val="table1"/>
            </w:pPr>
            <w:r w:rsidRPr="003C47D7">
              <w:t>Analysis of landscape change on the Ranger site pre-mining using historical aerial photography</w:t>
            </w:r>
          </w:p>
        </w:tc>
        <w:tc>
          <w:tcPr>
            <w:tcW w:w="1134" w:type="dxa"/>
            <w:tcBorders>
              <w:top w:val="nil"/>
              <w:left w:val="nil"/>
              <w:bottom w:val="nil"/>
              <w:right w:val="nil"/>
            </w:tcBorders>
            <w:shd w:val="clear" w:color="auto" w:fill="auto"/>
            <w:noWrap/>
            <w:vAlign w:val="center"/>
            <w:hideMark/>
          </w:tcPr>
          <w:p w:rsidR="00604DEC" w:rsidRPr="003C47D7" w:rsidRDefault="00604DEC" w:rsidP="008F0CAA">
            <w:pPr>
              <w:pStyle w:val="table1"/>
            </w:pPr>
            <w:r w:rsidRPr="003C47D7">
              <w:t>RLE</w:t>
            </w:r>
          </w:p>
        </w:tc>
      </w:tr>
      <w:tr w:rsidR="00604DEC" w:rsidRPr="00EB3716" w:rsidTr="002B51C1">
        <w:trPr>
          <w:cantSplit/>
          <w:trHeight w:val="315"/>
        </w:trPr>
        <w:tc>
          <w:tcPr>
            <w:tcW w:w="1384" w:type="dxa"/>
            <w:tcBorders>
              <w:top w:val="nil"/>
              <w:left w:val="nil"/>
              <w:bottom w:val="nil"/>
              <w:right w:val="nil"/>
            </w:tcBorders>
            <w:shd w:val="clear" w:color="auto" w:fill="auto"/>
            <w:noWrap/>
            <w:vAlign w:val="center"/>
            <w:hideMark/>
          </w:tcPr>
          <w:p w:rsidR="00604DEC" w:rsidRPr="003C47D7" w:rsidRDefault="00604DEC" w:rsidP="000126ED">
            <w:pPr>
              <w:pStyle w:val="table1"/>
            </w:pPr>
            <w:r w:rsidRPr="003C47D7">
              <w:t>MON-2013-006</w:t>
            </w:r>
          </w:p>
        </w:tc>
        <w:tc>
          <w:tcPr>
            <w:tcW w:w="4961" w:type="dxa"/>
            <w:tcBorders>
              <w:top w:val="nil"/>
              <w:left w:val="nil"/>
              <w:bottom w:val="nil"/>
              <w:right w:val="nil"/>
            </w:tcBorders>
            <w:shd w:val="clear" w:color="auto" w:fill="auto"/>
            <w:vAlign w:val="center"/>
            <w:hideMark/>
          </w:tcPr>
          <w:p w:rsidR="00604DEC" w:rsidRPr="003C47D7" w:rsidRDefault="00604DEC" w:rsidP="000126ED">
            <w:pPr>
              <w:pStyle w:val="table1"/>
            </w:pPr>
            <w:r w:rsidRPr="003C47D7">
              <w:t>El Sherana containment</w:t>
            </w:r>
            <w:r>
              <w:t xml:space="preserve"> radiological monitoring</w:t>
            </w:r>
          </w:p>
        </w:tc>
        <w:tc>
          <w:tcPr>
            <w:tcW w:w="1134" w:type="dxa"/>
            <w:tcBorders>
              <w:top w:val="nil"/>
              <w:left w:val="nil"/>
              <w:bottom w:val="nil"/>
              <w:right w:val="nil"/>
            </w:tcBorders>
            <w:shd w:val="clear" w:color="auto" w:fill="auto"/>
            <w:noWrap/>
            <w:vAlign w:val="center"/>
            <w:hideMark/>
          </w:tcPr>
          <w:p w:rsidR="00604DEC" w:rsidRPr="003C47D7" w:rsidRDefault="00604DEC" w:rsidP="000126ED">
            <w:pPr>
              <w:pStyle w:val="table1"/>
            </w:pPr>
            <w:r>
              <w:t>EnRad</w:t>
            </w:r>
          </w:p>
        </w:tc>
      </w:tr>
      <w:tr w:rsidR="00604DEC" w:rsidRPr="00EB3716" w:rsidTr="002B51C1">
        <w:trPr>
          <w:cantSplit/>
          <w:trHeight w:val="315"/>
        </w:trPr>
        <w:tc>
          <w:tcPr>
            <w:tcW w:w="1384" w:type="dxa"/>
            <w:tcBorders>
              <w:top w:val="nil"/>
              <w:left w:val="nil"/>
              <w:bottom w:val="nil"/>
              <w:right w:val="nil"/>
            </w:tcBorders>
            <w:shd w:val="clear" w:color="auto" w:fill="auto"/>
            <w:noWrap/>
            <w:vAlign w:val="center"/>
            <w:hideMark/>
          </w:tcPr>
          <w:p w:rsidR="00604DEC" w:rsidRPr="003C47D7" w:rsidRDefault="00604DEC" w:rsidP="000126ED">
            <w:pPr>
              <w:pStyle w:val="table1"/>
            </w:pPr>
            <w:r w:rsidRPr="003C47D7">
              <w:t>RES-2013-009</w:t>
            </w:r>
          </w:p>
        </w:tc>
        <w:tc>
          <w:tcPr>
            <w:tcW w:w="4961" w:type="dxa"/>
            <w:tcBorders>
              <w:top w:val="nil"/>
              <w:left w:val="nil"/>
              <w:bottom w:val="nil"/>
              <w:right w:val="nil"/>
            </w:tcBorders>
            <w:shd w:val="clear" w:color="auto" w:fill="auto"/>
            <w:vAlign w:val="center"/>
            <w:hideMark/>
          </w:tcPr>
          <w:p w:rsidR="00604DEC" w:rsidRPr="003C47D7" w:rsidRDefault="00604DEC" w:rsidP="000126ED">
            <w:pPr>
              <w:pStyle w:val="table1"/>
            </w:pPr>
            <w:r w:rsidRPr="003C47D7">
              <w:t xml:space="preserve">Radionuclide fluxes </w:t>
            </w:r>
            <w:r>
              <w:t xml:space="preserve">in runoff </w:t>
            </w:r>
            <w:r w:rsidRPr="003C47D7">
              <w:t>from the trial landform</w:t>
            </w:r>
          </w:p>
        </w:tc>
        <w:tc>
          <w:tcPr>
            <w:tcW w:w="1134" w:type="dxa"/>
            <w:tcBorders>
              <w:top w:val="nil"/>
              <w:left w:val="nil"/>
              <w:bottom w:val="nil"/>
              <w:right w:val="nil"/>
            </w:tcBorders>
            <w:shd w:val="clear" w:color="auto" w:fill="auto"/>
            <w:noWrap/>
            <w:vAlign w:val="center"/>
            <w:hideMark/>
          </w:tcPr>
          <w:p w:rsidR="00604DEC" w:rsidRPr="003C47D7" w:rsidRDefault="00604DEC" w:rsidP="000126ED">
            <w:pPr>
              <w:pStyle w:val="table1"/>
            </w:pPr>
            <w:r>
              <w:t>EnRad</w:t>
            </w:r>
          </w:p>
        </w:tc>
      </w:tr>
      <w:tr w:rsidR="00604DEC" w:rsidRPr="00EB3716" w:rsidTr="002B51C1">
        <w:trPr>
          <w:cantSplit/>
          <w:trHeight w:val="315"/>
        </w:trPr>
        <w:tc>
          <w:tcPr>
            <w:tcW w:w="1384" w:type="dxa"/>
            <w:tcBorders>
              <w:top w:val="nil"/>
              <w:left w:val="nil"/>
              <w:bottom w:val="nil"/>
              <w:right w:val="nil"/>
            </w:tcBorders>
            <w:shd w:val="clear" w:color="auto" w:fill="auto"/>
            <w:noWrap/>
            <w:vAlign w:val="center"/>
            <w:hideMark/>
          </w:tcPr>
          <w:p w:rsidR="00604DEC" w:rsidRPr="003C47D7" w:rsidRDefault="00604DEC" w:rsidP="000126ED">
            <w:pPr>
              <w:pStyle w:val="table1"/>
            </w:pPr>
            <w:r w:rsidRPr="003C47D7">
              <w:t>RES-2013-010</w:t>
            </w:r>
          </w:p>
        </w:tc>
        <w:tc>
          <w:tcPr>
            <w:tcW w:w="4961" w:type="dxa"/>
            <w:tcBorders>
              <w:top w:val="nil"/>
              <w:left w:val="nil"/>
              <w:bottom w:val="nil"/>
              <w:right w:val="nil"/>
            </w:tcBorders>
            <w:shd w:val="clear" w:color="auto" w:fill="auto"/>
            <w:vAlign w:val="center"/>
            <w:hideMark/>
          </w:tcPr>
          <w:p w:rsidR="00604DEC" w:rsidRPr="003C47D7" w:rsidRDefault="00604DEC" w:rsidP="000126ED">
            <w:pPr>
              <w:pStyle w:val="table1"/>
            </w:pPr>
            <w:r w:rsidRPr="003C47D7">
              <w:t>Aquatic ecosystem knowledge assessment and evaluation</w:t>
            </w:r>
          </w:p>
        </w:tc>
        <w:tc>
          <w:tcPr>
            <w:tcW w:w="1134" w:type="dxa"/>
            <w:tcBorders>
              <w:top w:val="nil"/>
              <w:left w:val="nil"/>
              <w:bottom w:val="nil"/>
              <w:right w:val="nil"/>
            </w:tcBorders>
            <w:shd w:val="clear" w:color="auto" w:fill="auto"/>
            <w:noWrap/>
            <w:vAlign w:val="center"/>
            <w:hideMark/>
          </w:tcPr>
          <w:p w:rsidR="00604DEC" w:rsidRPr="003C47D7" w:rsidRDefault="00604DEC" w:rsidP="000126ED">
            <w:pPr>
              <w:pStyle w:val="table1"/>
            </w:pPr>
            <w:r w:rsidRPr="003C47D7">
              <w:t>AEP</w:t>
            </w:r>
          </w:p>
        </w:tc>
      </w:tr>
      <w:tr w:rsidR="00604DEC" w:rsidRPr="00EB3716" w:rsidTr="002B51C1">
        <w:trPr>
          <w:cantSplit/>
          <w:trHeight w:val="315"/>
        </w:trPr>
        <w:tc>
          <w:tcPr>
            <w:tcW w:w="1384" w:type="dxa"/>
            <w:tcBorders>
              <w:top w:val="nil"/>
              <w:left w:val="nil"/>
              <w:bottom w:val="nil"/>
              <w:right w:val="nil"/>
            </w:tcBorders>
            <w:shd w:val="clear" w:color="auto" w:fill="auto"/>
            <w:noWrap/>
            <w:vAlign w:val="center"/>
            <w:hideMark/>
          </w:tcPr>
          <w:p w:rsidR="00604DEC" w:rsidRPr="003C47D7" w:rsidRDefault="00604DEC" w:rsidP="000126ED">
            <w:pPr>
              <w:pStyle w:val="table1"/>
            </w:pPr>
            <w:r w:rsidRPr="003C47D7">
              <w:t>RES-2013-011</w:t>
            </w:r>
          </w:p>
        </w:tc>
        <w:tc>
          <w:tcPr>
            <w:tcW w:w="4961" w:type="dxa"/>
            <w:tcBorders>
              <w:top w:val="nil"/>
              <w:left w:val="nil"/>
              <w:bottom w:val="nil"/>
              <w:right w:val="nil"/>
            </w:tcBorders>
            <w:shd w:val="clear" w:color="auto" w:fill="auto"/>
            <w:vAlign w:val="center"/>
            <w:hideMark/>
          </w:tcPr>
          <w:p w:rsidR="00604DEC" w:rsidRPr="003C47D7" w:rsidRDefault="00604DEC" w:rsidP="000126ED">
            <w:pPr>
              <w:pStyle w:val="table1"/>
            </w:pPr>
            <w:r w:rsidRPr="003C47D7">
              <w:t>Ranger Rehabilitation &amp; Closure Ecological Risk Assessment: Phase 2, Risk Analysis</w:t>
            </w:r>
          </w:p>
        </w:tc>
        <w:tc>
          <w:tcPr>
            <w:tcW w:w="1134" w:type="dxa"/>
            <w:tcBorders>
              <w:top w:val="nil"/>
              <w:left w:val="nil"/>
              <w:bottom w:val="nil"/>
              <w:right w:val="nil"/>
            </w:tcBorders>
            <w:shd w:val="clear" w:color="auto" w:fill="auto"/>
            <w:noWrap/>
            <w:vAlign w:val="center"/>
            <w:hideMark/>
          </w:tcPr>
          <w:p w:rsidR="00604DEC" w:rsidRPr="003C47D7" w:rsidRDefault="00604DEC" w:rsidP="000126ED">
            <w:pPr>
              <w:pStyle w:val="table1"/>
            </w:pPr>
            <w:r w:rsidRPr="003C47D7">
              <w:t>RLE</w:t>
            </w:r>
          </w:p>
        </w:tc>
      </w:tr>
      <w:tr w:rsidR="00604DEC" w:rsidRPr="00EB3716" w:rsidTr="002B51C1">
        <w:trPr>
          <w:cantSplit/>
          <w:trHeight w:val="315"/>
        </w:trPr>
        <w:tc>
          <w:tcPr>
            <w:tcW w:w="1384" w:type="dxa"/>
            <w:tcBorders>
              <w:top w:val="nil"/>
              <w:left w:val="nil"/>
              <w:bottom w:val="nil"/>
              <w:right w:val="nil"/>
            </w:tcBorders>
            <w:shd w:val="clear" w:color="auto" w:fill="auto"/>
            <w:noWrap/>
            <w:vAlign w:val="center"/>
            <w:hideMark/>
          </w:tcPr>
          <w:p w:rsidR="00604DEC" w:rsidRPr="003C47D7" w:rsidRDefault="00604DEC" w:rsidP="000126ED">
            <w:pPr>
              <w:pStyle w:val="table1"/>
            </w:pPr>
            <w:r w:rsidRPr="003C47D7">
              <w:t>RES-2013-012</w:t>
            </w:r>
          </w:p>
        </w:tc>
        <w:tc>
          <w:tcPr>
            <w:tcW w:w="4961" w:type="dxa"/>
            <w:tcBorders>
              <w:top w:val="nil"/>
              <w:left w:val="nil"/>
              <w:bottom w:val="nil"/>
              <w:right w:val="nil"/>
            </w:tcBorders>
            <w:shd w:val="clear" w:color="auto" w:fill="auto"/>
            <w:vAlign w:val="center"/>
            <w:hideMark/>
          </w:tcPr>
          <w:p w:rsidR="00604DEC" w:rsidRPr="003C47D7" w:rsidRDefault="00604DEC" w:rsidP="000126ED">
            <w:pPr>
              <w:pStyle w:val="table1"/>
            </w:pPr>
            <w:r w:rsidRPr="003C47D7">
              <w:t>Demonstrating the utility of unmanned aerial vehicles (UAVs) for monitoring rehabilitation and revegetation of the Ranger mine site</w:t>
            </w:r>
          </w:p>
        </w:tc>
        <w:tc>
          <w:tcPr>
            <w:tcW w:w="1134" w:type="dxa"/>
            <w:tcBorders>
              <w:top w:val="nil"/>
              <w:left w:val="nil"/>
              <w:bottom w:val="nil"/>
              <w:right w:val="nil"/>
            </w:tcBorders>
            <w:shd w:val="clear" w:color="auto" w:fill="auto"/>
            <w:noWrap/>
            <w:vAlign w:val="center"/>
            <w:hideMark/>
          </w:tcPr>
          <w:p w:rsidR="00604DEC" w:rsidRPr="003C47D7" w:rsidRDefault="00604DEC" w:rsidP="000126ED">
            <w:pPr>
              <w:pStyle w:val="table1"/>
            </w:pPr>
            <w:r w:rsidRPr="003C47D7">
              <w:t>RLE</w:t>
            </w:r>
          </w:p>
        </w:tc>
      </w:tr>
      <w:tr w:rsidR="00604DEC" w:rsidRPr="00EB3716" w:rsidTr="002B51C1">
        <w:trPr>
          <w:cantSplit/>
          <w:trHeight w:val="315"/>
        </w:trPr>
        <w:tc>
          <w:tcPr>
            <w:tcW w:w="1384" w:type="dxa"/>
            <w:tcBorders>
              <w:top w:val="nil"/>
              <w:left w:val="nil"/>
              <w:bottom w:val="nil"/>
              <w:right w:val="nil"/>
            </w:tcBorders>
            <w:shd w:val="clear" w:color="auto" w:fill="auto"/>
            <w:noWrap/>
            <w:vAlign w:val="center"/>
            <w:hideMark/>
          </w:tcPr>
          <w:p w:rsidR="00604DEC" w:rsidRPr="003C47D7" w:rsidRDefault="00604DEC" w:rsidP="000126ED">
            <w:pPr>
              <w:pStyle w:val="table1"/>
            </w:pPr>
            <w:r w:rsidRPr="003C47D7">
              <w:t>RES-2013-01</w:t>
            </w:r>
            <w:r>
              <w:t>3</w:t>
            </w:r>
          </w:p>
        </w:tc>
        <w:tc>
          <w:tcPr>
            <w:tcW w:w="4961" w:type="dxa"/>
            <w:tcBorders>
              <w:top w:val="nil"/>
              <w:left w:val="nil"/>
              <w:bottom w:val="nil"/>
              <w:right w:val="nil"/>
            </w:tcBorders>
            <w:shd w:val="clear" w:color="auto" w:fill="auto"/>
            <w:vAlign w:val="center"/>
            <w:hideMark/>
          </w:tcPr>
          <w:p w:rsidR="00604DEC" w:rsidRPr="003C47D7" w:rsidRDefault="00604DEC" w:rsidP="000126ED">
            <w:pPr>
              <w:pStyle w:val="table1"/>
            </w:pPr>
            <w:bookmarkStart w:id="788" w:name="_Hlk380575149"/>
            <w:bookmarkStart w:id="789" w:name="_Hlk380575150"/>
            <w:bookmarkStart w:id="790" w:name="_Hlk380575151"/>
            <w:bookmarkEnd w:id="788"/>
            <w:bookmarkEnd w:id="789"/>
            <w:r w:rsidRPr="00B266D6">
              <w:t xml:space="preserve">Ecotoxicological assessment of distillate from the Ranger </w:t>
            </w:r>
            <w:r>
              <w:t xml:space="preserve">uranium </w:t>
            </w:r>
            <w:r w:rsidRPr="00B266D6">
              <w:t>mine brine concentrator plant</w:t>
            </w:r>
            <w:bookmarkEnd w:id="790"/>
          </w:p>
        </w:tc>
        <w:tc>
          <w:tcPr>
            <w:tcW w:w="1134" w:type="dxa"/>
            <w:tcBorders>
              <w:top w:val="nil"/>
              <w:left w:val="nil"/>
              <w:bottom w:val="nil"/>
              <w:right w:val="nil"/>
            </w:tcBorders>
            <w:shd w:val="clear" w:color="auto" w:fill="auto"/>
            <w:noWrap/>
            <w:vAlign w:val="center"/>
            <w:hideMark/>
          </w:tcPr>
          <w:p w:rsidR="00604DEC" w:rsidRPr="003C47D7" w:rsidRDefault="00604DEC" w:rsidP="000126ED">
            <w:pPr>
              <w:pStyle w:val="table1"/>
            </w:pPr>
            <w:r>
              <w:t>Ecotox</w:t>
            </w:r>
          </w:p>
        </w:tc>
      </w:tr>
      <w:tr w:rsidR="00604DEC" w:rsidRPr="00EB3716" w:rsidTr="002B51C1">
        <w:trPr>
          <w:cantSplit/>
          <w:trHeight w:val="315"/>
        </w:trPr>
        <w:tc>
          <w:tcPr>
            <w:tcW w:w="1384" w:type="dxa"/>
            <w:tcBorders>
              <w:top w:val="nil"/>
              <w:left w:val="nil"/>
              <w:bottom w:val="nil"/>
              <w:right w:val="nil"/>
            </w:tcBorders>
            <w:shd w:val="clear" w:color="auto" w:fill="auto"/>
            <w:noWrap/>
            <w:vAlign w:val="center"/>
            <w:hideMark/>
          </w:tcPr>
          <w:p w:rsidR="00604DEC" w:rsidRPr="003C47D7" w:rsidRDefault="00604DEC" w:rsidP="000126ED">
            <w:pPr>
              <w:pStyle w:val="table1"/>
            </w:pPr>
            <w:r w:rsidRPr="003C47D7">
              <w:t>RES-2013-017</w:t>
            </w:r>
          </w:p>
        </w:tc>
        <w:tc>
          <w:tcPr>
            <w:tcW w:w="4961" w:type="dxa"/>
            <w:tcBorders>
              <w:top w:val="nil"/>
              <w:left w:val="nil"/>
              <w:bottom w:val="nil"/>
              <w:right w:val="nil"/>
            </w:tcBorders>
            <w:shd w:val="clear" w:color="auto" w:fill="auto"/>
            <w:vAlign w:val="center"/>
            <w:hideMark/>
          </w:tcPr>
          <w:p w:rsidR="00604DEC" w:rsidRPr="003C47D7" w:rsidRDefault="00604DEC" w:rsidP="000126ED">
            <w:pPr>
              <w:pStyle w:val="table1"/>
            </w:pPr>
            <w:r w:rsidRPr="003C47D7">
              <w:t>Development of a method for continuous monitoring of vegetation regrowth on a rehabilitated minesite using a simple LED spectroradiometer</w:t>
            </w:r>
          </w:p>
        </w:tc>
        <w:tc>
          <w:tcPr>
            <w:tcW w:w="1134" w:type="dxa"/>
            <w:tcBorders>
              <w:top w:val="nil"/>
              <w:left w:val="nil"/>
              <w:bottom w:val="nil"/>
              <w:right w:val="nil"/>
            </w:tcBorders>
            <w:shd w:val="clear" w:color="auto" w:fill="auto"/>
            <w:noWrap/>
            <w:vAlign w:val="center"/>
            <w:hideMark/>
          </w:tcPr>
          <w:p w:rsidR="00604DEC" w:rsidRPr="003C47D7" w:rsidRDefault="00604DEC" w:rsidP="000126ED">
            <w:pPr>
              <w:pStyle w:val="table1"/>
            </w:pPr>
            <w:r w:rsidRPr="003C47D7">
              <w:t>RLE</w:t>
            </w:r>
          </w:p>
        </w:tc>
      </w:tr>
      <w:tr w:rsidR="00604DEC" w:rsidRPr="00EB3716" w:rsidTr="002B51C1">
        <w:trPr>
          <w:cantSplit/>
          <w:trHeight w:val="315"/>
        </w:trPr>
        <w:tc>
          <w:tcPr>
            <w:tcW w:w="1384" w:type="dxa"/>
            <w:tcBorders>
              <w:top w:val="nil"/>
              <w:left w:val="nil"/>
              <w:bottom w:val="nil"/>
              <w:right w:val="nil"/>
            </w:tcBorders>
            <w:shd w:val="clear" w:color="auto" w:fill="auto"/>
            <w:noWrap/>
            <w:vAlign w:val="center"/>
            <w:hideMark/>
          </w:tcPr>
          <w:p w:rsidR="00604DEC" w:rsidRPr="003C47D7" w:rsidRDefault="00604DEC" w:rsidP="000126ED">
            <w:pPr>
              <w:pStyle w:val="table1"/>
            </w:pPr>
            <w:r>
              <w:t>RES-2014-00</w:t>
            </w:r>
            <w:r w:rsidRPr="003C47D7">
              <w:t>1</w:t>
            </w:r>
          </w:p>
        </w:tc>
        <w:tc>
          <w:tcPr>
            <w:tcW w:w="4961" w:type="dxa"/>
            <w:tcBorders>
              <w:top w:val="nil"/>
              <w:left w:val="nil"/>
              <w:bottom w:val="nil"/>
              <w:right w:val="nil"/>
            </w:tcBorders>
            <w:shd w:val="clear" w:color="auto" w:fill="auto"/>
            <w:vAlign w:val="center"/>
            <w:hideMark/>
          </w:tcPr>
          <w:p w:rsidR="00604DEC" w:rsidRPr="003C47D7" w:rsidRDefault="00604DEC" w:rsidP="000126ED">
            <w:pPr>
              <w:pStyle w:val="table1"/>
            </w:pPr>
            <w:r w:rsidRPr="003C47D7">
              <w:t>Effects of uranium on the structure and function bacterial sediment communities</w:t>
            </w:r>
          </w:p>
        </w:tc>
        <w:tc>
          <w:tcPr>
            <w:tcW w:w="1134" w:type="dxa"/>
            <w:tcBorders>
              <w:top w:val="nil"/>
              <w:left w:val="nil"/>
              <w:bottom w:val="nil"/>
              <w:right w:val="nil"/>
            </w:tcBorders>
            <w:shd w:val="clear" w:color="auto" w:fill="auto"/>
            <w:noWrap/>
            <w:vAlign w:val="center"/>
            <w:hideMark/>
          </w:tcPr>
          <w:p w:rsidR="00604DEC" w:rsidRPr="003C47D7" w:rsidRDefault="00604DEC" w:rsidP="000126ED">
            <w:pPr>
              <w:pStyle w:val="table1"/>
            </w:pPr>
            <w:r w:rsidRPr="003C47D7">
              <w:t>Ecotox</w:t>
            </w:r>
          </w:p>
        </w:tc>
      </w:tr>
      <w:tr w:rsidR="00604DEC" w:rsidRPr="00EB3716" w:rsidTr="002B51C1">
        <w:trPr>
          <w:cantSplit/>
          <w:trHeight w:val="315"/>
        </w:trPr>
        <w:tc>
          <w:tcPr>
            <w:tcW w:w="1384" w:type="dxa"/>
            <w:tcBorders>
              <w:top w:val="nil"/>
              <w:left w:val="nil"/>
              <w:bottom w:val="nil"/>
              <w:right w:val="nil"/>
            </w:tcBorders>
            <w:shd w:val="clear" w:color="auto" w:fill="auto"/>
            <w:noWrap/>
            <w:vAlign w:val="center"/>
            <w:hideMark/>
          </w:tcPr>
          <w:p w:rsidR="00604DEC" w:rsidRPr="003C47D7" w:rsidRDefault="00604DEC" w:rsidP="000126ED">
            <w:pPr>
              <w:pStyle w:val="table1"/>
            </w:pPr>
            <w:r w:rsidRPr="003C47D7">
              <w:t>RES-2014-002</w:t>
            </w:r>
          </w:p>
        </w:tc>
        <w:tc>
          <w:tcPr>
            <w:tcW w:w="4961" w:type="dxa"/>
            <w:tcBorders>
              <w:top w:val="nil"/>
              <w:left w:val="nil"/>
              <w:bottom w:val="nil"/>
              <w:right w:val="nil"/>
            </w:tcBorders>
            <w:shd w:val="clear" w:color="auto" w:fill="auto"/>
            <w:vAlign w:val="center"/>
            <w:hideMark/>
          </w:tcPr>
          <w:p w:rsidR="00604DEC" w:rsidRPr="003C47D7" w:rsidRDefault="00604DEC" w:rsidP="000126ED">
            <w:pPr>
              <w:pStyle w:val="table1"/>
            </w:pPr>
            <w:r w:rsidRPr="003C47D7">
              <w:t>Vegetation analogue review project</w:t>
            </w:r>
          </w:p>
        </w:tc>
        <w:tc>
          <w:tcPr>
            <w:tcW w:w="1134" w:type="dxa"/>
            <w:tcBorders>
              <w:top w:val="nil"/>
              <w:left w:val="nil"/>
              <w:bottom w:val="nil"/>
              <w:right w:val="nil"/>
            </w:tcBorders>
            <w:shd w:val="clear" w:color="auto" w:fill="auto"/>
            <w:noWrap/>
            <w:vAlign w:val="center"/>
            <w:hideMark/>
          </w:tcPr>
          <w:p w:rsidR="00604DEC" w:rsidRPr="003C47D7" w:rsidRDefault="00604DEC" w:rsidP="000126ED">
            <w:pPr>
              <w:pStyle w:val="table1"/>
            </w:pPr>
            <w:r w:rsidRPr="003C47D7">
              <w:t>RLE</w:t>
            </w:r>
          </w:p>
        </w:tc>
      </w:tr>
      <w:tr w:rsidR="00604DEC" w:rsidRPr="00EB3716" w:rsidTr="002B51C1">
        <w:trPr>
          <w:cantSplit/>
          <w:trHeight w:val="315"/>
        </w:trPr>
        <w:tc>
          <w:tcPr>
            <w:tcW w:w="1384" w:type="dxa"/>
            <w:tcBorders>
              <w:top w:val="nil"/>
              <w:left w:val="nil"/>
              <w:bottom w:val="nil"/>
              <w:right w:val="nil"/>
            </w:tcBorders>
            <w:shd w:val="clear" w:color="auto" w:fill="auto"/>
            <w:noWrap/>
            <w:vAlign w:val="center"/>
            <w:hideMark/>
          </w:tcPr>
          <w:p w:rsidR="00604DEC" w:rsidRPr="003C47D7" w:rsidRDefault="00604DEC" w:rsidP="000126ED">
            <w:pPr>
              <w:pStyle w:val="table1"/>
            </w:pPr>
            <w:r w:rsidRPr="003C47D7">
              <w:t>RES-2014-003</w:t>
            </w:r>
          </w:p>
        </w:tc>
        <w:tc>
          <w:tcPr>
            <w:tcW w:w="4961" w:type="dxa"/>
            <w:tcBorders>
              <w:top w:val="nil"/>
              <w:left w:val="nil"/>
              <w:bottom w:val="nil"/>
              <w:right w:val="nil"/>
            </w:tcBorders>
            <w:shd w:val="clear" w:color="auto" w:fill="auto"/>
            <w:vAlign w:val="center"/>
            <w:hideMark/>
          </w:tcPr>
          <w:p w:rsidR="00604DEC" w:rsidRPr="003C47D7" w:rsidRDefault="00604DEC" w:rsidP="000126ED">
            <w:pPr>
              <w:pStyle w:val="table1"/>
            </w:pPr>
            <w:r w:rsidRPr="003C47D7">
              <w:t>Developing monitoring methods using a UAS: Jabiluka and Magela B LAA revegetation</w:t>
            </w:r>
          </w:p>
        </w:tc>
        <w:tc>
          <w:tcPr>
            <w:tcW w:w="1134" w:type="dxa"/>
            <w:tcBorders>
              <w:top w:val="nil"/>
              <w:left w:val="nil"/>
              <w:bottom w:val="nil"/>
              <w:right w:val="nil"/>
            </w:tcBorders>
            <w:shd w:val="clear" w:color="auto" w:fill="auto"/>
            <w:noWrap/>
            <w:vAlign w:val="center"/>
            <w:hideMark/>
          </w:tcPr>
          <w:p w:rsidR="00604DEC" w:rsidRPr="003C47D7" w:rsidRDefault="00604DEC" w:rsidP="000126ED">
            <w:pPr>
              <w:pStyle w:val="table1"/>
            </w:pPr>
            <w:r w:rsidRPr="003C47D7">
              <w:t>RLE</w:t>
            </w:r>
          </w:p>
        </w:tc>
      </w:tr>
      <w:tr w:rsidR="00604DEC" w:rsidRPr="00EB3716" w:rsidTr="002B51C1">
        <w:trPr>
          <w:cantSplit/>
          <w:trHeight w:val="315"/>
        </w:trPr>
        <w:tc>
          <w:tcPr>
            <w:tcW w:w="1384" w:type="dxa"/>
            <w:tcBorders>
              <w:top w:val="nil"/>
              <w:left w:val="nil"/>
              <w:bottom w:val="nil"/>
              <w:right w:val="nil"/>
            </w:tcBorders>
            <w:shd w:val="clear" w:color="auto" w:fill="auto"/>
            <w:noWrap/>
            <w:vAlign w:val="center"/>
            <w:hideMark/>
          </w:tcPr>
          <w:p w:rsidR="00604DEC" w:rsidRPr="003C47D7" w:rsidRDefault="00604DEC" w:rsidP="000126ED">
            <w:pPr>
              <w:pStyle w:val="table1"/>
            </w:pPr>
            <w:r w:rsidRPr="003C47D7">
              <w:t>RES-2014-004</w:t>
            </w:r>
          </w:p>
        </w:tc>
        <w:tc>
          <w:tcPr>
            <w:tcW w:w="4961" w:type="dxa"/>
            <w:tcBorders>
              <w:top w:val="nil"/>
              <w:left w:val="nil"/>
              <w:bottom w:val="nil"/>
              <w:right w:val="nil"/>
            </w:tcBorders>
            <w:shd w:val="clear" w:color="auto" w:fill="auto"/>
            <w:vAlign w:val="center"/>
            <w:hideMark/>
          </w:tcPr>
          <w:p w:rsidR="00604DEC" w:rsidRPr="003C47D7" w:rsidRDefault="00604DEC" w:rsidP="000126ED">
            <w:pPr>
              <w:pStyle w:val="table1"/>
            </w:pPr>
            <w:r w:rsidRPr="003C47D7">
              <w:t>Atmospheric dispersion of radon and radon daughters from the rehabilitated landform</w:t>
            </w:r>
          </w:p>
        </w:tc>
        <w:tc>
          <w:tcPr>
            <w:tcW w:w="1134" w:type="dxa"/>
            <w:tcBorders>
              <w:top w:val="nil"/>
              <w:left w:val="nil"/>
              <w:bottom w:val="nil"/>
              <w:right w:val="nil"/>
            </w:tcBorders>
            <w:shd w:val="clear" w:color="auto" w:fill="auto"/>
            <w:noWrap/>
            <w:vAlign w:val="center"/>
            <w:hideMark/>
          </w:tcPr>
          <w:p w:rsidR="00604DEC" w:rsidRPr="003C47D7" w:rsidRDefault="00604DEC" w:rsidP="000126ED">
            <w:pPr>
              <w:pStyle w:val="table1"/>
            </w:pPr>
            <w:r>
              <w:t>EnRad</w:t>
            </w:r>
          </w:p>
        </w:tc>
      </w:tr>
      <w:tr w:rsidR="00604DEC" w:rsidRPr="00EB3716" w:rsidTr="002B51C1">
        <w:trPr>
          <w:cantSplit/>
          <w:trHeight w:val="315"/>
        </w:trPr>
        <w:tc>
          <w:tcPr>
            <w:tcW w:w="1384" w:type="dxa"/>
            <w:tcBorders>
              <w:top w:val="nil"/>
              <w:left w:val="nil"/>
              <w:right w:val="nil"/>
            </w:tcBorders>
            <w:shd w:val="clear" w:color="auto" w:fill="auto"/>
            <w:noWrap/>
            <w:vAlign w:val="center"/>
            <w:hideMark/>
          </w:tcPr>
          <w:p w:rsidR="00604DEC" w:rsidRPr="003C47D7" w:rsidRDefault="00604DEC" w:rsidP="000126ED">
            <w:pPr>
              <w:pStyle w:val="table1"/>
            </w:pPr>
            <w:r w:rsidRPr="003C47D7">
              <w:t>RES-2014-006</w:t>
            </w:r>
          </w:p>
        </w:tc>
        <w:tc>
          <w:tcPr>
            <w:tcW w:w="4961" w:type="dxa"/>
            <w:tcBorders>
              <w:top w:val="nil"/>
              <w:left w:val="nil"/>
              <w:right w:val="nil"/>
            </w:tcBorders>
            <w:shd w:val="clear" w:color="auto" w:fill="auto"/>
            <w:vAlign w:val="center"/>
            <w:hideMark/>
          </w:tcPr>
          <w:p w:rsidR="00604DEC" w:rsidRPr="003C47D7" w:rsidRDefault="00604DEC" w:rsidP="000126ED">
            <w:pPr>
              <w:pStyle w:val="table1"/>
            </w:pPr>
            <w:r w:rsidRPr="003C47D7">
              <w:t>East Alligator Slackwater deposits</w:t>
            </w:r>
          </w:p>
        </w:tc>
        <w:tc>
          <w:tcPr>
            <w:tcW w:w="1134" w:type="dxa"/>
            <w:tcBorders>
              <w:top w:val="nil"/>
              <w:left w:val="nil"/>
              <w:right w:val="nil"/>
            </w:tcBorders>
            <w:shd w:val="clear" w:color="auto" w:fill="auto"/>
            <w:noWrap/>
            <w:vAlign w:val="center"/>
            <w:hideMark/>
          </w:tcPr>
          <w:p w:rsidR="00604DEC" w:rsidRPr="003C47D7" w:rsidRDefault="00604DEC" w:rsidP="000126ED">
            <w:pPr>
              <w:pStyle w:val="table1"/>
            </w:pPr>
            <w:r w:rsidRPr="003C47D7">
              <w:t>HGCP</w:t>
            </w:r>
          </w:p>
        </w:tc>
      </w:tr>
    </w:tbl>
    <w:p w:rsidR="00145E69" w:rsidRPr="00CA6E25" w:rsidRDefault="00CA6E25" w:rsidP="00CA6E25">
      <w:pPr>
        <w:pStyle w:val="tablenote"/>
      </w:pPr>
      <w:r>
        <w:t xml:space="preserve">* </w:t>
      </w:r>
      <w:r w:rsidR="005754CC">
        <w:tab/>
      </w:r>
      <w:r>
        <w:t xml:space="preserve">AEP: Aquatic Ecosystems Protection; Ecotox: Ecotoxicology; EnRad: Environmental Radioactivity; </w:t>
      </w:r>
      <w:r w:rsidR="005754CC">
        <w:br/>
      </w:r>
      <w:r>
        <w:t>PCP: Physico-chemical Processes; SSDI: Spatial Sciences and Data Integration.</w:t>
      </w:r>
    </w:p>
    <w:p w:rsidR="001E2A81" w:rsidRDefault="001E2A81" w:rsidP="00A00BA3">
      <w:pPr>
        <w:rPr>
          <w:lang w:val="en-US"/>
        </w:rPr>
      </w:pPr>
    </w:p>
    <w:p w:rsidR="001E2A81" w:rsidRDefault="001E2A81" w:rsidP="00A00BA3">
      <w:pPr>
        <w:rPr>
          <w:lang w:val="en-US"/>
        </w:rPr>
        <w:sectPr w:rsidR="001E2A81" w:rsidSect="004A3B12">
          <w:headerReference w:type="even" r:id="rId155"/>
          <w:headerReference w:type="default" r:id="rId156"/>
          <w:headerReference w:type="first" r:id="rId157"/>
          <w:pgSz w:w="10325" w:h="14573" w:code="13"/>
          <w:pgMar w:top="851" w:right="1440" w:bottom="851" w:left="1440" w:header="720" w:footer="720" w:gutter="0"/>
          <w:cols w:space="360"/>
          <w:noEndnote/>
          <w:titlePg/>
        </w:sectPr>
      </w:pPr>
    </w:p>
    <w:p w:rsidR="00AB4C06" w:rsidRDefault="00AB4C06" w:rsidP="00DE799E">
      <w:pPr>
        <w:pStyle w:val="Heading1"/>
      </w:pPr>
      <w:bookmarkStart w:id="791" w:name="_Toc399928258"/>
      <w:bookmarkStart w:id="792" w:name="_Toc116123272"/>
      <w:r w:rsidRPr="00580FA2">
        <w:t>Glossary of terms, abbreviations</w:t>
      </w:r>
      <w:r>
        <w:t xml:space="preserve"> and acronyms</w:t>
      </w:r>
      <w:bookmarkEnd w:id="791"/>
    </w:p>
    <w:tbl>
      <w:tblPr>
        <w:tblW w:w="7621" w:type="dxa"/>
        <w:tblLayout w:type="fixed"/>
        <w:tblLook w:val="01E0"/>
      </w:tblPr>
      <w:tblGrid>
        <w:gridCol w:w="2093"/>
        <w:gridCol w:w="5528"/>
      </w:tblGrid>
      <w:tr w:rsidR="00904338" w:rsidRPr="00F93D84" w:rsidTr="004B6CDB">
        <w:trPr>
          <w:cantSplit/>
        </w:trPr>
        <w:tc>
          <w:tcPr>
            <w:tcW w:w="2093" w:type="dxa"/>
          </w:tcPr>
          <w:p w:rsidR="00904338" w:rsidRPr="009C7C2D" w:rsidRDefault="00904338" w:rsidP="003A4336">
            <w:pPr>
              <w:pStyle w:val="table1"/>
            </w:pPr>
            <w:r w:rsidRPr="009C7C2D">
              <w:t>ADG</w:t>
            </w:r>
          </w:p>
        </w:tc>
        <w:tc>
          <w:tcPr>
            <w:tcW w:w="5528" w:type="dxa"/>
          </w:tcPr>
          <w:p w:rsidR="00904338" w:rsidRPr="009C7C2D" w:rsidRDefault="00904338" w:rsidP="003A4336">
            <w:pPr>
              <w:pStyle w:val="table1"/>
            </w:pPr>
            <w:r w:rsidRPr="009C7C2D">
              <w:t>Australian Dangerous Goods</w:t>
            </w:r>
          </w:p>
        </w:tc>
      </w:tr>
      <w:tr w:rsidR="00904338" w:rsidRPr="00F93D84" w:rsidTr="004B6CDB">
        <w:trPr>
          <w:cantSplit/>
        </w:trPr>
        <w:tc>
          <w:tcPr>
            <w:tcW w:w="2093" w:type="dxa"/>
          </w:tcPr>
          <w:p w:rsidR="00904338" w:rsidRPr="009C7C2D" w:rsidRDefault="00904338" w:rsidP="003A4336">
            <w:pPr>
              <w:pStyle w:val="table1"/>
            </w:pPr>
            <w:r w:rsidRPr="009C7C2D">
              <w:t>AEC</w:t>
            </w:r>
          </w:p>
        </w:tc>
        <w:tc>
          <w:tcPr>
            <w:tcW w:w="5528" w:type="dxa"/>
          </w:tcPr>
          <w:p w:rsidR="00904338" w:rsidRPr="009C7C2D" w:rsidRDefault="00904338" w:rsidP="003A4336">
            <w:pPr>
              <w:pStyle w:val="table1"/>
            </w:pPr>
            <w:r w:rsidRPr="009C7C2D">
              <w:rPr>
                <w:iCs/>
              </w:rPr>
              <w:t>Animal Ethics Committee</w:t>
            </w:r>
          </w:p>
        </w:tc>
      </w:tr>
      <w:tr w:rsidR="00904338" w:rsidTr="004B6CDB">
        <w:trPr>
          <w:cantSplit/>
        </w:trPr>
        <w:tc>
          <w:tcPr>
            <w:tcW w:w="2093" w:type="dxa"/>
          </w:tcPr>
          <w:p w:rsidR="00904338" w:rsidRPr="009C7C2D" w:rsidRDefault="00904338" w:rsidP="003A4336">
            <w:pPr>
              <w:pStyle w:val="table1"/>
              <w:rPr>
                <w:rFonts w:cs="Arial"/>
                <w:szCs w:val="16"/>
              </w:rPr>
            </w:pPr>
            <w:r w:rsidRPr="009C7C2D">
              <w:rPr>
                <w:rFonts w:cs="Arial"/>
                <w:szCs w:val="16"/>
              </w:rPr>
              <w:t>AIMS</w:t>
            </w:r>
          </w:p>
        </w:tc>
        <w:tc>
          <w:tcPr>
            <w:tcW w:w="5528" w:type="dxa"/>
          </w:tcPr>
          <w:p w:rsidR="00904338" w:rsidRPr="009C7C2D" w:rsidRDefault="00904338" w:rsidP="00904338">
            <w:pPr>
              <w:pStyle w:val="table1"/>
              <w:rPr>
                <w:rFonts w:cs="Arial"/>
                <w:szCs w:val="16"/>
              </w:rPr>
            </w:pPr>
            <w:r w:rsidRPr="009C7C2D">
              <w:t>Australian Institute of Marine Science</w:t>
            </w:r>
          </w:p>
        </w:tc>
      </w:tr>
      <w:tr w:rsidR="00AB4C06" w:rsidRPr="00F93D84" w:rsidTr="004B6CDB">
        <w:trPr>
          <w:cantSplit/>
        </w:trPr>
        <w:tc>
          <w:tcPr>
            <w:tcW w:w="2093" w:type="dxa"/>
          </w:tcPr>
          <w:p w:rsidR="00AB4C06" w:rsidRPr="009C7C2D" w:rsidRDefault="005F2C25" w:rsidP="003A4336">
            <w:pPr>
              <w:pStyle w:val="table1"/>
              <w:rPr>
                <w:rFonts w:cs="Arial"/>
                <w:szCs w:val="16"/>
                <w:lang w:eastAsia="en-AU"/>
              </w:rPr>
            </w:pPr>
            <w:r>
              <w:rPr>
                <w:rFonts w:cs="Arial"/>
                <w:szCs w:val="16"/>
              </w:rPr>
              <w:t>a</w:t>
            </w:r>
            <w:r w:rsidR="00AB4C06" w:rsidRPr="009C7C2D">
              <w:rPr>
                <w:rFonts w:cs="Arial"/>
                <w:szCs w:val="16"/>
              </w:rPr>
              <w:t>pplication</w:t>
            </w:r>
          </w:p>
        </w:tc>
        <w:tc>
          <w:tcPr>
            <w:tcW w:w="5528" w:type="dxa"/>
          </w:tcPr>
          <w:p w:rsidR="00AB4C06" w:rsidRPr="009C7C2D" w:rsidRDefault="00AB4C06" w:rsidP="003A4336">
            <w:pPr>
              <w:pStyle w:val="table1"/>
              <w:rPr>
                <w:rFonts w:cs="Arial"/>
                <w:szCs w:val="16"/>
                <w:lang w:eastAsia="en-AU"/>
              </w:rPr>
            </w:pPr>
            <w:r w:rsidRPr="009C7C2D">
              <w:rPr>
                <w:rFonts w:cs="Arial"/>
                <w:szCs w:val="16"/>
              </w:rPr>
              <w:t>A document stating how the mining operator proposes to change the conditions set out in the mining Authorisation. These changes need to be approved by all MTC stakeholders.</w:t>
            </w:r>
          </w:p>
        </w:tc>
      </w:tr>
      <w:tr w:rsidR="00EF698E" w:rsidRPr="00F93D84" w:rsidTr="004B6CDB">
        <w:trPr>
          <w:cantSplit/>
        </w:trPr>
        <w:tc>
          <w:tcPr>
            <w:tcW w:w="2093" w:type="dxa"/>
          </w:tcPr>
          <w:p w:rsidR="00EF698E" w:rsidRPr="009C7C2D" w:rsidRDefault="00EF698E" w:rsidP="003A4336">
            <w:pPr>
              <w:pStyle w:val="table1"/>
              <w:rPr>
                <w:rFonts w:cs="Arial"/>
                <w:szCs w:val="16"/>
              </w:rPr>
            </w:pPr>
            <w:r w:rsidRPr="009C7C2D">
              <w:rPr>
                <w:rFonts w:cs="Arial"/>
                <w:szCs w:val="16"/>
              </w:rPr>
              <w:t>AREVA</w:t>
            </w:r>
          </w:p>
        </w:tc>
        <w:tc>
          <w:tcPr>
            <w:tcW w:w="5528" w:type="dxa"/>
          </w:tcPr>
          <w:p w:rsidR="00EF698E" w:rsidRPr="009C7C2D" w:rsidRDefault="006D1673" w:rsidP="00472EA7">
            <w:pPr>
              <w:pStyle w:val="table1"/>
              <w:rPr>
                <w:rFonts w:cs="Arial"/>
                <w:szCs w:val="16"/>
              </w:rPr>
            </w:pPr>
            <w:r>
              <w:rPr>
                <w:lang w:val="en-US"/>
              </w:rPr>
              <w:t>AREVA, France</w:t>
            </w:r>
            <w:r w:rsidR="0057574A">
              <w:rPr>
                <w:lang w:val="en-US"/>
              </w:rPr>
              <w:t xml:space="preserve"> – (f</w:t>
            </w:r>
            <w:r w:rsidR="00EF698E" w:rsidRPr="00F22429">
              <w:rPr>
                <w:lang w:val="en-US"/>
              </w:rPr>
              <w:t xml:space="preserve">ormerly </w:t>
            </w:r>
            <w:r w:rsidR="00472EA7">
              <w:rPr>
                <w:lang w:val="en-US"/>
              </w:rPr>
              <w:t xml:space="preserve">- </w:t>
            </w:r>
            <w:r w:rsidR="00EF698E" w:rsidRPr="00A07823">
              <w:rPr>
                <w:bCs/>
                <w:lang w:val="en-US"/>
              </w:rPr>
              <w:t>Afmeco</w:t>
            </w:r>
            <w:r w:rsidR="00EF698E" w:rsidRPr="00F22429">
              <w:rPr>
                <w:lang w:val="en-US"/>
              </w:rPr>
              <w:t xml:space="preserve"> Mining and Exploration Pty Ltd</w:t>
            </w:r>
            <w:r w:rsidR="0057574A">
              <w:rPr>
                <w:lang w:val="en-US"/>
              </w:rPr>
              <w:t>)</w:t>
            </w:r>
          </w:p>
        </w:tc>
      </w:tr>
      <w:tr w:rsidR="00EF698E" w:rsidRPr="00F93D84" w:rsidTr="004B6CDB">
        <w:trPr>
          <w:cantSplit/>
        </w:trPr>
        <w:tc>
          <w:tcPr>
            <w:tcW w:w="2093" w:type="dxa"/>
          </w:tcPr>
          <w:p w:rsidR="00EF698E" w:rsidRPr="009C7C2D" w:rsidRDefault="00EF698E" w:rsidP="003A4336">
            <w:pPr>
              <w:pStyle w:val="table1"/>
              <w:rPr>
                <w:rFonts w:cs="Arial"/>
                <w:szCs w:val="16"/>
              </w:rPr>
            </w:pPr>
            <w:r w:rsidRPr="009C7C2D">
              <w:rPr>
                <w:rFonts w:cs="Arial"/>
                <w:szCs w:val="16"/>
              </w:rPr>
              <w:t>ARPANSA</w:t>
            </w:r>
          </w:p>
        </w:tc>
        <w:tc>
          <w:tcPr>
            <w:tcW w:w="5528" w:type="dxa"/>
          </w:tcPr>
          <w:p w:rsidR="00EF698E" w:rsidRPr="009C7C2D" w:rsidRDefault="00EF698E" w:rsidP="003A4336">
            <w:pPr>
              <w:pStyle w:val="table1"/>
              <w:rPr>
                <w:rFonts w:cs="Arial"/>
                <w:szCs w:val="16"/>
              </w:rPr>
            </w:pPr>
            <w:r w:rsidRPr="009C7C2D">
              <w:rPr>
                <w:rFonts w:cs="Arial"/>
                <w:szCs w:val="16"/>
              </w:rPr>
              <w:t>Australian Radiation Protection and Nuclear Safety Agency</w:t>
            </w:r>
          </w:p>
        </w:tc>
      </w:tr>
      <w:tr w:rsidR="00EF698E" w:rsidRPr="00F93D84" w:rsidTr="004B6CDB">
        <w:trPr>
          <w:cantSplit/>
        </w:trPr>
        <w:tc>
          <w:tcPr>
            <w:tcW w:w="2093" w:type="dxa"/>
          </w:tcPr>
          <w:p w:rsidR="00EF698E" w:rsidRPr="009C7C2D" w:rsidRDefault="00EF698E" w:rsidP="003A4336">
            <w:pPr>
              <w:pStyle w:val="table1"/>
              <w:rPr>
                <w:rFonts w:cs="Arial"/>
                <w:szCs w:val="16"/>
              </w:rPr>
            </w:pPr>
            <w:r w:rsidRPr="009C7C2D">
              <w:rPr>
                <w:rFonts w:cs="Arial"/>
                <w:szCs w:val="16"/>
              </w:rPr>
              <w:t>ARR</w:t>
            </w:r>
          </w:p>
        </w:tc>
        <w:tc>
          <w:tcPr>
            <w:tcW w:w="5528" w:type="dxa"/>
          </w:tcPr>
          <w:p w:rsidR="00EF698E" w:rsidRPr="009C7C2D" w:rsidRDefault="00EF698E" w:rsidP="003A4336">
            <w:pPr>
              <w:pStyle w:val="table1"/>
              <w:rPr>
                <w:rFonts w:cs="Arial"/>
                <w:szCs w:val="16"/>
              </w:rPr>
            </w:pPr>
            <w:r w:rsidRPr="009C7C2D">
              <w:rPr>
                <w:rFonts w:cs="Arial"/>
                <w:szCs w:val="16"/>
              </w:rPr>
              <w:t>Alligator Rivers Region</w:t>
            </w:r>
          </w:p>
        </w:tc>
      </w:tr>
      <w:tr w:rsidR="00EF698E" w:rsidRPr="00F93D84" w:rsidTr="004B6CDB">
        <w:trPr>
          <w:cantSplit/>
        </w:trPr>
        <w:tc>
          <w:tcPr>
            <w:tcW w:w="2093" w:type="dxa"/>
          </w:tcPr>
          <w:p w:rsidR="00EF698E" w:rsidRPr="009C7C2D" w:rsidRDefault="00EF698E" w:rsidP="003A4336">
            <w:pPr>
              <w:pStyle w:val="table1"/>
              <w:rPr>
                <w:rFonts w:cs="Arial"/>
                <w:szCs w:val="16"/>
              </w:rPr>
            </w:pPr>
            <w:r w:rsidRPr="009C7C2D">
              <w:rPr>
                <w:rFonts w:cs="Arial"/>
                <w:szCs w:val="16"/>
              </w:rPr>
              <w:t>ARRAC</w:t>
            </w:r>
          </w:p>
        </w:tc>
        <w:tc>
          <w:tcPr>
            <w:tcW w:w="5528" w:type="dxa"/>
          </w:tcPr>
          <w:p w:rsidR="00EF698E" w:rsidRPr="009C7C2D" w:rsidRDefault="00EF698E" w:rsidP="003A4336">
            <w:pPr>
              <w:pStyle w:val="table1"/>
              <w:rPr>
                <w:rFonts w:cs="Arial"/>
                <w:szCs w:val="16"/>
              </w:rPr>
            </w:pPr>
            <w:r w:rsidRPr="009C7C2D">
              <w:rPr>
                <w:rFonts w:cs="Arial"/>
                <w:szCs w:val="16"/>
              </w:rPr>
              <w:t>Alligator Rivers Region Advisory Committee</w:t>
            </w:r>
          </w:p>
        </w:tc>
      </w:tr>
      <w:tr w:rsidR="00EF698E" w:rsidRPr="00F93D84" w:rsidTr="004B6CDB">
        <w:trPr>
          <w:cantSplit/>
        </w:trPr>
        <w:tc>
          <w:tcPr>
            <w:tcW w:w="2093" w:type="dxa"/>
          </w:tcPr>
          <w:p w:rsidR="00EF698E" w:rsidRPr="009C7C2D" w:rsidRDefault="00EF698E" w:rsidP="003A4336">
            <w:pPr>
              <w:pStyle w:val="table1"/>
              <w:rPr>
                <w:rFonts w:cs="Arial"/>
                <w:szCs w:val="16"/>
              </w:rPr>
            </w:pPr>
            <w:r w:rsidRPr="009C7C2D">
              <w:rPr>
                <w:rFonts w:cs="Arial"/>
                <w:szCs w:val="16"/>
              </w:rPr>
              <w:t>ARRTC</w:t>
            </w:r>
          </w:p>
        </w:tc>
        <w:tc>
          <w:tcPr>
            <w:tcW w:w="5528" w:type="dxa"/>
          </w:tcPr>
          <w:p w:rsidR="00EF698E" w:rsidRPr="009C7C2D" w:rsidRDefault="00EF698E" w:rsidP="003A4336">
            <w:pPr>
              <w:pStyle w:val="table1"/>
              <w:rPr>
                <w:rFonts w:cs="Arial"/>
                <w:szCs w:val="16"/>
              </w:rPr>
            </w:pPr>
            <w:r w:rsidRPr="009C7C2D">
              <w:rPr>
                <w:rFonts w:cs="Arial"/>
                <w:szCs w:val="16"/>
              </w:rPr>
              <w:t>Alligator Rivers Region Technical Committee</w:t>
            </w:r>
          </w:p>
        </w:tc>
      </w:tr>
      <w:tr w:rsidR="00AB4C06" w:rsidRPr="00F93D84" w:rsidTr="004B6CDB">
        <w:trPr>
          <w:cantSplit/>
        </w:trPr>
        <w:tc>
          <w:tcPr>
            <w:tcW w:w="2093" w:type="dxa"/>
          </w:tcPr>
          <w:p w:rsidR="00AB4C06" w:rsidRPr="00F93D84" w:rsidRDefault="00AB4C06" w:rsidP="003A4336">
            <w:pPr>
              <w:pStyle w:val="table1"/>
              <w:rPr>
                <w:rFonts w:cs="Arial"/>
                <w:szCs w:val="16"/>
                <w:lang w:eastAsia="en-AU"/>
              </w:rPr>
            </w:pPr>
            <w:r w:rsidRPr="00F93D84">
              <w:rPr>
                <w:rFonts w:cs="Arial"/>
                <w:szCs w:val="16"/>
              </w:rPr>
              <w:t>authorisation</w:t>
            </w:r>
          </w:p>
        </w:tc>
        <w:tc>
          <w:tcPr>
            <w:tcW w:w="5528" w:type="dxa"/>
          </w:tcPr>
          <w:p w:rsidR="00AB4C06" w:rsidRPr="00F93D84" w:rsidRDefault="00AB4C06" w:rsidP="003A4336">
            <w:pPr>
              <w:pStyle w:val="table1"/>
              <w:rPr>
                <w:rFonts w:cs="Arial"/>
                <w:szCs w:val="16"/>
                <w:lang w:eastAsia="en-AU"/>
              </w:rPr>
            </w:pPr>
            <w:r w:rsidRPr="00F93D84">
              <w:rPr>
                <w:rFonts w:cs="Arial"/>
                <w:szCs w:val="16"/>
              </w:rPr>
              <w:t xml:space="preserve">For mining activities authorisation is required under the </w:t>
            </w:r>
            <w:smartTag w:uri="urn:schemas-microsoft-com:office:smarttags" w:element="place">
              <w:smartTag w:uri="urn:schemas-microsoft-com:office:smarttags" w:element="State">
                <w:r w:rsidRPr="00F93D84">
                  <w:rPr>
                    <w:rFonts w:cs="Arial"/>
                    <w:szCs w:val="16"/>
                  </w:rPr>
                  <w:t>Northern Territory</w:t>
                </w:r>
              </w:smartTag>
            </w:smartTag>
            <w:r w:rsidRPr="00F93D84">
              <w:rPr>
                <w:rFonts w:cs="Arial"/>
                <w:szCs w:val="16"/>
              </w:rPr>
              <w:t xml:space="preserve"> </w:t>
            </w:r>
            <w:hyperlink r:id="rId158" w:tgtFrame="_blank" w:history="1">
              <w:r w:rsidRPr="00F93D84">
                <w:rPr>
                  <w:rFonts w:cs="Arial"/>
                  <w:i/>
                  <w:iCs/>
                  <w:szCs w:val="16"/>
                </w:rPr>
                <w:t xml:space="preserve">Mining Management Act </w:t>
              </w:r>
              <w:r w:rsidRPr="00F93D84">
                <w:rPr>
                  <w:rFonts w:cs="Arial"/>
                  <w:iCs/>
                  <w:szCs w:val="16"/>
                </w:rPr>
                <w:t>(MMA</w:t>
              </w:r>
              <w:r w:rsidRPr="00F93D84">
                <w:rPr>
                  <w:rFonts w:cs="Arial"/>
                  <w:i/>
                  <w:iCs/>
                  <w:szCs w:val="16"/>
                </w:rPr>
                <w:t>)</w:t>
              </w:r>
            </w:hyperlink>
            <w:r w:rsidRPr="00F93D84">
              <w:rPr>
                <w:rFonts w:cs="Arial"/>
                <w:i/>
                <w:iCs/>
                <w:szCs w:val="16"/>
              </w:rPr>
              <w:t xml:space="preserve"> </w:t>
            </w:r>
            <w:r w:rsidRPr="00F93D84">
              <w:rPr>
                <w:rFonts w:cs="Arial"/>
                <w:szCs w:val="16"/>
              </w:rPr>
              <w:t>for activities that will result in substantial disturbance of the ground. It details the authorised operations of a mine, based on the submitted mining management plan and any other conditions that the Northern Territory Minister considers appropriate.</w:t>
            </w:r>
          </w:p>
        </w:tc>
      </w:tr>
      <w:tr w:rsidR="00AB4C06" w:rsidTr="004B6CDB">
        <w:trPr>
          <w:cantSplit/>
        </w:trPr>
        <w:tc>
          <w:tcPr>
            <w:tcW w:w="2093" w:type="dxa"/>
          </w:tcPr>
          <w:p w:rsidR="00AB4C06" w:rsidRPr="00F93D84" w:rsidRDefault="009D093E" w:rsidP="003A4336">
            <w:pPr>
              <w:pStyle w:val="table1"/>
              <w:rPr>
                <w:rFonts w:cs="Arial"/>
                <w:szCs w:val="16"/>
              </w:rPr>
            </w:pPr>
            <w:r>
              <w:rPr>
                <w:rFonts w:cs="Arial"/>
                <w:szCs w:val="16"/>
              </w:rPr>
              <w:t>b</w:t>
            </w:r>
            <w:r w:rsidR="003A646F">
              <w:rPr>
                <w:rFonts w:cs="Arial"/>
                <w:szCs w:val="16"/>
              </w:rPr>
              <w:t>ecquerel</w:t>
            </w:r>
            <w:r w:rsidR="00AB4C06" w:rsidRPr="00F93D84">
              <w:rPr>
                <w:rFonts w:cs="Arial"/>
                <w:szCs w:val="16"/>
              </w:rPr>
              <w:t xml:space="preserve"> (Bq)</w:t>
            </w:r>
          </w:p>
        </w:tc>
        <w:tc>
          <w:tcPr>
            <w:tcW w:w="5528" w:type="dxa"/>
          </w:tcPr>
          <w:p w:rsidR="00AB4C06" w:rsidRPr="00F93D84" w:rsidRDefault="00AB4C06" w:rsidP="003A4336">
            <w:pPr>
              <w:pStyle w:val="table1"/>
              <w:rPr>
                <w:rFonts w:cs="Arial"/>
                <w:szCs w:val="16"/>
              </w:rPr>
            </w:pPr>
            <w:r w:rsidRPr="00F93D84">
              <w:rPr>
                <w:rFonts w:cs="Arial"/>
                <w:szCs w:val="16"/>
              </w:rPr>
              <w:t>SI unit for the activity of a radioactive substance in decays per second [s</w:t>
            </w:r>
            <w:r w:rsidRPr="00F93D84">
              <w:rPr>
                <w:snapToGrid w:val="0"/>
                <w:color w:val="000000"/>
                <w:position w:val="4"/>
                <w:sz w:val="11"/>
                <w:szCs w:val="0"/>
                <w:u w:color="000000"/>
              </w:rPr>
              <w:t>-1</w:t>
            </w:r>
            <w:r w:rsidRPr="00F93D84">
              <w:rPr>
                <w:rFonts w:cs="Arial"/>
                <w:szCs w:val="16"/>
              </w:rPr>
              <w:t>].</w:t>
            </w:r>
          </w:p>
        </w:tc>
      </w:tr>
      <w:tr w:rsidR="00AB4C06" w:rsidTr="004B6CDB">
        <w:trPr>
          <w:cantSplit/>
        </w:trPr>
        <w:tc>
          <w:tcPr>
            <w:tcW w:w="2093" w:type="dxa"/>
          </w:tcPr>
          <w:p w:rsidR="00AB4C06" w:rsidRPr="00F93D84" w:rsidRDefault="006B5ACD" w:rsidP="003A4336">
            <w:pPr>
              <w:pStyle w:val="table1"/>
              <w:rPr>
                <w:rFonts w:cs="Arial"/>
                <w:szCs w:val="16"/>
              </w:rPr>
            </w:pPr>
            <w:r>
              <w:rPr>
                <w:rFonts w:cs="Arial"/>
                <w:szCs w:val="16"/>
              </w:rPr>
              <w:t>b</w:t>
            </w:r>
            <w:r w:rsidR="00AB4C06" w:rsidRPr="00F93D84">
              <w:rPr>
                <w:rFonts w:cs="Arial"/>
                <w:szCs w:val="16"/>
              </w:rPr>
              <w:t>ioaccumulation</w:t>
            </w:r>
          </w:p>
        </w:tc>
        <w:tc>
          <w:tcPr>
            <w:tcW w:w="5528" w:type="dxa"/>
          </w:tcPr>
          <w:p w:rsidR="00AB4C06" w:rsidRPr="00F93D84" w:rsidRDefault="00AB4C06" w:rsidP="003A4336">
            <w:pPr>
              <w:pStyle w:val="table1"/>
              <w:rPr>
                <w:rFonts w:cs="Arial"/>
                <w:szCs w:val="16"/>
              </w:rPr>
            </w:pPr>
            <w:r w:rsidRPr="00F93D84">
              <w:rPr>
                <w:rFonts w:cs="Arial"/>
                <w:szCs w:val="16"/>
              </w:rPr>
              <w:t xml:space="preserve">Occurs when the rate of uptake by biota of a chemical substance, such as metals, radionuclides or pesticides is greater than the rate of loss. </w:t>
            </w:r>
            <w:r w:rsidRPr="00F93D84">
              <w:rPr>
                <w:rFonts w:cs="Arial"/>
                <w:szCs w:val="16"/>
                <w:lang w:eastAsia="en-AU"/>
              </w:rPr>
              <w:t>These substances may be taken up directly, or indirectly, through consumption of food containing the chemicals.</w:t>
            </w:r>
          </w:p>
        </w:tc>
      </w:tr>
      <w:tr w:rsidR="00AB4C06" w:rsidTr="004B6CDB">
        <w:trPr>
          <w:cantSplit/>
        </w:trPr>
        <w:tc>
          <w:tcPr>
            <w:tcW w:w="2093" w:type="dxa"/>
          </w:tcPr>
          <w:p w:rsidR="00AB4C06" w:rsidRPr="00F93D84" w:rsidRDefault="006B5ACD" w:rsidP="003A4336">
            <w:pPr>
              <w:pStyle w:val="table1"/>
              <w:rPr>
                <w:rFonts w:cs="Arial"/>
                <w:szCs w:val="16"/>
                <w:lang w:eastAsia="en-AU"/>
              </w:rPr>
            </w:pPr>
            <w:r>
              <w:rPr>
                <w:rFonts w:cs="Arial"/>
                <w:szCs w:val="16"/>
                <w:lang w:eastAsia="en-AU"/>
              </w:rPr>
              <w:t>b</w:t>
            </w:r>
            <w:r w:rsidR="00AB4C06" w:rsidRPr="00F93D84">
              <w:rPr>
                <w:rFonts w:cs="Arial"/>
                <w:szCs w:val="16"/>
                <w:lang w:eastAsia="en-AU"/>
              </w:rPr>
              <w:t>iodiversity (biological diversity)</w:t>
            </w:r>
          </w:p>
        </w:tc>
        <w:tc>
          <w:tcPr>
            <w:tcW w:w="5528" w:type="dxa"/>
          </w:tcPr>
          <w:p w:rsidR="00AB4C06" w:rsidRPr="00F93D84" w:rsidRDefault="00AB4C06" w:rsidP="003A4336">
            <w:pPr>
              <w:pStyle w:val="table1"/>
              <w:rPr>
                <w:rFonts w:cs="Arial"/>
                <w:szCs w:val="16"/>
                <w:lang w:eastAsia="en-AU"/>
              </w:rPr>
            </w:pPr>
            <w:r w:rsidRPr="00F93D84">
              <w:rPr>
                <w:rFonts w:cs="Arial"/>
                <w:szCs w:val="16"/>
                <w:lang w:eastAsia="en-AU"/>
              </w:rPr>
              <w:t>The variety of life forms, including plants, animals and micro-organisms, the genes they contain and the ecosystems and ecological processes of which they are a part.</w:t>
            </w:r>
          </w:p>
        </w:tc>
      </w:tr>
      <w:tr w:rsidR="00AB4C06" w:rsidTr="004B6CDB">
        <w:trPr>
          <w:cantSplit/>
        </w:trPr>
        <w:tc>
          <w:tcPr>
            <w:tcW w:w="2093" w:type="dxa"/>
          </w:tcPr>
          <w:p w:rsidR="00AB4C06" w:rsidRPr="00F93D84" w:rsidRDefault="009D093E" w:rsidP="003A4336">
            <w:pPr>
              <w:pStyle w:val="table1"/>
              <w:rPr>
                <w:rFonts w:cs="Arial"/>
                <w:szCs w:val="16"/>
                <w:lang w:eastAsia="en-AU"/>
              </w:rPr>
            </w:pPr>
            <w:r>
              <w:rPr>
                <w:rFonts w:cs="Arial"/>
                <w:szCs w:val="16"/>
                <w:lang w:eastAsia="en-AU"/>
              </w:rPr>
              <w:t>b</w:t>
            </w:r>
            <w:r w:rsidR="00AB4C06" w:rsidRPr="00F93D84">
              <w:rPr>
                <w:rFonts w:cs="Arial"/>
                <w:szCs w:val="16"/>
                <w:lang w:eastAsia="en-AU"/>
              </w:rPr>
              <w:t>iological assessment</w:t>
            </w:r>
          </w:p>
        </w:tc>
        <w:tc>
          <w:tcPr>
            <w:tcW w:w="5528" w:type="dxa"/>
          </w:tcPr>
          <w:p w:rsidR="00AB4C06" w:rsidRPr="00F93D84" w:rsidRDefault="00AB4C06" w:rsidP="003A4336">
            <w:pPr>
              <w:pStyle w:val="table1"/>
              <w:rPr>
                <w:rFonts w:cs="Arial"/>
                <w:szCs w:val="16"/>
                <w:lang w:eastAsia="en-AU"/>
              </w:rPr>
            </w:pPr>
            <w:r w:rsidRPr="00F93D84">
              <w:rPr>
                <w:rFonts w:cs="Arial"/>
                <w:szCs w:val="16"/>
                <w:lang w:eastAsia="en-AU"/>
              </w:rPr>
              <w:t>Use and measurement of the biota to monitor and assess the ecological health of an ecosystem.</w:t>
            </w:r>
          </w:p>
        </w:tc>
      </w:tr>
      <w:tr w:rsidR="00AB4C06" w:rsidTr="004B6CDB">
        <w:trPr>
          <w:cantSplit/>
        </w:trPr>
        <w:tc>
          <w:tcPr>
            <w:tcW w:w="2093" w:type="dxa"/>
          </w:tcPr>
          <w:p w:rsidR="00AB4C06" w:rsidRPr="009C7C2D" w:rsidRDefault="00AB4C06" w:rsidP="003A4336">
            <w:pPr>
              <w:pStyle w:val="table1"/>
              <w:rPr>
                <w:rFonts w:cs="Arial"/>
                <w:szCs w:val="16"/>
                <w:lang w:eastAsia="en-AU"/>
              </w:rPr>
            </w:pPr>
            <w:r w:rsidRPr="009C7C2D">
              <w:rPr>
                <w:rFonts w:cs="Arial"/>
                <w:szCs w:val="16"/>
                <w:lang w:eastAsia="en-AU"/>
              </w:rPr>
              <w:t>BoM</w:t>
            </w:r>
          </w:p>
        </w:tc>
        <w:tc>
          <w:tcPr>
            <w:tcW w:w="5528" w:type="dxa"/>
          </w:tcPr>
          <w:p w:rsidR="00AB4C06" w:rsidRPr="009C7C2D" w:rsidRDefault="00AB4C06" w:rsidP="003A4336">
            <w:pPr>
              <w:pStyle w:val="table1"/>
              <w:rPr>
                <w:rFonts w:cs="Arial"/>
                <w:szCs w:val="16"/>
                <w:lang w:eastAsia="en-AU"/>
              </w:rPr>
            </w:pPr>
            <w:r w:rsidRPr="009C7C2D">
              <w:rPr>
                <w:rFonts w:cs="Arial"/>
                <w:szCs w:val="16"/>
                <w:lang w:eastAsia="en-AU"/>
              </w:rPr>
              <w:t>Bureau of Meteorology</w:t>
            </w:r>
          </w:p>
        </w:tc>
      </w:tr>
      <w:tr w:rsidR="00AB4C06" w:rsidTr="004B6CDB">
        <w:trPr>
          <w:cantSplit/>
        </w:trPr>
        <w:tc>
          <w:tcPr>
            <w:tcW w:w="2093" w:type="dxa"/>
          </w:tcPr>
          <w:p w:rsidR="00AB4C06" w:rsidRPr="00F93D84" w:rsidRDefault="009D093E" w:rsidP="003A4336">
            <w:pPr>
              <w:pStyle w:val="table1"/>
              <w:rPr>
                <w:rFonts w:cs="Arial"/>
                <w:szCs w:val="16"/>
              </w:rPr>
            </w:pPr>
            <w:r>
              <w:rPr>
                <w:rFonts w:cs="Arial"/>
                <w:szCs w:val="16"/>
              </w:rPr>
              <w:t>c</w:t>
            </w:r>
            <w:r w:rsidR="00AB4C06">
              <w:rPr>
                <w:rFonts w:cs="Arial"/>
                <w:szCs w:val="16"/>
              </w:rPr>
              <w:t>losure criteria</w:t>
            </w:r>
          </w:p>
        </w:tc>
        <w:tc>
          <w:tcPr>
            <w:tcW w:w="5528" w:type="dxa"/>
          </w:tcPr>
          <w:p w:rsidR="00AB4C06" w:rsidRPr="00F93D84" w:rsidRDefault="00AB4C06" w:rsidP="003A4336">
            <w:pPr>
              <w:pStyle w:val="table1"/>
              <w:rPr>
                <w:rFonts w:cs="Arial"/>
                <w:szCs w:val="16"/>
              </w:rPr>
            </w:pPr>
            <w:r>
              <w:rPr>
                <w:rFonts w:cs="Arial"/>
                <w:szCs w:val="16"/>
              </w:rPr>
              <w:t>Performance measures used to assess the success of minesite r</w:t>
            </w:r>
            <w:r w:rsidRPr="005763C6">
              <w:rPr>
                <w:rFonts w:cs="Arial"/>
                <w:szCs w:val="16"/>
              </w:rPr>
              <w:t>ehabilitation</w:t>
            </w:r>
            <w:r>
              <w:rPr>
                <w:rFonts w:cs="Arial"/>
                <w:szCs w:val="16"/>
              </w:rPr>
              <w:t xml:space="preserve">. </w:t>
            </w:r>
          </w:p>
        </w:tc>
      </w:tr>
      <w:tr w:rsidR="00AB4C06" w:rsidTr="004B6CDB">
        <w:trPr>
          <w:cantSplit/>
        </w:trPr>
        <w:tc>
          <w:tcPr>
            <w:tcW w:w="2093" w:type="dxa"/>
          </w:tcPr>
          <w:p w:rsidR="00AB4C06" w:rsidRPr="00F93D84" w:rsidRDefault="009D093E" w:rsidP="003A4336">
            <w:pPr>
              <w:pStyle w:val="table1"/>
              <w:rPr>
                <w:rFonts w:cs="Arial"/>
                <w:szCs w:val="16"/>
              </w:rPr>
            </w:pPr>
            <w:r>
              <w:rPr>
                <w:rFonts w:cs="Arial"/>
                <w:szCs w:val="16"/>
              </w:rPr>
              <w:t>c</w:t>
            </w:r>
            <w:r w:rsidR="005F2C25">
              <w:rPr>
                <w:rFonts w:cs="Arial"/>
                <w:szCs w:val="16"/>
              </w:rPr>
              <w:t xml:space="preserve">oncentration </w:t>
            </w:r>
            <w:r w:rsidR="00AB4C06" w:rsidRPr="00F93D84">
              <w:rPr>
                <w:rFonts w:cs="Arial"/>
                <w:szCs w:val="16"/>
              </w:rPr>
              <w:t>factor</w:t>
            </w:r>
          </w:p>
        </w:tc>
        <w:tc>
          <w:tcPr>
            <w:tcW w:w="5528" w:type="dxa"/>
          </w:tcPr>
          <w:p w:rsidR="00AB4C06" w:rsidRPr="00F93D84" w:rsidRDefault="00AB4C06" w:rsidP="003A4336">
            <w:pPr>
              <w:pStyle w:val="table1"/>
              <w:rPr>
                <w:rFonts w:cs="Arial"/>
                <w:szCs w:val="16"/>
              </w:rPr>
            </w:pPr>
            <w:r w:rsidRPr="00F93D84">
              <w:rPr>
                <w:rFonts w:cs="Arial"/>
                <w:szCs w:val="16"/>
              </w:rPr>
              <w:t>The metal or radionuclide activity concentration measured in biota divided by the respective concentration measured in the underlying soil (for terrestrial biota) or water (for aquatic biota).</w:t>
            </w:r>
          </w:p>
        </w:tc>
      </w:tr>
      <w:tr w:rsidR="00904338" w:rsidTr="004B6CDB">
        <w:trPr>
          <w:cantSplit/>
        </w:trPr>
        <w:tc>
          <w:tcPr>
            <w:tcW w:w="2093" w:type="dxa"/>
          </w:tcPr>
          <w:p w:rsidR="00904338" w:rsidRPr="009C7C2D" w:rsidRDefault="00904338" w:rsidP="003A4336">
            <w:pPr>
              <w:pStyle w:val="table1"/>
              <w:rPr>
                <w:rFonts w:cs="Arial"/>
                <w:szCs w:val="16"/>
              </w:rPr>
            </w:pPr>
            <w:r w:rsidRPr="009C7C2D">
              <w:rPr>
                <w:rFonts w:cs="Arial"/>
                <w:szCs w:val="16"/>
              </w:rPr>
              <w:t>CCWLF</w:t>
            </w:r>
          </w:p>
        </w:tc>
        <w:tc>
          <w:tcPr>
            <w:tcW w:w="5528" w:type="dxa"/>
          </w:tcPr>
          <w:p w:rsidR="00904338" w:rsidRPr="009C7C2D" w:rsidRDefault="00904338" w:rsidP="003A4336">
            <w:pPr>
              <w:pStyle w:val="table1"/>
              <w:rPr>
                <w:rFonts w:cs="Arial"/>
                <w:szCs w:val="16"/>
              </w:rPr>
            </w:pPr>
            <w:r w:rsidRPr="009C7C2D">
              <w:t>Corridor Creek Wetland Filter</w:t>
            </w:r>
          </w:p>
        </w:tc>
      </w:tr>
      <w:tr w:rsidR="00904338" w:rsidTr="004B6CDB">
        <w:trPr>
          <w:cantSplit/>
        </w:trPr>
        <w:tc>
          <w:tcPr>
            <w:tcW w:w="2093" w:type="dxa"/>
          </w:tcPr>
          <w:p w:rsidR="00904338" w:rsidRPr="009C7C2D" w:rsidRDefault="00904338" w:rsidP="003A4336">
            <w:pPr>
              <w:pStyle w:val="table1"/>
              <w:rPr>
                <w:rFonts w:cs="Arial"/>
                <w:szCs w:val="16"/>
              </w:rPr>
            </w:pPr>
            <w:r w:rsidRPr="009C7C2D">
              <w:rPr>
                <w:rFonts w:cs="Arial"/>
                <w:szCs w:val="16"/>
              </w:rPr>
              <w:t>CDU</w:t>
            </w:r>
          </w:p>
        </w:tc>
        <w:tc>
          <w:tcPr>
            <w:tcW w:w="5528" w:type="dxa"/>
          </w:tcPr>
          <w:p w:rsidR="00904338" w:rsidRPr="009C7C2D" w:rsidRDefault="00904338" w:rsidP="003A4336">
            <w:pPr>
              <w:pStyle w:val="table1"/>
            </w:pPr>
            <w:r w:rsidRPr="009C7C2D">
              <w:t>Charles Darwin University</w:t>
            </w:r>
          </w:p>
        </w:tc>
      </w:tr>
      <w:tr w:rsidR="00AB4C06" w:rsidTr="004B6CDB">
        <w:trPr>
          <w:cantSplit/>
        </w:trPr>
        <w:tc>
          <w:tcPr>
            <w:tcW w:w="2093" w:type="dxa"/>
          </w:tcPr>
          <w:p w:rsidR="00AB4C06" w:rsidRPr="009C7C2D" w:rsidRDefault="00AB4C06" w:rsidP="003A4336">
            <w:pPr>
              <w:pStyle w:val="table1"/>
              <w:rPr>
                <w:rFonts w:cs="Arial"/>
                <w:szCs w:val="16"/>
              </w:rPr>
            </w:pPr>
            <w:r w:rsidRPr="009C7C2D">
              <w:rPr>
                <w:rFonts w:cs="Arial"/>
                <w:szCs w:val="16"/>
              </w:rPr>
              <w:t>DME</w:t>
            </w:r>
          </w:p>
        </w:tc>
        <w:tc>
          <w:tcPr>
            <w:tcW w:w="5528" w:type="dxa"/>
          </w:tcPr>
          <w:p w:rsidR="00AB4C06" w:rsidRPr="009C7C2D" w:rsidRDefault="00AB4C06" w:rsidP="003A4336">
            <w:pPr>
              <w:pStyle w:val="table1"/>
              <w:rPr>
                <w:rFonts w:cs="Arial"/>
                <w:szCs w:val="16"/>
              </w:rPr>
            </w:pPr>
            <w:r w:rsidRPr="009C7C2D">
              <w:rPr>
                <w:rFonts w:cs="Arial"/>
                <w:szCs w:val="16"/>
              </w:rPr>
              <w:t>Northern Territory Department of Mines and Energy (formerly Northern Territory Department of Resources)</w:t>
            </w:r>
          </w:p>
        </w:tc>
      </w:tr>
      <w:tr w:rsidR="00904338" w:rsidTr="004B6CDB">
        <w:trPr>
          <w:cantSplit/>
        </w:trPr>
        <w:tc>
          <w:tcPr>
            <w:tcW w:w="2093" w:type="dxa"/>
          </w:tcPr>
          <w:p w:rsidR="00904338" w:rsidRPr="009C7C2D" w:rsidRDefault="00904338" w:rsidP="003A4336">
            <w:pPr>
              <w:pStyle w:val="table1"/>
              <w:rPr>
                <w:rFonts w:cs="Arial"/>
                <w:szCs w:val="16"/>
              </w:rPr>
            </w:pPr>
            <w:r w:rsidRPr="009C7C2D">
              <w:rPr>
                <w:rFonts w:cs="Arial"/>
                <w:szCs w:val="16"/>
              </w:rPr>
              <w:t>DoE</w:t>
            </w:r>
          </w:p>
        </w:tc>
        <w:tc>
          <w:tcPr>
            <w:tcW w:w="5528" w:type="dxa"/>
          </w:tcPr>
          <w:p w:rsidR="00904338" w:rsidRPr="009C7C2D" w:rsidRDefault="00904338" w:rsidP="003A4336">
            <w:pPr>
              <w:pStyle w:val="table1"/>
              <w:rPr>
                <w:rFonts w:cs="Arial"/>
                <w:szCs w:val="16"/>
              </w:rPr>
            </w:pPr>
            <w:r w:rsidRPr="009C7C2D">
              <w:rPr>
                <w:rFonts w:cs="Arial"/>
                <w:szCs w:val="16"/>
              </w:rPr>
              <w:t>Department of the Environment</w:t>
            </w:r>
          </w:p>
        </w:tc>
      </w:tr>
      <w:tr w:rsidR="00904338" w:rsidTr="004B6CDB">
        <w:trPr>
          <w:cantSplit/>
        </w:trPr>
        <w:tc>
          <w:tcPr>
            <w:tcW w:w="2093" w:type="dxa"/>
          </w:tcPr>
          <w:p w:rsidR="00904338" w:rsidRPr="009C7C2D" w:rsidRDefault="00904338" w:rsidP="003A4336">
            <w:pPr>
              <w:pStyle w:val="table1"/>
              <w:rPr>
                <w:rFonts w:cs="Arial"/>
                <w:szCs w:val="16"/>
              </w:rPr>
            </w:pPr>
            <w:r w:rsidRPr="009C7C2D">
              <w:rPr>
                <w:rFonts w:cs="Arial"/>
                <w:szCs w:val="16"/>
              </w:rPr>
              <w:t>DoI</w:t>
            </w:r>
          </w:p>
        </w:tc>
        <w:tc>
          <w:tcPr>
            <w:tcW w:w="5528" w:type="dxa"/>
          </w:tcPr>
          <w:p w:rsidR="00904338" w:rsidRPr="009C7C2D" w:rsidRDefault="00904338" w:rsidP="003A4336">
            <w:pPr>
              <w:pStyle w:val="table1"/>
              <w:rPr>
                <w:rFonts w:cs="Arial"/>
                <w:szCs w:val="16"/>
              </w:rPr>
            </w:pPr>
            <w:r w:rsidRPr="009C7C2D">
              <w:rPr>
                <w:rFonts w:cs="Arial"/>
                <w:szCs w:val="16"/>
              </w:rPr>
              <w:t>Department of Industry</w:t>
            </w:r>
          </w:p>
        </w:tc>
      </w:tr>
      <w:tr w:rsidR="00AB4C06" w:rsidTr="004B6CDB">
        <w:trPr>
          <w:cantSplit/>
        </w:trPr>
        <w:tc>
          <w:tcPr>
            <w:tcW w:w="2093" w:type="dxa"/>
          </w:tcPr>
          <w:p w:rsidR="00AB4C06" w:rsidRPr="009C7C2D" w:rsidRDefault="00AB4C06" w:rsidP="003A4336">
            <w:pPr>
              <w:pStyle w:val="table1"/>
              <w:rPr>
                <w:rFonts w:cs="Arial"/>
                <w:szCs w:val="16"/>
              </w:rPr>
            </w:pPr>
            <w:r w:rsidRPr="009C7C2D">
              <w:rPr>
                <w:rFonts w:cs="Arial"/>
                <w:szCs w:val="16"/>
              </w:rPr>
              <w:t>dose coefficient</w:t>
            </w:r>
          </w:p>
        </w:tc>
        <w:tc>
          <w:tcPr>
            <w:tcW w:w="5528" w:type="dxa"/>
          </w:tcPr>
          <w:p w:rsidR="00AB4C06" w:rsidRPr="009C7C2D" w:rsidRDefault="00AB4C06" w:rsidP="003A4336">
            <w:pPr>
              <w:pStyle w:val="table1"/>
              <w:rPr>
                <w:rFonts w:cs="Arial"/>
                <w:szCs w:val="16"/>
              </w:rPr>
            </w:pPr>
            <w:r w:rsidRPr="009C7C2D">
              <w:rPr>
                <w:rFonts w:cs="Arial"/>
                <w:szCs w:val="16"/>
              </w:rPr>
              <w:t>The committed tissue equivalent dose or committed effective dose Sievert [Sv] per unit intake Becquerel [Bq] of a radionuclide. See definition of Sievert and Becquerel.</w:t>
            </w:r>
          </w:p>
        </w:tc>
      </w:tr>
      <w:tr w:rsidR="00AB4C06" w:rsidTr="004B6CDB">
        <w:trPr>
          <w:cantSplit/>
        </w:trPr>
        <w:tc>
          <w:tcPr>
            <w:tcW w:w="2093" w:type="dxa"/>
          </w:tcPr>
          <w:p w:rsidR="00AB4C06" w:rsidRPr="009C7C2D" w:rsidRDefault="006B5ACD" w:rsidP="003A4336">
            <w:pPr>
              <w:pStyle w:val="table1"/>
              <w:rPr>
                <w:rFonts w:cs="Arial"/>
                <w:szCs w:val="16"/>
              </w:rPr>
            </w:pPr>
            <w:r>
              <w:rPr>
                <w:rFonts w:cs="Arial"/>
                <w:szCs w:val="16"/>
              </w:rPr>
              <w:t>d</w:t>
            </w:r>
            <w:r w:rsidR="00AB4C06" w:rsidRPr="009C7C2D">
              <w:rPr>
                <w:rFonts w:cs="Arial"/>
                <w:szCs w:val="16"/>
              </w:rPr>
              <w:t>ose constraint</w:t>
            </w:r>
          </w:p>
        </w:tc>
        <w:tc>
          <w:tcPr>
            <w:tcW w:w="5528" w:type="dxa"/>
          </w:tcPr>
          <w:p w:rsidR="00AB4C06" w:rsidRPr="009C7C2D" w:rsidRDefault="00AB4C06" w:rsidP="003A4336">
            <w:pPr>
              <w:pStyle w:val="table1"/>
              <w:rPr>
                <w:rFonts w:cs="Arial"/>
                <w:szCs w:val="16"/>
              </w:rPr>
            </w:pPr>
            <w:r w:rsidRPr="009C7C2D">
              <w:rPr>
                <w:rFonts w:cs="Arial"/>
                <w:szCs w:val="16"/>
              </w:rPr>
              <w:t xml:space="preserve">The </w:t>
            </w:r>
            <w:r w:rsidRPr="009C7C2D">
              <w:rPr>
                <w:rFonts w:cs="Arial"/>
                <w:snapToGrid w:val="0"/>
                <w:szCs w:val="16"/>
                <w:lang w:val="en-US"/>
              </w:rPr>
              <w:t xml:space="preserve">International Commission on Radiation Protection (ICRP) </w:t>
            </w:r>
            <w:r w:rsidRPr="009C7C2D">
              <w:rPr>
                <w:rFonts w:cs="Arial"/>
                <w:szCs w:val="16"/>
              </w:rPr>
              <w:t xml:space="preserve">defines dose constraint as </w:t>
            </w:r>
            <w:r w:rsidR="00287CEC" w:rsidRPr="009C7C2D">
              <w:rPr>
                <w:rFonts w:cs="Arial"/>
                <w:szCs w:val="16"/>
              </w:rPr>
              <w:t>‘</w:t>
            </w:r>
            <w:r w:rsidRPr="009C7C2D">
              <w:rPr>
                <w:rFonts w:cs="Arial"/>
                <w:i/>
                <w:szCs w:val="16"/>
              </w:rPr>
              <w:t>a prospective restriction on anticipated dose, primarily intended to be used to discard undesirable options in an optimisation calculation</w:t>
            </w:r>
            <w:r w:rsidR="00287CEC" w:rsidRPr="009C7C2D">
              <w:rPr>
                <w:rFonts w:cs="Arial"/>
                <w:szCs w:val="16"/>
              </w:rPr>
              <w:t>’</w:t>
            </w:r>
            <w:r w:rsidRPr="009C7C2D">
              <w:rPr>
                <w:rFonts w:cs="Arial"/>
                <w:szCs w:val="16"/>
              </w:rPr>
              <w:t xml:space="preserve"> for assessing site remediation options.</w:t>
            </w:r>
          </w:p>
        </w:tc>
      </w:tr>
      <w:tr w:rsidR="00AB4C06" w:rsidTr="004B6CDB">
        <w:trPr>
          <w:cantSplit/>
        </w:trPr>
        <w:tc>
          <w:tcPr>
            <w:tcW w:w="2093" w:type="dxa"/>
          </w:tcPr>
          <w:p w:rsidR="00AB4C06" w:rsidRPr="009C7C2D" w:rsidRDefault="00AB4C06" w:rsidP="003A4336">
            <w:pPr>
              <w:pStyle w:val="table1"/>
              <w:rPr>
                <w:rFonts w:cs="Arial"/>
                <w:szCs w:val="16"/>
              </w:rPr>
            </w:pPr>
            <w:r w:rsidRPr="009C7C2D">
              <w:rPr>
                <w:rFonts w:cs="Arial"/>
                <w:szCs w:val="16"/>
              </w:rPr>
              <w:t>DRET</w:t>
            </w:r>
          </w:p>
        </w:tc>
        <w:tc>
          <w:tcPr>
            <w:tcW w:w="5528" w:type="dxa"/>
          </w:tcPr>
          <w:p w:rsidR="00AB4C06" w:rsidRPr="009C7C2D" w:rsidRDefault="00AB4C06" w:rsidP="003A4336">
            <w:pPr>
              <w:pStyle w:val="table1"/>
              <w:rPr>
                <w:rFonts w:cs="Arial"/>
                <w:szCs w:val="16"/>
              </w:rPr>
            </w:pPr>
            <w:r w:rsidRPr="009C7C2D">
              <w:rPr>
                <w:rFonts w:cs="Arial"/>
                <w:szCs w:val="16"/>
              </w:rPr>
              <w:t xml:space="preserve">Department of </w:t>
            </w:r>
            <w:r w:rsidRPr="009C7C2D">
              <w:rPr>
                <w:rFonts w:cs="Arial"/>
                <w:szCs w:val="16"/>
                <w:lang w:val="en-US"/>
              </w:rPr>
              <w:t>Resources, Energy and Tourism</w:t>
            </w:r>
            <w:r w:rsidRPr="009C7C2D">
              <w:rPr>
                <w:rFonts w:cs="Arial"/>
                <w:szCs w:val="16"/>
              </w:rPr>
              <w:t xml:space="preserve"> </w:t>
            </w:r>
          </w:p>
        </w:tc>
      </w:tr>
      <w:tr w:rsidR="00AB4C06" w:rsidTr="004B6CDB">
        <w:trPr>
          <w:cantSplit/>
        </w:trPr>
        <w:tc>
          <w:tcPr>
            <w:tcW w:w="2093" w:type="dxa"/>
          </w:tcPr>
          <w:p w:rsidR="00AB4C06" w:rsidRPr="009C7C2D" w:rsidRDefault="00AB4C06" w:rsidP="003A4336">
            <w:pPr>
              <w:pStyle w:val="table1"/>
              <w:rPr>
                <w:rFonts w:cs="Arial"/>
                <w:szCs w:val="16"/>
                <w:lang w:eastAsia="en-AU"/>
              </w:rPr>
            </w:pPr>
            <w:r w:rsidRPr="009C7C2D">
              <w:rPr>
                <w:rFonts w:cs="Arial"/>
                <w:szCs w:val="16"/>
                <w:lang w:eastAsia="en-AU"/>
              </w:rPr>
              <w:t>early detection</w:t>
            </w:r>
          </w:p>
        </w:tc>
        <w:tc>
          <w:tcPr>
            <w:tcW w:w="5528" w:type="dxa"/>
          </w:tcPr>
          <w:p w:rsidR="00AB4C06" w:rsidRPr="009C7C2D" w:rsidRDefault="00AB4C06" w:rsidP="003A4336">
            <w:pPr>
              <w:pStyle w:val="table1"/>
              <w:rPr>
                <w:rFonts w:cs="Arial"/>
                <w:szCs w:val="16"/>
                <w:lang w:eastAsia="en-AU"/>
              </w:rPr>
            </w:pPr>
            <w:r w:rsidRPr="009C7C2D">
              <w:rPr>
                <w:rFonts w:cs="Arial"/>
                <w:szCs w:val="16"/>
                <w:lang w:eastAsia="en-AU"/>
              </w:rPr>
              <w:t>Measurable early warning biological, physical or chemical response in relation to a particular stress, prior to significant adverse effects occurring on the system of interest.</w:t>
            </w:r>
          </w:p>
        </w:tc>
      </w:tr>
      <w:tr w:rsidR="00AB4C06" w:rsidTr="004B6CDB">
        <w:trPr>
          <w:cantSplit/>
        </w:trPr>
        <w:tc>
          <w:tcPr>
            <w:tcW w:w="2093" w:type="dxa"/>
          </w:tcPr>
          <w:p w:rsidR="00AB4C06" w:rsidRPr="009C7C2D" w:rsidRDefault="009D093E" w:rsidP="003A4336">
            <w:pPr>
              <w:pStyle w:val="table1"/>
              <w:rPr>
                <w:rFonts w:cs="Arial"/>
                <w:bCs/>
                <w:szCs w:val="16"/>
                <w:lang w:eastAsia="en-AU"/>
              </w:rPr>
            </w:pPr>
            <w:r>
              <w:rPr>
                <w:rFonts w:cs="Arial"/>
                <w:bCs/>
                <w:spacing w:val="-2"/>
                <w:szCs w:val="16"/>
                <w:lang w:eastAsia="en-AU"/>
              </w:rPr>
              <w:t>e</w:t>
            </w:r>
            <w:r w:rsidR="00AB4C06" w:rsidRPr="009C7C2D">
              <w:rPr>
                <w:rFonts w:cs="Arial"/>
                <w:bCs/>
                <w:spacing w:val="-2"/>
                <w:szCs w:val="16"/>
                <w:lang w:eastAsia="en-AU"/>
              </w:rPr>
              <w:t>lectrical conductivity (EC)</w:t>
            </w:r>
          </w:p>
        </w:tc>
        <w:tc>
          <w:tcPr>
            <w:tcW w:w="5528" w:type="dxa"/>
          </w:tcPr>
          <w:p w:rsidR="00AB4C06" w:rsidRPr="009C7C2D" w:rsidRDefault="00AB4C06" w:rsidP="003A4336">
            <w:pPr>
              <w:pStyle w:val="table1"/>
              <w:rPr>
                <w:rFonts w:cs="Arial"/>
                <w:szCs w:val="16"/>
                <w:lang w:eastAsia="en-AU"/>
              </w:rPr>
            </w:pPr>
            <w:r w:rsidRPr="009C7C2D">
              <w:rPr>
                <w:rFonts w:cs="Arial"/>
                <w:szCs w:val="16"/>
                <w:lang w:eastAsia="en-AU"/>
              </w:rPr>
              <w:t>A measure of the total concentration of salts dissolved in water.</w:t>
            </w:r>
          </w:p>
        </w:tc>
      </w:tr>
      <w:tr w:rsidR="00F77520" w:rsidTr="004B6CDB">
        <w:trPr>
          <w:cantSplit/>
        </w:trPr>
        <w:tc>
          <w:tcPr>
            <w:tcW w:w="2093" w:type="dxa"/>
          </w:tcPr>
          <w:p w:rsidR="00F77520" w:rsidRPr="009C7C2D" w:rsidRDefault="00F77520" w:rsidP="003A4336">
            <w:pPr>
              <w:pStyle w:val="table1"/>
              <w:rPr>
                <w:rFonts w:cs="Arial"/>
                <w:bCs/>
                <w:spacing w:val="-2"/>
                <w:szCs w:val="16"/>
                <w:lang w:eastAsia="en-AU"/>
              </w:rPr>
            </w:pPr>
            <w:r w:rsidRPr="009C7C2D">
              <w:rPr>
                <w:rFonts w:cs="Arial"/>
                <w:bCs/>
                <w:spacing w:val="-2"/>
                <w:szCs w:val="16"/>
                <w:lang w:eastAsia="en-AU"/>
              </w:rPr>
              <w:t>EIRs</w:t>
            </w:r>
          </w:p>
        </w:tc>
        <w:tc>
          <w:tcPr>
            <w:tcW w:w="5528" w:type="dxa"/>
          </w:tcPr>
          <w:p w:rsidR="00F77520" w:rsidRPr="009C7C2D" w:rsidRDefault="00F77520" w:rsidP="003A4336">
            <w:pPr>
              <w:pStyle w:val="table1"/>
              <w:rPr>
                <w:rFonts w:cs="Arial"/>
                <w:szCs w:val="16"/>
                <w:lang w:eastAsia="en-AU"/>
              </w:rPr>
            </w:pPr>
            <w:r w:rsidRPr="009C7C2D">
              <w:t>Environmental Incident Report summary</w:t>
            </w:r>
          </w:p>
        </w:tc>
      </w:tr>
      <w:tr w:rsidR="00AB4C06" w:rsidTr="004B6CDB">
        <w:trPr>
          <w:cantSplit/>
        </w:trPr>
        <w:tc>
          <w:tcPr>
            <w:tcW w:w="2093" w:type="dxa"/>
          </w:tcPr>
          <w:p w:rsidR="00AB4C06" w:rsidRPr="009C7C2D" w:rsidRDefault="00AB4C06" w:rsidP="003A4336">
            <w:pPr>
              <w:pStyle w:val="table1"/>
              <w:rPr>
                <w:rFonts w:cs="Arial"/>
                <w:bCs/>
                <w:spacing w:val="-2"/>
                <w:szCs w:val="16"/>
                <w:lang w:eastAsia="en-AU"/>
              </w:rPr>
            </w:pPr>
            <w:r w:rsidRPr="009C7C2D">
              <w:rPr>
                <w:rFonts w:cs="Arial"/>
                <w:bCs/>
                <w:spacing w:val="-2"/>
                <w:szCs w:val="16"/>
                <w:lang w:eastAsia="en-AU"/>
              </w:rPr>
              <w:t>EIS</w:t>
            </w:r>
          </w:p>
        </w:tc>
        <w:tc>
          <w:tcPr>
            <w:tcW w:w="5528" w:type="dxa"/>
          </w:tcPr>
          <w:p w:rsidR="00AB4C06" w:rsidRPr="009C7C2D" w:rsidRDefault="00AB4C06" w:rsidP="003A4336">
            <w:pPr>
              <w:pStyle w:val="table1"/>
              <w:rPr>
                <w:rFonts w:cs="Arial"/>
                <w:szCs w:val="16"/>
                <w:lang w:eastAsia="en-AU"/>
              </w:rPr>
            </w:pPr>
            <w:r w:rsidRPr="009C7C2D">
              <w:rPr>
                <w:rFonts w:cs="Arial"/>
                <w:szCs w:val="16"/>
                <w:lang w:eastAsia="en-AU"/>
              </w:rPr>
              <w:t>Environmental Impact Statement</w:t>
            </w:r>
          </w:p>
        </w:tc>
      </w:tr>
      <w:tr w:rsidR="00556FCA" w:rsidTr="004B6CDB">
        <w:trPr>
          <w:cantSplit/>
        </w:trPr>
        <w:tc>
          <w:tcPr>
            <w:tcW w:w="2093" w:type="dxa"/>
          </w:tcPr>
          <w:p w:rsidR="00556FCA" w:rsidRPr="009C7C2D" w:rsidRDefault="00556FCA" w:rsidP="003A4336">
            <w:pPr>
              <w:pStyle w:val="table1"/>
              <w:rPr>
                <w:rFonts w:cs="Arial"/>
                <w:bCs/>
                <w:spacing w:val="-2"/>
                <w:szCs w:val="16"/>
                <w:lang w:eastAsia="en-AU"/>
              </w:rPr>
            </w:pPr>
            <w:r w:rsidRPr="009C7C2D">
              <w:rPr>
                <w:rFonts w:cs="Arial"/>
                <w:bCs/>
                <w:spacing w:val="-2"/>
                <w:szCs w:val="16"/>
                <w:lang w:eastAsia="en-AU"/>
              </w:rPr>
              <w:t>EMRAS</w:t>
            </w:r>
          </w:p>
        </w:tc>
        <w:tc>
          <w:tcPr>
            <w:tcW w:w="5528" w:type="dxa"/>
          </w:tcPr>
          <w:p w:rsidR="00556FCA" w:rsidRPr="009C7C2D" w:rsidRDefault="00556FCA" w:rsidP="003A4336">
            <w:pPr>
              <w:pStyle w:val="table1"/>
              <w:rPr>
                <w:rFonts w:cs="Arial"/>
                <w:szCs w:val="16"/>
                <w:lang w:eastAsia="en-AU"/>
              </w:rPr>
            </w:pPr>
            <w:r w:rsidRPr="009C7C2D">
              <w:t>Environmental Modelling for Radiation Safety</w:t>
            </w:r>
          </w:p>
        </w:tc>
      </w:tr>
      <w:tr w:rsidR="00AB4C06" w:rsidTr="004B6CDB">
        <w:trPr>
          <w:cantSplit/>
        </w:trPr>
        <w:tc>
          <w:tcPr>
            <w:tcW w:w="2093" w:type="dxa"/>
          </w:tcPr>
          <w:p w:rsidR="00AB4C06" w:rsidRPr="009C7C2D" w:rsidRDefault="00AB4C06" w:rsidP="003A4336">
            <w:pPr>
              <w:pStyle w:val="table1"/>
              <w:rPr>
                <w:rFonts w:cs="Arial"/>
                <w:bCs/>
                <w:spacing w:val="-2"/>
                <w:szCs w:val="16"/>
                <w:lang w:eastAsia="en-AU"/>
              </w:rPr>
            </w:pPr>
            <w:r w:rsidRPr="009C7C2D">
              <w:rPr>
                <w:rFonts w:cs="Arial"/>
                <w:bCs/>
                <w:spacing w:val="-2"/>
                <w:szCs w:val="16"/>
                <w:lang w:eastAsia="en-AU"/>
              </w:rPr>
              <w:t>EMS</w:t>
            </w:r>
          </w:p>
        </w:tc>
        <w:tc>
          <w:tcPr>
            <w:tcW w:w="5528" w:type="dxa"/>
          </w:tcPr>
          <w:p w:rsidR="00AB4C06" w:rsidRPr="009C7C2D" w:rsidRDefault="00AB4C06" w:rsidP="003A4336">
            <w:pPr>
              <w:pStyle w:val="table1"/>
              <w:rPr>
                <w:rFonts w:cs="Arial"/>
                <w:szCs w:val="16"/>
                <w:lang w:eastAsia="en-AU"/>
              </w:rPr>
            </w:pPr>
            <w:r w:rsidRPr="009C7C2D">
              <w:rPr>
                <w:rFonts w:cs="Arial"/>
                <w:szCs w:val="16"/>
                <w:lang w:val="en-US" w:eastAsia="en-AU"/>
              </w:rPr>
              <w:t>Environmental Management System</w:t>
            </w:r>
          </w:p>
        </w:tc>
      </w:tr>
      <w:tr w:rsidR="00AB4C06" w:rsidTr="004B6CDB">
        <w:trPr>
          <w:cantSplit/>
        </w:trPr>
        <w:tc>
          <w:tcPr>
            <w:tcW w:w="2093" w:type="dxa"/>
          </w:tcPr>
          <w:p w:rsidR="00AB4C06" w:rsidRPr="009C7C2D" w:rsidRDefault="00AB4C06" w:rsidP="003A4336">
            <w:pPr>
              <w:pStyle w:val="table1"/>
              <w:rPr>
                <w:rFonts w:cs="Arial"/>
                <w:bCs/>
                <w:spacing w:val="-2"/>
                <w:szCs w:val="16"/>
                <w:lang w:eastAsia="en-AU"/>
              </w:rPr>
            </w:pPr>
            <w:r w:rsidRPr="009C7C2D">
              <w:rPr>
                <w:rFonts w:cs="Arial"/>
                <w:bCs/>
                <w:spacing w:val="-2"/>
                <w:szCs w:val="16"/>
                <w:lang w:eastAsia="en-AU"/>
              </w:rPr>
              <w:t>ERA</w:t>
            </w:r>
          </w:p>
        </w:tc>
        <w:tc>
          <w:tcPr>
            <w:tcW w:w="5528" w:type="dxa"/>
          </w:tcPr>
          <w:p w:rsidR="00AB4C06" w:rsidRPr="009C7C2D" w:rsidRDefault="00AB4C06" w:rsidP="003A4336">
            <w:pPr>
              <w:pStyle w:val="table1"/>
              <w:rPr>
                <w:rFonts w:cs="Arial"/>
                <w:szCs w:val="16"/>
                <w:lang w:val="en-US" w:eastAsia="en-AU"/>
              </w:rPr>
            </w:pPr>
            <w:r w:rsidRPr="009C7C2D">
              <w:rPr>
                <w:rFonts w:cs="Arial"/>
                <w:szCs w:val="16"/>
                <w:lang w:val="en-US" w:eastAsia="en-AU"/>
              </w:rPr>
              <w:t>Energy Resources of Australia Ltd</w:t>
            </w:r>
          </w:p>
        </w:tc>
      </w:tr>
      <w:tr w:rsidR="00AB4C06" w:rsidTr="004B6CDB">
        <w:trPr>
          <w:cantSplit/>
        </w:trPr>
        <w:tc>
          <w:tcPr>
            <w:tcW w:w="2093" w:type="dxa"/>
          </w:tcPr>
          <w:p w:rsidR="00AB4C06" w:rsidRPr="001F7FC3" w:rsidRDefault="00AB4C06" w:rsidP="003A4336">
            <w:pPr>
              <w:pStyle w:val="table1"/>
              <w:rPr>
                <w:rFonts w:cs="Arial"/>
                <w:b/>
                <w:bCs/>
                <w:i/>
                <w:spacing w:val="-2"/>
                <w:szCs w:val="16"/>
                <w:lang w:eastAsia="en-AU"/>
              </w:rPr>
            </w:pPr>
            <w:r w:rsidRPr="001F7FC3">
              <w:rPr>
                <w:rFonts w:cs="Arial"/>
                <w:b/>
                <w:bCs/>
                <w:i/>
                <w:spacing w:val="-2"/>
                <w:szCs w:val="16"/>
                <w:lang w:eastAsia="en-AU"/>
              </w:rPr>
              <w:t>eriss</w:t>
            </w:r>
          </w:p>
        </w:tc>
        <w:tc>
          <w:tcPr>
            <w:tcW w:w="5528" w:type="dxa"/>
          </w:tcPr>
          <w:p w:rsidR="00AB4C06" w:rsidRPr="009C7C2D" w:rsidRDefault="00AB4C06" w:rsidP="003A4336">
            <w:pPr>
              <w:pStyle w:val="table1"/>
              <w:rPr>
                <w:rFonts w:cs="Arial"/>
                <w:szCs w:val="16"/>
                <w:lang w:val="en-US" w:eastAsia="en-AU"/>
              </w:rPr>
            </w:pPr>
            <w:r w:rsidRPr="009C7C2D">
              <w:rPr>
                <w:rFonts w:cs="Arial"/>
                <w:szCs w:val="16"/>
                <w:lang w:val="en-US" w:eastAsia="en-AU"/>
              </w:rPr>
              <w:t xml:space="preserve">Environmental Research Institute of the Supervising Scientist </w:t>
            </w:r>
          </w:p>
        </w:tc>
      </w:tr>
      <w:tr w:rsidR="00AB4C06" w:rsidTr="004B6CDB">
        <w:trPr>
          <w:cantSplit/>
        </w:trPr>
        <w:tc>
          <w:tcPr>
            <w:tcW w:w="2093" w:type="dxa"/>
          </w:tcPr>
          <w:p w:rsidR="00AB4C06" w:rsidRPr="009C7C2D" w:rsidRDefault="00AB4C06" w:rsidP="002847E0">
            <w:pPr>
              <w:pStyle w:val="table1"/>
              <w:rPr>
                <w:rFonts w:cs="Arial"/>
                <w:bCs/>
                <w:spacing w:val="-2"/>
                <w:szCs w:val="16"/>
                <w:lang w:eastAsia="en-AU"/>
              </w:rPr>
            </w:pPr>
            <w:r w:rsidRPr="009C7C2D">
              <w:rPr>
                <w:rFonts w:cs="Arial"/>
                <w:bCs/>
                <w:spacing w:val="-2"/>
                <w:szCs w:val="16"/>
                <w:lang w:eastAsia="en-AU"/>
              </w:rPr>
              <w:t>E</w:t>
            </w:r>
            <w:r w:rsidR="002847E0" w:rsidRPr="009C7C2D">
              <w:rPr>
                <w:rFonts w:cs="Arial"/>
                <w:bCs/>
                <w:spacing w:val="-2"/>
                <w:szCs w:val="16"/>
                <w:lang w:eastAsia="en-AU"/>
              </w:rPr>
              <w:t>R</w:t>
            </w:r>
            <w:r w:rsidRPr="009C7C2D">
              <w:rPr>
                <w:rFonts w:cs="Arial"/>
                <w:bCs/>
                <w:spacing w:val="-2"/>
                <w:szCs w:val="16"/>
                <w:lang w:eastAsia="en-AU"/>
              </w:rPr>
              <w:t>s</w:t>
            </w:r>
          </w:p>
        </w:tc>
        <w:tc>
          <w:tcPr>
            <w:tcW w:w="5528" w:type="dxa"/>
          </w:tcPr>
          <w:p w:rsidR="00AB4C06" w:rsidRPr="009C7C2D" w:rsidRDefault="00AB4C06" w:rsidP="003A4336">
            <w:pPr>
              <w:pStyle w:val="table1"/>
              <w:rPr>
                <w:rFonts w:cs="Arial"/>
                <w:szCs w:val="16"/>
                <w:lang w:val="en-US" w:eastAsia="en-AU"/>
              </w:rPr>
            </w:pPr>
            <w:r w:rsidRPr="009C7C2D">
              <w:rPr>
                <w:rFonts w:cs="Arial"/>
                <w:szCs w:val="16"/>
                <w:lang w:val="en-US" w:eastAsia="en-AU"/>
              </w:rPr>
              <w:t>Environmental Requirements</w:t>
            </w:r>
          </w:p>
        </w:tc>
      </w:tr>
      <w:tr w:rsidR="00F77520" w:rsidTr="004B6CDB">
        <w:trPr>
          <w:cantSplit/>
        </w:trPr>
        <w:tc>
          <w:tcPr>
            <w:tcW w:w="2093" w:type="dxa"/>
          </w:tcPr>
          <w:p w:rsidR="00F77520" w:rsidRPr="009C7C2D" w:rsidRDefault="00F77520" w:rsidP="002847E0">
            <w:pPr>
              <w:pStyle w:val="table1"/>
              <w:rPr>
                <w:rFonts w:cs="Arial"/>
                <w:bCs/>
                <w:spacing w:val="-2"/>
                <w:szCs w:val="16"/>
                <w:lang w:eastAsia="en-AU"/>
              </w:rPr>
            </w:pPr>
            <w:r w:rsidRPr="009C7C2D">
              <w:rPr>
                <w:rFonts w:cs="Arial"/>
                <w:bCs/>
                <w:spacing w:val="-2"/>
                <w:szCs w:val="16"/>
                <w:lang w:eastAsia="en-AU"/>
              </w:rPr>
              <w:t>ERMP</w:t>
            </w:r>
          </w:p>
        </w:tc>
        <w:tc>
          <w:tcPr>
            <w:tcW w:w="5528" w:type="dxa"/>
          </w:tcPr>
          <w:p w:rsidR="00F77520" w:rsidRPr="009C7C2D" w:rsidRDefault="00F77520" w:rsidP="003A4336">
            <w:pPr>
              <w:pStyle w:val="table1"/>
              <w:rPr>
                <w:rFonts w:cs="Arial"/>
                <w:szCs w:val="16"/>
                <w:lang w:val="en-US" w:eastAsia="en-AU"/>
              </w:rPr>
            </w:pPr>
            <w:r w:rsidRPr="009C7C2D">
              <w:t>Environmental Review Management Programme</w:t>
            </w:r>
          </w:p>
        </w:tc>
      </w:tr>
      <w:tr w:rsidR="002F329F" w:rsidTr="004B6CDB">
        <w:trPr>
          <w:cantSplit/>
        </w:trPr>
        <w:tc>
          <w:tcPr>
            <w:tcW w:w="2093" w:type="dxa"/>
          </w:tcPr>
          <w:p w:rsidR="002F329F" w:rsidRPr="009C7C2D" w:rsidRDefault="001C04E5" w:rsidP="003A4336">
            <w:pPr>
              <w:pStyle w:val="table1"/>
              <w:rPr>
                <w:rFonts w:cs="Arial"/>
                <w:bCs/>
                <w:spacing w:val="-2"/>
                <w:szCs w:val="16"/>
                <w:lang w:eastAsia="en-AU"/>
              </w:rPr>
            </w:pPr>
            <w:r w:rsidRPr="009C7C2D">
              <w:rPr>
                <w:rFonts w:cs="Arial"/>
                <w:bCs/>
                <w:spacing w:val="-2"/>
                <w:szCs w:val="16"/>
                <w:lang w:eastAsia="en-AU"/>
              </w:rPr>
              <w:t>FASTS</w:t>
            </w:r>
          </w:p>
        </w:tc>
        <w:tc>
          <w:tcPr>
            <w:tcW w:w="5528" w:type="dxa"/>
          </w:tcPr>
          <w:p w:rsidR="002F329F" w:rsidRPr="009C7C2D" w:rsidRDefault="001C04E5" w:rsidP="003A4336">
            <w:pPr>
              <w:pStyle w:val="table1"/>
              <w:rPr>
                <w:rFonts w:cs="Arial"/>
                <w:szCs w:val="16"/>
                <w:lang w:val="en-US" w:eastAsia="en-AU"/>
              </w:rPr>
            </w:pPr>
            <w:r w:rsidRPr="009C7C2D">
              <w:t>Federation of Australian Scientific and Technological Societies</w:t>
            </w:r>
          </w:p>
        </w:tc>
      </w:tr>
      <w:tr w:rsidR="001C04E5" w:rsidTr="004B6CDB">
        <w:trPr>
          <w:cantSplit/>
        </w:trPr>
        <w:tc>
          <w:tcPr>
            <w:tcW w:w="2093" w:type="dxa"/>
          </w:tcPr>
          <w:p w:rsidR="001C04E5" w:rsidRPr="00F93D84" w:rsidRDefault="001C04E5" w:rsidP="003A4336">
            <w:pPr>
              <w:pStyle w:val="table1"/>
              <w:rPr>
                <w:rFonts w:cs="Arial"/>
                <w:bCs/>
                <w:szCs w:val="16"/>
                <w:lang w:eastAsia="en-AU"/>
              </w:rPr>
            </w:pPr>
            <w:r>
              <w:rPr>
                <w:rFonts w:cs="Arial"/>
                <w:bCs/>
                <w:szCs w:val="16"/>
                <w:lang w:eastAsia="en-AU"/>
              </w:rPr>
              <w:t>FORUM</w:t>
            </w:r>
          </w:p>
        </w:tc>
        <w:tc>
          <w:tcPr>
            <w:tcW w:w="5528" w:type="dxa"/>
          </w:tcPr>
          <w:p w:rsidR="001C04E5" w:rsidRPr="00F93D84" w:rsidRDefault="001C04E5" w:rsidP="003A4336">
            <w:pPr>
              <w:pStyle w:val="table1"/>
              <w:rPr>
                <w:rFonts w:cs="Arial"/>
                <w:szCs w:val="16"/>
                <w:lang w:eastAsia="en-AU"/>
              </w:rPr>
            </w:pPr>
            <w:r w:rsidRPr="00151ED5">
              <w:t>F</w:t>
            </w:r>
            <w:r w:rsidR="00EF698E">
              <w:t>o</w:t>
            </w:r>
            <w:r w:rsidRPr="00151ED5">
              <w:t>stering Radioecology by Uniting Members</w:t>
            </w:r>
          </w:p>
        </w:tc>
      </w:tr>
      <w:tr w:rsidR="001C04E5" w:rsidTr="004B6CDB">
        <w:trPr>
          <w:cantSplit/>
        </w:trPr>
        <w:tc>
          <w:tcPr>
            <w:tcW w:w="2093" w:type="dxa"/>
          </w:tcPr>
          <w:p w:rsidR="001C04E5" w:rsidRPr="00F93D84" w:rsidRDefault="005F2C25" w:rsidP="003A4336">
            <w:pPr>
              <w:pStyle w:val="table1"/>
              <w:rPr>
                <w:rFonts w:cs="Arial"/>
                <w:szCs w:val="16"/>
              </w:rPr>
            </w:pPr>
            <w:r>
              <w:rPr>
                <w:rFonts w:cs="Arial"/>
                <w:szCs w:val="16"/>
              </w:rPr>
              <w:t>f</w:t>
            </w:r>
            <w:r w:rsidR="001C04E5" w:rsidRPr="00F93D84">
              <w:rPr>
                <w:rFonts w:cs="Arial"/>
                <w:szCs w:val="16"/>
              </w:rPr>
              <w:t>ulvic acid</w:t>
            </w:r>
          </w:p>
        </w:tc>
        <w:tc>
          <w:tcPr>
            <w:tcW w:w="5528" w:type="dxa"/>
          </w:tcPr>
          <w:p w:rsidR="001C04E5" w:rsidRPr="00F93D84" w:rsidRDefault="001C04E5" w:rsidP="003A4336">
            <w:pPr>
              <w:pStyle w:val="table1"/>
              <w:rPr>
                <w:rFonts w:cs="Arial"/>
                <w:szCs w:val="16"/>
              </w:rPr>
            </w:pPr>
            <w:r w:rsidRPr="00F93D84">
              <w:rPr>
                <w:rFonts w:cs="Arial"/>
                <w:spacing w:val="-2"/>
                <w:szCs w:val="16"/>
              </w:rPr>
              <w:t>A component of dissolved organic carbon that is especially reactive and forms strong complexes with metals. Fulvic acids account for a large part of the dissolved organic matter in natural water.</w:t>
            </w:r>
          </w:p>
        </w:tc>
      </w:tr>
      <w:tr w:rsidR="001C04E5"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GAC</w:t>
            </w:r>
          </w:p>
        </w:tc>
        <w:tc>
          <w:tcPr>
            <w:tcW w:w="5528" w:type="dxa"/>
          </w:tcPr>
          <w:p w:rsidR="001C04E5" w:rsidRPr="009C7C2D" w:rsidRDefault="001C04E5" w:rsidP="003A4336">
            <w:pPr>
              <w:pStyle w:val="table1"/>
              <w:rPr>
                <w:rFonts w:cs="Arial"/>
                <w:spacing w:val="-2"/>
                <w:szCs w:val="16"/>
              </w:rPr>
            </w:pPr>
            <w:r w:rsidRPr="009C7C2D">
              <w:rPr>
                <w:rFonts w:cs="Arial"/>
                <w:spacing w:val="-2"/>
                <w:szCs w:val="16"/>
                <w:lang w:val="en-US"/>
              </w:rPr>
              <w:t>Gundjeihmi</w:t>
            </w:r>
            <w:r w:rsidRPr="009C7C2D">
              <w:rPr>
                <w:rFonts w:cs="Arial"/>
                <w:snapToGrid w:val="0"/>
                <w:spacing w:val="-2"/>
                <w:szCs w:val="16"/>
                <w:lang w:val="en-US"/>
              </w:rPr>
              <w:t xml:space="preserve"> Aboriginal Corporation</w:t>
            </w:r>
          </w:p>
        </w:tc>
      </w:tr>
      <w:tr w:rsidR="001C04E5"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GC2</w:t>
            </w:r>
          </w:p>
        </w:tc>
        <w:tc>
          <w:tcPr>
            <w:tcW w:w="5528" w:type="dxa"/>
          </w:tcPr>
          <w:p w:rsidR="001C04E5" w:rsidRPr="009C7C2D" w:rsidRDefault="001C04E5" w:rsidP="003A4336">
            <w:pPr>
              <w:pStyle w:val="table1"/>
              <w:rPr>
                <w:rFonts w:cs="Arial"/>
                <w:szCs w:val="16"/>
              </w:rPr>
            </w:pPr>
            <w:r w:rsidRPr="009C7C2D">
              <w:rPr>
                <w:rFonts w:cs="Arial"/>
                <w:szCs w:val="16"/>
              </w:rPr>
              <w:t>Georgetown Creek 2 (ERA monitoring site)</w:t>
            </w:r>
          </w:p>
        </w:tc>
      </w:tr>
      <w:tr w:rsidR="001C04E5"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GCDS</w:t>
            </w:r>
          </w:p>
        </w:tc>
        <w:tc>
          <w:tcPr>
            <w:tcW w:w="5528" w:type="dxa"/>
          </w:tcPr>
          <w:p w:rsidR="001C04E5" w:rsidRPr="009C7C2D" w:rsidRDefault="001C04E5" w:rsidP="003A4336">
            <w:pPr>
              <w:pStyle w:val="table1"/>
              <w:rPr>
                <w:rFonts w:cs="Arial"/>
                <w:szCs w:val="16"/>
              </w:rPr>
            </w:pPr>
            <w:r w:rsidRPr="009C7C2D">
              <w:rPr>
                <w:rFonts w:cs="Arial"/>
                <w:szCs w:val="16"/>
              </w:rPr>
              <w:t>Gulungul Creek Downstream (downstream monitoring site)</w:t>
            </w:r>
          </w:p>
        </w:tc>
      </w:tr>
      <w:tr w:rsidR="001C04E5"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GCLB</w:t>
            </w:r>
          </w:p>
        </w:tc>
        <w:tc>
          <w:tcPr>
            <w:tcW w:w="5528" w:type="dxa"/>
          </w:tcPr>
          <w:p w:rsidR="001C04E5" w:rsidRPr="009C7C2D" w:rsidRDefault="001C04E5" w:rsidP="003A4336">
            <w:pPr>
              <w:pStyle w:val="table1"/>
              <w:rPr>
                <w:rFonts w:cs="Arial"/>
                <w:szCs w:val="16"/>
              </w:rPr>
            </w:pPr>
            <w:r w:rsidRPr="009C7C2D">
              <w:t>Gulungul Creek left bank</w:t>
            </w:r>
          </w:p>
        </w:tc>
      </w:tr>
      <w:tr w:rsidR="001C04E5"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GCT2</w:t>
            </w:r>
          </w:p>
        </w:tc>
        <w:tc>
          <w:tcPr>
            <w:tcW w:w="5528" w:type="dxa"/>
          </w:tcPr>
          <w:p w:rsidR="001C04E5" w:rsidRPr="009C7C2D" w:rsidRDefault="001C04E5" w:rsidP="0027693D">
            <w:pPr>
              <w:pStyle w:val="table1"/>
              <w:rPr>
                <w:rFonts w:cs="Arial"/>
                <w:szCs w:val="16"/>
              </w:rPr>
            </w:pPr>
            <w:r w:rsidRPr="009C7C2D">
              <w:t>Gulungul Creek Tributary 2</w:t>
            </w:r>
          </w:p>
        </w:tc>
      </w:tr>
      <w:tr w:rsidR="001C04E5"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GCUS</w:t>
            </w:r>
          </w:p>
        </w:tc>
        <w:tc>
          <w:tcPr>
            <w:tcW w:w="5528" w:type="dxa"/>
          </w:tcPr>
          <w:p w:rsidR="001C04E5" w:rsidRPr="009C7C2D" w:rsidRDefault="001C04E5" w:rsidP="003A4336">
            <w:pPr>
              <w:pStyle w:val="table1"/>
              <w:rPr>
                <w:rFonts w:cs="Arial"/>
                <w:szCs w:val="16"/>
              </w:rPr>
            </w:pPr>
            <w:r w:rsidRPr="009C7C2D">
              <w:rPr>
                <w:rFonts w:cs="Arial"/>
                <w:szCs w:val="16"/>
              </w:rPr>
              <w:t>Gulungul Creek Upstream (upstream monitoring site)</w:t>
            </w:r>
          </w:p>
        </w:tc>
      </w:tr>
      <w:tr w:rsidR="001C04E5"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GHS</w:t>
            </w:r>
          </w:p>
        </w:tc>
        <w:tc>
          <w:tcPr>
            <w:tcW w:w="5528" w:type="dxa"/>
          </w:tcPr>
          <w:p w:rsidR="001C04E5" w:rsidRPr="009C7C2D" w:rsidRDefault="001C04E5" w:rsidP="003A4336">
            <w:pPr>
              <w:pStyle w:val="table1"/>
              <w:rPr>
                <w:rFonts w:cs="Arial"/>
                <w:szCs w:val="16"/>
              </w:rPr>
            </w:pPr>
            <w:r w:rsidRPr="009C7C2D">
              <w:t>Globally Harmoni</w:t>
            </w:r>
            <w:r w:rsidR="00EF698E">
              <w:t>s</w:t>
            </w:r>
            <w:r w:rsidRPr="009C7C2D">
              <w:t>ed System</w:t>
            </w:r>
          </w:p>
        </w:tc>
      </w:tr>
      <w:tr w:rsidR="001C04E5" w:rsidTr="004B6CDB">
        <w:trPr>
          <w:cantSplit/>
        </w:trPr>
        <w:tc>
          <w:tcPr>
            <w:tcW w:w="2093" w:type="dxa"/>
          </w:tcPr>
          <w:p w:rsidR="001C04E5" w:rsidRPr="009C7C2D" w:rsidRDefault="001C04E5" w:rsidP="003A4336">
            <w:pPr>
              <w:pStyle w:val="table1"/>
              <w:rPr>
                <w:rFonts w:cs="Arial"/>
                <w:szCs w:val="16"/>
                <w:lang w:eastAsia="en-AU"/>
              </w:rPr>
            </w:pPr>
            <w:r w:rsidRPr="009C7C2D">
              <w:rPr>
                <w:rFonts w:cs="Arial"/>
                <w:szCs w:val="16"/>
                <w:lang w:eastAsia="en-AU"/>
              </w:rPr>
              <w:t>grab sampling</w:t>
            </w:r>
          </w:p>
        </w:tc>
        <w:tc>
          <w:tcPr>
            <w:tcW w:w="5528" w:type="dxa"/>
          </w:tcPr>
          <w:p w:rsidR="001C04E5" w:rsidRPr="009C7C2D" w:rsidRDefault="001C04E5" w:rsidP="003A4336">
            <w:pPr>
              <w:pStyle w:val="table1"/>
              <w:rPr>
                <w:rFonts w:cs="Arial"/>
                <w:szCs w:val="16"/>
                <w:lang w:eastAsia="en-AU"/>
              </w:rPr>
            </w:pPr>
            <w:r w:rsidRPr="009C7C2D">
              <w:rPr>
                <w:rFonts w:cs="Arial"/>
                <w:szCs w:val="16"/>
                <w:lang w:eastAsia="en-AU"/>
              </w:rPr>
              <w:t xml:space="preserve">Collection of a discrete water sample for chemical analysis </w:t>
            </w:r>
          </w:p>
        </w:tc>
      </w:tr>
      <w:tr w:rsidR="001C04E5" w:rsidTr="004B6CDB">
        <w:trPr>
          <w:cantSplit/>
        </w:trPr>
        <w:tc>
          <w:tcPr>
            <w:tcW w:w="2093" w:type="dxa"/>
          </w:tcPr>
          <w:p w:rsidR="001C04E5" w:rsidRPr="009C7C2D" w:rsidRDefault="005F2C25" w:rsidP="003A4336">
            <w:pPr>
              <w:pStyle w:val="table1"/>
              <w:rPr>
                <w:rFonts w:cs="Arial"/>
                <w:szCs w:val="16"/>
              </w:rPr>
            </w:pPr>
            <w:r>
              <w:rPr>
                <w:rFonts w:cs="Arial"/>
                <w:szCs w:val="16"/>
              </w:rPr>
              <w:t>g</w:t>
            </w:r>
            <w:r w:rsidR="001C04E5" w:rsidRPr="009C7C2D">
              <w:rPr>
                <w:rFonts w:cs="Arial"/>
                <w:szCs w:val="16"/>
              </w:rPr>
              <w:t>ray (Gy)</w:t>
            </w:r>
          </w:p>
        </w:tc>
        <w:tc>
          <w:tcPr>
            <w:tcW w:w="5528" w:type="dxa"/>
          </w:tcPr>
          <w:p w:rsidR="001C04E5" w:rsidRPr="009C7C2D" w:rsidRDefault="001C04E5" w:rsidP="003A4336">
            <w:pPr>
              <w:pStyle w:val="table1"/>
              <w:rPr>
                <w:rFonts w:cs="Arial"/>
                <w:szCs w:val="16"/>
              </w:rPr>
            </w:pPr>
            <w:r w:rsidRPr="009C7C2D">
              <w:rPr>
                <w:rFonts w:cs="Arial"/>
                <w:szCs w:val="16"/>
              </w:rPr>
              <w:t>Name for absorbed dose 1 Gray = 1 Joule∙kg</w:t>
            </w:r>
            <w:r w:rsidRPr="009C7C2D">
              <w:rPr>
                <w:snapToGrid w:val="0"/>
                <w:color w:val="000000"/>
                <w:position w:val="4"/>
                <w:sz w:val="11"/>
                <w:szCs w:val="0"/>
                <w:u w:color="000000"/>
              </w:rPr>
              <w:t>-1</w:t>
            </w:r>
            <w:r w:rsidRPr="009C7C2D">
              <w:rPr>
                <w:rFonts w:cs="Arial"/>
                <w:szCs w:val="16"/>
              </w:rPr>
              <w:t>. The absorbed dose gives a measure for the energy imparted by ionising radiation to the mass of the matter contained in a given volume element.</w:t>
            </w:r>
          </w:p>
        </w:tc>
      </w:tr>
      <w:tr w:rsidR="001C04E5"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GHS</w:t>
            </w:r>
          </w:p>
        </w:tc>
        <w:tc>
          <w:tcPr>
            <w:tcW w:w="5528" w:type="dxa"/>
          </w:tcPr>
          <w:p w:rsidR="001C04E5" w:rsidRPr="009C7C2D" w:rsidRDefault="001C04E5" w:rsidP="003A4336">
            <w:pPr>
              <w:pStyle w:val="table1"/>
              <w:rPr>
                <w:rFonts w:cs="Arial"/>
                <w:szCs w:val="16"/>
              </w:rPr>
            </w:pPr>
            <w:r w:rsidRPr="009C7C2D">
              <w:t>Globally Harmoni</w:t>
            </w:r>
            <w:r w:rsidR="00EF698E">
              <w:t>s</w:t>
            </w:r>
            <w:r w:rsidRPr="009C7C2D">
              <w:t>ed System</w:t>
            </w:r>
          </w:p>
        </w:tc>
      </w:tr>
      <w:tr w:rsidR="001C04E5"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GTB</w:t>
            </w:r>
          </w:p>
        </w:tc>
        <w:tc>
          <w:tcPr>
            <w:tcW w:w="5528" w:type="dxa"/>
          </w:tcPr>
          <w:p w:rsidR="001C04E5" w:rsidRPr="009C7C2D" w:rsidRDefault="001C04E5" w:rsidP="003A4336">
            <w:pPr>
              <w:pStyle w:val="table1"/>
              <w:rPr>
                <w:rFonts w:cs="Arial"/>
                <w:szCs w:val="16"/>
              </w:rPr>
            </w:pPr>
            <w:r w:rsidRPr="009C7C2D">
              <w:t>Georgetown Billabong</w:t>
            </w:r>
          </w:p>
        </w:tc>
      </w:tr>
      <w:tr w:rsidR="001C04E5" w:rsidTr="004B6CDB">
        <w:trPr>
          <w:cantSplit/>
        </w:trPr>
        <w:tc>
          <w:tcPr>
            <w:tcW w:w="2093" w:type="dxa"/>
          </w:tcPr>
          <w:p w:rsidR="001C04E5" w:rsidRPr="009C7C2D" w:rsidRDefault="005F2C25" w:rsidP="003A4336">
            <w:pPr>
              <w:pStyle w:val="table1"/>
              <w:rPr>
                <w:rFonts w:cs="Arial"/>
                <w:szCs w:val="16"/>
                <w:lang w:eastAsia="en-AU"/>
              </w:rPr>
            </w:pPr>
            <w:r>
              <w:rPr>
                <w:rFonts w:cs="Arial"/>
                <w:szCs w:val="16"/>
                <w:lang w:eastAsia="en-AU"/>
              </w:rPr>
              <w:t>h</w:t>
            </w:r>
            <w:r w:rsidR="001C04E5" w:rsidRPr="009C7C2D">
              <w:rPr>
                <w:rFonts w:cs="Arial"/>
                <w:szCs w:val="16"/>
                <w:lang w:eastAsia="en-AU"/>
              </w:rPr>
              <w:t>alf-life</w:t>
            </w:r>
          </w:p>
        </w:tc>
        <w:tc>
          <w:tcPr>
            <w:tcW w:w="5528" w:type="dxa"/>
          </w:tcPr>
          <w:p w:rsidR="001C04E5" w:rsidRPr="009C7C2D" w:rsidRDefault="001C04E5" w:rsidP="003A4336">
            <w:pPr>
              <w:pStyle w:val="table1"/>
              <w:rPr>
                <w:rFonts w:cs="Arial"/>
                <w:spacing w:val="5"/>
                <w:szCs w:val="16"/>
                <w:lang w:eastAsia="en-AU"/>
              </w:rPr>
            </w:pPr>
            <w:r w:rsidRPr="009C7C2D">
              <w:rPr>
                <w:rFonts w:cs="Arial"/>
                <w:spacing w:val="-2"/>
                <w:szCs w:val="16"/>
                <w:lang w:eastAsia="en-AU"/>
              </w:rPr>
              <w:t>Time required to reduce by one-half the concentration (or activity in the case of a radionuclide) of a material in a medium (eg soil or water) or organism (e.g. fish tissue) by transport, degradation or transformation.</w:t>
            </w:r>
          </w:p>
        </w:tc>
      </w:tr>
      <w:tr w:rsidR="001C04E5" w:rsidTr="004B6CDB">
        <w:trPr>
          <w:cantSplit/>
        </w:trPr>
        <w:tc>
          <w:tcPr>
            <w:tcW w:w="2093" w:type="dxa"/>
          </w:tcPr>
          <w:p w:rsidR="001C04E5" w:rsidRPr="009C7C2D" w:rsidRDefault="001C04E5" w:rsidP="003A4336">
            <w:pPr>
              <w:pStyle w:val="table1"/>
              <w:rPr>
                <w:rFonts w:cs="Arial"/>
                <w:szCs w:val="16"/>
                <w:lang w:eastAsia="en-AU"/>
              </w:rPr>
            </w:pPr>
            <w:r w:rsidRPr="009C7C2D">
              <w:rPr>
                <w:rFonts w:cs="Arial"/>
                <w:szCs w:val="16"/>
                <w:lang w:eastAsia="en-AU"/>
              </w:rPr>
              <w:t>HSR</w:t>
            </w:r>
          </w:p>
        </w:tc>
        <w:tc>
          <w:tcPr>
            <w:tcW w:w="5528" w:type="dxa"/>
          </w:tcPr>
          <w:p w:rsidR="001C04E5" w:rsidRPr="009C7C2D" w:rsidRDefault="001C04E5" w:rsidP="003A4336">
            <w:pPr>
              <w:pStyle w:val="table1"/>
              <w:rPr>
                <w:rFonts w:cs="Arial"/>
                <w:spacing w:val="-2"/>
                <w:szCs w:val="16"/>
                <w:lang w:eastAsia="en-AU"/>
              </w:rPr>
            </w:pPr>
            <w:r w:rsidRPr="009C7C2D">
              <w:t>Health and Safety Representative</w:t>
            </w:r>
          </w:p>
        </w:tc>
      </w:tr>
      <w:tr w:rsidR="001C04E5" w:rsidTr="004B6CDB">
        <w:trPr>
          <w:cantSplit/>
        </w:trPr>
        <w:tc>
          <w:tcPr>
            <w:tcW w:w="2093" w:type="dxa"/>
          </w:tcPr>
          <w:p w:rsidR="001C04E5" w:rsidRPr="009C7C2D" w:rsidRDefault="001C04E5" w:rsidP="003A4336">
            <w:pPr>
              <w:pStyle w:val="table1"/>
              <w:rPr>
                <w:rFonts w:cs="Arial"/>
                <w:bCs/>
                <w:szCs w:val="16"/>
                <w:lang w:eastAsia="en-AU"/>
              </w:rPr>
            </w:pPr>
            <w:r w:rsidRPr="009C7C2D">
              <w:rPr>
                <w:rFonts w:cs="Arial"/>
                <w:bCs/>
                <w:szCs w:val="16"/>
                <w:lang w:eastAsia="en-AU"/>
              </w:rPr>
              <w:t>IAEA</w:t>
            </w:r>
          </w:p>
        </w:tc>
        <w:tc>
          <w:tcPr>
            <w:tcW w:w="5528" w:type="dxa"/>
          </w:tcPr>
          <w:p w:rsidR="001C04E5" w:rsidRPr="009C7C2D" w:rsidRDefault="001C04E5" w:rsidP="003A4336">
            <w:pPr>
              <w:pStyle w:val="table1"/>
              <w:rPr>
                <w:rFonts w:cs="Arial"/>
                <w:szCs w:val="16"/>
                <w:lang w:eastAsia="en-AU"/>
              </w:rPr>
            </w:pPr>
            <w:r w:rsidRPr="009C7C2D">
              <w:rPr>
                <w:rFonts w:cs="Arial"/>
                <w:szCs w:val="16"/>
                <w:lang w:eastAsia="en-AU"/>
              </w:rPr>
              <w:t>International Atomic Energy Agency</w:t>
            </w:r>
          </w:p>
        </w:tc>
      </w:tr>
      <w:tr w:rsidR="001C04E5"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IC50</w:t>
            </w:r>
          </w:p>
        </w:tc>
        <w:tc>
          <w:tcPr>
            <w:tcW w:w="5528" w:type="dxa"/>
          </w:tcPr>
          <w:p w:rsidR="001C04E5" w:rsidRPr="009C7C2D" w:rsidRDefault="001C04E5" w:rsidP="003A4336">
            <w:pPr>
              <w:pStyle w:val="table1"/>
              <w:rPr>
                <w:rFonts w:cs="Arial"/>
                <w:szCs w:val="16"/>
              </w:rPr>
            </w:pPr>
            <w:r w:rsidRPr="009C7C2D">
              <w:rPr>
                <w:rFonts w:cs="Arial"/>
                <w:szCs w:val="16"/>
              </w:rPr>
              <w:t>The concentration of a compound that causes a 50% inhibition in a particular response (e</w:t>
            </w:r>
            <w:r w:rsidR="00EF698E">
              <w:rPr>
                <w:rFonts w:cs="Arial"/>
                <w:szCs w:val="16"/>
              </w:rPr>
              <w:t>.</w:t>
            </w:r>
            <w:r w:rsidRPr="009C7C2D">
              <w:rPr>
                <w:rFonts w:cs="Arial"/>
                <w:szCs w:val="16"/>
              </w:rPr>
              <w:t>g</w:t>
            </w:r>
            <w:r w:rsidR="00EF698E">
              <w:rPr>
                <w:rFonts w:cs="Arial"/>
                <w:szCs w:val="16"/>
              </w:rPr>
              <w:t>.</w:t>
            </w:r>
            <w:r w:rsidRPr="009C7C2D">
              <w:rPr>
                <w:rFonts w:cs="Arial"/>
                <w:szCs w:val="16"/>
              </w:rPr>
              <w:t xml:space="preserve"> growth, reproduction) of an organism relative to that of a control organism (i</w:t>
            </w:r>
            <w:r w:rsidR="00EF698E">
              <w:rPr>
                <w:rFonts w:cs="Arial"/>
                <w:szCs w:val="16"/>
              </w:rPr>
              <w:t>.</w:t>
            </w:r>
            <w:r w:rsidRPr="009C7C2D">
              <w:rPr>
                <w:rFonts w:cs="Arial"/>
                <w:szCs w:val="16"/>
              </w:rPr>
              <w:t>e</w:t>
            </w:r>
            <w:r w:rsidR="00EF698E">
              <w:rPr>
                <w:rFonts w:cs="Arial"/>
                <w:szCs w:val="16"/>
              </w:rPr>
              <w:t>.</w:t>
            </w:r>
            <w:r w:rsidRPr="009C7C2D">
              <w:rPr>
                <w:rFonts w:cs="Arial"/>
                <w:szCs w:val="16"/>
              </w:rPr>
              <w:t xml:space="preserve"> an organism not exposed to the compound).</w:t>
            </w:r>
          </w:p>
        </w:tc>
      </w:tr>
      <w:tr w:rsidR="00A80A3D" w:rsidTr="004B6CDB">
        <w:trPr>
          <w:cantSplit/>
        </w:trPr>
        <w:tc>
          <w:tcPr>
            <w:tcW w:w="2093" w:type="dxa"/>
          </w:tcPr>
          <w:p w:rsidR="00A80A3D" w:rsidRPr="009C7C2D" w:rsidRDefault="00A80A3D" w:rsidP="003A4336">
            <w:pPr>
              <w:pStyle w:val="table1"/>
              <w:rPr>
                <w:rFonts w:cs="Arial"/>
                <w:szCs w:val="16"/>
              </w:rPr>
            </w:pPr>
            <w:r w:rsidRPr="009C7C2D">
              <w:rPr>
                <w:rFonts w:cs="Arial"/>
                <w:szCs w:val="16"/>
              </w:rPr>
              <w:t>ICP</w:t>
            </w:r>
            <w:r w:rsidR="009F55E1" w:rsidRPr="009C7C2D">
              <w:rPr>
                <w:rFonts w:cs="Arial"/>
                <w:szCs w:val="16"/>
              </w:rPr>
              <w:t>-</w:t>
            </w:r>
            <w:r w:rsidRPr="009C7C2D">
              <w:rPr>
                <w:rFonts w:cs="Arial"/>
                <w:szCs w:val="16"/>
              </w:rPr>
              <w:t>MS</w:t>
            </w:r>
          </w:p>
        </w:tc>
        <w:tc>
          <w:tcPr>
            <w:tcW w:w="5528" w:type="dxa"/>
          </w:tcPr>
          <w:p w:rsidR="00A80A3D" w:rsidRPr="009C7C2D" w:rsidRDefault="00A80A3D" w:rsidP="003A4336">
            <w:pPr>
              <w:pStyle w:val="table1"/>
              <w:rPr>
                <w:rFonts w:cs="Arial"/>
                <w:szCs w:val="16"/>
              </w:rPr>
            </w:pPr>
            <w:r w:rsidRPr="009C7C2D">
              <w:rPr>
                <w:rFonts w:cs="Arial"/>
                <w:szCs w:val="16"/>
              </w:rPr>
              <w:t>Inductively coupled plasma mass spectrometry</w:t>
            </w:r>
          </w:p>
        </w:tc>
      </w:tr>
      <w:tr w:rsidR="001C04E5"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ICRP</w:t>
            </w:r>
          </w:p>
        </w:tc>
        <w:tc>
          <w:tcPr>
            <w:tcW w:w="5528" w:type="dxa"/>
          </w:tcPr>
          <w:p w:rsidR="001C04E5" w:rsidRPr="009C7C2D" w:rsidRDefault="001C04E5" w:rsidP="003A4336">
            <w:pPr>
              <w:pStyle w:val="table1"/>
              <w:rPr>
                <w:rFonts w:cs="Arial"/>
                <w:szCs w:val="16"/>
              </w:rPr>
            </w:pPr>
            <w:r w:rsidRPr="009C7C2D">
              <w:rPr>
                <w:rFonts w:cs="Arial"/>
                <w:snapToGrid w:val="0"/>
                <w:szCs w:val="16"/>
                <w:lang w:val="en-US"/>
              </w:rPr>
              <w:t xml:space="preserve">International Commission on </w:t>
            </w:r>
            <w:r w:rsidRPr="009C7C2D">
              <w:rPr>
                <w:rFonts w:cs="Arial"/>
                <w:szCs w:val="16"/>
              </w:rPr>
              <w:t>Radiological</w:t>
            </w:r>
            <w:r w:rsidRPr="009C7C2D">
              <w:rPr>
                <w:rFonts w:cs="Arial"/>
                <w:sz w:val="20"/>
                <w:szCs w:val="16"/>
                <w:lang w:eastAsia="en-AU"/>
              </w:rPr>
              <w:t xml:space="preserve"> </w:t>
            </w:r>
            <w:r w:rsidRPr="009C7C2D">
              <w:rPr>
                <w:rFonts w:cs="Arial"/>
                <w:snapToGrid w:val="0"/>
                <w:szCs w:val="16"/>
                <w:lang w:val="en-US"/>
              </w:rPr>
              <w:t>Protection</w:t>
            </w:r>
          </w:p>
        </w:tc>
      </w:tr>
      <w:tr w:rsidR="001C04E5"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ionising radiation</w:t>
            </w:r>
          </w:p>
        </w:tc>
        <w:tc>
          <w:tcPr>
            <w:tcW w:w="5528" w:type="dxa"/>
          </w:tcPr>
          <w:p w:rsidR="001C04E5" w:rsidRPr="009C7C2D" w:rsidRDefault="001C04E5" w:rsidP="003A4336">
            <w:pPr>
              <w:pStyle w:val="table1"/>
              <w:rPr>
                <w:rFonts w:cs="Arial"/>
                <w:szCs w:val="16"/>
              </w:rPr>
            </w:pPr>
            <w:r w:rsidRPr="009C7C2D">
              <w:rPr>
                <w:rFonts w:cs="Arial"/>
                <w:szCs w:val="16"/>
              </w:rPr>
              <w:t>Sub-atomic particles (α, β) or electromagnetic (γ, x-rays) radiation that have enough energy to knock out an electron from the electron shell of molecules or atoms, thereby ionising them.</w:t>
            </w:r>
            <w:r w:rsidR="003F2E62" w:rsidRPr="009C7C2D">
              <w:rPr>
                <w:rFonts w:cs="Arial"/>
                <w:szCs w:val="16"/>
              </w:rPr>
              <w:t xml:space="preserve"> </w:t>
            </w:r>
          </w:p>
        </w:tc>
      </w:tr>
      <w:tr w:rsidR="00A80A3D" w:rsidTr="004B6CDB">
        <w:trPr>
          <w:cantSplit/>
        </w:trPr>
        <w:tc>
          <w:tcPr>
            <w:tcW w:w="2093" w:type="dxa"/>
          </w:tcPr>
          <w:p w:rsidR="00A80A3D" w:rsidRPr="009C7C2D" w:rsidRDefault="00A80A3D" w:rsidP="003A4336">
            <w:pPr>
              <w:pStyle w:val="table1"/>
              <w:rPr>
                <w:rFonts w:cs="Arial"/>
                <w:szCs w:val="16"/>
              </w:rPr>
            </w:pPr>
            <w:r w:rsidRPr="009C7C2D">
              <w:rPr>
                <w:rFonts w:cs="Arial"/>
                <w:szCs w:val="16"/>
              </w:rPr>
              <w:t>IMDG</w:t>
            </w:r>
          </w:p>
        </w:tc>
        <w:tc>
          <w:tcPr>
            <w:tcW w:w="5528" w:type="dxa"/>
          </w:tcPr>
          <w:p w:rsidR="00A80A3D" w:rsidRPr="009C7C2D" w:rsidRDefault="00A80A3D" w:rsidP="003A4336">
            <w:pPr>
              <w:pStyle w:val="table1"/>
              <w:rPr>
                <w:rFonts w:cs="Arial"/>
                <w:szCs w:val="16"/>
              </w:rPr>
            </w:pPr>
            <w:r w:rsidRPr="009C7C2D">
              <w:t>International Maritime Dangerous Goods</w:t>
            </w:r>
          </w:p>
        </w:tc>
      </w:tr>
      <w:tr w:rsidR="003F2E62" w:rsidTr="004B6CDB">
        <w:trPr>
          <w:cantSplit/>
        </w:trPr>
        <w:tc>
          <w:tcPr>
            <w:tcW w:w="2093" w:type="dxa"/>
          </w:tcPr>
          <w:p w:rsidR="003F2E62" w:rsidRPr="009C7C2D" w:rsidRDefault="005F2C25" w:rsidP="003A4336">
            <w:pPr>
              <w:pStyle w:val="table1"/>
              <w:rPr>
                <w:rFonts w:cs="Arial"/>
                <w:szCs w:val="16"/>
              </w:rPr>
            </w:pPr>
            <w:r>
              <w:rPr>
                <w:i/>
              </w:rPr>
              <w:t>i</w:t>
            </w:r>
            <w:r w:rsidR="003F2E62" w:rsidRPr="009C7C2D">
              <w:rPr>
                <w:i/>
              </w:rPr>
              <w:t>n situ</w:t>
            </w:r>
          </w:p>
        </w:tc>
        <w:tc>
          <w:tcPr>
            <w:tcW w:w="5528" w:type="dxa"/>
          </w:tcPr>
          <w:p w:rsidR="003F2E62" w:rsidRPr="009C7C2D" w:rsidRDefault="003F2E62" w:rsidP="003A4336">
            <w:pPr>
              <w:pStyle w:val="table1"/>
              <w:rPr>
                <w:rFonts w:cs="Arial"/>
                <w:szCs w:val="16"/>
              </w:rPr>
            </w:pPr>
            <w:r w:rsidRPr="009C7C2D">
              <w:t xml:space="preserve">a Latin phrase that translates to </w:t>
            </w:r>
            <w:r w:rsidR="00EF698E">
              <w:t>‘</w:t>
            </w:r>
            <w:r w:rsidRPr="009C7C2D">
              <w:t>on site</w:t>
            </w:r>
            <w:r w:rsidR="00EF698E">
              <w:t>’</w:t>
            </w:r>
          </w:p>
        </w:tc>
      </w:tr>
      <w:tr w:rsidR="00A80A3D" w:rsidTr="004B6CDB">
        <w:trPr>
          <w:cantSplit/>
        </w:trPr>
        <w:tc>
          <w:tcPr>
            <w:tcW w:w="2093" w:type="dxa"/>
          </w:tcPr>
          <w:p w:rsidR="00A80A3D" w:rsidRPr="009C7C2D" w:rsidRDefault="00A80A3D" w:rsidP="003A4336">
            <w:pPr>
              <w:pStyle w:val="table1"/>
            </w:pPr>
            <w:r w:rsidRPr="009C7C2D">
              <w:t>ISWWG</w:t>
            </w:r>
          </w:p>
        </w:tc>
        <w:tc>
          <w:tcPr>
            <w:tcW w:w="5528" w:type="dxa"/>
          </w:tcPr>
          <w:p w:rsidR="00A80A3D" w:rsidRPr="009C7C2D" w:rsidRDefault="00A80A3D" w:rsidP="003A4336">
            <w:pPr>
              <w:pStyle w:val="table1"/>
            </w:pPr>
            <w:r w:rsidRPr="009C7C2D">
              <w:t>Independent Surface Water Working Group</w:t>
            </w:r>
          </w:p>
        </w:tc>
      </w:tr>
      <w:tr w:rsidR="00A80A3D" w:rsidTr="004B6CDB">
        <w:trPr>
          <w:cantSplit/>
        </w:trPr>
        <w:tc>
          <w:tcPr>
            <w:tcW w:w="2093" w:type="dxa"/>
          </w:tcPr>
          <w:p w:rsidR="00A80A3D" w:rsidRPr="009C7C2D" w:rsidRDefault="00A80A3D" w:rsidP="003A4336">
            <w:pPr>
              <w:pStyle w:val="table1"/>
            </w:pPr>
            <w:r w:rsidRPr="009C7C2D">
              <w:t>IT</w:t>
            </w:r>
          </w:p>
        </w:tc>
        <w:tc>
          <w:tcPr>
            <w:tcW w:w="5528" w:type="dxa"/>
          </w:tcPr>
          <w:p w:rsidR="00A80A3D" w:rsidRPr="009C7C2D" w:rsidRDefault="00A80A3D" w:rsidP="003A4336">
            <w:pPr>
              <w:pStyle w:val="table1"/>
            </w:pPr>
            <w:r w:rsidRPr="009C7C2D">
              <w:t>Information Technology</w:t>
            </w:r>
          </w:p>
        </w:tc>
      </w:tr>
      <w:tr w:rsidR="001C04E5"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IWMP</w:t>
            </w:r>
          </w:p>
        </w:tc>
        <w:tc>
          <w:tcPr>
            <w:tcW w:w="5528" w:type="dxa"/>
          </w:tcPr>
          <w:p w:rsidR="001C04E5" w:rsidRPr="009C7C2D" w:rsidRDefault="001C04E5" w:rsidP="003A4336">
            <w:pPr>
              <w:pStyle w:val="table1"/>
              <w:rPr>
                <w:rFonts w:cs="Arial"/>
                <w:szCs w:val="16"/>
              </w:rPr>
            </w:pPr>
            <w:r w:rsidRPr="009C7C2D">
              <w:rPr>
                <w:rFonts w:cs="Arial"/>
                <w:szCs w:val="16"/>
                <w:lang w:val="en-US"/>
              </w:rPr>
              <w:t>Interim Water Management Pond</w:t>
            </w:r>
          </w:p>
        </w:tc>
      </w:tr>
      <w:tr w:rsidR="001C04E5"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JFS</w:t>
            </w:r>
          </w:p>
        </w:tc>
        <w:tc>
          <w:tcPr>
            <w:tcW w:w="5528" w:type="dxa"/>
          </w:tcPr>
          <w:p w:rsidR="001C04E5" w:rsidRPr="009C7C2D" w:rsidRDefault="001C04E5" w:rsidP="003A4336">
            <w:pPr>
              <w:pStyle w:val="table1"/>
              <w:rPr>
                <w:rFonts w:cs="Arial"/>
                <w:szCs w:val="16"/>
                <w:lang w:val="en-US"/>
              </w:rPr>
            </w:pPr>
            <w:r w:rsidRPr="009C7C2D">
              <w:rPr>
                <w:spacing w:val="-2"/>
              </w:rPr>
              <w:t>Jabiru Field Station</w:t>
            </w:r>
          </w:p>
        </w:tc>
      </w:tr>
      <w:tr w:rsidR="00A80A3D" w:rsidTr="004B6CDB">
        <w:trPr>
          <w:cantSplit/>
        </w:trPr>
        <w:tc>
          <w:tcPr>
            <w:tcW w:w="2093" w:type="dxa"/>
          </w:tcPr>
          <w:p w:rsidR="00A80A3D" w:rsidRPr="009C7C2D" w:rsidRDefault="00A80A3D" w:rsidP="003A4336">
            <w:pPr>
              <w:pStyle w:val="table1"/>
              <w:rPr>
                <w:rFonts w:cs="Arial"/>
                <w:szCs w:val="16"/>
              </w:rPr>
            </w:pPr>
            <w:r w:rsidRPr="009C7C2D">
              <w:rPr>
                <w:rFonts w:cs="Arial"/>
                <w:szCs w:val="16"/>
              </w:rPr>
              <w:t>JMB</w:t>
            </w:r>
          </w:p>
        </w:tc>
        <w:tc>
          <w:tcPr>
            <w:tcW w:w="5528" w:type="dxa"/>
          </w:tcPr>
          <w:p w:rsidR="00A80A3D" w:rsidRPr="009C7C2D" w:rsidRDefault="00A80A3D" w:rsidP="003A4336">
            <w:pPr>
              <w:pStyle w:val="table1"/>
              <w:rPr>
                <w:spacing w:val="-2"/>
              </w:rPr>
            </w:pPr>
            <w:r w:rsidRPr="009C7C2D">
              <w:rPr>
                <w:spacing w:val="-2"/>
              </w:rPr>
              <w:t>Joint Management Branch</w:t>
            </w:r>
          </w:p>
        </w:tc>
      </w:tr>
      <w:tr w:rsidR="001C04E5"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KKN</w:t>
            </w:r>
          </w:p>
        </w:tc>
        <w:tc>
          <w:tcPr>
            <w:tcW w:w="5528" w:type="dxa"/>
          </w:tcPr>
          <w:p w:rsidR="001C04E5" w:rsidRPr="009C7C2D" w:rsidRDefault="001C04E5" w:rsidP="003A4336">
            <w:pPr>
              <w:pStyle w:val="table1"/>
              <w:rPr>
                <w:rFonts w:cs="Arial"/>
                <w:szCs w:val="16"/>
                <w:lang w:val="en-US"/>
              </w:rPr>
            </w:pPr>
            <w:r w:rsidRPr="009C7C2D">
              <w:rPr>
                <w:rFonts w:cs="Arial"/>
                <w:szCs w:val="16"/>
                <w:lang w:val="en-US"/>
              </w:rPr>
              <w:t>Key Knowledge Needs</w:t>
            </w:r>
          </w:p>
        </w:tc>
      </w:tr>
      <w:tr w:rsidR="001C04E5"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KNP</w:t>
            </w:r>
          </w:p>
        </w:tc>
        <w:tc>
          <w:tcPr>
            <w:tcW w:w="5528" w:type="dxa"/>
          </w:tcPr>
          <w:p w:rsidR="001C04E5" w:rsidRPr="009C7C2D" w:rsidRDefault="001C04E5" w:rsidP="003A4336">
            <w:pPr>
              <w:pStyle w:val="table1"/>
              <w:rPr>
                <w:rFonts w:cs="Arial"/>
                <w:szCs w:val="16"/>
                <w:lang w:val="en-US"/>
              </w:rPr>
            </w:pPr>
            <w:r w:rsidRPr="009C7C2D">
              <w:t>Kakadu National Park</w:t>
            </w:r>
          </w:p>
        </w:tc>
      </w:tr>
      <w:tr w:rsidR="001C04E5"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KRAC</w:t>
            </w:r>
          </w:p>
        </w:tc>
        <w:tc>
          <w:tcPr>
            <w:tcW w:w="5528" w:type="dxa"/>
          </w:tcPr>
          <w:p w:rsidR="001C04E5" w:rsidRPr="009C7C2D" w:rsidRDefault="001C04E5" w:rsidP="003A4336">
            <w:pPr>
              <w:pStyle w:val="table1"/>
              <w:rPr>
                <w:rFonts w:cs="Arial"/>
                <w:szCs w:val="16"/>
                <w:lang w:val="en-US"/>
              </w:rPr>
            </w:pPr>
            <w:r w:rsidRPr="009C7C2D">
              <w:t>Kakadu Research Advisory Committee</w:t>
            </w:r>
          </w:p>
        </w:tc>
      </w:tr>
      <w:tr w:rsidR="001C04E5" w:rsidTr="004B6CDB">
        <w:trPr>
          <w:cantSplit/>
        </w:trPr>
        <w:tc>
          <w:tcPr>
            <w:tcW w:w="2093" w:type="dxa"/>
          </w:tcPr>
          <w:p w:rsidR="001C04E5" w:rsidRDefault="001C04E5" w:rsidP="003A4336">
            <w:pPr>
              <w:pStyle w:val="table1"/>
              <w:rPr>
                <w:rFonts w:cs="Arial"/>
                <w:szCs w:val="16"/>
              </w:rPr>
            </w:pPr>
            <w:r>
              <w:rPr>
                <w:rFonts w:cs="Arial"/>
                <w:szCs w:val="16"/>
              </w:rPr>
              <w:t>LAA</w:t>
            </w:r>
          </w:p>
        </w:tc>
        <w:tc>
          <w:tcPr>
            <w:tcW w:w="5528" w:type="dxa"/>
          </w:tcPr>
          <w:p w:rsidR="001C04E5" w:rsidRDefault="001C04E5" w:rsidP="003A4336">
            <w:pPr>
              <w:pStyle w:val="table1"/>
              <w:rPr>
                <w:rFonts w:cs="Arial"/>
                <w:szCs w:val="16"/>
                <w:lang w:val="en-US"/>
              </w:rPr>
            </w:pPr>
            <w:r>
              <w:rPr>
                <w:rFonts w:cs="Arial"/>
                <w:szCs w:val="16"/>
                <w:lang w:val="en-US"/>
              </w:rPr>
              <w:t>Land Application Area</w:t>
            </w:r>
          </w:p>
        </w:tc>
      </w:tr>
      <w:tr w:rsidR="001C04E5" w:rsidRPr="00F93D84" w:rsidTr="004B6CDB">
        <w:trPr>
          <w:cantSplit/>
        </w:trPr>
        <w:tc>
          <w:tcPr>
            <w:tcW w:w="2093" w:type="dxa"/>
          </w:tcPr>
          <w:p w:rsidR="001C04E5" w:rsidRPr="00F93D84" w:rsidRDefault="001C04E5" w:rsidP="003A4336">
            <w:pPr>
              <w:pStyle w:val="table1"/>
              <w:rPr>
                <w:rFonts w:cs="Arial"/>
                <w:szCs w:val="16"/>
              </w:rPr>
            </w:pPr>
            <w:r w:rsidRPr="00F93D84">
              <w:rPr>
                <w:rFonts w:cs="Arial"/>
                <w:szCs w:val="16"/>
              </w:rPr>
              <w:t>land application</w:t>
            </w:r>
          </w:p>
        </w:tc>
        <w:tc>
          <w:tcPr>
            <w:tcW w:w="5528" w:type="dxa"/>
          </w:tcPr>
          <w:p w:rsidR="001C04E5" w:rsidRPr="00F93D84" w:rsidRDefault="001C04E5" w:rsidP="003A4336">
            <w:pPr>
              <w:pStyle w:val="table1"/>
              <w:rPr>
                <w:rFonts w:cs="Arial"/>
                <w:szCs w:val="16"/>
              </w:rPr>
            </w:pPr>
            <w:r w:rsidRPr="00F93D84">
              <w:rPr>
                <w:rFonts w:cs="Arial"/>
                <w:szCs w:val="16"/>
              </w:rPr>
              <w:t>A method for management of excess accumulated water by spray irrigation. The method depends on the evaporation from spray droplets, and from vegetation and ground surfaces once it reaches them.</w:t>
            </w:r>
          </w:p>
        </w:tc>
      </w:tr>
      <w:tr w:rsidR="001C04E5" w:rsidTr="004B6CDB">
        <w:trPr>
          <w:cantSplit/>
        </w:trPr>
        <w:tc>
          <w:tcPr>
            <w:tcW w:w="2093" w:type="dxa"/>
          </w:tcPr>
          <w:p w:rsidR="001C04E5" w:rsidRPr="00F93D84" w:rsidRDefault="005F2C25" w:rsidP="003A4336">
            <w:pPr>
              <w:pStyle w:val="table1"/>
              <w:rPr>
                <w:rFonts w:cs="Arial"/>
                <w:szCs w:val="16"/>
                <w:lang w:eastAsia="en-AU"/>
              </w:rPr>
            </w:pPr>
            <w:r>
              <w:rPr>
                <w:rFonts w:cs="Arial"/>
                <w:bCs/>
                <w:szCs w:val="16"/>
                <w:lang w:eastAsia="en-AU"/>
              </w:rPr>
              <w:t>l</w:t>
            </w:r>
            <w:r w:rsidR="001C04E5" w:rsidRPr="00F93D84">
              <w:rPr>
                <w:rFonts w:cs="Arial"/>
                <w:bCs/>
                <w:szCs w:val="16"/>
                <w:lang w:eastAsia="en-AU"/>
              </w:rPr>
              <w:t>aterite</w:t>
            </w:r>
          </w:p>
        </w:tc>
        <w:tc>
          <w:tcPr>
            <w:tcW w:w="5528" w:type="dxa"/>
          </w:tcPr>
          <w:p w:rsidR="001C04E5" w:rsidRPr="00F93D84" w:rsidRDefault="001C04E5" w:rsidP="003A4336">
            <w:pPr>
              <w:pStyle w:val="table1"/>
              <w:rPr>
                <w:rFonts w:cs="Arial"/>
                <w:szCs w:val="16"/>
                <w:lang w:eastAsia="en-AU"/>
              </w:rPr>
            </w:pPr>
            <w:r w:rsidRPr="00F93D84">
              <w:rPr>
                <w:rFonts w:cs="Arial"/>
                <w:szCs w:val="16"/>
                <w:lang w:eastAsia="en-AU"/>
              </w:rPr>
              <w:t>In the Ranger mine context, laterite is a local term used to describe well weathered rock and soil profile material that consists primarily of a mixture of sand and silt/clay size particles. It may or may not exhibit characteristics of a fully-developed laterite profile.</w:t>
            </w:r>
          </w:p>
        </w:tc>
      </w:tr>
      <w:tr w:rsidR="001C04E5" w:rsidTr="004B6CDB">
        <w:trPr>
          <w:cantSplit/>
        </w:trPr>
        <w:tc>
          <w:tcPr>
            <w:tcW w:w="2093" w:type="dxa"/>
          </w:tcPr>
          <w:p w:rsidR="001C04E5" w:rsidRPr="00F93D84" w:rsidRDefault="001C04E5" w:rsidP="003A4336">
            <w:pPr>
              <w:pStyle w:val="table1"/>
              <w:rPr>
                <w:rFonts w:cs="Arial"/>
                <w:szCs w:val="16"/>
              </w:rPr>
            </w:pPr>
            <w:r w:rsidRPr="00F93D84">
              <w:rPr>
                <w:rFonts w:cs="Arial"/>
                <w:szCs w:val="16"/>
              </w:rPr>
              <w:t>LC50</w:t>
            </w:r>
          </w:p>
        </w:tc>
        <w:tc>
          <w:tcPr>
            <w:tcW w:w="5528" w:type="dxa"/>
          </w:tcPr>
          <w:p w:rsidR="001C04E5" w:rsidRPr="00F93D84" w:rsidRDefault="001C04E5" w:rsidP="003A4336">
            <w:pPr>
              <w:pStyle w:val="table1"/>
              <w:rPr>
                <w:rFonts w:cs="Arial"/>
                <w:szCs w:val="16"/>
              </w:rPr>
            </w:pPr>
            <w:r w:rsidRPr="00F93D84">
              <w:rPr>
                <w:rFonts w:cs="Arial"/>
                <w:szCs w:val="16"/>
              </w:rPr>
              <w:t>The concentration of a compound that causes the death of 50% of a group of organisms relative to that of a control group of organisms (i</w:t>
            </w:r>
            <w:r w:rsidR="00E4590D">
              <w:rPr>
                <w:rFonts w:cs="Arial"/>
                <w:szCs w:val="16"/>
              </w:rPr>
              <w:t>.</w:t>
            </w:r>
            <w:r w:rsidRPr="00F93D84">
              <w:rPr>
                <w:rFonts w:cs="Arial"/>
                <w:szCs w:val="16"/>
              </w:rPr>
              <w:t>e</w:t>
            </w:r>
            <w:r w:rsidR="00E4590D">
              <w:rPr>
                <w:rFonts w:cs="Arial"/>
                <w:szCs w:val="16"/>
              </w:rPr>
              <w:t>.</w:t>
            </w:r>
            <w:r w:rsidRPr="00F93D84">
              <w:rPr>
                <w:rFonts w:cs="Arial"/>
                <w:szCs w:val="16"/>
              </w:rPr>
              <w:t xml:space="preserve"> a group of organisms not exposed to the compound).</w:t>
            </w:r>
          </w:p>
        </w:tc>
      </w:tr>
      <w:tr w:rsidR="001C04E5" w:rsidRPr="00F93D84" w:rsidTr="004B6CDB">
        <w:trPr>
          <w:cantSplit/>
        </w:trPr>
        <w:tc>
          <w:tcPr>
            <w:tcW w:w="2093" w:type="dxa"/>
          </w:tcPr>
          <w:p w:rsidR="001C04E5" w:rsidRPr="009C7C2D" w:rsidRDefault="001C04E5" w:rsidP="003A4336">
            <w:pPr>
              <w:pStyle w:val="table1"/>
            </w:pPr>
            <w:r w:rsidRPr="009C7C2D">
              <w:t>LLAA</w:t>
            </w:r>
          </w:p>
        </w:tc>
        <w:tc>
          <w:tcPr>
            <w:tcW w:w="5528" w:type="dxa"/>
          </w:tcPr>
          <w:p w:rsidR="001C04E5" w:rsidRPr="009C7C2D" w:rsidRDefault="001C04E5" w:rsidP="003A4336">
            <w:pPr>
              <w:pStyle w:val="table1"/>
            </w:pPr>
            <w:r w:rsidRPr="009C7C2D">
              <w:t>Long-lived alpha activity</w:t>
            </w:r>
          </w:p>
        </w:tc>
      </w:tr>
      <w:tr w:rsidR="005C69AC" w:rsidRPr="00F93D84" w:rsidTr="004B6CDB">
        <w:trPr>
          <w:cantSplit/>
        </w:trPr>
        <w:tc>
          <w:tcPr>
            <w:tcW w:w="2093" w:type="dxa"/>
          </w:tcPr>
          <w:p w:rsidR="005C69AC" w:rsidRPr="009C7C2D" w:rsidRDefault="005C69AC" w:rsidP="003A4336">
            <w:pPr>
              <w:pStyle w:val="table1"/>
            </w:pPr>
            <w:r w:rsidRPr="009C7C2D">
              <w:t>LNG</w:t>
            </w:r>
          </w:p>
        </w:tc>
        <w:tc>
          <w:tcPr>
            <w:tcW w:w="5528" w:type="dxa"/>
          </w:tcPr>
          <w:p w:rsidR="005C69AC" w:rsidRPr="009C7C2D" w:rsidRDefault="005C69AC" w:rsidP="003A4336">
            <w:pPr>
              <w:pStyle w:val="table1"/>
            </w:pPr>
            <w:r w:rsidRPr="009C7C2D">
              <w:t>Liquefied Natural Gas</w:t>
            </w:r>
          </w:p>
        </w:tc>
      </w:tr>
      <w:tr w:rsidR="001C04E5" w:rsidRPr="00F93D84" w:rsidTr="004B6CDB">
        <w:trPr>
          <w:cantSplit/>
        </w:trPr>
        <w:tc>
          <w:tcPr>
            <w:tcW w:w="2093" w:type="dxa"/>
          </w:tcPr>
          <w:p w:rsidR="001C04E5" w:rsidRPr="009C7C2D" w:rsidRDefault="001C04E5" w:rsidP="003A4336">
            <w:pPr>
              <w:pStyle w:val="table1"/>
            </w:pPr>
            <w:r w:rsidRPr="009C7C2D">
              <w:t>MCDW</w:t>
            </w:r>
          </w:p>
        </w:tc>
        <w:tc>
          <w:tcPr>
            <w:tcW w:w="5528" w:type="dxa"/>
          </w:tcPr>
          <w:p w:rsidR="001C04E5" w:rsidRPr="009C7C2D" w:rsidRDefault="001C04E5" w:rsidP="003A4336">
            <w:pPr>
              <w:pStyle w:val="table1"/>
            </w:pPr>
            <w:r w:rsidRPr="009C7C2D">
              <w:t>Magela Creek Downstream West (downstream monitoring site)</w:t>
            </w:r>
          </w:p>
        </w:tc>
      </w:tr>
      <w:tr w:rsidR="001C04E5" w:rsidRPr="00F93D84" w:rsidTr="004B6CDB">
        <w:trPr>
          <w:cantSplit/>
        </w:trPr>
        <w:tc>
          <w:tcPr>
            <w:tcW w:w="2093" w:type="dxa"/>
          </w:tcPr>
          <w:p w:rsidR="001C04E5" w:rsidRPr="009C7C2D" w:rsidRDefault="001C04E5" w:rsidP="003A4336">
            <w:pPr>
              <w:pStyle w:val="table1"/>
            </w:pPr>
            <w:r w:rsidRPr="009C7C2D">
              <w:t>MCUGT</w:t>
            </w:r>
          </w:p>
        </w:tc>
        <w:tc>
          <w:tcPr>
            <w:tcW w:w="5528" w:type="dxa"/>
          </w:tcPr>
          <w:p w:rsidR="001C04E5" w:rsidRPr="009C7C2D" w:rsidRDefault="001C04E5" w:rsidP="003A4336">
            <w:pPr>
              <w:pStyle w:val="table1"/>
            </w:pPr>
            <w:r w:rsidRPr="009C7C2D">
              <w:t>Magela Creek Upstream Georgetown (upstream monitoring site)</w:t>
            </w:r>
          </w:p>
        </w:tc>
      </w:tr>
      <w:tr w:rsidR="00A80A3D" w:rsidRPr="00F93D84" w:rsidTr="004B6CDB">
        <w:trPr>
          <w:cantSplit/>
        </w:trPr>
        <w:tc>
          <w:tcPr>
            <w:tcW w:w="2093" w:type="dxa"/>
          </w:tcPr>
          <w:p w:rsidR="00A80A3D" w:rsidRPr="009C7C2D" w:rsidRDefault="00A80A3D" w:rsidP="003A4336">
            <w:pPr>
              <w:pStyle w:val="table1"/>
            </w:pPr>
            <w:r w:rsidRPr="009C7C2D">
              <w:t>MODARIA</w:t>
            </w:r>
          </w:p>
        </w:tc>
        <w:tc>
          <w:tcPr>
            <w:tcW w:w="5528" w:type="dxa"/>
          </w:tcPr>
          <w:p w:rsidR="00A80A3D" w:rsidRPr="009C7C2D" w:rsidRDefault="00A80A3D" w:rsidP="003A4336">
            <w:pPr>
              <w:pStyle w:val="table1"/>
            </w:pPr>
            <w:r w:rsidRPr="009C7C2D">
              <w:t>Modelling and Data for Radiological Impact Assessment</w:t>
            </w:r>
          </w:p>
        </w:tc>
      </w:tr>
      <w:tr w:rsidR="001C04E5" w:rsidRPr="00F93D84"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MOL</w:t>
            </w:r>
          </w:p>
        </w:tc>
        <w:tc>
          <w:tcPr>
            <w:tcW w:w="5528" w:type="dxa"/>
          </w:tcPr>
          <w:p w:rsidR="001C04E5" w:rsidRPr="009C7C2D" w:rsidRDefault="001C04E5" w:rsidP="003A4336">
            <w:pPr>
              <w:pStyle w:val="table1"/>
              <w:rPr>
                <w:rFonts w:cs="Arial"/>
                <w:szCs w:val="16"/>
              </w:rPr>
            </w:pPr>
            <w:r w:rsidRPr="009C7C2D">
              <w:rPr>
                <w:rFonts w:cs="Arial"/>
                <w:szCs w:val="16"/>
              </w:rPr>
              <w:t>Maximum Operating Level. The maximum level at which a liquid containing impoundment can be operated.</w:t>
            </w:r>
          </w:p>
        </w:tc>
      </w:tr>
      <w:tr w:rsidR="00A80A3D" w:rsidRPr="00F93D84" w:rsidTr="004B6CDB">
        <w:trPr>
          <w:cantSplit/>
        </w:trPr>
        <w:tc>
          <w:tcPr>
            <w:tcW w:w="2093" w:type="dxa"/>
          </w:tcPr>
          <w:p w:rsidR="00A80A3D" w:rsidRPr="009C7C2D" w:rsidRDefault="00A80A3D" w:rsidP="003A4336">
            <w:pPr>
              <w:pStyle w:val="table1"/>
              <w:rPr>
                <w:rFonts w:cs="Arial"/>
                <w:szCs w:val="16"/>
              </w:rPr>
            </w:pPr>
            <w:r w:rsidRPr="009C7C2D">
              <w:rPr>
                <w:rFonts w:cs="Arial"/>
                <w:szCs w:val="16"/>
              </w:rPr>
              <w:t>MMP</w:t>
            </w:r>
          </w:p>
        </w:tc>
        <w:tc>
          <w:tcPr>
            <w:tcW w:w="5528" w:type="dxa"/>
          </w:tcPr>
          <w:p w:rsidR="00A80A3D" w:rsidRPr="009C7C2D" w:rsidRDefault="00A80A3D" w:rsidP="003A4336">
            <w:pPr>
              <w:pStyle w:val="table1"/>
              <w:rPr>
                <w:rFonts w:cs="Arial"/>
                <w:szCs w:val="16"/>
              </w:rPr>
            </w:pPr>
            <w:r w:rsidRPr="009C7C2D">
              <w:t>Mining Management Plan</w:t>
            </w:r>
          </w:p>
        </w:tc>
      </w:tr>
      <w:tr w:rsidR="00A80A3D" w:rsidRPr="00F93D84" w:rsidTr="004B6CDB">
        <w:trPr>
          <w:cantSplit/>
        </w:trPr>
        <w:tc>
          <w:tcPr>
            <w:tcW w:w="2093" w:type="dxa"/>
          </w:tcPr>
          <w:p w:rsidR="00A80A3D" w:rsidRPr="009C7C2D" w:rsidRDefault="00A80A3D" w:rsidP="003A4336">
            <w:pPr>
              <w:pStyle w:val="table1"/>
              <w:rPr>
                <w:rFonts w:cs="Arial"/>
                <w:szCs w:val="16"/>
              </w:rPr>
            </w:pPr>
            <w:r w:rsidRPr="009C7C2D">
              <w:rPr>
                <w:rFonts w:cs="Arial"/>
                <w:szCs w:val="16"/>
              </w:rPr>
              <w:t>MNES</w:t>
            </w:r>
          </w:p>
        </w:tc>
        <w:tc>
          <w:tcPr>
            <w:tcW w:w="5528" w:type="dxa"/>
          </w:tcPr>
          <w:p w:rsidR="00A80A3D" w:rsidRPr="009C7C2D" w:rsidRDefault="00A80A3D" w:rsidP="003A4336">
            <w:pPr>
              <w:pStyle w:val="table1"/>
            </w:pPr>
            <w:r w:rsidRPr="009C7C2D">
              <w:t>Matters of National Environmental Significance</w:t>
            </w:r>
          </w:p>
        </w:tc>
      </w:tr>
      <w:tr w:rsidR="001C04E5" w:rsidRPr="00F93D84"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mRL</w:t>
            </w:r>
          </w:p>
        </w:tc>
        <w:tc>
          <w:tcPr>
            <w:tcW w:w="5528" w:type="dxa"/>
          </w:tcPr>
          <w:p w:rsidR="001C04E5" w:rsidRPr="009C7C2D" w:rsidRDefault="001C04E5" w:rsidP="003A4336">
            <w:pPr>
              <w:pStyle w:val="table1"/>
              <w:rPr>
                <w:rFonts w:cs="Arial"/>
                <w:szCs w:val="16"/>
              </w:rPr>
            </w:pPr>
            <w:r w:rsidRPr="009C7C2D">
              <w:rPr>
                <w:rFonts w:cs="Arial"/>
                <w:szCs w:val="16"/>
              </w:rPr>
              <w:t>Reduced Level metres</w:t>
            </w:r>
          </w:p>
        </w:tc>
      </w:tr>
      <w:tr w:rsidR="001C04E5" w:rsidRPr="00F93D84"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MTC</w:t>
            </w:r>
          </w:p>
        </w:tc>
        <w:tc>
          <w:tcPr>
            <w:tcW w:w="5528" w:type="dxa"/>
          </w:tcPr>
          <w:p w:rsidR="001C04E5" w:rsidRPr="009C7C2D" w:rsidRDefault="001C04E5" w:rsidP="009D6355">
            <w:pPr>
              <w:pStyle w:val="table1"/>
              <w:spacing w:after="0"/>
              <w:rPr>
                <w:rFonts w:cs="Arial"/>
                <w:szCs w:val="16"/>
              </w:rPr>
            </w:pPr>
            <w:r w:rsidRPr="009C7C2D">
              <w:rPr>
                <w:rFonts w:cs="Arial"/>
                <w:szCs w:val="16"/>
                <w:lang w:val="en-US"/>
              </w:rPr>
              <w:t>Minesite Technical Committee</w:t>
            </w:r>
          </w:p>
        </w:tc>
      </w:tr>
      <w:tr w:rsidR="001C04E5" w:rsidRPr="00F93D84" w:rsidTr="004B6CDB">
        <w:trPr>
          <w:cantSplit/>
        </w:trPr>
        <w:tc>
          <w:tcPr>
            <w:tcW w:w="2093" w:type="dxa"/>
          </w:tcPr>
          <w:p w:rsidR="001C04E5" w:rsidRPr="00A77C51" w:rsidRDefault="005F2C25" w:rsidP="003A4336">
            <w:pPr>
              <w:pStyle w:val="table1"/>
              <w:rPr>
                <w:rFonts w:cs="Arial"/>
                <w:szCs w:val="16"/>
              </w:rPr>
            </w:pPr>
            <w:r>
              <w:rPr>
                <w:rFonts w:cs="Arial"/>
                <w:szCs w:val="16"/>
              </w:rPr>
              <w:t>n</w:t>
            </w:r>
            <w:r w:rsidR="001C04E5" w:rsidRPr="00A77C51">
              <w:rPr>
                <w:rFonts w:cs="Arial"/>
                <w:szCs w:val="16"/>
              </w:rPr>
              <w:t xml:space="preserve">ear Infrared </w:t>
            </w:r>
          </w:p>
        </w:tc>
        <w:tc>
          <w:tcPr>
            <w:tcW w:w="5528" w:type="dxa"/>
          </w:tcPr>
          <w:p w:rsidR="001C04E5" w:rsidRPr="00F93D84" w:rsidRDefault="001C04E5" w:rsidP="003A4336">
            <w:pPr>
              <w:pStyle w:val="table1"/>
              <w:rPr>
                <w:rFonts w:cs="Arial"/>
                <w:szCs w:val="16"/>
              </w:rPr>
            </w:pPr>
            <w:r w:rsidRPr="00A77C51">
              <w:rPr>
                <w:rFonts w:cs="Arial"/>
                <w:szCs w:val="16"/>
              </w:rPr>
              <w:t>0.7 to 1.3 µm</w:t>
            </w:r>
          </w:p>
        </w:tc>
      </w:tr>
      <w:tr w:rsidR="001C04E5" w:rsidRPr="00F93D84"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NERP</w:t>
            </w:r>
          </w:p>
        </w:tc>
        <w:tc>
          <w:tcPr>
            <w:tcW w:w="5528" w:type="dxa"/>
          </w:tcPr>
          <w:p w:rsidR="001C04E5" w:rsidRPr="009C7C2D" w:rsidRDefault="001C04E5" w:rsidP="003A4336">
            <w:pPr>
              <w:pStyle w:val="table1"/>
              <w:rPr>
                <w:rFonts w:cs="Arial"/>
                <w:szCs w:val="16"/>
              </w:rPr>
            </w:pPr>
            <w:r w:rsidRPr="009C7C2D">
              <w:rPr>
                <w:rFonts w:cs="Arial"/>
                <w:szCs w:val="16"/>
              </w:rPr>
              <w:t>National Environmental Research Program</w:t>
            </w:r>
          </w:p>
        </w:tc>
      </w:tr>
      <w:tr w:rsidR="002220A2" w:rsidRPr="00F93D84" w:rsidTr="004B6CDB">
        <w:trPr>
          <w:cantSplit/>
        </w:trPr>
        <w:tc>
          <w:tcPr>
            <w:tcW w:w="2093" w:type="dxa"/>
          </w:tcPr>
          <w:p w:rsidR="002220A2" w:rsidRPr="009C7C2D" w:rsidRDefault="002220A2" w:rsidP="003A4336">
            <w:pPr>
              <w:pStyle w:val="table1"/>
              <w:rPr>
                <w:rFonts w:cs="Arial"/>
                <w:szCs w:val="16"/>
              </w:rPr>
            </w:pPr>
            <w:r w:rsidRPr="009C7C2D">
              <w:rPr>
                <w:rFonts w:cs="Arial"/>
                <w:szCs w:val="16"/>
              </w:rPr>
              <w:t>NGO</w:t>
            </w:r>
          </w:p>
        </w:tc>
        <w:tc>
          <w:tcPr>
            <w:tcW w:w="5528" w:type="dxa"/>
          </w:tcPr>
          <w:p w:rsidR="002220A2" w:rsidRPr="009C7C2D" w:rsidRDefault="002220A2" w:rsidP="003A4336">
            <w:pPr>
              <w:pStyle w:val="table1"/>
              <w:rPr>
                <w:rFonts w:cs="Arial"/>
                <w:szCs w:val="16"/>
              </w:rPr>
            </w:pPr>
            <w:r w:rsidRPr="009C7C2D">
              <w:t>Non-government Organisation</w:t>
            </w:r>
          </w:p>
        </w:tc>
      </w:tr>
      <w:tr w:rsidR="001C04E5" w:rsidRPr="00F93D84"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NLC</w:t>
            </w:r>
          </w:p>
        </w:tc>
        <w:tc>
          <w:tcPr>
            <w:tcW w:w="5528" w:type="dxa"/>
          </w:tcPr>
          <w:p w:rsidR="001C04E5" w:rsidRPr="009C7C2D" w:rsidRDefault="001C04E5" w:rsidP="003A4336">
            <w:pPr>
              <w:pStyle w:val="table1"/>
              <w:rPr>
                <w:rFonts w:cs="Arial"/>
                <w:szCs w:val="16"/>
              </w:rPr>
            </w:pPr>
            <w:r w:rsidRPr="009C7C2D">
              <w:rPr>
                <w:rFonts w:cs="Arial"/>
                <w:szCs w:val="16"/>
              </w:rPr>
              <w:t>Northern Land Council</w:t>
            </w:r>
          </w:p>
        </w:tc>
      </w:tr>
      <w:tr w:rsidR="002220A2" w:rsidRPr="00F93D84" w:rsidTr="004B6CDB">
        <w:trPr>
          <w:cantSplit/>
        </w:trPr>
        <w:tc>
          <w:tcPr>
            <w:tcW w:w="2093" w:type="dxa"/>
          </w:tcPr>
          <w:p w:rsidR="002220A2" w:rsidRPr="009C7C2D" w:rsidRDefault="002220A2" w:rsidP="003A4336">
            <w:pPr>
              <w:pStyle w:val="table1"/>
              <w:rPr>
                <w:rFonts w:cs="Arial"/>
                <w:szCs w:val="16"/>
              </w:rPr>
            </w:pPr>
            <w:r w:rsidRPr="009C7C2D">
              <w:rPr>
                <w:rFonts w:cs="Arial"/>
                <w:szCs w:val="16"/>
              </w:rPr>
              <w:t>NPA</w:t>
            </w:r>
          </w:p>
        </w:tc>
        <w:tc>
          <w:tcPr>
            <w:tcW w:w="5528" w:type="dxa"/>
          </w:tcPr>
          <w:p w:rsidR="002220A2" w:rsidRPr="009C7C2D" w:rsidRDefault="002220A2" w:rsidP="003A4336">
            <w:pPr>
              <w:pStyle w:val="table1"/>
              <w:rPr>
                <w:rFonts w:cs="Arial"/>
                <w:szCs w:val="16"/>
              </w:rPr>
            </w:pPr>
            <w:r w:rsidRPr="009C7C2D">
              <w:t>National Partnership Agreement</w:t>
            </w:r>
          </w:p>
        </w:tc>
      </w:tr>
      <w:tr w:rsidR="001C04E5" w:rsidRPr="00F93D84" w:rsidTr="004B6CDB">
        <w:trPr>
          <w:cantSplit/>
        </w:trPr>
        <w:tc>
          <w:tcPr>
            <w:tcW w:w="2093" w:type="dxa"/>
          </w:tcPr>
          <w:p w:rsidR="001C04E5" w:rsidRPr="00472EA7" w:rsidRDefault="001C04E5" w:rsidP="003A4336">
            <w:pPr>
              <w:pStyle w:val="table1"/>
              <w:rPr>
                <w:rFonts w:cs="Arial"/>
                <w:szCs w:val="16"/>
              </w:rPr>
            </w:pPr>
            <w:r w:rsidRPr="00472EA7">
              <w:rPr>
                <w:rFonts w:cs="Arial"/>
                <w:szCs w:val="16"/>
              </w:rPr>
              <w:t>NRETAS</w:t>
            </w:r>
          </w:p>
        </w:tc>
        <w:tc>
          <w:tcPr>
            <w:tcW w:w="5528" w:type="dxa"/>
          </w:tcPr>
          <w:p w:rsidR="001C04E5" w:rsidRPr="00472EA7" w:rsidRDefault="00A9599A" w:rsidP="003A4336">
            <w:pPr>
              <w:pStyle w:val="table1"/>
              <w:rPr>
                <w:rFonts w:cs="Arial"/>
                <w:szCs w:val="16"/>
              </w:rPr>
            </w:pPr>
            <w:r>
              <w:rPr>
                <w:rFonts w:cs="Arial"/>
                <w:szCs w:val="16"/>
                <w:lang w:val="en-US"/>
              </w:rPr>
              <w:t xml:space="preserve">(formerly </w:t>
            </w:r>
            <w:r w:rsidR="001C04E5" w:rsidRPr="00472EA7">
              <w:rPr>
                <w:rFonts w:cs="Arial"/>
                <w:szCs w:val="16"/>
                <w:lang w:val="en-US"/>
              </w:rPr>
              <w:t>Department of Natural Resources, Environment, the Arts and Sport</w:t>
            </w:r>
            <w:r w:rsidR="0003268A" w:rsidRPr="00472EA7">
              <w:rPr>
                <w:rFonts w:cs="Arial"/>
                <w:szCs w:val="16"/>
                <w:lang w:val="en-US"/>
              </w:rPr>
              <w:t xml:space="preserve"> </w:t>
            </w:r>
            <w:r>
              <w:rPr>
                <w:rFonts w:cs="Arial"/>
                <w:szCs w:val="16"/>
                <w:lang w:val="en-US"/>
              </w:rPr>
              <w:t>)</w:t>
            </w:r>
          </w:p>
        </w:tc>
      </w:tr>
      <w:tr w:rsidR="00A80A3D" w:rsidRPr="00F93D84" w:rsidTr="004B6CDB">
        <w:trPr>
          <w:cantSplit/>
        </w:trPr>
        <w:tc>
          <w:tcPr>
            <w:tcW w:w="2093" w:type="dxa"/>
          </w:tcPr>
          <w:p w:rsidR="00A80A3D" w:rsidRPr="009C7C2D" w:rsidRDefault="00A80A3D" w:rsidP="003A4336">
            <w:pPr>
              <w:pStyle w:val="table1"/>
              <w:rPr>
                <w:rFonts w:cs="Arial"/>
                <w:szCs w:val="16"/>
              </w:rPr>
            </w:pPr>
            <w:r w:rsidRPr="009C7C2D">
              <w:rPr>
                <w:rFonts w:cs="Arial"/>
                <w:szCs w:val="16"/>
              </w:rPr>
              <w:t>NT</w:t>
            </w:r>
          </w:p>
        </w:tc>
        <w:tc>
          <w:tcPr>
            <w:tcW w:w="5528" w:type="dxa"/>
          </w:tcPr>
          <w:p w:rsidR="00A80A3D" w:rsidRPr="009C7C2D" w:rsidRDefault="00A80A3D" w:rsidP="003A4336">
            <w:pPr>
              <w:pStyle w:val="table1"/>
              <w:rPr>
                <w:rFonts w:cs="Arial"/>
                <w:szCs w:val="16"/>
                <w:lang w:val="en-US"/>
              </w:rPr>
            </w:pPr>
            <w:r w:rsidRPr="009C7C2D">
              <w:rPr>
                <w:rFonts w:cs="Arial"/>
                <w:szCs w:val="16"/>
                <w:lang w:val="en-US"/>
              </w:rPr>
              <w:t>Northern Territory</w:t>
            </w:r>
          </w:p>
        </w:tc>
      </w:tr>
      <w:tr w:rsidR="002220A2" w:rsidRPr="00F93D84" w:rsidTr="004B6CDB">
        <w:trPr>
          <w:cantSplit/>
        </w:trPr>
        <w:tc>
          <w:tcPr>
            <w:tcW w:w="2093" w:type="dxa"/>
          </w:tcPr>
          <w:p w:rsidR="002220A2" w:rsidRPr="009C7C2D" w:rsidRDefault="002220A2" w:rsidP="003A4336">
            <w:pPr>
              <w:pStyle w:val="table1"/>
              <w:rPr>
                <w:rFonts w:cs="Arial"/>
                <w:szCs w:val="16"/>
              </w:rPr>
            </w:pPr>
            <w:r w:rsidRPr="009C7C2D">
              <w:rPr>
                <w:rFonts w:cs="Arial"/>
                <w:szCs w:val="16"/>
              </w:rPr>
              <w:t>NTU</w:t>
            </w:r>
          </w:p>
        </w:tc>
        <w:tc>
          <w:tcPr>
            <w:tcW w:w="5528" w:type="dxa"/>
          </w:tcPr>
          <w:p w:rsidR="002220A2" w:rsidRPr="009C7C2D" w:rsidRDefault="00873F81" w:rsidP="003A4336">
            <w:pPr>
              <w:pStyle w:val="table1"/>
              <w:rPr>
                <w:rFonts w:cs="Arial"/>
                <w:szCs w:val="16"/>
                <w:lang w:val="en-US"/>
              </w:rPr>
            </w:pPr>
            <w:r w:rsidRPr="009C7C2D">
              <w:t>Nephelometric Turbidity Units</w:t>
            </w:r>
          </w:p>
        </w:tc>
      </w:tr>
      <w:tr w:rsidR="001C04E5" w:rsidRPr="00F93D84" w:rsidTr="004B6CDB">
        <w:trPr>
          <w:cantSplit/>
        </w:trPr>
        <w:tc>
          <w:tcPr>
            <w:tcW w:w="2093" w:type="dxa"/>
          </w:tcPr>
          <w:p w:rsidR="001C04E5" w:rsidRPr="009C7C2D" w:rsidRDefault="001C04E5" w:rsidP="003A4336">
            <w:pPr>
              <w:pStyle w:val="table1"/>
              <w:rPr>
                <w:rFonts w:cs="Arial"/>
                <w:szCs w:val="16"/>
                <w:lang w:eastAsia="en-AU"/>
              </w:rPr>
            </w:pPr>
            <w:r w:rsidRPr="009C7C2D">
              <w:rPr>
                <w:rFonts w:cs="Arial"/>
                <w:szCs w:val="16"/>
              </w:rPr>
              <w:t>ore</w:t>
            </w:r>
          </w:p>
        </w:tc>
        <w:tc>
          <w:tcPr>
            <w:tcW w:w="5528" w:type="dxa"/>
          </w:tcPr>
          <w:p w:rsidR="001C04E5" w:rsidRPr="009C7C2D" w:rsidRDefault="001C04E5" w:rsidP="003A4336">
            <w:pPr>
              <w:pStyle w:val="table1"/>
              <w:rPr>
                <w:rFonts w:cs="Arial"/>
                <w:szCs w:val="16"/>
                <w:lang w:eastAsia="en-AU"/>
              </w:rPr>
            </w:pPr>
            <w:r w:rsidRPr="009C7C2D">
              <w:rPr>
                <w:rFonts w:cs="Arial"/>
                <w:szCs w:val="16"/>
              </w:rPr>
              <w:t>A type of rock that bears minerals, or metals, which can be extracted.</w:t>
            </w:r>
          </w:p>
        </w:tc>
      </w:tr>
      <w:tr w:rsidR="001C04E5" w:rsidRPr="00F93D84" w:rsidTr="004B6CDB">
        <w:trPr>
          <w:cantSplit/>
        </w:trPr>
        <w:tc>
          <w:tcPr>
            <w:tcW w:w="2093" w:type="dxa"/>
          </w:tcPr>
          <w:p w:rsidR="001C04E5" w:rsidRPr="0057574A" w:rsidRDefault="001C04E5" w:rsidP="003A4336">
            <w:pPr>
              <w:pStyle w:val="table1"/>
              <w:rPr>
                <w:rFonts w:cs="Arial"/>
                <w:b/>
                <w:i/>
                <w:szCs w:val="16"/>
              </w:rPr>
            </w:pPr>
            <w:r w:rsidRPr="0057574A">
              <w:rPr>
                <w:rFonts w:cs="Arial"/>
                <w:b/>
                <w:i/>
                <w:szCs w:val="16"/>
              </w:rPr>
              <w:t>oss</w:t>
            </w:r>
          </w:p>
        </w:tc>
        <w:tc>
          <w:tcPr>
            <w:tcW w:w="5528" w:type="dxa"/>
          </w:tcPr>
          <w:p w:rsidR="001C04E5" w:rsidRPr="009C7C2D" w:rsidRDefault="001C04E5" w:rsidP="003A4336">
            <w:pPr>
              <w:pStyle w:val="table1"/>
              <w:rPr>
                <w:rFonts w:cs="Arial"/>
                <w:szCs w:val="16"/>
              </w:rPr>
            </w:pPr>
            <w:r w:rsidRPr="009C7C2D">
              <w:rPr>
                <w:rFonts w:cs="Arial"/>
                <w:szCs w:val="16"/>
              </w:rPr>
              <w:t>Office of the Supervising Scientist</w:t>
            </w:r>
          </w:p>
        </w:tc>
      </w:tr>
      <w:tr w:rsidR="001C04E5" w:rsidRPr="00F93D84" w:rsidTr="004B6CDB">
        <w:trPr>
          <w:cantSplit/>
        </w:trPr>
        <w:tc>
          <w:tcPr>
            <w:tcW w:w="2093" w:type="dxa"/>
          </w:tcPr>
          <w:p w:rsidR="001C04E5" w:rsidRPr="009C7C2D" w:rsidRDefault="001C04E5" w:rsidP="003A4336">
            <w:pPr>
              <w:pStyle w:val="table1"/>
              <w:rPr>
                <w:rFonts w:cs="Arial"/>
                <w:i/>
                <w:szCs w:val="16"/>
              </w:rPr>
            </w:pPr>
            <w:r w:rsidRPr="009C7C2D">
              <w:rPr>
                <w:spacing w:val="-2"/>
              </w:rPr>
              <w:t>PAEC</w:t>
            </w:r>
          </w:p>
        </w:tc>
        <w:tc>
          <w:tcPr>
            <w:tcW w:w="5528" w:type="dxa"/>
          </w:tcPr>
          <w:p w:rsidR="001C04E5" w:rsidRPr="009C7C2D" w:rsidRDefault="001C04E5" w:rsidP="00622F8C">
            <w:pPr>
              <w:pStyle w:val="table1"/>
              <w:rPr>
                <w:rFonts w:cs="Arial"/>
                <w:szCs w:val="16"/>
              </w:rPr>
            </w:pPr>
            <w:r w:rsidRPr="009C7C2D">
              <w:rPr>
                <w:spacing w:val="-2"/>
              </w:rPr>
              <w:t>Potential alpha energy concentration</w:t>
            </w:r>
          </w:p>
        </w:tc>
      </w:tr>
      <w:tr w:rsidR="001C04E5" w:rsidRPr="00F93D84"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permeate</w:t>
            </w:r>
          </w:p>
        </w:tc>
        <w:tc>
          <w:tcPr>
            <w:tcW w:w="5528" w:type="dxa"/>
          </w:tcPr>
          <w:p w:rsidR="001C04E5" w:rsidRPr="009C7C2D" w:rsidRDefault="001C04E5" w:rsidP="003A4336">
            <w:pPr>
              <w:pStyle w:val="table1"/>
              <w:rPr>
                <w:rFonts w:cs="Arial"/>
                <w:szCs w:val="16"/>
                <w:lang w:eastAsia="en-AU"/>
              </w:rPr>
            </w:pPr>
            <w:r w:rsidRPr="009C7C2D">
              <w:rPr>
                <w:rFonts w:cs="Arial"/>
                <w:szCs w:val="16"/>
              </w:rPr>
              <w:t>The higher purity stream produced by passage of water through a reverse osmosis (RO) treatment process.</w:t>
            </w:r>
          </w:p>
        </w:tc>
      </w:tr>
      <w:tr w:rsidR="002220A2" w:rsidRPr="00F93D84" w:rsidTr="004B6CDB">
        <w:trPr>
          <w:cantSplit/>
        </w:trPr>
        <w:tc>
          <w:tcPr>
            <w:tcW w:w="2093" w:type="dxa"/>
          </w:tcPr>
          <w:p w:rsidR="002220A2" w:rsidRPr="009C7C2D" w:rsidRDefault="002220A2" w:rsidP="003A4336">
            <w:pPr>
              <w:pStyle w:val="table1"/>
              <w:rPr>
                <w:rFonts w:cs="Arial"/>
                <w:szCs w:val="16"/>
              </w:rPr>
            </w:pPr>
            <w:r w:rsidRPr="009C7C2D">
              <w:rPr>
                <w:rFonts w:cs="Arial"/>
                <w:szCs w:val="16"/>
              </w:rPr>
              <w:t>pH</w:t>
            </w:r>
          </w:p>
        </w:tc>
        <w:tc>
          <w:tcPr>
            <w:tcW w:w="5528" w:type="dxa"/>
          </w:tcPr>
          <w:p w:rsidR="002220A2" w:rsidRPr="009C7C2D" w:rsidRDefault="002220A2" w:rsidP="002220A2">
            <w:pPr>
              <w:pStyle w:val="table1"/>
              <w:jc w:val="both"/>
              <w:rPr>
                <w:rFonts w:cs="Arial"/>
                <w:szCs w:val="16"/>
              </w:rPr>
            </w:pPr>
            <w:r w:rsidRPr="009C7C2D">
              <w:t>a measure of the acidity or basicity of an aqueous solution</w:t>
            </w:r>
          </w:p>
        </w:tc>
      </w:tr>
      <w:tr w:rsidR="001C04E5" w:rsidRPr="00F93D84" w:rsidTr="004B6CDB">
        <w:trPr>
          <w:cantSplit/>
        </w:trPr>
        <w:tc>
          <w:tcPr>
            <w:tcW w:w="2093" w:type="dxa"/>
          </w:tcPr>
          <w:p w:rsidR="001C04E5" w:rsidRPr="00F93D84" w:rsidRDefault="005F2C25" w:rsidP="003A4336">
            <w:pPr>
              <w:pStyle w:val="table1"/>
              <w:rPr>
                <w:rFonts w:cs="Arial"/>
                <w:szCs w:val="16"/>
              </w:rPr>
            </w:pPr>
            <w:r>
              <w:rPr>
                <w:rFonts w:cs="Arial"/>
                <w:szCs w:val="16"/>
              </w:rPr>
              <w:t>p</w:t>
            </w:r>
            <w:r w:rsidR="001C04E5" w:rsidRPr="00F93D84">
              <w:rPr>
                <w:rFonts w:cs="Arial"/>
                <w:szCs w:val="16"/>
              </w:rPr>
              <w:t>olished</w:t>
            </w:r>
          </w:p>
        </w:tc>
        <w:tc>
          <w:tcPr>
            <w:tcW w:w="5528" w:type="dxa"/>
          </w:tcPr>
          <w:p w:rsidR="001C04E5" w:rsidRPr="00F93D84" w:rsidRDefault="001C04E5" w:rsidP="003A4336">
            <w:pPr>
              <w:pStyle w:val="table1"/>
              <w:rPr>
                <w:rFonts w:cs="Arial"/>
                <w:szCs w:val="16"/>
              </w:rPr>
            </w:pPr>
            <w:r w:rsidRPr="00F93D84">
              <w:rPr>
                <w:rFonts w:cs="Arial"/>
                <w:szCs w:val="16"/>
              </w:rPr>
              <w:t>Water that has been passed through a wetland filter.</w:t>
            </w:r>
          </w:p>
        </w:tc>
      </w:tr>
      <w:tr w:rsidR="001C04E5" w:rsidRPr="00F93D84" w:rsidTr="004B6CDB">
        <w:trPr>
          <w:cantSplit/>
        </w:trPr>
        <w:tc>
          <w:tcPr>
            <w:tcW w:w="2093" w:type="dxa"/>
          </w:tcPr>
          <w:p w:rsidR="001C04E5" w:rsidRPr="00F93D84" w:rsidRDefault="005F2C25" w:rsidP="003A4336">
            <w:pPr>
              <w:pStyle w:val="table1"/>
              <w:rPr>
                <w:rFonts w:cs="Arial"/>
                <w:szCs w:val="16"/>
              </w:rPr>
            </w:pPr>
            <w:r>
              <w:rPr>
                <w:rFonts w:cs="Arial"/>
                <w:szCs w:val="16"/>
              </w:rPr>
              <w:t>p</w:t>
            </w:r>
            <w:r w:rsidR="001C04E5">
              <w:rPr>
                <w:rFonts w:cs="Arial"/>
                <w:szCs w:val="16"/>
              </w:rPr>
              <w:t>olonium (Po)</w:t>
            </w:r>
          </w:p>
        </w:tc>
        <w:tc>
          <w:tcPr>
            <w:tcW w:w="5528" w:type="dxa"/>
          </w:tcPr>
          <w:p w:rsidR="001C04E5" w:rsidRPr="00F93D84" w:rsidRDefault="001C04E5" w:rsidP="003A4336">
            <w:pPr>
              <w:pStyle w:val="table1"/>
              <w:rPr>
                <w:rFonts w:cs="Arial"/>
                <w:szCs w:val="16"/>
              </w:rPr>
            </w:pPr>
            <w:r w:rsidRPr="002847E0">
              <w:rPr>
                <w:rFonts w:cs="Arial"/>
                <w:spacing w:val="-2"/>
                <w:szCs w:val="16"/>
              </w:rPr>
              <w:t xml:space="preserve">A radioactive chemical element that is found in trace amounts in </w:t>
            </w:r>
            <w:hyperlink r:id="rId159" w:tooltip="Uranium" w:history="1">
              <w:r w:rsidRPr="002847E0">
                <w:rPr>
                  <w:rFonts w:cs="Arial"/>
                  <w:spacing w:val="-2"/>
                  <w:szCs w:val="16"/>
                </w:rPr>
                <w:t>uranium</w:t>
              </w:r>
            </w:hyperlink>
            <w:r w:rsidRPr="002847E0">
              <w:rPr>
                <w:rFonts w:cs="Arial"/>
                <w:spacing w:val="-2"/>
                <w:szCs w:val="16"/>
              </w:rPr>
              <w:t xml:space="preserve"> ores.</w:t>
            </w:r>
          </w:p>
        </w:tc>
      </w:tr>
      <w:tr w:rsidR="001C04E5" w:rsidRPr="00F93D84" w:rsidTr="004B6CDB">
        <w:trPr>
          <w:cantSplit/>
        </w:trPr>
        <w:tc>
          <w:tcPr>
            <w:tcW w:w="2093" w:type="dxa"/>
          </w:tcPr>
          <w:p w:rsidR="001C04E5" w:rsidRPr="00F93D84" w:rsidRDefault="005F2C25" w:rsidP="003A4336">
            <w:pPr>
              <w:pStyle w:val="table1"/>
              <w:rPr>
                <w:rFonts w:cs="Arial"/>
                <w:szCs w:val="16"/>
              </w:rPr>
            </w:pPr>
            <w:r>
              <w:rPr>
                <w:rFonts w:cs="Arial"/>
                <w:szCs w:val="16"/>
              </w:rPr>
              <w:t>p</w:t>
            </w:r>
            <w:r w:rsidR="001C04E5" w:rsidRPr="00F93D84">
              <w:rPr>
                <w:rFonts w:cs="Arial"/>
                <w:szCs w:val="16"/>
              </w:rPr>
              <w:t>ond water</w:t>
            </w:r>
          </w:p>
        </w:tc>
        <w:tc>
          <w:tcPr>
            <w:tcW w:w="5528" w:type="dxa"/>
          </w:tcPr>
          <w:p w:rsidR="001C04E5" w:rsidRPr="00F93D84" w:rsidRDefault="001C04E5" w:rsidP="003A4336">
            <w:pPr>
              <w:pStyle w:val="table1"/>
              <w:rPr>
                <w:rFonts w:cs="Arial"/>
                <w:szCs w:val="16"/>
                <w:lang w:eastAsia="en-AU"/>
              </w:rPr>
            </w:pPr>
            <w:r w:rsidRPr="00F93D84">
              <w:rPr>
                <w:rFonts w:cs="Arial"/>
                <w:szCs w:val="16"/>
                <w:lang w:eastAsia="en-AU"/>
              </w:rPr>
              <w:t>Water derived from seepage and surface water runoff from mineralised rock stockpiles</w:t>
            </w:r>
            <w:r w:rsidRPr="00F93D84">
              <w:rPr>
                <w:rFonts w:cs="Arial"/>
                <w:lang w:eastAsia="en-AU"/>
              </w:rPr>
              <w:t xml:space="preserve"> </w:t>
            </w:r>
            <w:r w:rsidRPr="00F93D84">
              <w:rPr>
                <w:rFonts w:cs="Arial"/>
                <w:szCs w:val="16"/>
                <w:lang w:eastAsia="en-AU"/>
              </w:rPr>
              <w:t>as well as runoff from the processing areas that are not part of the process water circuit.</w:t>
            </w:r>
          </w:p>
        </w:tc>
      </w:tr>
      <w:tr w:rsidR="001C04E5" w:rsidRPr="00F93D84" w:rsidTr="004B6CDB">
        <w:trPr>
          <w:cantSplit/>
        </w:trPr>
        <w:tc>
          <w:tcPr>
            <w:tcW w:w="2093" w:type="dxa"/>
          </w:tcPr>
          <w:p w:rsidR="001C04E5" w:rsidRPr="00F93D84" w:rsidRDefault="005F2C25" w:rsidP="003A4336">
            <w:pPr>
              <w:pStyle w:val="table1"/>
              <w:rPr>
                <w:rFonts w:cs="Arial"/>
                <w:szCs w:val="16"/>
              </w:rPr>
            </w:pPr>
            <w:r>
              <w:rPr>
                <w:rFonts w:cs="Arial"/>
                <w:szCs w:val="16"/>
              </w:rPr>
              <w:t>p</w:t>
            </w:r>
            <w:r w:rsidR="001C04E5" w:rsidRPr="00F93D84">
              <w:rPr>
                <w:rFonts w:cs="Arial"/>
                <w:szCs w:val="16"/>
              </w:rPr>
              <w:t>rocess water</w:t>
            </w:r>
          </w:p>
        </w:tc>
        <w:tc>
          <w:tcPr>
            <w:tcW w:w="5528" w:type="dxa"/>
          </w:tcPr>
          <w:p w:rsidR="001C04E5" w:rsidRPr="00F93D84" w:rsidRDefault="001C04E5" w:rsidP="003A4336">
            <w:pPr>
              <w:pStyle w:val="table1"/>
              <w:rPr>
                <w:rFonts w:cs="Arial"/>
                <w:szCs w:val="16"/>
              </w:rPr>
            </w:pPr>
            <w:r w:rsidRPr="00F93D84">
              <w:rPr>
                <w:rFonts w:cs="Arial"/>
                <w:szCs w:val="16"/>
              </w:rPr>
              <w:t xml:space="preserve">Water that has passed through the uranium extraction </w:t>
            </w:r>
            <w:proofErr w:type="gramStart"/>
            <w:r w:rsidRPr="00F93D84">
              <w:rPr>
                <w:rFonts w:cs="Arial"/>
                <w:szCs w:val="16"/>
              </w:rPr>
              <w:t>circuit,</w:t>
            </w:r>
            <w:proofErr w:type="gramEnd"/>
            <w:r w:rsidRPr="00F93D84">
              <w:rPr>
                <w:rFonts w:cs="Arial"/>
                <w:szCs w:val="16"/>
              </w:rPr>
              <w:t xml:space="preserve"> and all water that has come into contact with the circuit. It has a relatively high dissolved salt load constituting the most impacted water class on site.</w:t>
            </w:r>
          </w:p>
        </w:tc>
      </w:tr>
      <w:tr w:rsidR="00A72EC6" w:rsidRPr="00F93D84" w:rsidTr="004B6CDB">
        <w:trPr>
          <w:cantSplit/>
        </w:trPr>
        <w:tc>
          <w:tcPr>
            <w:tcW w:w="2093" w:type="dxa"/>
          </w:tcPr>
          <w:p w:rsidR="00A72EC6" w:rsidRPr="009C7C2D" w:rsidRDefault="00A72EC6" w:rsidP="003A4336">
            <w:pPr>
              <w:pStyle w:val="table1"/>
              <w:rPr>
                <w:rFonts w:cs="Arial"/>
                <w:szCs w:val="16"/>
              </w:rPr>
            </w:pPr>
            <w:r w:rsidRPr="009C7C2D">
              <w:rPr>
                <w:rFonts w:cs="Arial"/>
                <w:szCs w:val="16"/>
              </w:rPr>
              <w:t>RAA</w:t>
            </w:r>
          </w:p>
        </w:tc>
        <w:tc>
          <w:tcPr>
            <w:tcW w:w="5528" w:type="dxa"/>
          </w:tcPr>
          <w:p w:rsidR="00A72EC6" w:rsidRPr="009C7C2D" w:rsidRDefault="00A72EC6" w:rsidP="003A4336">
            <w:pPr>
              <w:pStyle w:val="table1"/>
              <w:rPr>
                <w:rFonts w:cs="Arial"/>
                <w:szCs w:val="16"/>
              </w:rPr>
            </w:pPr>
            <w:r w:rsidRPr="009C7C2D">
              <w:rPr>
                <w:bCs/>
                <w:spacing w:val="-2"/>
              </w:rPr>
              <w:t>Radiologically Anomalous Area.</w:t>
            </w:r>
            <w:r>
              <w:rPr>
                <w:rFonts w:cs="Arial"/>
                <w:szCs w:val="16"/>
              </w:rPr>
              <w:t xml:space="preserve"> </w:t>
            </w:r>
            <w:r w:rsidRPr="009C7C2D">
              <w:rPr>
                <w:rFonts w:cs="Arial"/>
                <w:szCs w:val="16"/>
              </w:rPr>
              <w:t>Area that displays significantly above background levels of radioactivity.</w:t>
            </w:r>
          </w:p>
        </w:tc>
      </w:tr>
      <w:tr w:rsidR="00A72EC6" w:rsidTr="004B6CDB">
        <w:trPr>
          <w:cantSplit/>
        </w:trPr>
        <w:tc>
          <w:tcPr>
            <w:tcW w:w="2093" w:type="dxa"/>
          </w:tcPr>
          <w:p w:rsidR="00A72EC6" w:rsidRPr="009C7C2D" w:rsidRDefault="005F2C25" w:rsidP="003A4336">
            <w:pPr>
              <w:pStyle w:val="table1"/>
              <w:rPr>
                <w:rFonts w:cs="Arial"/>
                <w:szCs w:val="16"/>
              </w:rPr>
            </w:pPr>
            <w:r>
              <w:rPr>
                <w:rFonts w:cs="Arial"/>
                <w:szCs w:val="16"/>
              </w:rPr>
              <w:t>r</w:t>
            </w:r>
            <w:r w:rsidR="00A72EC6" w:rsidRPr="009C7C2D">
              <w:rPr>
                <w:rFonts w:cs="Arial"/>
                <w:szCs w:val="16"/>
              </w:rPr>
              <w:t>adionuclide</w:t>
            </w:r>
          </w:p>
        </w:tc>
        <w:tc>
          <w:tcPr>
            <w:tcW w:w="5528" w:type="dxa"/>
          </w:tcPr>
          <w:p w:rsidR="00A72EC6" w:rsidRPr="009C7C2D" w:rsidRDefault="00A72EC6" w:rsidP="003A4336">
            <w:pPr>
              <w:pStyle w:val="table1"/>
              <w:rPr>
                <w:rFonts w:cs="Arial"/>
                <w:szCs w:val="16"/>
              </w:rPr>
            </w:pPr>
            <w:r w:rsidRPr="009C7C2D">
              <w:rPr>
                <w:rFonts w:cs="Arial"/>
                <w:spacing w:val="-2"/>
                <w:szCs w:val="16"/>
              </w:rPr>
              <w:t>An atom with an unstable nucleus that loses its excess energy via radioactive decay. There are natural and artificial radionuclides. Natural radionuclides are those in the uranium (</w:t>
            </w:r>
            <w:r w:rsidRPr="009C7C2D">
              <w:rPr>
                <w:snapToGrid w:val="0"/>
                <w:color w:val="000000"/>
                <w:spacing w:val="-2"/>
                <w:position w:val="4"/>
                <w:sz w:val="11"/>
                <w:szCs w:val="0"/>
                <w:u w:color="000000"/>
              </w:rPr>
              <w:t>238</w:t>
            </w:r>
            <w:r w:rsidRPr="009C7C2D">
              <w:rPr>
                <w:rFonts w:cs="Arial"/>
                <w:spacing w:val="-2"/>
                <w:szCs w:val="16"/>
              </w:rPr>
              <w:t>U), actinium (</w:t>
            </w:r>
            <w:r w:rsidRPr="009C7C2D">
              <w:rPr>
                <w:snapToGrid w:val="0"/>
                <w:color w:val="000000"/>
                <w:spacing w:val="-2"/>
                <w:position w:val="4"/>
                <w:sz w:val="11"/>
                <w:szCs w:val="0"/>
                <w:u w:color="000000"/>
              </w:rPr>
              <w:t>235</w:t>
            </w:r>
            <w:r w:rsidRPr="009C7C2D">
              <w:rPr>
                <w:rFonts w:cs="Arial"/>
                <w:spacing w:val="-2"/>
                <w:szCs w:val="16"/>
              </w:rPr>
              <w:t>U) and thorium (</w:t>
            </w:r>
            <w:r w:rsidRPr="009C7C2D">
              <w:rPr>
                <w:snapToGrid w:val="0"/>
                <w:color w:val="000000"/>
                <w:spacing w:val="-2"/>
                <w:position w:val="4"/>
                <w:sz w:val="11"/>
                <w:szCs w:val="0"/>
                <w:u w:color="000000"/>
              </w:rPr>
              <w:t>232</w:t>
            </w:r>
            <w:r w:rsidRPr="009C7C2D">
              <w:rPr>
                <w:rFonts w:cs="Arial"/>
                <w:spacing w:val="-2"/>
                <w:szCs w:val="16"/>
              </w:rPr>
              <w:t xml:space="preserve">Th) decay series for example, which are characteristic of the naturally occurring radioactive material in uranium orebodies. </w:t>
            </w:r>
          </w:p>
        </w:tc>
      </w:tr>
      <w:tr w:rsidR="001C04E5" w:rsidRPr="00F93D84" w:rsidTr="004B6CDB">
        <w:trPr>
          <w:cantSplit/>
        </w:trPr>
        <w:tc>
          <w:tcPr>
            <w:tcW w:w="2093" w:type="dxa"/>
          </w:tcPr>
          <w:p w:rsidR="001C04E5" w:rsidRPr="009C7C2D" w:rsidRDefault="005F2C25" w:rsidP="003A4336">
            <w:pPr>
              <w:pStyle w:val="table1"/>
              <w:rPr>
                <w:rFonts w:cs="Arial"/>
                <w:szCs w:val="16"/>
              </w:rPr>
            </w:pPr>
            <w:r>
              <w:rPr>
                <w:rFonts w:cs="Arial"/>
                <w:szCs w:val="16"/>
              </w:rPr>
              <w:t>r</w:t>
            </w:r>
            <w:r w:rsidR="001C04E5" w:rsidRPr="009C7C2D">
              <w:rPr>
                <w:rFonts w:cs="Arial"/>
                <w:szCs w:val="16"/>
              </w:rPr>
              <w:t>adium (Ra)</w:t>
            </w:r>
          </w:p>
        </w:tc>
        <w:tc>
          <w:tcPr>
            <w:tcW w:w="5528" w:type="dxa"/>
          </w:tcPr>
          <w:p w:rsidR="001C04E5" w:rsidRPr="009C7C2D" w:rsidRDefault="001C04E5" w:rsidP="003A4336">
            <w:pPr>
              <w:pStyle w:val="table1"/>
              <w:rPr>
                <w:rFonts w:cs="Arial"/>
                <w:szCs w:val="16"/>
              </w:rPr>
            </w:pPr>
            <w:r w:rsidRPr="009C7C2D">
              <w:rPr>
                <w:rFonts w:cs="Arial"/>
                <w:spacing w:val="-2"/>
                <w:szCs w:val="16"/>
              </w:rPr>
              <w:t xml:space="preserve">A radioactive chemical element that is found in trace amounts in </w:t>
            </w:r>
            <w:hyperlink r:id="rId160" w:tooltip="Uranium" w:history="1">
              <w:r w:rsidRPr="009C7C2D">
                <w:rPr>
                  <w:rFonts w:cs="Arial"/>
                  <w:spacing w:val="-2"/>
                  <w:szCs w:val="16"/>
                </w:rPr>
                <w:t>uranium</w:t>
              </w:r>
            </w:hyperlink>
            <w:r w:rsidRPr="009C7C2D">
              <w:rPr>
                <w:rFonts w:cs="Arial"/>
                <w:spacing w:val="-2"/>
                <w:szCs w:val="16"/>
              </w:rPr>
              <w:t xml:space="preserve"> ores.</w:t>
            </w:r>
          </w:p>
        </w:tc>
      </w:tr>
      <w:tr w:rsidR="00204DA0" w:rsidRPr="00F93D84" w:rsidTr="004B6CDB">
        <w:trPr>
          <w:cantSplit/>
        </w:trPr>
        <w:tc>
          <w:tcPr>
            <w:tcW w:w="2093" w:type="dxa"/>
          </w:tcPr>
          <w:p w:rsidR="00204DA0" w:rsidRPr="009C7C2D" w:rsidRDefault="00204DA0" w:rsidP="003A4336">
            <w:pPr>
              <w:pStyle w:val="table1"/>
              <w:rPr>
                <w:rFonts w:cs="Arial"/>
                <w:szCs w:val="16"/>
              </w:rPr>
            </w:pPr>
            <w:r w:rsidRPr="009C7C2D">
              <w:rPr>
                <w:rFonts w:cs="Arial"/>
                <w:szCs w:val="16"/>
              </w:rPr>
              <w:t>RDP</w:t>
            </w:r>
          </w:p>
        </w:tc>
        <w:tc>
          <w:tcPr>
            <w:tcW w:w="5528" w:type="dxa"/>
          </w:tcPr>
          <w:p w:rsidR="00204DA0" w:rsidRPr="009C7C2D" w:rsidRDefault="00204DA0" w:rsidP="003A4336">
            <w:pPr>
              <w:pStyle w:val="table1"/>
              <w:rPr>
                <w:rFonts w:cs="Arial"/>
                <w:szCs w:val="16"/>
              </w:rPr>
            </w:pPr>
            <w:r w:rsidRPr="009C7C2D">
              <w:t>Radon decay products</w:t>
            </w:r>
          </w:p>
        </w:tc>
      </w:tr>
      <w:tr w:rsidR="001C04E5" w:rsidRPr="00F93D84" w:rsidTr="004B6CDB">
        <w:trPr>
          <w:cantSplit/>
        </w:trPr>
        <w:tc>
          <w:tcPr>
            <w:tcW w:w="2093" w:type="dxa"/>
          </w:tcPr>
          <w:p w:rsidR="001C04E5" w:rsidRPr="009C7C2D" w:rsidRDefault="001C04E5" w:rsidP="003A4336">
            <w:pPr>
              <w:pStyle w:val="table1"/>
              <w:rPr>
                <w:rFonts w:cs="Arial"/>
                <w:szCs w:val="16"/>
              </w:rPr>
            </w:pPr>
            <w:r w:rsidRPr="009C7C2D">
              <w:rPr>
                <w:rFonts w:cs="Arial"/>
                <w:szCs w:val="16"/>
              </w:rPr>
              <w:t>RJTWG</w:t>
            </w:r>
          </w:p>
        </w:tc>
        <w:tc>
          <w:tcPr>
            <w:tcW w:w="5528" w:type="dxa"/>
          </w:tcPr>
          <w:p w:rsidR="001C04E5" w:rsidRPr="009C7C2D" w:rsidRDefault="001C04E5" w:rsidP="003A4336">
            <w:pPr>
              <w:pStyle w:val="table1"/>
              <w:rPr>
                <w:rFonts w:cs="Arial"/>
                <w:szCs w:val="16"/>
              </w:rPr>
            </w:pPr>
            <w:r w:rsidRPr="009C7C2D">
              <w:rPr>
                <w:rFonts w:cs="Arial"/>
                <w:szCs w:val="16"/>
              </w:rPr>
              <w:t>Rum Jungle Technical Working Group</w:t>
            </w:r>
          </w:p>
        </w:tc>
      </w:tr>
      <w:tr w:rsidR="001C04E5" w:rsidRPr="00F93D84" w:rsidTr="004B6CDB">
        <w:trPr>
          <w:cantSplit/>
        </w:trPr>
        <w:tc>
          <w:tcPr>
            <w:tcW w:w="2093" w:type="dxa"/>
          </w:tcPr>
          <w:p w:rsidR="001C04E5" w:rsidRDefault="001C04E5" w:rsidP="003A4336">
            <w:pPr>
              <w:pStyle w:val="table1"/>
              <w:rPr>
                <w:rFonts w:cs="Arial"/>
                <w:szCs w:val="16"/>
              </w:rPr>
            </w:pPr>
            <w:r>
              <w:rPr>
                <w:rFonts w:cs="Arial"/>
                <w:szCs w:val="16"/>
              </w:rPr>
              <w:t>RL</w:t>
            </w:r>
          </w:p>
        </w:tc>
        <w:tc>
          <w:tcPr>
            <w:tcW w:w="5528" w:type="dxa"/>
          </w:tcPr>
          <w:p w:rsidR="001C04E5" w:rsidRDefault="001C04E5" w:rsidP="003A4336">
            <w:pPr>
              <w:pStyle w:val="table1"/>
              <w:rPr>
                <w:rFonts w:cs="Arial"/>
                <w:szCs w:val="16"/>
              </w:rPr>
            </w:pPr>
            <w:r>
              <w:rPr>
                <w:rFonts w:cs="Arial"/>
                <w:szCs w:val="16"/>
              </w:rPr>
              <w:t>Relative Level. The number after RL denotes metres above or below a chosen datum (also known as Reduced Level)</w:t>
            </w:r>
          </w:p>
        </w:tc>
      </w:tr>
      <w:tr w:rsidR="001C04E5" w:rsidRPr="00F93D84" w:rsidTr="004B6CDB">
        <w:trPr>
          <w:cantSplit/>
        </w:trPr>
        <w:tc>
          <w:tcPr>
            <w:tcW w:w="2093" w:type="dxa"/>
          </w:tcPr>
          <w:p w:rsidR="001C04E5" w:rsidRPr="009C7C2D" w:rsidRDefault="00204DA0" w:rsidP="003A4336">
            <w:pPr>
              <w:pStyle w:val="table1"/>
              <w:rPr>
                <w:rFonts w:cs="Arial"/>
                <w:szCs w:val="16"/>
              </w:rPr>
            </w:pPr>
            <w:r w:rsidRPr="009C7C2D">
              <w:rPr>
                <w:rFonts w:cs="Arial"/>
                <w:szCs w:val="16"/>
              </w:rPr>
              <w:t>RPA</w:t>
            </w:r>
          </w:p>
        </w:tc>
        <w:tc>
          <w:tcPr>
            <w:tcW w:w="5528" w:type="dxa"/>
          </w:tcPr>
          <w:p w:rsidR="001C04E5" w:rsidRPr="009C7C2D" w:rsidRDefault="00204DA0" w:rsidP="003A4336">
            <w:pPr>
              <w:pStyle w:val="table1"/>
              <w:rPr>
                <w:rFonts w:cs="Arial"/>
                <w:szCs w:val="16"/>
              </w:rPr>
            </w:pPr>
            <w:r w:rsidRPr="009C7C2D">
              <w:t>Ranger Project Area</w:t>
            </w:r>
          </w:p>
        </w:tc>
      </w:tr>
      <w:tr w:rsidR="00204DA0" w:rsidRPr="00F93D84" w:rsidTr="004B6CDB">
        <w:trPr>
          <w:cantSplit/>
        </w:trPr>
        <w:tc>
          <w:tcPr>
            <w:tcW w:w="2093" w:type="dxa"/>
          </w:tcPr>
          <w:p w:rsidR="00204DA0" w:rsidRPr="009C7C2D" w:rsidRDefault="00204DA0" w:rsidP="00204DA0">
            <w:pPr>
              <w:pStyle w:val="table1"/>
              <w:rPr>
                <w:rFonts w:cs="Arial"/>
                <w:szCs w:val="16"/>
              </w:rPr>
            </w:pPr>
            <w:r w:rsidRPr="009C7C2D">
              <w:rPr>
                <w:rFonts w:cs="Arial"/>
                <w:szCs w:val="16"/>
              </w:rPr>
              <w:t>RPI</w:t>
            </w:r>
          </w:p>
        </w:tc>
        <w:tc>
          <w:tcPr>
            <w:tcW w:w="5528" w:type="dxa"/>
          </w:tcPr>
          <w:p w:rsidR="00204DA0" w:rsidRPr="009C7C2D" w:rsidRDefault="00204DA0" w:rsidP="00204DA0">
            <w:pPr>
              <w:pStyle w:val="table1"/>
              <w:rPr>
                <w:rFonts w:cs="Arial"/>
                <w:szCs w:val="16"/>
              </w:rPr>
            </w:pPr>
            <w:r w:rsidRPr="009C7C2D">
              <w:rPr>
                <w:rFonts w:cs="Arial"/>
                <w:szCs w:val="16"/>
                <w:lang w:val="en-US"/>
              </w:rPr>
              <w:t>Routine Periodic Inspection</w:t>
            </w:r>
          </w:p>
        </w:tc>
      </w:tr>
      <w:tr w:rsidR="00204DA0" w:rsidRPr="00F93D84" w:rsidTr="004B6CDB">
        <w:trPr>
          <w:cantSplit/>
        </w:trPr>
        <w:tc>
          <w:tcPr>
            <w:tcW w:w="2093" w:type="dxa"/>
          </w:tcPr>
          <w:p w:rsidR="00204DA0" w:rsidRPr="009C7C2D" w:rsidRDefault="00204DA0" w:rsidP="00204DA0">
            <w:pPr>
              <w:pStyle w:val="table1"/>
              <w:rPr>
                <w:rFonts w:cs="Arial"/>
                <w:szCs w:val="16"/>
              </w:rPr>
            </w:pPr>
            <w:r w:rsidRPr="009C7C2D">
              <w:rPr>
                <w:rFonts w:cs="Arial"/>
                <w:szCs w:val="16"/>
              </w:rPr>
              <w:t>RP1</w:t>
            </w:r>
          </w:p>
        </w:tc>
        <w:tc>
          <w:tcPr>
            <w:tcW w:w="5528" w:type="dxa"/>
          </w:tcPr>
          <w:p w:rsidR="00204DA0" w:rsidRPr="009C7C2D" w:rsidRDefault="00204DA0" w:rsidP="00204DA0">
            <w:pPr>
              <w:pStyle w:val="table1"/>
              <w:rPr>
                <w:rFonts w:cs="Arial"/>
                <w:szCs w:val="16"/>
              </w:rPr>
            </w:pPr>
            <w:r w:rsidRPr="009C7C2D">
              <w:rPr>
                <w:rFonts w:cs="Arial"/>
                <w:szCs w:val="16"/>
              </w:rPr>
              <w:t>Retention Pond 1</w:t>
            </w:r>
          </w:p>
        </w:tc>
      </w:tr>
      <w:tr w:rsidR="00204DA0" w:rsidRPr="00F93D84" w:rsidTr="004B6CDB">
        <w:trPr>
          <w:cantSplit/>
        </w:trPr>
        <w:tc>
          <w:tcPr>
            <w:tcW w:w="2093" w:type="dxa"/>
          </w:tcPr>
          <w:p w:rsidR="00204DA0" w:rsidRPr="009C7C2D" w:rsidRDefault="00204DA0" w:rsidP="00204DA0">
            <w:pPr>
              <w:pStyle w:val="table1"/>
              <w:rPr>
                <w:rFonts w:cs="Arial"/>
                <w:szCs w:val="16"/>
              </w:rPr>
            </w:pPr>
            <w:r w:rsidRPr="009C7C2D">
              <w:rPr>
                <w:rFonts w:cs="Arial"/>
                <w:szCs w:val="16"/>
              </w:rPr>
              <w:t>RP2</w:t>
            </w:r>
          </w:p>
        </w:tc>
        <w:tc>
          <w:tcPr>
            <w:tcW w:w="5528" w:type="dxa"/>
          </w:tcPr>
          <w:p w:rsidR="00204DA0" w:rsidRPr="009C7C2D" w:rsidRDefault="00204DA0" w:rsidP="00204DA0">
            <w:pPr>
              <w:pStyle w:val="table1"/>
              <w:rPr>
                <w:rFonts w:cs="Arial"/>
                <w:szCs w:val="16"/>
              </w:rPr>
            </w:pPr>
            <w:r w:rsidRPr="009C7C2D">
              <w:t>Retention Pond 2</w:t>
            </w:r>
          </w:p>
        </w:tc>
      </w:tr>
      <w:tr w:rsidR="00204DA0" w:rsidRPr="00F93D84" w:rsidTr="004B6CDB">
        <w:trPr>
          <w:cantSplit/>
        </w:trPr>
        <w:tc>
          <w:tcPr>
            <w:tcW w:w="2093" w:type="dxa"/>
          </w:tcPr>
          <w:p w:rsidR="00204DA0" w:rsidRPr="009C7C2D" w:rsidRDefault="00204DA0" w:rsidP="00204DA0">
            <w:pPr>
              <w:pStyle w:val="table1"/>
              <w:rPr>
                <w:rFonts w:cs="Arial"/>
                <w:szCs w:val="16"/>
              </w:rPr>
            </w:pPr>
            <w:r w:rsidRPr="009C7C2D">
              <w:rPr>
                <w:rFonts w:cs="Arial"/>
                <w:szCs w:val="16"/>
              </w:rPr>
              <w:t>RP3</w:t>
            </w:r>
          </w:p>
        </w:tc>
        <w:tc>
          <w:tcPr>
            <w:tcW w:w="5528" w:type="dxa"/>
          </w:tcPr>
          <w:p w:rsidR="00204DA0" w:rsidRPr="009C7C2D" w:rsidRDefault="00204DA0" w:rsidP="00204DA0">
            <w:pPr>
              <w:pStyle w:val="table1"/>
              <w:rPr>
                <w:rFonts w:cs="Arial"/>
                <w:szCs w:val="16"/>
              </w:rPr>
            </w:pPr>
            <w:r w:rsidRPr="009C7C2D">
              <w:rPr>
                <w:rFonts w:cs="Arial"/>
                <w:szCs w:val="16"/>
              </w:rPr>
              <w:t>Retention Pond 3</w:t>
            </w:r>
          </w:p>
        </w:tc>
      </w:tr>
      <w:tr w:rsidR="00204DA0" w:rsidRPr="00F93D84" w:rsidTr="004B6CDB">
        <w:trPr>
          <w:cantSplit/>
        </w:trPr>
        <w:tc>
          <w:tcPr>
            <w:tcW w:w="2093" w:type="dxa"/>
          </w:tcPr>
          <w:p w:rsidR="00204DA0" w:rsidRPr="009C7C2D" w:rsidRDefault="00204DA0" w:rsidP="00204DA0">
            <w:pPr>
              <w:pStyle w:val="table1"/>
              <w:rPr>
                <w:rFonts w:cs="Arial"/>
                <w:szCs w:val="16"/>
              </w:rPr>
            </w:pPr>
            <w:r w:rsidRPr="009C7C2D">
              <w:rPr>
                <w:rFonts w:cs="Arial"/>
                <w:szCs w:val="16"/>
              </w:rPr>
              <w:t>RP6</w:t>
            </w:r>
          </w:p>
        </w:tc>
        <w:tc>
          <w:tcPr>
            <w:tcW w:w="5528" w:type="dxa"/>
          </w:tcPr>
          <w:p w:rsidR="00204DA0" w:rsidRPr="009C7C2D" w:rsidRDefault="00204DA0" w:rsidP="00204DA0">
            <w:pPr>
              <w:pStyle w:val="table1"/>
              <w:rPr>
                <w:rFonts w:cs="Arial"/>
                <w:szCs w:val="16"/>
              </w:rPr>
            </w:pPr>
            <w:r w:rsidRPr="009C7C2D">
              <w:rPr>
                <w:rFonts w:cs="Arial"/>
                <w:szCs w:val="16"/>
              </w:rPr>
              <w:t>Retention Pond 6</w:t>
            </w:r>
          </w:p>
        </w:tc>
      </w:tr>
      <w:tr w:rsidR="00204DA0" w:rsidRPr="00F93D84" w:rsidTr="004B6CDB">
        <w:trPr>
          <w:cantSplit/>
        </w:trPr>
        <w:tc>
          <w:tcPr>
            <w:tcW w:w="2093" w:type="dxa"/>
          </w:tcPr>
          <w:p w:rsidR="00204DA0" w:rsidRPr="009C7C2D" w:rsidRDefault="00204DA0" w:rsidP="00204DA0">
            <w:pPr>
              <w:pStyle w:val="table1"/>
              <w:rPr>
                <w:rFonts w:cs="Arial"/>
                <w:szCs w:val="16"/>
              </w:rPr>
            </w:pPr>
            <w:r w:rsidRPr="009C7C2D">
              <w:rPr>
                <w:rFonts w:cs="Arial"/>
                <w:szCs w:val="16"/>
              </w:rPr>
              <w:t>R3D</w:t>
            </w:r>
          </w:p>
        </w:tc>
        <w:tc>
          <w:tcPr>
            <w:tcW w:w="5528" w:type="dxa"/>
          </w:tcPr>
          <w:p w:rsidR="00204DA0" w:rsidRPr="009C7C2D" w:rsidRDefault="00204DA0" w:rsidP="003A4336">
            <w:pPr>
              <w:pStyle w:val="table1"/>
              <w:rPr>
                <w:rFonts w:cs="Arial"/>
                <w:szCs w:val="16"/>
              </w:rPr>
            </w:pPr>
            <w:r w:rsidRPr="009C7C2D">
              <w:t>Ranger 3 Deeps</w:t>
            </w:r>
          </w:p>
        </w:tc>
      </w:tr>
      <w:tr w:rsidR="00204DA0" w:rsidRPr="00F93D84" w:rsidTr="004B6CDB">
        <w:trPr>
          <w:cantSplit/>
        </w:trPr>
        <w:tc>
          <w:tcPr>
            <w:tcW w:w="2093" w:type="dxa"/>
          </w:tcPr>
          <w:p w:rsidR="00204DA0" w:rsidRPr="009C7C2D" w:rsidRDefault="00204DA0" w:rsidP="003A4336">
            <w:pPr>
              <w:pStyle w:val="table1"/>
              <w:rPr>
                <w:rFonts w:cs="Arial"/>
                <w:szCs w:val="16"/>
              </w:rPr>
            </w:pPr>
            <w:r w:rsidRPr="009C7C2D">
              <w:rPr>
                <w:rFonts w:cs="Arial"/>
                <w:szCs w:val="16"/>
              </w:rPr>
              <w:t>R&amp;D</w:t>
            </w:r>
          </w:p>
        </w:tc>
        <w:tc>
          <w:tcPr>
            <w:tcW w:w="5528" w:type="dxa"/>
          </w:tcPr>
          <w:p w:rsidR="00204DA0" w:rsidRPr="009C7C2D" w:rsidRDefault="00204DA0" w:rsidP="003A4336">
            <w:pPr>
              <w:pStyle w:val="table1"/>
              <w:rPr>
                <w:rFonts w:cs="Arial"/>
                <w:szCs w:val="16"/>
                <w:lang w:val="en-US"/>
              </w:rPr>
            </w:pPr>
            <w:r w:rsidRPr="009C7C2D">
              <w:t>Research and Development</w:t>
            </w:r>
          </w:p>
        </w:tc>
      </w:tr>
      <w:tr w:rsidR="00144C7B" w:rsidRPr="00F93D84" w:rsidTr="004B6CDB">
        <w:trPr>
          <w:cantSplit/>
        </w:trPr>
        <w:tc>
          <w:tcPr>
            <w:tcW w:w="2093" w:type="dxa"/>
          </w:tcPr>
          <w:p w:rsidR="00144C7B" w:rsidRPr="009C7C2D" w:rsidRDefault="00144C7B" w:rsidP="003A4336">
            <w:pPr>
              <w:pStyle w:val="table1"/>
              <w:rPr>
                <w:rFonts w:cs="Arial"/>
                <w:szCs w:val="16"/>
              </w:rPr>
            </w:pPr>
            <w:r w:rsidRPr="009C7C2D">
              <w:rPr>
                <w:rFonts w:cs="Arial"/>
                <w:szCs w:val="16"/>
              </w:rPr>
              <w:t>SAR</w:t>
            </w:r>
          </w:p>
        </w:tc>
        <w:tc>
          <w:tcPr>
            <w:tcW w:w="5528" w:type="dxa"/>
          </w:tcPr>
          <w:p w:rsidR="00144C7B" w:rsidRPr="009C7C2D" w:rsidRDefault="00144C7B" w:rsidP="003A4336">
            <w:pPr>
              <w:pStyle w:val="table1"/>
            </w:pPr>
            <w:r w:rsidRPr="009C7C2D">
              <w:t>South Alligator River</w:t>
            </w:r>
          </w:p>
        </w:tc>
      </w:tr>
      <w:tr w:rsidR="00144C7B" w:rsidRPr="00F93D84" w:rsidTr="004B6CDB">
        <w:trPr>
          <w:cantSplit/>
        </w:trPr>
        <w:tc>
          <w:tcPr>
            <w:tcW w:w="2093" w:type="dxa"/>
          </w:tcPr>
          <w:p w:rsidR="00144C7B" w:rsidRPr="009C7C2D" w:rsidRDefault="00144C7B" w:rsidP="003A4336">
            <w:pPr>
              <w:pStyle w:val="table1"/>
              <w:rPr>
                <w:rFonts w:cs="Arial"/>
                <w:szCs w:val="16"/>
              </w:rPr>
            </w:pPr>
            <w:r w:rsidRPr="009C7C2D">
              <w:rPr>
                <w:rFonts w:cs="Arial"/>
                <w:szCs w:val="16"/>
              </w:rPr>
              <w:t>SETAC</w:t>
            </w:r>
          </w:p>
        </w:tc>
        <w:tc>
          <w:tcPr>
            <w:tcW w:w="5528" w:type="dxa"/>
          </w:tcPr>
          <w:p w:rsidR="00144C7B" w:rsidRPr="009C7C2D" w:rsidRDefault="00144C7B" w:rsidP="003A4336">
            <w:pPr>
              <w:pStyle w:val="table1"/>
            </w:pPr>
            <w:r w:rsidRPr="009C7C2D">
              <w:t>Society of Environmental Toxicology and Chemistry</w:t>
            </w:r>
          </w:p>
        </w:tc>
      </w:tr>
      <w:tr w:rsidR="00204DA0" w:rsidTr="004B6CDB">
        <w:trPr>
          <w:cantSplit/>
        </w:trPr>
        <w:tc>
          <w:tcPr>
            <w:tcW w:w="2093" w:type="dxa"/>
          </w:tcPr>
          <w:p w:rsidR="00204DA0" w:rsidRPr="009C7C2D" w:rsidRDefault="005F2C25" w:rsidP="003A4336">
            <w:pPr>
              <w:pStyle w:val="table1"/>
              <w:rPr>
                <w:rFonts w:cs="Arial"/>
                <w:szCs w:val="16"/>
              </w:rPr>
            </w:pPr>
            <w:r>
              <w:rPr>
                <w:rFonts w:cs="Arial"/>
                <w:szCs w:val="16"/>
              </w:rPr>
              <w:t>s</w:t>
            </w:r>
            <w:r w:rsidR="00204DA0" w:rsidRPr="009C7C2D">
              <w:rPr>
                <w:rFonts w:cs="Arial"/>
                <w:szCs w:val="16"/>
              </w:rPr>
              <w:t>ievert (Sv)</w:t>
            </w:r>
          </w:p>
        </w:tc>
        <w:tc>
          <w:tcPr>
            <w:tcW w:w="5528" w:type="dxa"/>
          </w:tcPr>
          <w:p w:rsidR="00204DA0" w:rsidRPr="009C7C2D" w:rsidRDefault="00204DA0" w:rsidP="0056187A">
            <w:pPr>
              <w:pStyle w:val="table1"/>
              <w:rPr>
                <w:rFonts w:cs="Arial"/>
                <w:szCs w:val="16"/>
              </w:rPr>
            </w:pPr>
            <w:r w:rsidRPr="009C7C2D">
              <w:rPr>
                <w:rFonts w:cs="Arial"/>
                <w:spacing w:val="-2"/>
                <w:szCs w:val="16"/>
              </w:rPr>
              <w:t>Unit for equivalent dose and effective dose 1 Sievert = 1 Joule·kg</w:t>
            </w:r>
            <w:r w:rsidRPr="009C7C2D">
              <w:rPr>
                <w:snapToGrid w:val="0"/>
                <w:color w:val="000000"/>
                <w:spacing w:val="-10"/>
                <w:position w:val="4"/>
                <w:sz w:val="11"/>
                <w:szCs w:val="0"/>
                <w:u w:color="000000"/>
              </w:rPr>
              <w:t>-1</w:t>
            </w:r>
            <w:r w:rsidRPr="009C7C2D">
              <w:rPr>
                <w:rFonts w:cs="Arial"/>
                <w:spacing w:val="-2"/>
                <w:szCs w:val="16"/>
              </w:rPr>
              <w:t>.</w:t>
            </w:r>
            <w:r w:rsidRPr="009C7C2D">
              <w:rPr>
                <w:rFonts w:cs="Arial"/>
                <w:spacing w:val="-2"/>
                <w:szCs w:val="16"/>
              </w:rPr>
              <w:br/>
              <w:t>In contrast to the Gray, the Sievert takes into account both the type of radiation and the radiological sensitivities of the organs irradiated, by introducing dimensionless radiation and tissue weighting factors, respectively.</w:t>
            </w:r>
          </w:p>
        </w:tc>
      </w:tr>
      <w:tr w:rsidR="00204DA0" w:rsidTr="004B6CDB">
        <w:trPr>
          <w:cantSplit/>
        </w:trPr>
        <w:tc>
          <w:tcPr>
            <w:tcW w:w="2093" w:type="dxa"/>
          </w:tcPr>
          <w:p w:rsidR="00204DA0" w:rsidRPr="009C7C2D" w:rsidRDefault="00204DA0" w:rsidP="003A4336">
            <w:pPr>
              <w:pStyle w:val="table1"/>
              <w:rPr>
                <w:rFonts w:cs="Arial"/>
                <w:szCs w:val="16"/>
              </w:rPr>
            </w:pPr>
            <w:r w:rsidRPr="009C7C2D">
              <w:rPr>
                <w:rFonts w:cs="Arial"/>
                <w:szCs w:val="16"/>
              </w:rPr>
              <w:t>SPERA</w:t>
            </w:r>
          </w:p>
        </w:tc>
        <w:tc>
          <w:tcPr>
            <w:tcW w:w="5528" w:type="dxa"/>
          </w:tcPr>
          <w:p w:rsidR="00204DA0" w:rsidRPr="009C7C2D" w:rsidRDefault="00204DA0" w:rsidP="003A4336">
            <w:pPr>
              <w:pStyle w:val="table1"/>
              <w:rPr>
                <w:rFonts w:cs="Arial"/>
                <w:szCs w:val="16"/>
                <w:lang w:eastAsia="en-AU"/>
              </w:rPr>
            </w:pPr>
            <w:r w:rsidRPr="009C7C2D">
              <w:t>South Pacific Environmental Radioactivity Association</w:t>
            </w:r>
          </w:p>
        </w:tc>
      </w:tr>
      <w:tr w:rsidR="00204DA0" w:rsidTr="004B6CDB">
        <w:trPr>
          <w:cantSplit/>
        </w:trPr>
        <w:tc>
          <w:tcPr>
            <w:tcW w:w="2093" w:type="dxa"/>
          </w:tcPr>
          <w:p w:rsidR="00204DA0" w:rsidRPr="009C7C2D" w:rsidRDefault="00204DA0" w:rsidP="003A4336">
            <w:pPr>
              <w:pStyle w:val="table1"/>
              <w:rPr>
                <w:rFonts w:cs="Arial"/>
                <w:szCs w:val="16"/>
              </w:rPr>
            </w:pPr>
            <w:r w:rsidRPr="009C7C2D">
              <w:rPr>
                <w:rFonts w:cs="Arial"/>
                <w:szCs w:val="16"/>
              </w:rPr>
              <w:t>SSD</w:t>
            </w:r>
          </w:p>
        </w:tc>
        <w:tc>
          <w:tcPr>
            <w:tcW w:w="5528" w:type="dxa"/>
          </w:tcPr>
          <w:p w:rsidR="00204DA0" w:rsidRPr="009C7C2D" w:rsidRDefault="00204DA0" w:rsidP="003A4336">
            <w:pPr>
              <w:pStyle w:val="table1"/>
              <w:rPr>
                <w:rFonts w:cs="Arial"/>
                <w:szCs w:val="16"/>
                <w:lang w:eastAsia="en-AU"/>
              </w:rPr>
            </w:pPr>
            <w:r w:rsidRPr="009C7C2D">
              <w:rPr>
                <w:rFonts w:cs="Arial"/>
                <w:szCs w:val="16"/>
                <w:lang w:eastAsia="en-AU"/>
              </w:rPr>
              <w:t>Supervising Scientist Division</w:t>
            </w:r>
          </w:p>
        </w:tc>
      </w:tr>
      <w:tr w:rsidR="00204DA0" w:rsidTr="004B6CDB">
        <w:trPr>
          <w:cantSplit/>
        </w:trPr>
        <w:tc>
          <w:tcPr>
            <w:tcW w:w="2093" w:type="dxa"/>
          </w:tcPr>
          <w:p w:rsidR="00204DA0" w:rsidRPr="009C7C2D" w:rsidRDefault="00204DA0" w:rsidP="003A4336">
            <w:pPr>
              <w:pStyle w:val="table1"/>
              <w:rPr>
                <w:rFonts w:cs="Arial"/>
                <w:szCs w:val="16"/>
              </w:rPr>
            </w:pPr>
            <w:r w:rsidRPr="009C7C2D">
              <w:rPr>
                <w:rFonts w:cs="Arial"/>
                <w:szCs w:val="16"/>
              </w:rPr>
              <w:t>stable lead isotopes</w:t>
            </w:r>
          </w:p>
        </w:tc>
        <w:tc>
          <w:tcPr>
            <w:tcW w:w="5528" w:type="dxa"/>
          </w:tcPr>
          <w:p w:rsidR="00204DA0" w:rsidRPr="009C7C2D" w:rsidRDefault="00204DA0" w:rsidP="003A4336">
            <w:pPr>
              <w:pStyle w:val="table1"/>
              <w:rPr>
                <w:rFonts w:cs="Arial"/>
                <w:szCs w:val="16"/>
              </w:rPr>
            </w:pPr>
            <w:r w:rsidRPr="009C7C2D">
              <w:rPr>
                <w:rFonts w:cs="Arial"/>
                <w:szCs w:val="16"/>
              </w:rPr>
              <w:t xml:space="preserve">Lead has four stable isotopes, three of which, </w:t>
            </w:r>
            <w:r w:rsidRPr="009C7C2D">
              <w:rPr>
                <w:snapToGrid w:val="0"/>
                <w:color w:val="000000"/>
                <w:position w:val="4"/>
                <w:sz w:val="11"/>
                <w:szCs w:val="0"/>
                <w:u w:color="000000"/>
              </w:rPr>
              <w:t>206</w:t>
            </w:r>
            <w:r w:rsidRPr="009C7C2D">
              <w:rPr>
                <w:rFonts w:cs="Arial"/>
                <w:szCs w:val="16"/>
              </w:rPr>
              <w:t xml:space="preserve">Pb, </w:t>
            </w:r>
            <w:r w:rsidRPr="009C7C2D">
              <w:rPr>
                <w:snapToGrid w:val="0"/>
                <w:color w:val="000000"/>
                <w:position w:val="4"/>
                <w:sz w:val="11"/>
                <w:szCs w:val="0"/>
                <w:u w:color="000000"/>
              </w:rPr>
              <w:t>207</w:t>
            </w:r>
            <w:r w:rsidRPr="009C7C2D">
              <w:rPr>
                <w:rFonts w:cs="Arial"/>
                <w:szCs w:val="16"/>
              </w:rPr>
              <w:t xml:space="preserve">Pb and </w:t>
            </w:r>
            <w:r w:rsidRPr="009C7C2D">
              <w:rPr>
                <w:snapToGrid w:val="0"/>
                <w:color w:val="000000"/>
                <w:position w:val="4"/>
                <w:sz w:val="11"/>
                <w:szCs w:val="0"/>
                <w:u w:color="000000"/>
              </w:rPr>
              <w:t>208</w:t>
            </w:r>
            <w:r w:rsidRPr="009C7C2D">
              <w:rPr>
                <w:rFonts w:cs="Arial"/>
                <w:szCs w:val="16"/>
              </w:rPr>
              <w:t xml:space="preserve">Pb, are end members of the natural uranium, actinium and thorium decay series, respectively. </w:t>
            </w:r>
            <w:r w:rsidRPr="009C7C2D">
              <w:rPr>
                <w:snapToGrid w:val="0"/>
                <w:color w:val="000000"/>
                <w:position w:val="4"/>
                <w:sz w:val="11"/>
                <w:szCs w:val="0"/>
                <w:u w:color="000000"/>
              </w:rPr>
              <w:t>204</w:t>
            </w:r>
            <w:r w:rsidRPr="009C7C2D">
              <w:rPr>
                <w:rFonts w:cs="Arial"/>
                <w:szCs w:val="16"/>
              </w:rPr>
              <w:t>Pb is primordial only.</w:t>
            </w:r>
          </w:p>
        </w:tc>
      </w:tr>
      <w:tr w:rsidR="00204DA0" w:rsidRPr="00F93D84" w:rsidTr="004B6CDB">
        <w:trPr>
          <w:cantSplit/>
        </w:trPr>
        <w:tc>
          <w:tcPr>
            <w:tcW w:w="2093" w:type="dxa"/>
          </w:tcPr>
          <w:p w:rsidR="00204DA0" w:rsidRPr="009C7C2D" w:rsidRDefault="00204DA0" w:rsidP="003A4336">
            <w:pPr>
              <w:pStyle w:val="table1"/>
              <w:rPr>
                <w:rFonts w:cs="Arial"/>
                <w:szCs w:val="16"/>
              </w:rPr>
            </w:pPr>
            <w:r w:rsidRPr="009C7C2D">
              <w:rPr>
                <w:rFonts w:cs="Arial"/>
                <w:szCs w:val="16"/>
              </w:rPr>
              <w:t>tailings</w:t>
            </w:r>
          </w:p>
        </w:tc>
        <w:tc>
          <w:tcPr>
            <w:tcW w:w="5528" w:type="dxa"/>
          </w:tcPr>
          <w:p w:rsidR="00204DA0" w:rsidRPr="009C7C2D" w:rsidRDefault="00204DA0" w:rsidP="003A4336">
            <w:pPr>
              <w:pStyle w:val="table1"/>
              <w:rPr>
                <w:rFonts w:cs="Arial"/>
                <w:szCs w:val="16"/>
              </w:rPr>
            </w:pPr>
            <w:proofErr w:type="gramStart"/>
            <w:r w:rsidRPr="009C7C2D">
              <w:rPr>
                <w:rFonts w:cs="Arial"/>
                <w:szCs w:val="16"/>
              </w:rPr>
              <w:t>A slurry</w:t>
            </w:r>
            <w:proofErr w:type="gramEnd"/>
            <w:r w:rsidRPr="009C7C2D">
              <w:rPr>
                <w:rFonts w:cs="Arial"/>
                <w:szCs w:val="16"/>
              </w:rPr>
              <w:t xml:space="preserve"> of ground rock and process effluents left over once the target product, in this case uranium, has been extracted from mineralised ore. </w:t>
            </w:r>
          </w:p>
        </w:tc>
      </w:tr>
      <w:tr w:rsidR="00144C7B" w:rsidRPr="00F93D84" w:rsidTr="004B6CDB">
        <w:trPr>
          <w:cantSplit/>
        </w:trPr>
        <w:tc>
          <w:tcPr>
            <w:tcW w:w="2093" w:type="dxa"/>
          </w:tcPr>
          <w:p w:rsidR="00144C7B" w:rsidRPr="009C7C2D" w:rsidRDefault="00144C7B" w:rsidP="003A4336">
            <w:pPr>
              <w:pStyle w:val="table1"/>
              <w:rPr>
                <w:rFonts w:cs="Arial"/>
                <w:szCs w:val="16"/>
              </w:rPr>
            </w:pPr>
            <w:r w:rsidRPr="009C7C2D">
              <w:rPr>
                <w:rFonts w:cs="Arial"/>
                <w:szCs w:val="16"/>
              </w:rPr>
              <w:t>TAN</w:t>
            </w:r>
          </w:p>
        </w:tc>
        <w:tc>
          <w:tcPr>
            <w:tcW w:w="5528" w:type="dxa"/>
          </w:tcPr>
          <w:p w:rsidR="00144C7B" w:rsidRPr="009C7C2D" w:rsidRDefault="00144C7B" w:rsidP="003A4336">
            <w:pPr>
              <w:pStyle w:val="table1"/>
              <w:rPr>
                <w:rFonts w:cs="Arial"/>
                <w:szCs w:val="16"/>
              </w:rPr>
            </w:pPr>
            <w:r w:rsidRPr="009C7C2D">
              <w:t>Total Ammonia Nitrogen</w:t>
            </w:r>
          </w:p>
        </w:tc>
      </w:tr>
      <w:tr w:rsidR="00144C7B" w:rsidTr="004B6CDB">
        <w:trPr>
          <w:cantSplit/>
        </w:trPr>
        <w:tc>
          <w:tcPr>
            <w:tcW w:w="2093" w:type="dxa"/>
          </w:tcPr>
          <w:p w:rsidR="00144C7B" w:rsidRDefault="00144C7B" w:rsidP="003A4336">
            <w:pPr>
              <w:pStyle w:val="table1"/>
              <w:rPr>
                <w:rFonts w:cs="Arial"/>
                <w:szCs w:val="16"/>
                <w:lang w:eastAsia="en-AU"/>
              </w:rPr>
            </w:pPr>
            <w:r>
              <w:rPr>
                <w:rFonts w:cs="Arial"/>
                <w:szCs w:val="16"/>
                <w:lang w:eastAsia="en-AU"/>
              </w:rPr>
              <w:t>TLD</w:t>
            </w:r>
          </w:p>
        </w:tc>
        <w:tc>
          <w:tcPr>
            <w:tcW w:w="5528" w:type="dxa"/>
          </w:tcPr>
          <w:p w:rsidR="00144C7B" w:rsidRPr="00F93D84" w:rsidRDefault="00144C7B" w:rsidP="003A4336">
            <w:pPr>
              <w:pStyle w:val="table1"/>
              <w:rPr>
                <w:rFonts w:cs="Arial"/>
                <w:szCs w:val="16"/>
                <w:lang w:eastAsia="en-AU"/>
              </w:rPr>
            </w:pPr>
            <w:r w:rsidRPr="0045375D">
              <w:t>Thermoluminescent dosimetry</w:t>
            </w:r>
          </w:p>
        </w:tc>
      </w:tr>
      <w:tr w:rsidR="00204DA0" w:rsidTr="004B6CDB">
        <w:trPr>
          <w:cantSplit/>
        </w:trPr>
        <w:tc>
          <w:tcPr>
            <w:tcW w:w="2093" w:type="dxa"/>
          </w:tcPr>
          <w:p w:rsidR="00204DA0" w:rsidRPr="00F93D84" w:rsidRDefault="00204DA0" w:rsidP="003A4336">
            <w:pPr>
              <w:pStyle w:val="table1"/>
              <w:rPr>
                <w:rFonts w:cs="Arial"/>
                <w:szCs w:val="16"/>
                <w:lang w:eastAsia="en-AU"/>
              </w:rPr>
            </w:pPr>
            <w:r w:rsidRPr="00F93D84">
              <w:rPr>
                <w:rFonts w:cs="Arial"/>
                <w:szCs w:val="16"/>
                <w:lang w:eastAsia="en-AU"/>
              </w:rPr>
              <w:t>toxicity monitoring</w:t>
            </w:r>
          </w:p>
        </w:tc>
        <w:tc>
          <w:tcPr>
            <w:tcW w:w="5528" w:type="dxa"/>
          </w:tcPr>
          <w:p w:rsidR="00204DA0" w:rsidRPr="00F93D84" w:rsidRDefault="00204DA0" w:rsidP="003A4336">
            <w:pPr>
              <w:pStyle w:val="table1"/>
              <w:rPr>
                <w:rFonts w:cs="Arial"/>
                <w:szCs w:val="16"/>
                <w:lang w:eastAsia="en-AU"/>
              </w:rPr>
            </w:pPr>
            <w:r w:rsidRPr="00F93D84">
              <w:rPr>
                <w:rFonts w:cs="Arial"/>
                <w:szCs w:val="16"/>
                <w:lang w:eastAsia="en-AU"/>
              </w:rPr>
              <w:t>The means by which the toxicity of a chemical or other test material is determined in the field over time. The monitoring comprises field toxicity tests which are used to measure the degree of response produced by exposure to a specific level of stimulus (or concentration of chemical).</w:t>
            </w:r>
          </w:p>
        </w:tc>
      </w:tr>
      <w:tr w:rsidR="00204DA0" w:rsidTr="004B6CDB">
        <w:trPr>
          <w:cantSplit/>
        </w:trPr>
        <w:tc>
          <w:tcPr>
            <w:tcW w:w="2093" w:type="dxa"/>
          </w:tcPr>
          <w:p w:rsidR="00204DA0" w:rsidRPr="00F93D84" w:rsidRDefault="005F2C25" w:rsidP="003A4336">
            <w:pPr>
              <w:pStyle w:val="table1"/>
              <w:rPr>
                <w:rFonts w:cs="Arial"/>
                <w:bCs/>
                <w:szCs w:val="16"/>
                <w:lang w:eastAsia="en-AU"/>
              </w:rPr>
            </w:pPr>
            <w:r>
              <w:rPr>
                <w:rFonts w:cs="Arial"/>
                <w:bCs/>
                <w:szCs w:val="16"/>
                <w:lang w:eastAsia="en-AU"/>
              </w:rPr>
              <w:t>t</w:t>
            </w:r>
            <w:r w:rsidR="00204DA0" w:rsidRPr="00906175">
              <w:rPr>
                <w:rFonts w:cs="Arial"/>
                <w:bCs/>
                <w:szCs w:val="16"/>
                <w:lang w:eastAsia="en-AU"/>
              </w:rPr>
              <w:t>rigger values</w:t>
            </w:r>
          </w:p>
        </w:tc>
        <w:tc>
          <w:tcPr>
            <w:tcW w:w="5528" w:type="dxa"/>
          </w:tcPr>
          <w:p w:rsidR="00204DA0" w:rsidRPr="00F93D84" w:rsidRDefault="00204DA0" w:rsidP="003A4336">
            <w:pPr>
              <w:pStyle w:val="table1"/>
              <w:rPr>
                <w:rFonts w:cs="Arial"/>
                <w:szCs w:val="16"/>
                <w:lang w:eastAsia="en-AU"/>
              </w:rPr>
            </w:pPr>
            <w:r>
              <w:rPr>
                <w:rFonts w:cs="Arial"/>
                <w:szCs w:val="16"/>
                <w:lang w:eastAsia="en-AU"/>
              </w:rPr>
              <w:t>Concentrations (or loads) of the key performance indicators measured for an ecosystem, below which there exists a low risk that adverse biological (ecological) effects will occur. They indicate a risk of impact if exceeded and should ‘trigger’ some action, either further ecosystem specific investigations or implementation of management/remedial actions.</w:t>
            </w:r>
          </w:p>
        </w:tc>
      </w:tr>
      <w:tr w:rsidR="00204DA0" w:rsidTr="004B6CDB">
        <w:trPr>
          <w:cantSplit/>
        </w:trPr>
        <w:tc>
          <w:tcPr>
            <w:tcW w:w="2093" w:type="dxa"/>
          </w:tcPr>
          <w:p w:rsidR="00204DA0" w:rsidRPr="006B7E4F" w:rsidRDefault="00204DA0" w:rsidP="003A4336">
            <w:pPr>
              <w:pStyle w:val="table1"/>
              <w:rPr>
                <w:rFonts w:cs="Arial"/>
                <w:bCs/>
                <w:szCs w:val="16"/>
                <w:lang w:eastAsia="en-AU"/>
              </w:rPr>
            </w:pPr>
            <w:r w:rsidRPr="006B7E4F">
              <w:rPr>
                <w:rFonts w:cs="Arial"/>
                <w:bCs/>
                <w:szCs w:val="16"/>
                <w:lang w:eastAsia="en-AU"/>
              </w:rPr>
              <w:t>TSF</w:t>
            </w:r>
          </w:p>
        </w:tc>
        <w:tc>
          <w:tcPr>
            <w:tcW w:w="5528" w:type="dxa"/>
          </w:tcPr>
          <w:p w:rsidR="00204DA0" w:rsidRPr="006B7E4F" w:rsidRDefault="00204DA0" w:rsidP="003A4336">
            <w:pPr>
              <w:pStyle w:val="table1"/>
              <w:rPr>
                <w:rFonts w:cs="Arial"/>
                <w:szCs w:val="16"/>
                <w:lang w:eastAsia="en-AU"/>
              </w:rPr>
            </w:pPr>
            <w:r w:rsidRPr="006B7E4F">
              <w:rPr>
                <w:rFonts w:cs="Arial"/>
                <w:szCs w:val="16"/>
                <w:lang w:eastAsia="en-AU"/>
              </w:rPr>
              <w:t>Tailings Storage Facility</w:t>
            </w:r>
          </w:p>
        </w:tc>
      </w:tr>
      <w:tr w:rsidR="00144C7B" w:rsidTr="004B6CDB">
        <w:trPr>
          <w:cantSplit/>
        </w:trPr>
        <w:tc>
          <w:tcPr>
            <w:tcW w:w="2093" w:type="dxa"/>
          </w:tcPr>
          <w:p w:rsidR="00144C7B" w:rsidRPr="006B7E4F" w:rsidRDefault="00144C7B" w:rsidP="003A4336">
            <w:pPr>
              <w:pStyle w:val="table1"/>
              <w:rPr>
                <w:rFonts w:cs="Arial"/>
                <w:bCs/>
                <w:szCs w:val="16"/>
                <w:lang w:eastAsia="en-AU"/>
              </w:rPr>
            </w:pPr>
            <w:r w:rsidRPr="006B7E4F">
              <w:rPr>
                <w:rFonts w:cs="Arial"/>
                <w:bCs/>
                <w:szCs w:val="16"/>
                <w:lang w:eastAsia="en-AU"/>
              </w:rPr>
              <w:t>UAS</w:t>
            </w:r>
          </w:p>
        </w:tc>
        <w:tc>
          <w:tcPr>
            <w:tcW w:w="5528" w:type="dxa"/>
          </w:tcPr>
          <w:p w:rsidR="00144C7B" w:rsidRPr="006B7E4F" w:rsidRDefault="00144C7B" w:rsidP="003A4336">
            <w:pPr>
              <w:pStyle w:val="table1"/>
              <w:rPr>
                <w:rFonts w:cs="Arial"/>
                <w:szCs w:val="16"/>
                <w:lang w:eastAsia="en-AU"/>
              </w:rPr>
            </w:pPr>
            <w:r w:rsidRPr="006B7E4F">
              <w:t>Unmanned Aerial System</w:t>
            </w:r>
          </w:p>
        </w:tc>
      </w:tr>
      <w:tr w:rsidR="00204DA0" w:rsidTr="004B6CDB">
        <w:trPr>
          <w:cantSplit/>
        </w:trPr>
        <w:tc>
          <w:tcPr>
            <w:tcW w:w="2093" w:type="dxa"/>
          </w:tcPr>
          <w:p w:rsidR="00204DA0" w:rsidRPr="006B7E4F" w:rsidRDefault="00204DA0" w:rsidP="003A4336">
            <w:pPr>
              <w:pStyle w:val="table1"/>
              <w:rPr>
                <w:rFonts w:cs="Arial"/>
                <w:bCs/>
                <w:szCs w:val="16"/>
                <w:lang w:eastAsia="en-AU"/>
              </w:rPr>
            </w:pPr>
            <w:r w:rsidRPr="006B7E4F">
              <w:rPr>
                <w:rFonts w:cs="Arial"/>
                <w:bCs/>
                <w:szCs w:val="16"/>
                <w:lang w:eastAsia="en-AU"/>
              </w:rPr>
              <w:t>UEL</w:t>
            </w:r>
          </w:p>
        </w:tc>
        <w:tc>
          <w:tcPr>
            <w:tcW w:w="5528" w:type="dxa"/>
          </w:tcPr>
          <w:p w:rsidR="00204DA0" w:rsidRPr="006B7E4F" w:rsidRDefault="00204DA0" w:rsidP="003A4336">
            <w:pPr>
              <w:pStyle w:val="table1"/>
              <w:rPr>
                <w:rFonts w:cs="Arial"/>
                <w:szCs w:val="16"/>
                <w:lang w:eastAsia="en-AU"/>
              </w:rPr>
            </w:pPr>
            <w:r w:rsidRPr="006B7E4F">
              <w:rPr>
                <w:rFonts w:cs="Arial"/>
                <w:szCs w:val="16"/>
                <w:lang w:eastAsia="en-AU"/>
              </w:rPr>
              <w:t>Uranium Equities Ltd</w:t>
            </w:r>
          </w:p>
        </w:tc>
      </w:tr>
      <w:tr w:rsidR="00204DA0" w:rsidRPr="00F93D84" w:rsidTr="004B6CDB">
        <w:trPr>
          <w:cantSplit/>
        </w:trPr>
        <w:tc>
          <w:tcPr>
            <w:tcW w:w="2093" w:type="dxa"/>
          </w:tcPr>
          <w:p w:rsidR="00204DA0" w:rsidRPr="006B7E4F" w:rsidRDefault="00204DA0" w:rsidP="003A4336">
            <w:pPr>
              <w:pStyle w:val="table1"/>
              <w:rPr>
                <w:rFonts w:cs="Arial"/>
                <w:szCs w:val="16"/>
                <w:lang w:eastAsia="en-AU"/>
              </w:rPr>
            </w:pPr>
            <w:r w:rsidRPr="006B7E4F">
              <w:rPr>
                <w:rFonts w:cs="Arial"/>
                <w:szCs w:val="16"/>
              </w:rPr>
              <w:t xml:space="preserve">uranium oxide </w:t>
            </w:r>
          </w:p>
        </w:tc>
        <w:tc>
          <w:tcPr>
            <w:tcW w:w="5528" w:type="dxa"/>
          </w:tcPr>
          <w:p w:rsidR="00204DA0" w:rsidRPr="006B7E4F" w:rsidRDefault="00204DA0" w:rsidP="003A4336">
            <w:pPr>
              <w:pStyle w:val="table1"/>
              <w:rPr>
                <w:rFonts w:cs="Arial"/>
                <w:szCs w:val="16"/>
                <w:lang w:eastAsia="en-AU"/>
              </w:rPr>
            </w:pPr>
            <w:r w:rsidRPr="006B7E4F">
              <w:rPr>
                <w:rFonts w:cs="Arial"/>
                <w:szCs w:val="16"/>
              </w:rPr>
              <w:t xml:space="preserve">An </w:t>
            </w:r>
            <w:hyperlink r:id="rId161" w:tooltip="Oxide" w:history="1">
              <w:r w:rsidRPr="006B7E4F">
                <w:rPr>
                  <w:rFonts w:cs="Arial"/>
                  <w:szCs w:val="16"/>
                </w:rPr>
                <w:t>oxide</w:t>
              </w:r>
            </w:hyperlink>
            <w:r w:rsidRPr="006B7E4F">
              <w:rPr>
                <w:rFonts w:cs="Arial"/>
                <w:szCs w:val="16"/>
              </w:rPr>
              <w:t xml:space="preserve"> of </w:t>
            </w:r>
            <w:hyperlink r:id="rId162" w:tooltip="Uranium" w:history="1">
              <w:r w:rsidRPr="006B7E4F">
                <w:rPr>
                  <w:rFonts w:cs="Arial"/>
                  <w:szCs w:val="16"/>
                </w:rPr>
                <w:t>uranium</w:t>
              </w:r>
            </w:hyperlink>
            <w:r w:rsidRPr="006B7E4F">
              <w:rPr>
                <w:rFonts w:cs="Arial"/>
                <w:szCs w:val="16"/>
              </w:rPr>
              <w:t xml:space="preserve"> which occurs naturally or is produced by a uranium extraction process. This is the product from the Ranger mine.</w:t>
            </w:r>
          </w:p>
        </w:tc>
      </w:tr>
      <w:tr w:rsidR="00204DA0" w:rsidRPr="00F93D84" w:rsidTr="004B6CDB">
        <w:trPr>
          <w:cantSplit/>
        </w:trPr>
        <w:tc>
          <w:tcPr>
            <w:tcW w:w="2093" w:type="dxa"/>
          </w:tcPr>
          <w:p w:rsidR="00204DA0" w:rsidRPr="006B7E4F" w:rsidRDefault="00204DA0" w:rsidP="003A4336">
            <w:pPr>
              <w:pStyle w:val="table1"/>
              <w:rPr>
                <w:rFonts w:cs="Arial"/>
                <w:b/>
                <w:szCs w:val="16"/>
              </w:rPr>
            </w:pPr>
            <w:r w:rsidRPr="006B7E4F">
              <w:rPr>
                <w:rFonts w:cs="Arial"/>
                <w:szCs w:val="16"/>
              </w:rPr>
              <w:t>water treatment plant (WTP)</w:t>
            </w:r>
          </w:p>
        </w:tc>
        <w:tc>
          <w:tcPr>
            <w:tcW w:w="5528" w:type="dxa"/>
          </w:tcPr>
          <w:p w:rsidR="00204DA0" w:rsidRPr="006B7E4F" w:rsidRDefault="00204DA0" w:rsidP="003A4336">
            <w:pPr>
              <w:pStyle w:val="table1"/>
              <w:rPr>
                <w:rFonts w:cs="Arial"/>
                <w:szCs w:val="16"/>
              </w:rPr>
            </w:pPr>
            <w:r w:rsidRPr="006B7E4F">
              <w:rPr>
                <w:rFonts w:cs="Arial"/>
                <w:szCs w:val="16"/>
              </w:rPr>
              <w:t>The process system that removes undesirable chemicals, materials, and biological contaminants from water thereby decreasing its ability to harm the environment.</w:t>
            </w:r>
          </w:p>
        </w:tc>
      </w:tr>
      <w:tr w:rsidR="00144C7B" w:rsidRPr="00F93D84" w:rsidTr="004B6CDB">
        <w:trPr>
          <w:cantSplit/>
        </w:trPr>
        <w:tc>
          <w:tcPr>
            <w:tcW w:w="2093" w:type="dxa"/>
          </w:tcPr>
          <w:p w:rsidR="00144C7B" w:rsidRPr="006B7E4F" w:rsidRDefault="00144C7B" w:rsidP="003A4336">
            <w:pPr>
              <w:pStyle w:val="table1"/>
              <w:rPr>
                <w:rFonts w:cs="Arial"/>
                <w:szCs w:val="16"/>
              </w:rPr>
            </w:pPr>
            <w:r w:rsidRPr="006B7E4F">
              <w:rPr>
                <w:rFonts w:cs="Arial"/>
                <w:szCs w:val="16"/>
              </w:rPr>
              <w:t>WHS</w:t>
            </w:r>
          </w:p>
        </w:tc>
        <w:tc>
          <w:tcPr>
            <w:tcW w:w="5528" w:type="dxa"/>
          </w:tcPr>
          <w:p w:rsidR="00144C7B" w:rsidRPr="006B7E4F" w:rsidRDefault="00144C7B" w:rsidP="00144C7B">
            <w:pPr>
              <w:pStyle w:val="table1"/>
              <w:tabs>
                <w:tab w:val="left" w:pos="679"/>
              </w:tabs>
              <w:rPr>
                <w:rFonts w:cs="Arial"/>
                <w:szCs w:val="16"/>
              </w:rPr>
            </w:pPr>
            <w:r w:rsidRPr="006B7E4F">
              <w:rPr>
                <w:spacing w:val="-2"/>
              </w:rPr>
              <w:t>Work Health and Safety</w:t>
            </w:r>
          </w:p>
        </w:tc>
      </w:tr>
      <w:tr w:rsidR="00144C7B" w:rsidRPr="00F93D84" w:rsidTr="004B6CDB">
        <w:trPr>
          <w:cantSplit/>
        </w:trPr>
        <w:tc>
          <w:tcPr>
            <w:tcW w:w="2093" w:type="dxa"/>
          </w:tcPr>
          <w:p w:rsidR="00144C7B" w:rsidRPr="006B7E4F" w:rsidRDefault="00144C7B" w:rsidP="003A4336">
            <w:pPr>
              <w:pStyle w:val="table1"/>
              <w:rPr>
                <w:rFonts w:cs="Arial"/>
                <w:szCs w:val="16"/>
              </w:rPr>
            </w:pPr>
            <w:r w:rsidRPr="006B7E4F">
              <w:rPr>
                <w:rFonts w:cs="Arial"/>
                <w:szCs w:val="16"/>
              </w:rPr>
              <w:t>WHSC</w:t>
            </w:r>
          </w:p>
        </w:tc>
        <w:tc>
          <w:tcPr>
            <w:tcW w:w="5528" w:type="dxa"/>
          </w:tcPr>
          <w:p w:rsidR="00144C7B" w:rsidRPr="006B7E4F" w:rsidRDefault="00144C7B" w:rsidP="00144C7B">
            <w:pPr>
              <w:pStyle w:val="table1"/>
              <w:tabs>
                <w:tab w:val="left" w:pos="679"/>
              </w:tabs>
              <w:rPr>
                <w:spacing w:val="-2"/>
              </w:rPr>
            </w:pPr>
            <w:r w:rsidRPr="006B7E4F">
              <w:rPr>
                <w:spacing w:val="-2"/>
              </w:rPr>
              <w:t>Work Health and Safety Committee</w:t>
            </w:r>
          </w:p>
        </w:tc>
      </w:tr>
    </w:tbl>
    <w:p w:rsidR="00043E89" w:rsidRDefault="00043E89" w:rsidP="00A00BA3">
      <w:pPr>
        <w:sectPr w:rsidR="00043E89" w:rsidSect="008F3012">
          <w:headerReference w:type="even" r:id="rId163"/>
          <w:headerReference w:type="default" r:id="rId164"/>
          <w:footerReference w:type="even" r:id="rId165"/>
          <w:footerReference w:type="default" r:id="rId166"/>
          <w:headerReference w:type="first" r:id="rId167"/>
          <w:footerReference w:type="first" r:id="rId168"/>
          <w:pgSz w:w="10325" w:h="14573" w:code="13"/>
          <w:pgMar w:top="1440" w:right="1440" w:bottom="1440" w:left="1440" w:header="720" w:footer="720" w:gutter="0"/>
          <w:cols w:space="360"/>
          <w:noEndnote/>
          <w:titlePg/>
        </w:sectPr>
      </w:pPr>
    </w:p>
    <w:bookmarkEnd w:id="792"/>
    <w:p w:rsidR="00632756" w:rsidRDefault="00632756" w:rsidP="00043E89">
      <w:pPr>
        <w:rPr>
          <w:lang w:val="en-US"/>
        </w:rPr>
      </w:pPr>
      <w:r>
        <w:rPr>
          <w:lang w:val="en-US"/>
        </w:rPr>
        <w:t>A</w:t>
      </w:r>
    </w:p>
    <w:p w:rsidR="005475F7" w:rsidRPr="00A326C6" w:rsidRDefault="005475F7" w:rsidP="005475F7">
      <w:pPr>
        <w:pStyle w:val="indexAR"/>
      </w:pPr>
      <w:r w:rsidRPr="00A326C6">
        <w:rPr>
          <w:i/>
          <w:iCs/>
        </w:rPr>
        <w:t>Aboriginal Land Rights (Northern Territory) Act 1976</w:t>
      </w:r>
      <w:r w:rsidRPr="00A326C6">
        <w:t xml:space="preserve"> 136, 149</w:t>
      </w:r>
    </w:p>
    <w:p w:rsidR="005475F7" w:rsidRPr="00A326C6" w:rsidRDefault="005475F7" w:rsidP="005475F7">
      <w:pPr>
        <w:pStyle w:val="indexAR"/>
      </w:pPr>
      <w:r w:rsidRPr="00A326C6">
        <w:t>Acheron and Yea Rivers, Victoria 121</w:t>
      </w:r>
    </w:p>
    <w:p w:rsidR="005475F7" w:rsidRPr="00A326C6" w:rsidRDefault="005475F7" w:rsidP="005475F7">
      <w:pPr>
        <w:pStyle w:val="indexAR"/>
      </w:pPr>
      <w:proofErr w:type="gramStart"/>
      <w:r w:rsidRPr="00A326C6">
        <w:t>address</w:t>
      </w:r>
      <w:proofErr w:type="gramEnd"/>
      <w:r w:rsidRPr="00A326C6">
        <w:t xml:space="preserve"> and contact details ii</w:t>
      </w:r>
    </w:p>
    <w:p w:rsidR="005475F7" w:rsidRPr="00A326C6" w:rsidRDefault="005475F7" w:rsidP="005475F7">
      <w:pPr>
        <w:pStyle w:val="indexAR"/>
      </w:pPr>
      <w:proofErr w:type="gramStart"/>
      <w:r w:rsidRPr="00A326C6">
        <w:t>administrative</w:t>
      </w:r>
      <w:proofErr w:type="gramEnd"/>
      <w:r w:rsidRPr="00A326C6">
        <w:t xml:space="preserve"> arrangements 129–135</w:t>
      </w:r>
    </w:p>
    <w:p w:rsidR="005475F7" w:rsidRPr="00A326C6" w:rsidRDefault="005475F7" w:rsidP="005475F7">
      <w:pPr>
        <w:pStyle w:val="indexAR"/>
      </w:pPr>
      <w:r w:rsidRPr="00A326C6">
        <w:t>Alligator Energy Myra Camp 64</w:t>
      </w:r>
    </w:p>
    <w:p w:rsidR="005475F7" w:rsidRPr="00A326C6" w:rsidRDefault="005475F7" w:rsidP="005475F7">
      <w:pPr>
        <w:pStyle w:val="indexAR"/>
      </w:pPr>
      <w:r w:rsidRPr="00A326C6">
        <w:t>Alligator Rivers Region (ARR) xiii</w:t>
      </w:r>
    </w:p>
    <w:p w:rsidR="005475F7" w:rsidRPr="008C5C25" w:rsidRDefault="005475F7" w:rsidP="008C5C25">
      <w:pPr>
        <w:pStyle w:val="index2AR"/>
      </w:pPr>
      <w:proofErr w:type="gramStart"/>
      <w:r w:rsidRPr="008C5C25">
        <w:t>effects</w:t>
      </w:r>
      <w:proofErr w:type="gramEnd"/>
      <w:r w:rsidRPr="008C5C25">
        <w:t xml:space="preserve"> of uranium mining in 75</w:t>
      </w:r>
    </w:p>
    <w:p w:rsidR="005475F7" w:rsidRPr="008C5C25" w:rsidRDefault="005475F7" w:rsidP="008C5C25">
      <w:pPr>
        <w:pStyle w:val="index2AR"/>
      </w:pPr>
      <w:r w:rsidRPr="008C5C25">
        <w:t>Key Knowledge Needs 148–149</w:t>
      </w:r>
    </w:p>
    <w:p w:rsidR="005475F7" w:rsidRPr="008C5C25" w:rsidRDefault="005475F7" w:rsidP="008C5C25">
      <w:pPr>
        <w:pStyle w:val="index2AR"/>
      </w:pPr>
      <w:proofErr w:type="gramStart"/>
      <w:r w:rsidRPr="008C5C25">
        <w:t>rehabilitation</w:t>
      </w:r>
      <w:proofErr w:type="gramEnd"/>
      <w:r w:rsidRPr="008C5C25">
        <w:t xml:space="preserve"> 5</w:t>
      </w:r>
    </w:p>
    <w:p w:rsidR="005475F7" w:rsidRPr="008C5C25" w:rsidRDefault="005475F7" w:rsidP="008C5C25">
      <w:pPr>
        <w:pStyle w:val="index2AR"/>
      </w:pPr>
      <w:proofErr w:type="gramStart"/>
      <w:r w:rsidRPr="008C5C25">
        <w:t>research</w:t>
      </w:r>
      <w:proofErr w:type="gramEnd"/>
      <w:r w:rsidRPr="008C5C25">
        <w:t xml:space="preserve"> and monitoring in 136–149</w:t>
      </w:r>
    </w:p>
    <w:p w:rsidR="005475F7" w:rsidRPr="008C5C25" w:rsidRDefault="005475F7" w:rsidP="008C5C25">
      <w:pPr>
        <w:pStyle w:val="index2AR"/>
      </w:pPr>
      <w:proofErr w:type="gramStart"/>
      <w:r w:rsidRPr="008C5C25">
        <w:t>supervision</w:t>
      </w:r>
      <w:proofErr w:type="gramEnd"/>
      <w:r w:rsidRPr="008C5C25">
        <w:t xml:space="preserve"> of mining operations in 8–9</w:t>
      </w:r>
    </w:p>
    <w:p w:rsidR="005475F7" w:rsidRPr="008C5C25" w:rsidRDefault="005475F7" w:rsidP="008C5C25">
      <w:pPr>
        <w:pStyle w:val="index2AR"/>
      </w:pPr>
      <w:proofErr w:type="gramStart"/>
      <w:r w:rsidRPr="008C5C25">
        <w:t>uranium</w:t>
      </w:r>
      <w:proofErr w:type="gramEnd"/>
      <w:r w:rsidRPr="008C5C25">
        <w:t xml:space="preserve"> deposits 2–4</w:t>
      </w:r>
    </w:p>
    <w:p w:rsidR="005475F7" w:rsidRPr="008C5C25" w:rsidRDefault="005475F7" w:rsidP="005475F7">
      <w:pPr>
        <w:pStyle w:val="indexAR"/>
      </w:pPr>
      <w:r w:rsidRPr="008C5C25">
        <w:t>Alligator Rivers Region Advisory Committee (ARRAC) 5–6, 63, 124</w:t>
      </w:r>
    </w:p>
    <w:p w:rsidR="005475F7" w:rsidRPr="008C5C25" w:rsidRDefault="005475F7" w:rsidP="005475F7">
      <w:pPr>
        <w:pStyle w:val="indexAR"/>
      </w:pPr>
      <w:r w:rsidRPr="008C5C25">
        <w:t>Alligator Rivers Region Research Institute (ARRRI) 75</w:t>
      </w:r>
    </w:p>
    <w:p w:rsidR="005475F7" w:rsidRPr="00A326C6" w:rsidRDefault="005475F7" w:rsidP="008C5C25">
      <w:pPr>
        <w:pStyle w:val="index2AR"/>
      </w:pPr>
      <w:r w:rsidRPr="008C5C25">
        <w:t xml:space="preserve"> </w:t>
      </w:r>
      <w:proofErr w:type="gramStart"/>
      <w:r w:rsidRPr="008C5C25">
        <w:t>see</w:t>
      </w:r>
      <w:proofErr w:type="gramEnd"/>
      <w:r w:rsidRPr="008C5C25">
        <w:t xml:space="preserve"> also </w:t>
      </w:r>
      <w:r w:rsidRPr="008C5C25">
        <w:rPr>
          <w:b/>
          <w:bCs/>
          <w:i/>
        </w:rPr>
        <w:t>eriss</w:t>
      </w:r>
    </w:p>
    <w:p w:rsidR="005475F7" w:rsidRPr="00A326C6" w:rsidRDefault="005475F7" w:rsidP="005475F7">
      <w:pPr>
        <w:pStyle w:val="indexAR"/>
      </w:pPr>
      <w:r w:rsidRPr="00A326C6">
        <w:t>Alligator Rivers Region Technical Committee (ARRTC) xi, 6–7, 124, 136–149</w:t>
      </w:r>
    </w:p>
    <w:p w:rsidR="005475F7" w:rsidRPr="00A326C6" w:rsidRDefault="005475F7" w:rsidP="005475F7">
      <w:pPr>
        <w:pStyle w:val="indexAR"/>
      </w:pPr>
      <w:r w:rsidRPr="00A326C6">
        <w:t>Angularli prospect 64</w:t>
      </w:r>
    </w:p>
    <w:p w:rsidR="005475F7" w:rsidRPr="00A326C6" w:rsidRDefault="005475F7" w:rsidP="005475F7">
      <w:pPr>
        <w:pStyle w:val="indexAR"/>
      </w:pPr>
      <w:proofErr w:type="gramStart"/>
      <w:r w:rsidRPr="00A326C6">
        <w:t>animal</w:t>
      </w:r>
      <w:proofErr w:type="gramEnd"/>
      <w:r w:rsidRPr="00A326C6">
        <w:t xml:space="preserve"> experimentation ethics approvals 134–135</w:t>
      </w:r>
    </w:p>
    <w:p w:rsidR="005475F7" w:rsidRPr="00A326C6" w:rsidRDefault="005475F7" w:rsidP="005475F7">
      <w:pPr>
        <w:pStyle w:val="indexAR"/>
      </w:pPr>
      <w:r w:rsidRPr="00A326C6">
        <w:t>ANOVA (Analysis of Variance) testing 45, 51, 53, 54, 55, 87, 89, 91</w:t>
      </w:r>
    </w:p>
    <w:p w:rsidR="005475F7" w:rsidRPr="00A326C6" w:rsidRDefault="005475F7" w:rsidP="005475F7">
      <w:pPr>
        <w:pStyle w:val="indexAR"/>
      </w:pPr>
      <w:proofErr w:type="gramStart"/>
      <w:r w:rsidRPr="00A326C6">
        <w:t>apprenticeships</w:t>
      </w:r>
      <w:proofErr w:type="gramEnd"/>
      <w:r w:rsidRPr="00A326C6">
        <w:t xml:space="preserve"> 122, 130</w:t>
      </w:r>
    </w:p>
    <w:p w:rsidR="005475F7" w:rsidRPr="00A326C6" w:rsidRDefault="005475F7" w:rsidP="005475F7">
      <w:pPr>
        <w:pStyle w:val="indexAR"/>
      </w:pPr>
      <w:proofErr w:type="gramStart"/>
      <w:r w:rsidRPr="00A326C6">
        <w:t>approvals</w:t>
      </w:r>
      <w:proofErr w:type="gramEnd"/>
      <w:r w:rsidRPr="00A326C6">
        <w:t xml:space="preserve"> </w:t>
      </w:r>
      <w:r w:rsidRPr="00A326C6">
        <w:rPr>
          <w:i/>
          <w:iCs/>
        </w:rPr>
        <w:t>see</w:t>
      </w:r>
      <w:r w:rsidRPr="00A326C6">
        <w:t xml:space="preserve"> Authorisations and approvals</w:t>
      </w:r>
    </w:p>
    <w:p w:rsidR="005475F7" w:rsidRPr="00A326C6" w:rsidRDefault="005475F7" w:rsidP="005475F7">
      <w:pPr>
        <w:pStyle w:val="indexAR"/>
      </w:pPr>
      <w:proofErr w:type="gramStart"/>
      <w:r w:rsidRPr="00A326C6">
        <w:t>aquatic</w:t>
      </w:r>
      <w:proofErr w:type="gramEnd"/>
      <w:r w:rsidRPr="00A326C6">
        <w:t xml:space="preserve"> ecosystems</w:t>
      </w:r>
    </w:p>
    <w:p w:rsidR="005475F7" w:rsidRPr="008C5C25" w:rsidRDefault="005475F7" w:rsidP="008C5C25">
      <w:pPr>
        <w:pStyle w:val="index2AR"/>
      </w:pPr>
      <w:proofErr w:type="gramStart"/>
      <w:r w:rsidRPr="008C5C25">
        <w:t>biological</w:t>
      </w:r>
      <w:proofErr w:type="gramEnd"/>
      <w:r w:rsidRPr="008C5C25">
        <w:t xml:space="preserve"> monitoring of 42</w:t>
      </w:r>
    </w:p>
    <w:p w:rsidR="005475F7" w:rsidRPr="008C5C25" w:rsidRDefault="005475F7" w:rsidP="008C5C25">
      <w:pPr>
        <w:pStyle w:val="index2AR"/>
      </w:pPr>
      <w:proofErr w:type="gramStart"/>
      <w:r w:rsidRPr="008C5C25">
        <w:t>ecological</w:t>
      </w:r>
      <w:proofErr w:type="gramEnd"/>
      <w:r w:rsidRPr="008C5C25">
        <w:t xml:space="preserve"> processes for 111, 112</w:t>
      </w:r>
    </w:p>
    <w:p w:rsidR="005475F7" w:rsidRPr="00A326C6" w:rsidRDefault="005475F7" w:rsidP="008C5C25">
      <w:pPr>
        <w:pStyle w:val="index2AR"/>
      </w:pPr>
      <w:proofErr w:type="gramStart"/>
      <w:r w:rsidRPr="008C5C25">
        <w:t>protection</w:t>
      </w:r>
      <w:proofErr w:type="gramEnd"/>
      <w:r w:rsidRPr="008C5C25">
        <w:t xml:space="preserve"> of 117</w:t>
      </w:r>
    </w:p>
    <w:p w:rsidR="005475F7" w:rsidRPr="00A326C6" w:rsidRDefault="005475F7" w:rsidP="005475F7">
      <w:pPr>
        <w:pStyle w:val="indexAR"/>
      </w:pPr>
      <w:r w:rsidRPr="00A326C6">
        <w:t>AREVA Australia Pty Ltd 4, 5</w:t>
      </w:r>
    </w:p>
    <w:p w:rsidR="005475F7" w:rsidRPr="00A326C6" w:rsidRDefault="005475F7" w:rsidP="005475F7">
      <w:pPr>
        <w:pStyle w:val="indexAR"/>
      </w:pPr>
      <w:r w:rsidRPr="00A326C6">
        <w:t>Arnhem Land 64–65, 149</w:t>
      </w:r>
    </w:p>
    <w:p w:rsidR="005475F7" w:rsidRPr="00A326C6" w:rsidRDefault="005475F7" w:rsidP="005475F7">
      <w:pPr>
        <w:pStyle w:val="indexAR"/>
      </w:pPr>
      <w:r w:rsidRPr="00A326C6">
        <w:t>ARPANSA (Australian Radiation Protection and Nuclear Safety Agency) 65, 116, 117, 131</w:t>
      </w:r>
    </w:p>
    <w:p w:rsidR="005475F7" w:rsidRPr="00A326C6" w:rsidRDefault="005475F7" w:rsidP="005475F7">
      <w:pPr>
        <w:pStyle w:val="indexAR"/>
      </w:pPr>
      <w:r w:rsidRPr="00A326C6">
        <w:t>ARRTC (Alligator Rivers Region Technical Committee) 6–7, 124, 136–149</w:t>
      </w:r>
    </w:p>
    <w:p w:rsidR="005475F7" w:rsidRPr="00A326C6" w:rsidRDefault="005475F7" w:rsidP="005475F7">
      <w:pPr>
        <w:pStyle w:val="indexAR"/>
      </w:pPr>
      <w:proofErr w:type="gramStart"/>
      <w:r w:rsidRPr="00A326C6">
        <w:t>assessments</w:t>
      </w:r>
      <w:proofErr w:type="gramEnd"/>
      <w:r w:rsidRPr="00A326C6">
        <w:t xml:space="preserve"> of uranium mines </w:t>
      </w:r>
      <w:r w:rsidRPr="00A326C6">
        <w:rPr>
          <w:i/>
          <w:iCs/>
        </w:rPr>
        <w:t>see</w:t>
      </w:r>
      <w:r w:rsidRPr="00A326C6">
        <w:t xml:space="preserve"> environmental assessments of uranium mines</w:t>
      </w:r>
    </w:p>
    <w:p w:rsidR="005475F7" w:rsidRPr="00A326C6" w:rsidRDefault="005475F7" w:rsidP="005475F7">
      <w:pPr>
        <w:pStyle w:val="indexAR"/>
      </w:pPr>
      <w:proofErr w:type="gramStart"/>
      <w:r w:rsidRPr="00A326C6">
        <w:t>atmospheric</w:t>
      </w:r>
      <w:proofErr w:type="gramEnd"/>
      <w:r w:rsidRPr="00A326C6">
        <w:t xml:space="preserve"> monitoring sites xv</w:t>
      </w:r>
    </w:p>
    <w:p w:rsidR="005475F7" w:rsidRPr="00A326C6" w:rsidRDefault="005475F7" w:rsidP="005475F7">
      <w:pPr>
        <w:pStyle w:val="indexAR"/>
      </w:pPr>
      <w:proofErr w:type="gramStart"/>
      <w:r w:rsidRPr="00A326C6">
        <w:t>audits</w:t>
      </w:r>
      <w:proofErr w:type="gramEnd"/>
      <w:r w:rsidRPr="00A326C6">
        <w:t xml:space="preserve"> (EPBC) 118</w:t>
      </w:r>
    </w:p>
    <w:p w:rsidR="00043E89" w:rsidRDefault="00043E89" w:rsidP="005475F7">
      <w:pPr>
        <w:pStyle w:val="indexAR"/>
      </w:pPr>
    </w:p>
    <w:p w:rsidR="005475F7" w:rsidRPr="00A326C6" w:rsidRDefault="005475F7" w:rsidP="005475F7">
      <w:pPr>
        <w:pStyle w:val="indexAR"/>
      </w:pPr>
      <w:r w:rsidRPr="00A326C6">
        <w:t>audits and Routine Periodic Inspections (RPI) 8–9, 16–18, 57–58, 62–63, 64–65</w:t>
      </w:r>
    </w:p>
    <w:p w:rsidR="005475F7" w:rsidRPr="00A326C6" w:rsidRDefault="005475F7" w:rsidP="005475F7">
      <w:pPr>
        <w:pStyle w:val="indexAR"/>
      </w:pPr>
      <w:r w:rsidRPr="00A326C6">
        <w:t>Australian Radiation Protection and Nuclear Safety Agency (ARPANSA) 5, 65, 116, 117, 131</w:t>
      </w:r>
    </w:p>
    <w:p w:rsidR="005475F7" w:rsidRPr="00A326C6" w:rsidRDefault="005475F7" w:rsidP="005475F7">
      <w:pPr>
        <w:pStyle w:val="indexAR"/>
      </w:pPr>
      <w:r w:rsidRPr="00A326C6">
        <w:t>Authorisations and approvals 9, 18–19, 22, 59, 62</w:t>
      </w:r>
    </w:p>
    <w:p w:rsidR="00632756" w:rsidRDefault="00632756" w:rsidP="00632756">
      <w:pPr>
        <w:pStyle w:val="indexAR-alpha"/>
        <w:spacing w:before="0"/>
        <w:rPr>
          <w:lang w:val="en-US"/>
        </w:rPr>
      </w:pPr>
      <w:r>
        <w:rPr>
          <w:lang w:val="en-US"/>
        </w:rPr>
        <w:t>B</w:t>
      </w:r>
    </w:p>
    <w:p w:rsidR="005244BB" w:rsidRPr="00A326C6" w:rsidRDefault="005244BB" w:rsidP="005244BB">
      <w:pPr>
        <w:pStyle w:val="indexAR"/>
      </w:pPr>
      <w:r w:rsidRPr="00A326C6">
        <w:t>BACIP (Before-After Control-Impact Paired) design 45</w:t>
      </w:r>
    </w:p>
    <w:p w:rsidR="005244BB" w:rsidRPr="00A326C6" w:rsidRDefault="005244BB" w:rsidP="005244BB">
      <w:pPr>
        <w:pStyle w:val="indexAR"/>
      </w:pPr>
      <w:proofErr w:type="gramStart"/>
      <w:r w:rsidRPr="00A326C6">
        <w:t>baseline</w:t>
      </w:r>
      <w:proofErr w:type="gramEnd"/>
      <w:r w:rsidRPr="00A326C6">
        <w:t xml:space="preserve"> data/reference state for Ranger mine site 141</w:t>
      </w:r>
    </w:p>
    <w:p w:rsidR="005244BB" w:rsidRPr="00A326C6" w:rsidRDefault="005244BB" w:rsidP="005244BB">
      <w:pPr>
        <w:pStyle w:val="indexAR"/>
      </w:pPr>
      <w:proofErr w:type="gramStart"/>
      <w:r w:rsidRPr="00A326C6">
        <w:t>billabongs</w:t>
      </w:r>
      <w:proofErr w:type="gramEnd"/>
    </w:p>
    <w:p w:rsidR="005244BB" w:rsidRPr="008C5C25" w:rsidRDefault="005244BB" w:rsidP="008C5C25">
      <w:pPr>
        <w:pStyle w:val="index2AR"/>
      </w:pPr>
      <w:r w:rsidRPr="008C5C25">
        <w:t>Buba Billabong 55, 56</w:t>
      </w:r>
    </w:p>
    <w:p w:rsidR="005244BB" w:rsidRPr="008C5C25" w:rsidRDefault="005244BB" w:rsidP="008C5C25">
      <w:pPr>
        <w:pStyle w:val="index2AR"/>
      </w:pPr>
      <w:proofErr w:type="gramStart"/>
      <w:r w:rsidRPr="008C5C25">
        <w:t>channel</w:t>
      </w:r>
      <w:proofErr w:type="gramEnd"/>
      <w:r w:rsidRPr="008C5C25">
        <w:t xml:space="preserve"> billabongs 55</w:t>
      </w:r>
    </w:p>
    <w:p w:rsidR="005244BB" w:rsidRPr="008C5C25" w:rsidRDefault="005244BB" w:rsidP="008C5C25">
      <w:pPr>
        <w:pStyle w:val="index2AR"/>
      </w:pPr>
      <w:r w:rsidRPr="008C5C25">
        <w:t>Coonjimba Billabong 26, 29, 55, 56</w:t>
      </w:r>
    </w:p>
    <w:p w:rsidR="005244BB" w:rsidRPr="008C5C25" w:rsidRDefault="005244BB" w:rsidP="008C5C25">
      <w:pPr>
        <w:pStyle w:val="index2AR"/>
      </w:pPr>
      <w:r w:rsidRPr="008C5C25">
        <w:t>Georgetown Billabong 24, 26, 29, 30, 55</w:t>
      </w:r>
    </w:p>
    <w:p w:rsidR="005244BB" w:rsidRPr="008C5C25" w:rsidRDefault="005244BB" w:rsidP="008C5C25">
      <w:pPr>
        <w:pStyle w:val="index2AR"/>
      </w:pPr>
      <w:r w:rsidRPr="008C5C25">
        <w:t>Gulungul Billabong 55, 56</w:t>
      </w:r>
    </w:p>
    <w:p w:rsidR="005244BB" w:rsidRPr="008C5C25" w:rsidRDefault="005244BB" w:rsidP="008C5C25">
      <w:pPr>
        <w:pStyle w:val="index2AR"/>
      </w:pPr>
      <w:r w:rsidRPr="008C5C25">
        <w:t>Mudginberri Billabong x, 47–50, 55, 72, 135</w:t>
      </w:r>
    </w:p>
    <w:p w:rsidR="005244BB" w:rsidRPr="008C5C25" w:rsidRDefault="005244BB" w:rsidP="008C5C25">
      <w:pPr>
        <w:pStyle w:val="index2AR"/>
      </w:pPr>
      <w:r w:rsidRPr="008C5C25">
        <w:t>Sandy Billabong 47, 48, 72</w:t>
      </w:r>
    </w:p>
    <w:p w:rsidR="005244BB" w:rsidRPr="008C5C25" w:rsidRDefault="005244BB" w:rsidP="008C5C25">
      <w:pPr>
        <w:pStyle w:val="index2AR"/>
      </w:pPr>
      <w:r w:rsidRPr="008C5C25">
        <w:t>Sandy Shallow Billabong 55</w:t>
      </w:r>
    </w:p>
    <w:p w:rsidR="005244BB" w:rsidRPr="008C5C25" w:rsidRDefault="005244BB" w:rsidP="008C5C25">
      <w:pPr>
        <w:pStyle w:val="index2AR"/>
      </w:pPr>
      <w:proofErr w:type="gramStart"/>
      <w:r w:rsidRPr="008C5C25">
        <w:t>shallow</w:t>
      </w:r>
      <w:proofErr w:type="gramEnd"/>
      <w:r w:rsidRPr="008C5C25">
        <w:t xml:space="preserve"> lowland billabongs 55–57</w:t>
      </w:r>
    </w:p>
    <w:p w:rsidR="005244BB" w:rsidRPr="008C5C25" w:rsidRDefault="005244BB" w:rsidP="008C5C25">
      <w:pPr>
        <w:pStyle w:val="index2AR"/>
      </w:pPr>
      <w:r w:rsidRPr="008C5C25">
        <w:t>Wirnmuyurr Billabong 55, 56</w:t>
      </w:r>
    </w:p>
    <w:p w:rsidR="005244BB" w:rsidRPr="008C5C25" w:rsidRDefault="005244BB" w:rsidP="005244BB">
      <w:pPr>
        <w:pStyle w:val="indexAR"/>
      </w:pPr>
      <w:proofErr w:type="gramStart"/>
      <w:r w:rsidRPr="008C5C25">
        <w:t>bioaccumulation</w:t>
      </w:r>
      <w:proofErr w:type="gramEnd"/>
      <w:r w:rsidRPr="008C5C25">
        <w:t xml:space="preserve"> monitoring 42, 43, 46–50</w:t>
      </w:r>
    </w:p>
    <w:p w:rsidR="005244BB" w:rsidRPr="008C5C25" w:rsidRDefault="005244BB" w:rsidP="005244BB">
      <w:pPr>
        <w:pStyle w:val="indexAR"/>
      </w:pPr>
      <w:proofErr w:type="gramStart"/>
      <w:r w:rsidRPr="008C5C25">
        <w:t>biological</w:t>
      </w:r>
      <w:proofErr w:type="gramEnd"/>
      <w:r w:rsidRPr="008C5C25">
        <w:t xml:space="preserve"> monitoring x, 140</w:t>
      </w:r>
    </w:p>
    <w:p w:rsidR="005244BB" w:rsidRPr="008C5C25" w:rsidRDefault="005244BB" w:rsidP="008C5C25">
      <w:pPr>
        <w:pStyle w:val="index2AR"/>
      </w:pPr>
      <w:proofErr w:type="gramStart"/>
      <w:r w:rsidRPr="008C5C25">
        <w:t>aquatic</w:t>
      </w:r>
      <w:proofErr w:type="gramEnd"/>
      <w:r w:rsidRPr="008C5C25">
        <w:t xml:space="preserve"> ecosystems 42</w:t>
      </w:r>
    </w:p>
    <w:p w:rsidR="005244BB" w:rsidRPr="00A326C6" w:rsidRDefault="005244BB" w:rsidP="008C5C25">
      <w:pPr>
        <w:pStyle w:val="index2AR"/>
      </w:pPr>
      <w:r w:rsidRPr="008C5C25">
        <w:t>Magela and Gulungul Creeks 42–57</w:t>
      </w:r>
    </w:p>
    <w:p w:rsidR="005244BB" w:rsidRPr="00A326C6" w:rsidRDefault="005244BB" w:rsidP="005244BB">
      <w:pPr>
        <w:pStyle w:val="indexAR"/>
      </w:pPr>
      <w:proofErr w:type="gramStart"/>
      <w:r w:rsidRPr="00A326C6">
        <w:t>brine</w:t>
      </w:r>
      <w:proofErr w:type="gramEnd"/>
      <w:r w:rsidRPr="00A326C6">
        <w:t xml:space="preserve"> concentrator ix, 11–12</w:t>
      </w:r>
    </w:p>
    <w:p w:rsidR="005244BB" w:rsidRPr="00A326C6" w:rsidRDefault="005244BB" w:rsidP="005244BB">
      <w:pPr>
        <w:pStyle w:val="indexAR"/>
      </w:pPr>
      <w:r w:rsidRPr="00A326C6">
        <w:t>BRUCE tool 50, 72, 97</w:t>
      </w:r>
    </w:p>
    <w:p w:rsidR="005244BB" w:rsidRPr="00A326C6" w:rsidRDefault="005244BB" w:rsidP="005244BB">
      <w:pPr>
        <w:pStyle w:val="indexAR"/>
      </w:pPr>
      <w:r w:rsidRPr="00A326C6">
        <w:t>Buba Billabong 55, 56</w:t>
      </w:r>
    </w:p>
    <w:p w:rsidR="005244BB" w:rsidRPr="00A326C6" w:rsidRDefault="005244BB" w:rsidP="005244BB">
      <w:pPr>
        <w:pStyle w:val="indexAR"/>
      </w:pPr>
      <w:r w:rsidRPr="00A326C6">
        <w:t>Burdulba Creek 50–51, 54</w:t>
      </w:r>
    </w:p>
    <w:p w:rsidR="005244BB" w:rsidRPr="00A326C6" w:rsidRDefault="005244BB" w:rsidP="005244BB">
      <w:pPr>
        <w:pStyle w:val="indexAR"/>
      </w:pPr>
      <w:proofErr w:type="gramStart"/>
      <w:r w:rsidRPr="00A326C6">
        <w:t>bushfoods</w:t>
      </w:r>
      <w:proofErr w:type="gramEnd"/>
      <w:r w:rsidRPr="00A326C6">
        <w:t xml:space="preserve"> 68, 72, 96–101</w:t>
      </w:r>
    </w:p>
    <w:p w:rsidR="005244BB" w:rsidRPr="00A326C6" w:rsidRDefault="005244BB" w:rsidP="005244BB">
      <w:pPr>
        <w:pStyle w:val="indexAR"/>
      </w:pPr>
      <w:proofErr w:type="gramStart"/>
      <w:r w:rsidRPr="00A326C6">
        <w:t>business</w:t>
      </w:r>
      <w:proofErr w:type="gramEnd"/>
      <w:r w:rsidRPr="00A326C6">
        <w:t xml:space="preserve"> planning 1–2</w:t>
      </w:r>
    </w:p>
    <w:p w:rsidR="00632756" w:rsidRDefault="00632756" w:rsidP="00632756">
      <w:pPr>
        <w:pStyle w:val="indexAR-alpha"/>
        <w:rPr>
          <w:lang w:val="pt-BR"/>
        </w:rPr>
      </w:pPr>
      <w:r w:rsidRPr="003F0555">
        <w:rPr>
          <w:lang w:val="pt-BR"/>
        </w:rPr>
        <w:t>C</w:t>
      </w:r>
    </w:p>
    <w:p w:rsidR="008C5C25" w:rsidRPr="00A326C6" w:rsidRDefault="008C5C25" w:rsidP="008C5C25">
      <w:pPr>
        <w:pStyle w:val="indexAR"/>
      </w:pPr>
      <w:r w:rsidRPr="00A326C6">
        <w:rPr>
          <w:i/>
          <w:iCs/>
        </w:rPr>
        <w:t>CAESAR-Lisflood</w:t>
      </w:r>
      <w:r w:rsidRPr="00A326C6">
        <w:t xml:space="preserve"> landscape evolution model (LEM) 105–111</w:t>
      </w:r>
    </w:p>
    <w:p w:rsidR="008C5C25" w:rsidRPr="00A326C6" w:rsidRDefault="008C5C25" w:rsidP="008C5C25">
      <w:pPr>
        <w:pStyle w:val="indexAR"/>
      </w:pPr>
      <w:r w:rsidRPr="00A326C6">
        <w:t>Cameco Australia Pty Ltd 5</w:t>
      </w:r>
    </w:p>
    <w:p w:rsidR="008C5C25" w:rsidRPr="00A326C6" w:rsidRDefault="008C5C25" w:rsidP="008C5C25">
      <w:pPr>
        <w:pStyle w:val="indexAR"/>
      </w:pPr>
      <w:r w:rsidRPr="00A326C6">
        <w:t>Cameco King River Camp 64</w:t>
      </w:r>
    </w:p>
    <w:p w:rsidR="008C5C25" w:rsidRPr="00A326C6" w:rsidRDefault="008C5C25" w:rsidP="008C5C25">
      <w:pPr>
        <w:pStyle w:val="indexAR"/>
      </w:pPr>
      <w:r w:rsidRPr="00A326C6">
        <w:t>Caramal prospect 64</w:t>
      </w:r>
    </w:p>
    <w:p w:rsidR="008C5C25" w:rsidRPr="00A326C6" w:rsidRDefault="008C5C25" w:rsidP="008C5C25">
      <w:pPr>
        <w:pStyle w:val="indexAR"/>
      </w:pPr>
      <w:proofErr w:type="gramStart"/>
      <w:r w:rsidRPr="00A326C6">
        <w:t>channel</w:t>
      </w:r>
      <w:proofErr w:type="gramEnd"/>
      <w:r w:rsidRPr="00A326C6">
        <w:t xml:space="preserve"> billabongs 55</w:t>
      </w:r>
    </w:p>
    <w:p w:rsidR="008C5C25" w:rsidRPr="00A326C6" w:rsidRDefault="008C5C25" w:rsidP="008C5C25">
      <w:pPr>
        <w:pStyle w:val="indexAR"/>
      </w:pPr>
      <w:r w:rsidRPr="00A326C6">
        <w:t>Charles Darwin University (CDU) 120, 134</w:t>
      </w:r>
    </w:p>
    <w:p w:rsidR="008C5C25" w:rsidRPr="00A326C6" w:rsidRDefault="008C5C25" w:rsidP="008C5C25">
      <w:pPr>
        <w:pStyle w:val="indexAR"/>
      </w:pPr>
      <w:proofErr w:type="gramStart"/>
      <w:r w:rsidRPr="00A326C6">
        <w:t>chemical</w:t>
      </w:r>
      <w:proofErr w:type="gramEnd"/>
      <w:r w:rsidRPr="00A326C6">
        <w:t xml:space="preserve"> and physical monitoring</w:t>
      </w:r>
    </w:p>
    <w:p w:rsidR="008C5C25" w:rsidRPr="00A326C6" w:rsidRDefault="008C5C25" w:rsidP="00E47028">
      <w:pPr>
        <w:pStyle w:val="index2AR"/>
      </w:pPr>
      <w:r w:rsidRPr="00A326C6">
        <w:t>Gulungul Creek 33–42</w:t>
      </w:r>
    </w:p>
    <w:p w:rsidR="008C5C25" w:rsidRPr="00A326C6" w:rsidRDefault="008C5C25" w:rsidP="00E47028">
      <w:pPr>
        <w:pStyle w:val="index2AR"/>
      </w:pPr>
      <w:r w:rsidRPr="00A326C6">
        <w:t>Magela Creek 22–31</w:t>
      </w:r>
    </w:p>
    <w:p w:rsidR="008C5C25" w:rsidRPr="00A326C6" w:rsidRDefault="008C5C25" w:rsidP="008C5C25">
      <w:pPr>
        <w:pStyle w:val="indexAR"/>
      </w:pPr>
      <w:proofErr w:type="gramStart"/>
      <w:r w:rsidRPr="00A326C6">
        <w:t>closure</w:t>
      </w:r>
      <w:proofErr w:type="gramEnd"/>
      <w:r w:rsidRPr="00A326C6">
        <w:t xml:space="preserve"> criteria 83, 112, 117, 141, 144, 147</w:t>
      </w:r>
    </w:p>
    <w:p w:rsidR="008C5C25" w:rsidRPr="00A326C6" w:rsidRDefault="008C5C25" w:rsidP="00E47028">
      <w:pPr>
        <w:pStyle w:val="index2AR"/>
      </w:pPr>
      <w:r w:rsidRPr="00A326C6">
        <w:t xml:space="preserve"> </w:t>
      </w:r>
      <w:proofErr w:type="gramStart"/>
      <w:r w:rsidRPr="00A326C6">
        <w:rPr>
          <w:i/>
          <w:iCs/>
        </w:rPr>
        <w:t>see</w:t>
      </w:r>
      <w:proofErr w:type="gramEnd"/>
      <w:r w:rsidRPr="00A326C6">
        <w:rPr>
          <w:i/>
          <w:iCs/>
        </w:rPr>
        <w:t xml:space="preserve"> also</w:t>
      </w:r>
      <w:r w:rsidRPr="00A326C6">
        <w:t xml:space="preserve"> rehabilitation of minesites</w:t>
      </w:r>
    </w:p>
    <w:p w:rsidR="008C5C25" w:rsidRPr="00A326C6" w:rsidRDefault="008C5C25" w:rsidP="008C5C25">
      <w:pPr>
        <w:pStyle w:val="indexAR"/>
      </w:pPr>
      <w:proofErr w:type="gramStart"/>
      <w:r w:rsidRPr="00A326C6">
        <w:t>coal</w:t>
      </w:r>
      <w:proofErr w:type="gramEnd"/>
      <w:r w:rsidRPr="00A326C6">
        <w:t xml:space="preserve"> seam gas projects 119–120</w:t>
      </w:r>
    </w:p>
    <w:p w:rsidR="008C5C25" w:rsidRPr="00A326C6" w:rsidRDefault="008C5C25" w:rsidP="008C5C25">
      <w:pPr>
        <w:pStyle w:val="indexAR"/>
      </w:pPr>
      <w:r w:rsidRPr="00A326C6">
        <w:t>Comcare 131</w:t>
      </w:r>
    </w:p>
    <w:p w:rsidR="008C5C25" w:rsidRPr="00E47028" w:rsidRDefault="008C5C25" w:rsidP="000445CA">
      <w:pPr>
        <w:pStyle w:val="indexAR"/>
      </w:pPr>
      <w:proofErr w:type="gramStart"/>
      <w:r w:rsidRPr="00E47028">
        <w:t>communication</w:t>
      </w:r>
      <w:proofErr w:type="gramEnd"/>
      <w:r w:rsidRPr="00E47028">
        <w:t xml:space="preserve"> activities 2</w:t>
      </w:r>
    </w:p>
    <w:p w:rsidR="008C5C25" w:rsidRPr="00E47028" w:rsidRDefault="008C5C25" w:rsidP="00E47028">
      <w:pPr>
        <w:pStyle w:val="index2AR"/>
      </w:pPr>
      <w:proofErr w:type="gramStart"/>
      <w:r w:rsidRPr="00E47028">
        <w:t>community</w:t>
      </w:r>
      <w:proofErr w:type="gramEnd"/>
      <w:r w:rsidRPr="00E47028">
        <w:t xml:space="preserve"> engagement 122–124</w:t>
      </w:r>
    </w:p>
    <w:p w:rsidR="008C5C25" w:rsidRPr="00E47028" w:rsidRDefault="008C5C25" w:rsidP="00E47028">
      <w:pPr>
        <w:pStyle w:val="index2AR"/>
      </w:pPr>
      <w:proofErr w:type="gramStart"/>
      <w:r w:rsidRPr="00E47028">
        <w:t>internal</w:t>
      </w:r>
      <w:proofErr w:type="gramEnd"/>
      <w:r w:rsidRPr="00E47028">
        <w:t xml:space="preserve"> communication 125–126</w:t>
      </w:r>
    </w:p>
    <w:p w:rsidR="008C5C25" w:rsidRPr="00E47028" w:rsidRDefault="008C5C25" w:rsidP="00E47028">
      <w:pPr>
        <w:pStyle w:val="index2AR"/>
      </w:pPr>
      <w:proofErr w:type="gramStart"/>
      <w:r w:rsidRPr="00E47028">
        <w:t>science</w:t>
      </w:r>
      <w:proofErr w:type="gramEnd"/>
      <w:r w:rsidRPr="00E47028">
        <w:t xml:space="preserve"> communication 126–128, 150–159</w:t>
      </w:r>
    </w:p>
    <w:p w:rsidR="008C5C25" w:rsidRPr="00E47028" w:rsidRDefault="008C5C25" w:rsidP="00E47028">
      <w:pPr>
        <w:pStyle w:val="index2AR"/>
      </w:pPr>
      <w:proofErr w:type="gramStart"/>
      <w:r w:rsidRPr="00E47028">
        <w:t>stakeholder</w:t>
      </w:r>
      <w:proofErr w:type="gramEnd"/>
      <w:r w:rsidRPr="00E47028">
        <w:t xml:space="preserve"> consultation 124–125</w:t>
      </w:r>
    </w:p>
    <w:p w:rsidR="008C5C25" w:rsidRPr="00A326C6" w:rsidRDefault="008C5C25" w:rsidP="008C5C25">
      <w:pPr>
        <w:pStyle w:val="indexAR"/>
      </w:pPr>
      <w:proofErr w:type="gramStart"/>
      <w:r w:rsidRPr="00A326C6">
        <w:t>compensation</w:t>
      </w:r>
      <w:proofErr w:type="gramEnd"/>
      <w:r w:rsidRPr="00A326C6">
        <w:t xml:space="preserve"> claims 131</w:t>
      </w:r>
    </w:p>
    <w:p w:rsidR="008C5C25" w:rsidRPr="00A326C6" w:rsidRDefault="008C5C25" w:rsidP="008C5C25">
      <w:pPr>
        <w:pStyle w:val="indexAR"/>
      </w:pPr>
      <w:r w:rsidRPr="00A326C6">
        <w:rPr>
          <w:i/>
          <w:iCs/>
        </w:rPr>
        <w:t>Completion of Kakadu National Park (Koongarra Project Area Repeal) Act 2013</w:t>
      </w:r>
      <w:r w:rsidRPr="00A326C6">
        <w:t xml:space="preserve"> 4</w:t>
      </w:r>
    </w:p>
    <w:p w:rsidR="008C5C25" w:rsidRPr="00A326C6" w:rsidRDefault="008C5C25" w:rsidP="008C5C25">
      <w:pPr>
        <w:pStyle w:val="indexAR"/>
      </w:pPr>
      <w:proofErr w:type="gramStart"/>
      <w:r w:rsidRPr="00A326C6">
        <w:t>compliance</w:t>
      </w:r>
      <w:proofErr w:type="gramEnd"/>
      <w:r w:rsidRPr="00A326C6">
        <w:t xml:space="preserve"> audits (EPBC) 118</w:t>
      </w:r>
    </w:p>
    <w:p w:rsidR="008C5C25" w:rsidRPr="00A326C6" w:rsidRDefault="008C5C25" w:rsidP="008C5C25">
      <w:pPr>
        <w:pStyle w:val="indexAR"/>
      </w:pPr>
      <w:proofErr w:type="gramStart"/>
      <w:r w:rsidRPr="00A326C6">
        <w:t>conferences</w:t>
      </w:r>
      <w:proofErr w:type="gramEnd"/>
      <w:r w:rsidRPr="00A326C6">
        <w:t xml:space="preserve"> 127, 155–156</w:t>
      </w:r>
    </w:p>
    <w:p w:rsidR="008C5C25" w:rsidRPr="00A326C6" w:rsidRDefault="008C5C25" w:rsidP="008C5C25">
      <w:pPr>
        <w:pStyle w:val="indexAR"/>
      </w:pPr>
      <w:proofErr w:type="gramStart"/>
      <w:r w:rsidRPr="00A326C6">
        <w:t>consultancy</w:t>
      </w:r>
      <w:proofErr w:type="gramEnd"/>
      <w:r w:rsidRPr="00A326C6">
        <w:t xml:space="preserve"> reports 154</w:t>
      </w:r>
    </w:p>
    <w:p w:rsidR="008C5C25" w:rsidRPr="00A326C6" w:rsidRDefault="008C5C25" w:rsidP="008C5C25">
      <w:pPr>
        <w:pStyle w:val="indexAR"/>
      </w:pPr>
      <w:proofErr w:type="gramStart"/>
      <w:r w:rsidRPr="00A326C6">
        <w:t>consultancy</w:t>
      </w:r>
      <w:proofErr w:type="gramEnd"/>
      <w:r w:rsidRPr="00A326C6">
        <w:t xml:space="preserve"> services 75</w:t>
      </w:r>
    </w:p>
    <w:p w:rsidR="008C5C25" w:rsidRPr="00A326C6" w:rsidRDefault="008C5C25" w:rsidP="008C5C25">
      <w:pPr>
        <w:pStyle w:val="indexAR"/>
      </w:pPr>
      <w:proofErr w:type="gramStart"/>
      <w:r w:rsidRPr="00A326C6">
        <w:t>containment</w:t>
      </w:r>
      <w:proofErr w:type="gramEnd"/>
      <w:r w:rsidRPr="00A326C6">
        <w:t xml:space="preserve"> of mine wastes 9, 63–64, 143</w:t>
      </w:r>
    </w:p>
    <w:p w:rsidR="008C5C25" w:rsidRPr="00A326C6" w:rsidRDefault="008C5C25" w:rsidP="008C5C25">
      <w:pPr>
        <w:pStyle w:val="indexAR"/>
      </w:pPr>
      <w:proofErr w:type="gramStart"/>
      <w:r w:rsidRPr="00A326C6">
        <w:t>continuous</w:t>
      </w:r>
      <w:proofErr w:type="gramEnd"/>
      <w:r w:rsidRPr="00A326C6">
        <w:t xml:space="preserve"> monitoring of water quality x, 22–33, 33–42, 59–61</w:t>
      </w:r>
    </w:p>
    <w:p w:rsidR="008C5C25" w:rsidRPr="00A326C6" w:rsidRDefault="008C5C25" w:rsidP="008C5C25">
      <w:pPr>
        <w:pStyle w:val="indexAR"/>
      </w:pPr>
      <w:r w:rsidRPr="00A326C6">
        <w:t>Coonjimba Billabong 26, 29, 55, 56</w:t>
      </w:r>
    </w:p>
    <w:p w:rsidR="008C5C25" w:rsidRPr="00A326C6" w:rsidRDefault="008C5C25" w:rsidP="008C5C25">
      <w:pPr>
        <w:pStyle w:val="indexAR"/>
      </w:pPr>
      <w:r w:rsidRPr="00A326C6">
        <w:t>Coonjimba Creek 14</w:t>
      </w:r>
    </w:p>
    <w:p w:rsidR="008C5C25" w:rsidRPr="00A326C6" w:rsidRDefault="008C5C25" w:rsidP="008C5C25">
      <w:pPr>
        <w:pStyle w:val="indexAR"/>
      </w:pPr>
      <w:r w:rsidRPr="00A326C6">
        <w:t>Cooper Creek 63</w:t>
      </w:r>
    </w:p>
    <w:p w:rsidR="008C5C25" w:rsidRPr="00A326C6" w:rsidRDefault="008C5C25" w:rsidP="008C5C25">
      <w:pPr>
        <w:pStyle w:val="indexAR"/>
      </w:pPr>
      <w:r w:rsidRPr="00A326C6">
        <w:t>Coronation Hill (Guratba) 4</w:t>
      </w:r>
    </w:p>
    <w:p w:rsidR="008C5C25" w:rsidRPr="00A326C6" w:rsidRDefault="008C5C25" w:rsidP="008C5C25">
      <w:pPr>
        <w:pStyle w:val="indexAR"/>
      </w:pPr>
      <w:r w:rsidRPr="00A326C6">
        <w:t>Corridor Creek 14</w:t>
      </w:r>
    </w:p>
    <w:p w:rsidR="008C5C25" w:rsidRPr="00A326C6" w:rsidRDefault="008C5C25" w:rsidP="008C5C25">
      <w:pPr>
        <w:pStyle w:val="indexAR"/>
      </w:pPr>
      <w:r w:rsidRPr="00A326C6">
        <w:t>Corridor Creek Wetland Filter (CCWLF) 19</w:t>
      </w:r>
    </w:p>
    <w:p w:rsidR="00632756" w:rsidRDefault="00632756" w:rsidP="00632756">
      <w:pPr>
        <w:pStyle w:val="indexAR-alpha"/>
        <w:rPr>
          <w:lang w:val="en-US"/>
        </w:rPr>
      </w:pPr>
      <w:r w:rsidRPr="007C6B9C">
        <w:rPr>
          <w:lang w:val="en-US"/>
        </w:rPr>
        <w:t>D</w:t>
      </w:r>
    </w:p>
    <w:p w:rsidR="009B7CB6" w:rsidRPr="00A326C6" w:rsidRDefault="009B7CB6" w:rsidP="008D3489">
      <w:pPr>
        <w:pStyle w:val="IndexAR0"/>
      </w:pPr>
      <w:r w:rsidRPr="00A326C6">
        <w:t>Darwin facility 132</w:t>
      </w:r>
    </w:p>
    <w:p w:rsidR="009B7CB6" w:rsidRPr="00A326C6" w:rsidRDefault="009B7CB6" w:rsidP="008D3489">
      <w:pPr>
        <w:pStyle w:val="IndexAR0"/>
      </w:pPr>
      <w:r w:rsidRPr="00A326C6">
        <w:t>Department of Industry (DoI) 5, 8, 120</w:t>
      </w:r>
    </w:p>
    <w:p w:rsidR="009B7CB6" w:rsidRPr="00A326C6" w:rsidRDefault="009B7CB6" w:rsidP="008D3489">
      <w:pPr>
        <w:pStyle w:val="IndexAR0"/>
      </w:pPr>
      <w:r w:rsidRPr="00A326C6">
        <w:t>Department of Resources Energy and Tourism (DRET) 119</w:t>
      </w:r>
    </w:p>
    <w:p w:rsidR="009B7CB6" w:rsidRPr="00A326C6" w:rsidRDefault="009B7CB6" w:rsidP="000445CA">
      <w:pPr>
        <w:pStyle w:val="indexAR"/>
      </w:pPr>
      <w:r w:rsidRPr="00A326C6">
        <w:t>Department of the Environment (DoE) 1</w:t>
      </w:r>
    </w:p>
    <w:p w:rsidR="009B7CB6" w:rsidRPr="00A326C6" w:rsidRDefault="009B7CB6" w:rsidP="008D3489">
      <w:pPr>
        <w:pStyle w:val="index2AR"/>
      </w:pPr>
      <w:proofErr w:type="gramStart"/>
      <w:r w:rsidRPr="00A326C6">
        <w:t>departmental</w:t>
      </w:r>
      <w:proofErr w:type="gramEnd"/>
      <w:r w:rsidRPr="00A326C6">
        <w:t xml:space="preserve"> restructure xi</w:t>
      </w:r>
    </w:p>
    <w:p w:rsidR="009B7CB6" w:rsidRPr="00A326C6" w:rsidRDefault="009B7CB6" w:rsidP="008D3489">
      <w:pPr>
        <w:pStyle w:val="index2AR"/>
      </w:pPr>
      <w:r w:rsidRPr="00A326C6">
        <w:t>Environment Assessment and Compliance Division xi, 74</w:t>
      </w:r>
    </w:p>
    <w:p w:rsidR="009B7CB6" w:rsidRPr="00A326C6" w:rsidRDefault="009B7CB6" w:rsidP="008D3489">
      <w:pPr>
        <w:pStyle w:val="index2AR"/>
      </w:pPr>
      <w:proofErr w:type="gramStart"/>
      <w:r w:rsidRPr="00A326C6">
        <w:t>financial</w:t>
      </w:r>
      <w:proofErr w:type="gramEnd"/>
      <w:r w:rsidRPr="00A326C6">
        <w:t xml:space="preserve"> statements availability 131</w:t>
      </w:r>
    </w:p>
    <w:p w:rsidR="009B7CB6" w:rsidRPr="00A326C6" w:rsidRDefault="009B7CB6" w:rsidP="008D3489">
      <w:pPr>
        <w:pStyle w:val="index2AR"/>
      </w:pPr>
      <w:r w:rsidRPr="00A326C6">
        <w:t>Outcome 5 and Program 5.2: 1–2, 131–132</w:t>
      </w:r>
    </w:p>
    <w:p w:rsidR="009B7CB6" w:rsidRPr="00A326C6" w:rsidRDefault="009B7CB6" w:rsidP="008D3489">
      <w:pPr>
        <w:pStyle w:val="IndexAR0"/>
      </w:pPr>
      <w:r w:rsidRPr="00A326C6">
        <w:t>Director of National Parks 4</w:t>
      </w:r>
    </w:p>
    <w:p w:rsidR="009B7CB6" w:rsidRPr="00A326C6" w:rsidRDefault="009B7CB6" w:rsidP="008D3489">
      <w:pPr>
        <w:pStyle w:val="IndexAR0"/>
      </w:pPr>
      <w:proofErr w:type="gramStart"/>
      <w:r w:rsidRPr="00A326C6">
        <w:t>dust-bound</w:t>
      </w:r>
      <w:proofErr w:type="gramEnd"/>
      <w:r w:rsidRPr="00A326C6">
        <w:t xml:space="preserve"> LLAA radionuclide concentrations 68, 70, 71, 73</w:t>
      </w:r>
    </w:p>
    <w:p w:rsidR="009B7CB6" w:rsidRPr="00A326C6" w:rsidRDefault="009B7CB6" w:rsidP="008D3489">
      <w:pPr>
        <w:pStyle w:val="IndexAR0"/>
      </w:pPr>
      <w:proofErr w:type="gramStart"/>
      <w:r w:rsidRPr="00A326C6">
        <w:t>dust</w:t>
      </w:r>
      <w:proofErr w:type="gramEnd"/>
      <w:r w:rsidRPr="00A326C6">
        <w:t xml:space="preserve"> inhalation 66, 67, 71</w:t>
      </w:r>
    </w:p>
    <w:p w:rsidR="00632756" w:rsidRDefault="00632756" w:rsidP="00632756">
      <w:pPr>
        <w:pStyle w:val="indexAR-alpha"/>
        <w:rPr>
          <w:lang w:val="en-US"/>
        </w:rPr>
      </w:pPr>
      <w:r>
        <w:rPr>
          <w:lang w:val="en-US"/>
        </w:rPr>
        <w:t>E</w:t>
      </w:r>
    </w:p>
    <w:p w:rsidR="009B7CB6" w:rsidRPr="00A326C6" w:rsidRDefault="009B7CB6" w:rsidP="008D3489">
      <w:pPr>
        <w:pStyle w:val="IndexAR0"/>
      </w:pPr>
      <w:r w:rsidRPr="00A326C6">
        <w:t>East Alligator River 2</w:t>
      </w:r>
    </w:p>
    <w:p w:rsidR="009B7CB6" w:rsidRPr="00A326C6" w:rsidRDefault="009B7CB6" w:rsidP="008D3489">
      <w:pPr>
        <w:pStyle w:val="IndexAR0"/>
      </w:pPr>
      <w:proofErr w:type="gramStart"/>
      <w:r w:rsidRPr="00A326C6">
        <w:t>ecological</w:t>
      </w:r>
      <w:proofErr w:type="gramEnd"/>
      <w:r w:rsidRPr="00A326C6">
        <w:t xml:space="preserve"> risk assessment 111–115, 138–139, 146, 148–149</w:t>
      </w:r>
    </w:p>
    <w:p w:rsidR="009B7CB6" w:rsidRPr="00A326C6" w:rsidRDefault="009B7CB6" w:rsidP="008D3489">
      <w:pPr>
        <w:pStyle w:val="IndexAR0"/>
      </w:pPr>
      <w:proofErr w:type="gramStart"/>
      <w:r w:rsidRPr="00A326C6">
        <w:t>ecosystem</w:t>
      </w:r>
      <w:proofErr w:type="gramEnd"/>
      <w:r w:rsidRPr="00A326C6">
        <w:t xml:space="preserve"> establishment 144–145</w:t>
      </w:r>
    </w:p>
    <w:p w:rsidR="009B7CB6" w:rsidRPr="00A326C6" w:rsidRDefault="009B7CB6" w:rsidP="008D3489">
      <w:pPr>
        <w:pStyle w:val="IndexAR0"/>
      </w:pPr>
      <w:proofErr w:type="gramStart"/>
      <w:r w:rsidRPr="00A326C6">
        <w:t>ecotoxicology</w:t>
      </w:r>
      <w:proofErr w:type="gramEnd"/>
      <w:r w:rsidRPr="00A326C6">
        <w:t xml:space="preserve"> x, 75, 139–140, 147</w:t>
      </w:r>
    </w:p>
    <w:p w:rsidR="009B7CB6" w:rsidRPr="00A326C6" w:rsidRDefault="009B7CB6" w:rsidP="008D3489">
      <w:pPr>
        <w:pStyle w:val="IndexAR0"/>
      </w:pPr>
      <w:r w:rsidRPr="00A326C6">
        <w:t>El Sherana 14</w:t>
      </w:r>
    </w:p>
    <w:p w:rsidR="009B7CB6" w:rsidRPr="00A326C6" w:rsidRDefault="009B7CB6" w:rsidP="008D3489">
      <w:pPr>
        <w:pStyle w:val="IndexAR0"/>
      </w:pPr>
      <w:r w:rsidRPr="00A326C6">
        <w:t>El Sherana Airstrip containment 9, 63–64</w:t>
      </w:r>
    </w:p>
    <w:p w:rsidR="009B7CB6" w:rsidRPr="00A326C6" w:rsidRDefault="009B7CB6" w:rsidP="008D3489">
      <w:pPr>
        <w:pStyle w:val="IndexAR0"/>
      </w:pPr>
      <w:proofErr w:type="gramStart"/>
      <w:r w:rsidRPr="00A326C6">
        <w:t>electrical</w:t>
      </w:r>
      <w:proofErr w:type="gramEnd"/>
      <w:r w:rsidRPr="00A326C6">
        <w:t xml:space="preserve"> conductivity (EC)</w:t>
      </w:r>
    </w:p>
    <w:p w:rsidR="009B7CB6" w:rsidRPr="00A326C6" w:rsidRDefault="009B7CB6" w:rsidP="008D3489">
      <w:pPr>
        <w:pStyle w:val="index2AR"/>
      </w:pPr>
      <w:r w:rsidRPr="00A326C6">
        <w:t>EC-Mg relationship 29</w:t>
      </w:r>
    </w:p>
    <w:p w:rsidR="009B7CB6" w:rsidRPr="00A326C6" w:rsidRDefault="009B7CB6" w:rsidP="008D3489">
      <w:pPr>
        <w:pStyle w:val="index2AR"/>
      </w:pPr>
      <w:r w:rsidRPr="00A326C6">
        <w:t>EC-water temperature 89–91</w:t>
      </w:r>
    </w:p>
    <w:p w:rsidR="009B7CB6" w:rsidRPr="00A326C6" w:rsidRDefault="009B7CB6" w:rsidP="008D3489">
      <w:pPr>
        <w:pStyle w:val="index2AR"/>
      </w:pPr>
      <w:r w:rsidRPr="00A326C6">
        <w:t>Gulungul Creek 33–42, 89–90</w:t>
      </w:r>
    </w:p>
    <w:p w:rsidR="009B7CB6" w:rsidRPr="00A326C6" w:rsidRDefault="009B7CB6" w:rsidP="008D3489">
      <w:pPr>
        <w:pStyle w:val="index2AR"/>
      </w:pPr>
      <w:r w:rsidRPr="00A326C6">
        <w:t>Magela Creek 15, 22–31, 76, 89–90</w:t>
      </w:r>
    </w:p>
    <w:p w:rsidR="009B7CB6" w:rsidRPr="00A326C6" w:rsidRDefault="009B7CB6" w:rsidP="008D3489">
      <w:pPr>
        <w:pStyle w:val="index2AR"/>
      </w:pPr>
      <w:r w:rsidRPr="00A326C6">
        <w:t>Ngarradj (Swift Creek) 59–61</w:t>
      </w:r>
    </w:p>
    <w:p w:rsidR="009B7CB6" w:rsidRPr="00A326C6" w:rsidRDefault="009B7CB6" w:rsidP="008D3489">
      <w:pPr>
        <w:pStyle w:val="IndexAR0"/>
      </w:pPr>
      <w:proofErr w:type="gramStart"/>
      <w:r w:rsidRPr="00A326C6">
        <w:t>electronic</w:t>
      </w:r>
      <w:proofErr w:type="gramEnd"/>
      <w:r w:rsidRPr="00A326C6">
        <w:t xml:space="preserve"> records management (SPIRE) system 133</w:t>
      </w:r>
    </w:p>
    <w:p w:rsidR="009B7CB6" w:rsidRPr="00A326C6" w:rsidRDefault="009B7CB6" w:rsidP="008D3489">
      <w:pPr>
        <w:pStyle w:val="IndexAR0"/>
      </w:pPr>
      <w:r w:rsidRPr="00A326C6">
        <w:t>EMRAS (Environmental Modelling for Radiation Safety) programmes 116</w:t>
      </w:r>
    </w:p>
    <w:p w:rsidR="009B7CB6" w:rsidRPr="00A326C6" w:rsidRDefault="009B7CB6" w:rsidP="008D3489">
      <w:pPr>
        <w:pStyle w:val="IndexAR0"/>
      </w:pPr>
      <w:r w:rsidRPr="00A326C6">
        <w:t xml:space="preserve">Energy Resources of Australia Ltd </w:t>
      </w:r>
      <w:proofErr w:type="gramStart"/>
      <w:r w:rsidRPr="00A326C6">
        <w:rPr>
          <w:i/>
          <w:iCs/>
        </w:rPr>
        <w:t>see</w:t>
      </w:r>
      <w:proofErr w:type="gramEnd"/>
      <w:r w:rsidRPr="00A326C6">
        <w:t xml:space="preserve"> ERA</w:t>
      </w:r>
    </w:p>
    <w:p w:rsidR="009B7CB6" w:rsidRPr="00A326C6" w:rsidRDefault="009B7CB6" w:rsidP="008D3489">
      <w:pPr>
        <w:pStyle w:val="IndexAR0"/>
      </w:pPr>
      <w:r w:rsidRPr="00A326C6">
        <w:t>Environment Centre Northern Territory 5</w:t>
      </w:r>
    </w:p>
    <w:p w:rsidR="009B7CB6" w:rsidRPr="00A326C6" w:rsidRDefault="009B7CB6" w:rsidP="008D3489">
      <w:pPr>
        <w:pStyle w:val="IndexAR0"/>
      </w:pPr>
      <w:r w:rsidRPr="00A326C6">
        <w:rPr>
          <w:i/>
          <w:iCs/>
        </w:rPr>
        <w:t>Environment Protection (Alligator Rivers Region) Act 1978</w:t>
      </w:r>
      <w:r w:rsidRPr="00A326C6">
        <w:t xml:space="preserve"> (EPARR Act) viii, 1, 5, 6, 75, 134</w:t>
      </w:r>
    </w:p>
    <w:p w:rsidR="009B7CB6" w:rsidRPr="00A326C6" w:rsidRDefault="009B7CB6" w:rsidP="008D3489">
      <w:pPr>
        <w:pStyle w:val="IndexAR0"/>
      </w:pPr>
      <w:r w:rsidRPr="00A326C6">
        <w:rPr>
          <w:i/>
          <w:iCs/>
        </w:rPr>
        <w:t>Environment Protection and Biodiversity Conservation Act 1999</w:t>
      </w:r>
      <w:r w:rsidRPr="00A326C6">
        <w:t xml:space="preserve"> (EPBC Act) ix, 3, 74, 118, 119, 129</w:t>
      </w:r>
    </w:p>
    <w:p w:rsidR="009B7CB6" w:rsidRPr="00A326C6" w:rsidRDefault="009B7CB6" w:rsidP="008D3489">
      <w:pPr>
        <w:pStyle w:val="IndexAR0"/>
      </w:pPr>
      <w:r w:rsidRPr="00A326C6">
        <w:rPr>
          <w:i/>
          <w:iCs/>
        </w:rPr>
        <w:t>Environmental Assessment Act</w:t>
      </w:r>
      <w:r w:rsidRPr="00A326C6">
        <w:t xml:space="preserve"> (Northern Territory) 3</w:t>
      </w:r>
    </w:p>
    <w:p w:rsidR="009B7CB6" w:rsidRPr="00A326C6" w:rsidRDefault="009B7CB6" w:rsidP="008D3489">
      <w:pPr>
        <w:pStyle w:val="IndexAR0"/>
      </w:pPr>
      <w:proofErr w:type="gramStart"/>
      <w:r w:rsidRPr="00A326C6">
        <w:t>environmental</w:t>
      </w:r>
      <w:proofErr w:type="gramEnd"/>
      <w:r w:rsidRPr="00A326C6">
        <w:t xml:space="preserve"> assessments of uranium mines 8–74</w:t>
      </w:r>
    </w:p>
    <w:p w:rsidR="009B7CB6" w:rsidRPr="00A326C6" w:rsidRDefault="009B7CB6" w:rsidP="008D3489">
      <w:pPr>
        <w:pStyle w:val="index2AR"/>
      </w:pPr>
      <w:r w:rsidRPr="00A326C6">
        <w:t xml:space="preserve"> </w:t>
      </w:r>
      <w:proofErr w:type="gramStart"/>
      <w:r w:rsidRPr="00A326C6">
        <w:rPr>
          <w:i/>
          <w:iCs/>
        </w:rPr>
        <w:t>see</w:t>
      </w:r>
      <w:proofErr w:type="gramEnd"/>
      <w:r w:rsidRPr="00A326C6">
        <w:rPr>
          <w:i/>
          <w:iCs/>
        </w:rPr>
        <w:t xml:space="preserve"> also</w:t>
      </w:r>
      <w:r w:rsidRPr="00A326C6">
        <w:t xml:space="preserve"> Routine Periodic Inspections (RPI)</w:t>
      </w:r>
    </w:p>
    <w:p w:rsidR="009B7CB6" w:rsidRPr="00A326C6" w:rsidRDefault="009B7CB6" w:rsidP="008D3489">
      <w:pPr>
        <w:pStyle w:val="IndexAR0"/>
      </w:pPr>
      <w:r w:rsidRPr="00A326C6">
        <w:t>Environmental Impact Statement (EIS) ix, 3, 74</w:t>
      </w:r>
    </w:p>
    <w:p w:rsidR="009B7CB6" w:rsidRPr="00A326C6" w:rsidRDefault="009B7CB6" w:rsidP="008D3489">
      <w:pPr>
        <w:pStyle w:val="IndexAR0"/>
      </w:pPr>
      <w:proofErr w:type="gramStart"/>
      <w:r w:rsidRPr="00A326C6">
        <w:t>environmental</w:t>
      </w:r>
      <w:proofErr w:type="gramEnd"/>
      <w:r w:rsidRPr="00A326C6">
        <w:t xml:space="preserve"> incident reporting ix, 3, 16, 19–21, 59, 62</w:t>
      </w:r>
    </w:p>
    <w:p w:rsidR="009B7CB6" w:rsidRPr="00A326C6" w:rsidRDefault="009B7CB6" w:rsidP="008D3489">
      <w:pPr>
        <w:pStyle w:val="IndexAR0"/>
      </w:pPr>
      <w:proofErr w:type="gramStart"/>
      <w:r w:rsidRPr="00A326C6">
        <w:t>environmental</w:t>
      </w:r>
      <w:proofErr w:type="gramEnd"/>
      <w:r w:rsidRPr="00A326C6">
        <w:t xml:space="preserve"> management (on-site)</w:t>
      </w:r>
    </w:p>
    <w:p w:rsidR="009B7CB6" w:rsidRPr="00A326C6" w:rsidRDefault="009B7CB6" w:rsidP="008D3489">
      <w:pPr>
        <w:pStyle w:val="index2AR"/>
      </w:pPr>
      <w:proofErr w:type="gramStart"/>
      <w:r w:rsidRPr="00A326C6">
        <w:t>exploration</w:t>
      </w:r>
      <w:proofErr w:type="gramEnd"/>
      <w:r w:rsidRPr="00A326C6">
        <w:t xml:space="preserve"> sites in western Arnhem Land 64–65</w:t>
      </w:r>
    </w:p>
    <w:p w:rsidR="009B7CB6" w:rsidRPr="00A326C6" w:rsidRDefault="009B7CB6" w:rsidP="008D3489">
      <w:pPr>
        <w:pStyle w:val="index2AR"/>
      </w:pPr>
      <w:r w:rsidRPr="00A326C6">
        <w:t>Jabiluka 57–59</w:t>
      </w:r>
    </w:p>
    <w:p w:rsidR="009B7CB6" w:rsidRPr="00A326C6" w:rsidRDefault="009B7CB6" w:rsidP="008D3489">
      <w:pPr>
        <w:pStyle w:val="index2AR"/>
      </w:pPr>
      <w:r w:rsidRPr="00A326C6">
        <w:t>Nabarlek 62–63</w:t>
      </w:r>
    </w:p>
    <w:p w:rsidR="009B7CB6" w:rsidRPr="00A326C6" w:rsidRDefault="009B7CB6" w:rsidP="008D3489">
      <w:pPr>
        <w:pStyle w:val="index2AR"/>
      </w:pPr>
      <w:r w:rsidRPr="00A326C6">
        <w:t>Ranger 12–21</w:t>
      </w:r>
    </w:p>
    <w:p w:rsidR="009B7CB6" w:rsidRPr="00A326C6" w:rsidRDefault="009B7CB6" w:rsidP="008D3489">
      <w:pPr>
        <w:pStyle w:val="IndexAR0"/>
      </w:pPr>
      <w:r w:rsidRPr="00A326C6">
        <w:t>Environmental Management System 134</w:t>
      </w:r>
    </w:p>
    <w:p w:rsidR="009B7CB6" w:rsidRPr="00A326C6" w:rsidRDefault="009B7CB6" w:rsidP="008D3489">
      <w:pPr>
        <w:pStyle w:val="IndexAR0"/>
      </w:pPr>
      <w:r w:rsidRPr="00A326C6">
        <w:t>Environmental Modelling for Radiation Safety programmes (EMRAS) 116</w:t>
      </w:r>
    </w:p>
    <w:p w:rsidR="009B7CB6" w:rsidRPr="00A326C6" w:rsidRDefault="009B7CB6" w:rsidP="008D3489">
      <w:pPr>
        <w:pStyle w:val="IndexAR0"/>
      </w:pPr>
      <w:proofErr w:type="gramStart"/>
      <w:r w:rsidRPr="00A326C6">
        <w:t>environmental</w:t>
      </w:r>
      <w:proofErr w:type="gramEnd"/>
      <w:r w:rsidRPr="00A326C6">
        <w:t xml:space="preserve"> performance (SSD) 134</w:t>
      </w:r>
    </w:p>
    <w:p w:rsidR="009B7CB6" w:rsidRPr="00A326C6" w:rsidRDefault="009B7CB6" w:rsidP="008D3489">
      <w:pPr>
        <w:pStyle w:val="IndexAR0"/>
      </w:pPr>
      <w:proofErr w:type="gramStart"/>
      <w:r w:rsidRPr="00A326C6">
        <w:t>environmental</w:t>
      </w:r>
      <w:proofErr w:type="gramEnd"/>
      <w:r w:rsidRPr="00A326C6">
        <w:t xml:space="preserve"> protection</w:t>
      </w:r>
    </w:p>
    <w:p w:rsidR="009B7CB6" w:rsidRPr="00A326C6" w:rsidRDefault="009B7CB6" w:rsidP="000445CA">
      <w:pPr>
        <w:pStyle w:val="index2AR"/>
      </w:pPr>
      <w:r w:rsidRPr="00A326C6">
        <w:t>Jabiluka 59–61</w:t>
      </w:r>
    </w:p>
    <w:p w:rsidR="009B7CB6" w:rsidRPr="00A326C6" w:rsidRDefault="009B7CB6" w:rsidP="000445CA">
      <w:pPr>
        <w:pStyle w:val="index2AR"/>
      </w:pPr>
      <w:r w:rsidRPr="00A326C6">
        <w:t>Nabarlek 63</w:t>
      </w:r>
    </w:p>
    <w:p w:rsidR="009B7CB6" w:rsidRPr="00A326C6" w:rsidRDefault="009B7CB6" w:rsidP="000445CA">
      <w:pPr>
        <w:pStyle w:val="index2AR"/>
      </w:pPr>
      <w:proofErr w:type="gramStart"/>
      <w:r w:rsidRPr="00A326C6">
        <w:t>national</w:t>
      </w:r>
      <w:proofErr w:type="gramEnd"/>
      <w:r w:rsidRPr="00A326C6">
        <w:t xml:space="preserve"> initiatives 116</w:t>
      </w:r>
    </w:p>
    <w:p w:rsidR="009B7CB6" w:rsidRPr="00A326C6" w:rsidRDefault="009B7CB6" w:rsidP="000445CA">
      <w:pPr>
        <w:pStyle w:val="index2AR"/>
      </w:pPr>
      <w:r w:rsidRPr="00A326C6">
        <w:t>Ranger 22–57, 111–115</w:t>
      </w:r>
    </w:p>
    <w:p w:rsidR="009B7CB6" w:rsidRPr="00A326C6" w:rsidRDefault="009B7CB6" w:rsidP="000445CA">
      <w:pPr>
        <w:pStyle w:val="indexAR"/>
      </w:pPr>
      <w:proofErr w:type="gramStart"/>
      <w:r w:rsidRPr="00A326C6">
        <w:t>environmental</w:t>
      </w:r>
      <w:proofErr w:type="gramEnd"/>
      <w:r w:rsidRPr="00A326C6">
        <w:t xml:space="preserve"> requirements 133</w:t>
      </w:r>
    </w:p>
    <w:p w:rsidR="009B7CB6" w:rsidRPr="00A326C6" w:rsidRDefault="009B7CB6" w:rsidP="000445CA">
      <w:pPr>
        <w:pStyle w:val="indexAR"/>
      </w:pPr>
      <w:proofErr w:type="gramStart"/>
      <w:r w:rsidRPr="00A326C6">
        <w:t>environmental</w:t>
      </w:r>
      <w:proofErr w:type="gramEnd"/>
      <w:r w:rsidRPr="00A326C6">
        <w:t xml:space="preserve"> research 75–115, 157–159</w:t>
      </w:r>
    </w:p>
    <w:p w:rsidR="009B7CB6" w:rsidRPr="00A326C6" w:rsidRDefault="009B7CB6" w:rsidP="008D3489">
      <w:pPr>
        <w:pStyle w:val="IndexAR0"/>
      </w:pPr>
      <w:r w:rsidRPr="00A326C6">
        <w:t xml:space="preserve">Environmental Research Institute of the Supervising Scientist </w:t>
      </w:r>
      <w:proofErr w:type="gramStart"/>
      <w:r w:rsidRPr="00A326C6">
        <w:rPr>
          <w:i/>
          <w:iCs/>
        </w:rPr>
        <w:t>see</w:t>
      </w:r>
      <w:proofErr w:type="gramEnd"/>
      <w:r w:rsidRPr="00A326C6">
        <w:t xml:space="preserve"> </w:t>
      </w:r>
      <w:r w:rsidRPr="00A326C6">
        <w:rPr>
          <w:b/>
          <w:bCs/>
          <w:i/>
          <w:iCs/>
        </w:rPr>
        <w:t>eriss</w:t>
      </w:r>
    </w:p>
    <w:p w:rsidR="009B7CB6" w:rsidRPr="00A326C6" w:rsidRDefault="009B7CB6" w:rsidP="008D3489">
      <w:pPr>
        <w:pStyle w:val="IndexAR0"/>
      </w:pPr>
      <w:r w:rsidRPr="00A326C6">
        <w:t>EPBC assessment advice 74</w:t>
      </w:r>
    </w:p>
    <w:p w:rsidR="009B7CB6" w:rsidRPr="00A326C6" w:rsidRDefault="009B7CB6" w:rsidP="008D3489">
      <w:pPr>
        <w:pStyle w:val="IndexAR0"/>
      </w:pPr>
      <w:r w:rsidRPr="00A326C6">
        <w:t>EPBC compliance audits 118</w:t>
      </w:r>
    </w:p>
    <w:p w:rsidR="009B7CB6" w:rsidRPr="00A326C6" w:rsidRDefault="009B7CB6" w:rsidP="008D3489">
      <w:pPr>
        <w:pStyle w:val="IndexAR0"/>
      </w:pPr>
      <w:r w:rsidRPr="00A326C6">
        <w:t>ERA (Energy Resources of Australia Ltd) ix, x, 3, 5, 6, 7, 8, 9</w:t>
      </w:r>
    </w:p>
    <w:p w:rsidR="009B7CB6" w:rsidRPr="00A326C6" w:rsidRDefault="009B7CB6" w:rsidP="008D3489">
      <w:pPr>
        <w:pStyle w:val="index2AR"/>
      </w:pPr>
      <w:r w:rsidRPr="00A326C6">
        <w:t xml:space="preserve"> </w:t>
      </w:r>
      <w:proofErr w:type="gramStart"/>
      <w:r w:rsidRPr="00A326C6">
        <w:rPr>
          <w:i/>
          <w:iCs/>
        </w:rPr>
        <w:t>see</w:t>
      </w:r>
      <w:proofErr w:type="gramEnd"/>
      <w:r w:rsidRPr="00A326C6">
        <w:rPr>
          <w:i/>
          <w:iCs/>
        </w:rPr>
        <w:t xml:space="preserve"> also</w:t>
      </w:r>
      <w:r w:rsidRPr="00A326C6">
        <w:t xml:space="preserve"> Ranger uranium mine</w:t>
      </w:r>
    </w:p>
    <w:p w:rsidR="009B7CB6" w:rsidRPr="00A326C6" w:rsidRDefault="009B7CB6" w:rsidP="008D3489">
      <w:pPr>
        <w:pStyle w:val="IndexAR0"/>
      </w:pPr>
      <w:r w:rsidRPr="00A326C6">
        <w:t>ERA closure plan xi</w:t>
      </w:r>
    </w:p>
    <w:p w:rsidR="009B7CB6" w:rsidRPr="00A326C6" w:rsidRDefault="009B7CB6" w:rsidP="008D3489">
      <w:pPr>
        <w:pStyle w:val="IndexAR0"/>
      </w:pPr>
      <w:r w:rsidRPr="00A326C6">
        <w:t>ERA Rehabilitation/Closure Risk Assessment Project 7</w:t>
      </w:r>
    </w:p>
    <w:p w:rsidR="009B7CB6" w:rsidRPr="00A326C6" w:rsidRDefault="009B7CB6" w:rsidP="008D3489">
      <w:pPr>
        <w:pStyle w:val="IndexAR0"/>
      </w:pPr>
      <w:r w:rsidRPr="00A326C6">
        <w:rPr>
          <w:b/>
          <w:bCs/>
          <w:i/>
          <w:iCs/>
        </w:rPr>
        <w:t>eriss</w:t>
      </w:r>
      <w:r w:rsidRPr="00A326C6">
        <w:t xml:space="preserve"> (Environmental Research Institute of the Supervising Scientist) xi, 1, 7, 75–76, 116–121, 129–130, 134–135</w:t>
      </w:r>
    </w:p>
    <w:p w:rsidR="009B7CB6" w:rsidRPr="00A326C6" w:rsidRDefault="009B7CB6" w:rsidP="008D3489">
      <w:pPr>
        <w:pStyle w:val="index2AR"/>
      </w:pPr>
      <w:proofErr w:type="gramStart"/>
      <w:r w:rsidRPr="00A326C6">
        <w:t>consultancy</w:t>
      </w:r>
      <w:proofErr w:type="gramEnd"/>
      <w:r w:rsidRPr="00A326C6">
        <w:t xml:space="preserve"> reports 154 </w:t>
      </w:r>
      <w:r w:rsidRPr="00A326C6">
        <w:rPr>
          <w:i/>
          <w:iCs/>
        </w:rPr>
        <w:t>see also</w:t>
      </w:r>
      <w:r w:rsidRPr="00A326C6">
        <w:t xml:space="preserve"> conferences; publications, papers and reports</w:t>
      </w:r>
    </w:p>
    <w:p w:rsidR="009B7CB6" w:rsidRPr="00A326C6" w:rsidRDefault="009B7CB6" w:rsidP="008D3489">
      <w:pPr>
        <w:pStyle w:val="index2AR"/>
      </w:pPr>
      <w:proofErr w:type="gramStart"/>
      <w:r w:rsidRPr="00A326C6">
        <w:t>list</w:t>
      </w:r>
      <w:proofErr w:type="gramEnd"/>
      <w:r w:rsidRPr="00A326C6">
        <w:t xml:space="preserve"> of research projects 157–159</w:t>
      </w:r>
    </w:p>
    <w:p w:rsidR="009B7CB6" w:rsidRPr="00A326C6" w:rsidRDefault="009B7CB6" w:rsidP="008D3489">
      <w:pPr>
        <w:pStyle w:val="IndexAR0"/>
      </w:pPr>
      <w:proofErr w:type="gramStart"/>
      <w:r w:rsidRPr="00A326C6">
        <w:t>ethics</w:t>
      </w:r>
      <w:proofErr w:type="gramEnd"/>
      <w:r w:rsidRPr="00A326C6">
        <w:t>, animal experimentation 134–135</w:t>
      </w:r>
    </w:p>
    <w:p w:rsidR="009B7CB6" w:rsidRPr="00A326C6" w:rsidRDefault="009B7CB6" w:rsidP="008D3489">
      <w:pPr>
        <w:pStyle w:val="IndexAR0"/>
      </w:pPr>
      <w:proofErr w:type="gramStart"/>
      <w:r w:rsidRPr="00A326C6">
        <w:t>exploration</w:t>
      </w:r>
      <w:proofErr w:type="gramEnd"/>
      <w:r w:rsidRPr="00A326C6">
        <w:t xml:space="preserve"> sites 64–65, 149</w:t>
      </w:r>
    </w:p>
    <w:p w:rsidR="00632756" w:rsidRDefault="00632756" w:rsidP="00632756">
      <w:pPr>
        <w:pStyle w:val="indexAR-alpha"/>
        <w:rPr>
          <w:lang w:val="en-US"/>
        </w:rPr>
      </w:pPr>
      <w:r w:rsidRPr="007C6B9C">
        <w:rPr>
          <w:lang w:val="en-US"/>
        </w:rPr>
        <w:t>F</w:t>
      </w:r>
    </w:p>
    <w:p w:rsidR="007C6B9C" w:rsidRPr="00A326C6" w:rsidRDefault="007C6B9C" w:rsidP="008D3489">
      <w:pPr>
        <w:pStyle w:val="IndexAR0"/>
      </w:pPr>
      <w:proofErr w:type="gramStart"/>
      <w:r w:rsidRPr="00A326C6">
        <w:t>facilities</w:t>
      </w:r>
      <w:proofErr w:type="gramEnd"/>
      <w:r w:rsidRPr="00A326C6">
        <w:t xml:space="preserve"> 132–133</w:t>
      </w:r>
    </w:p>
    <w:p w:rsidR="007C6B9C" w:rsidRPr="00A326C6" w:rsidRDefault="007C6B9C" w:rsidP="008D3489">
      <w:pPr>
        <w:pStyle w:val="IndexAR0"/>
      </w:pPr>
      <w:r w:rsidRPr="00A326C6">
        <w:t>Field Station, Jabiru 133</w:t>
      </w:r>
    </w:p>
    <w:p w:rsidR="007C6B9C" w:rsidRPr="00A326C6" w:rsidRDefault="007C6B9C" w:rsidP="008D3489">
      <w:pPr>
        <w:pStyle w:val="IndexAR0"/>
      </w:pPr>
      <w:proofErr w:type="gramStart"/>
      <w:r w:rsidRPr="00A326C6">
        <w:t>finance</w:t>
      </w:r>
      <w:proofErr w:type="gramEnd"/>
      <w:r w:rsidRPr="00A326C6">
        <w:t xml:space="preserve"> 131–132</w:t>
      </w:r>
    </w:p>
    <w:p w:rsidR="007C6B9C" w:rsidRPr="00A326C6" w:rsidRDefault="007C6B9C" w:rsidP="008D3489">
      <w:pPr>
        <w:pStyle w:val="IndexAR0"/>
      </w:pPr>
      <w:proofErr w:type="gramStart"/>
      <w:r w:rsidRPr="00A326C6">
        <w:t>fish</w:t>
      </w:r>
      <w:proofErr w:type="gramEnd"/>
      <w:r w:rsidRPr="00A326C6">
        <w:t xml:space="preserve"> communities x, 55, 134</w:t>
      </w:r>
    </w:p>
    <w:p w:rsidR="007C6B9C" w:rsidRPr="00A326C6" w:rsidRDefault="007C6B9C" w:rsidP="008D3489">
      <w:pPr>
        <w:pStyle w:val="IndexAR0"/>
      </w:pPr>
      <w:r w:rsidRPr="00A326C6">
        <w:t>Four Gates Road 68, 73</w:t>
      </w:r>
    </w:p>
    <w:p w:rsidR="007C6B9C" w:rsidRPr="00A326C6" w:rsidRDefault="007C6B9C" w:rsidP="008D3489">
      <w:pPr>
        <w:pStyle w:val="IndexAR0"/>
      </w:pPr>
      <w:proofErr w:type="gramStart"/>
      <w:r w:rsidRPr="00A326C6">
        <w:t>freshwater</w:t>
      </w:r>
      <w:proofErr w:type="gramEnd"/>
      <w:r w:rsidRPr="00A326C6">
        <w:t xml:space="preserve"> organisms</w:t>
      </w:r>
    </w:p>
    <w:p w:rsidR="007C6B9C" w:rsidRPr="00A326C6" w:rsidRDefault="007C6B9C" w:rsidP="008D3489">
      <w:pPr>
        <w:pStyle w:val="index2AR"/>
      </w:pPr>
      <w:proofErr w:type="gramStart"/>
      <w:r w:rsidRPr="00A326C6">
        <w:t>manganese</w:t>
      </w:r>
      <w:proofErr w:type="gramEnd"/>
      <w:r w:rsidRPr="00A326C6">
        <w:t xml:space="preserve"> toxicity to 83–85</w:t>
      </w:r>
    </w:p>
    <w:p w:rsidR="007C6B9C" w:rsidRPr="00A326C6" w:rsidRDefault="007C6B9C" w:rsidP="008D3489">
      <w:pPr>
        <w:pStyle w:val="index2AR"/>
      </w:pPr>
      <w:proofErr w:type="gramStart"/>
      <w:r w:rsidRPr="00A326C6">
        <w:t>radionuclide</w:t>
      </w:r>
      <w:proofErr w:type="gramEnd"/>
      <w:r w:rsidRPr="00A326C6">
        <w:t xml:space="preserve"> uptake 46–50, 72–73, 145</w:t>
      </w:r>
    </w:p>
    <w:p w:rsidR="007C6B9C" w:rsidRPr="00A326C6" w:rsidRDefault="007C6B9C" w:rsidP="008D3489">
      <w:pPr>
        <w:pStyle w:val="index2AR"/>
      </w:pPr>
      <w:r w:rsidRPr="00A326C6">
        <w:t xml:space="preserve"> </w:t>
      </w:r>
      <w:proofErr w:type="gramStart"/>
      <w:r w:rsidRPr="00A326C6">
        <w:rPr>
          <w:i/>
          <w:iCs/>
        </w:rPr>
        <w:t>see</w:t>
      </w:r>
      <w:proofErr w:type="gramEnd"/>
      <w:r w:rsidRPr="00A326C6">
        <w:rPr>
          <w:i/>
          <w:iCs/>
        </w:rPr>
        <w:t xml:space="preserve"> also</w:t>
      </w:r>
      <w:r w:rsidRPr="00A326C6">
        <w:t xml:space="preserve"> mussels; snails</w:t>
      </w:r>
    </w:p>
    <w:p w:rsidR="00632756" w:rsidRDefault="00632756" w:rsidP="00632756">
      <w:pPr>
        <w:pStyle w:val="indexAR-alpha"/>
        <w:rPr>
          <w:lang w:val="en-US"/>
        </w:rPr>
      </w:pPr>
      <w:r w:rsidRPr="007C6B9C">
        <w:rPr>
          <w:lang w:val="en-US"/>
        </w:rPr>
        <w:t>G</w:t>
      </w:r>
    </w:p>
    <w:p w:rsidR="007C6B9C" w:rsidRPr="00A326C6" w:rsidRDefault="007C6B9C" w:rsidP="008D3489">
      <w:pPr>
        <w:pStyle w:val="IndexAR0"/>
      </w:pPr>
      <w:proofErr w:type="gramStart"/>
      <w:r w:rsidRPr="00A326C6">
        <w:t>gamma</w:t>
      </w:r>
      <w:proofErr w:type="gramEnd"/>
      <w:r w:rsidRPr="00A326C6">
        <w:t xml:space="preserve"> radiation 66, 67, 142</w:t>
      </w:r>
    </w:p>
    <w:p w:rsidR="007C6B9C" w:rsidRPr="00A326C6" w:rsidRDefault="007C6B9C" w:rsidP="008D3489">
      <w:pPr>
        <w:pStyle w:val="IndexAR0"/>
      </w:pPr>
      <w:r w:rsidRPr="00A326C6">
        <w:t>Georgetown Billabong 24, 26, 29, 30, 55</w:t>
      </w:r>
    </w:p>
    <w:p w:rsidR="007C6B9C" w:rsidRPr="00A326C6" w:rsidRDefault="007C6B9C" w:rsidP="008D3489">
      <w:pPr>
        <w:pStyle w:val="IndexAR0"/>
      </w:pPr>
      <w:proofErr w:type="gramStart"/>
      <w:r w:rsidRPr="00A326C6">
        <w:t>glossary</w:t>
      </w:r>
      <w:proofErr w:type="gramEnd"/>
      <w:r w:rsidRPr="00A326C6">
        <w:t xml:space="preserve"> 160–166</w:t>
      </w:r>
    </w:p>
    <w:p w:rsidR="007C6B9C" w:rsidRPr="00A326C6" w:rsidRDefault="007C6B9C" w:rsidP="008D3489">
      <w:pPr>
        <w:pStyle w:val="IndexAR0"/>
      </w:pPr>
      <w:proofErr w:type="gramStart"/>
      <w:r w:rsidRPr="00A326C6">
        <w:t>green</w:t>
      </w:r>
      <w:proofErr w:type="gramEnd"/>
      <w:r w:rsidRPr="00A326C6">
        <w:t xml:space="preserve"> hydra (</w:t>
      </w:r>
      <w:r w:rsidRPr="00A326C6">
        <w:rPr>
          <w:i/>
          <w:iCs/>
        </w:rPr>
        <w:t>Hydra viridissima</w:t>
      </w:r>
      <w:r w:rsidRPr="00A326C6">
        <w:t>) 76–83</w:t>
      </w:r>
    </w:p>
    <w:p w:rsidR="007C6B9C" w:rsidRPr="00A326C6" w:rsidRDefault="007C6B9C" w:rsidP="008D3489">
      <w:pPr>
        <w:pStyle w:val="IndexAR0"/>
      </w:pPr>
      <w:proofErr w:type="gramStart"/>
      <w:r w:rsidRPr="00A326C6">
        <w:t>groundwater</w:t>
      </w:r>
      <w:proofErr w:type="gramEnd"/>
      <w:r w:rsidRPr="00A326C6">
        <w:t xml:space="preserve"> dispersion 143</w:t>
      </w:r>
    </w:p>
    <w:p w:rsidR="007C6B9C" w:rsidRPr="00A326C6" w:rsidRDefault="007C6B9C" w:rsidP="008D3489">
      <w:pPr>
        <w:pStyle w:val="IndexAR0"/>
      </w:pPr>
      <w:r w:rsidRPr="00A326C6">
        <w:t>Gulungul Billabong 55, 56</w:t>
      </w:r>
    </w:p>
    <w:p w:rsidR="007C6B9C" w:rsidRPr="00A326C6" w:rsidRDefault="007C6B9C" w:rsidP="008D3489">
      <w:pPr>
        <w:pStyle w:val="IndexAR0"/>
      </w:pPr>
      <w:r w:rsidRPr="00A326C6">
        <w:t>Gulungul Creek</w:t>
      </w:r>
    </w:p>
    <w:p w:rsidR="007C6B9C" w:rsidRPr="00A326C6" w:rsidRDefault="007C6B9C" w:rsidP="008D3489">
      <w:pPr>
        <w:pStyle w:val="index2AR"/>
      </w:pPr>
      <w:proofErr w:type="gramStart"/>
      <w:r w:rsidRPr="00A326C6">
        <w:t>biological</w:t>
      </w:r>
      <w:proofErr w:type="gramEnd"/>
      <w:r w:rsidRPr="00A326C6">
        <w:t xml:space="preserve"> monitoring 42–57</w:t>
      </w:r>
    </w:p>
    <w:p w:rsidR="007C6B9C" w:rsidRPr="00A326C6" w:rsidRDefault="007C6B9C" w:rsidP="008D3489">
      <w:pPr>
        <w:pStyle w:val="index2AR"/>
      </w:pPr>
      <w:proofErr w:type="gramStart"/>
      <w:r w:rsidRPr="00A326C6">
        <w:t>chemical</w:t>
      </w:r>
      <w:proofErr w:type="gramEnd"/>
      <w:r w:rsidRPr="00A326C6">
        <w:t xml:space="preserve"> and physical monitoring x, 33–42</w:t>
      </w:r>
    </w:p>
    <w:p w:rsidR="007C6B9C" w:rsidRPr="00A326C6" w:rsidRDefault="007C6B9C" w:rsidP="008D3489">
      <w:pPr>
        <w:pStyle w:val="index2AR"/>
      </w:pPr>
      <w:proofErr w:type="gramStart"/>
      <w:r w:rsidRPr="00A326C6">
        <w:t>electrical</w:t>
      </w:r>
      <w:proofErr w:type="gramEnd"/>
      <w:r w:rsidRPr="00A326C6">
        <w:t xml:space="preserve"> conductivity 33–42, 89–90</w:t>
      </w:r>
    </w:p>
    <w:p w:rsidR="007C6B9C" w:rsidRPr="00A326C6" w:rsidRDefault="007C6B9C" w:rsidP="008D3489">
      <w:pPr>
        <w:pStyle w:val="index2AR"/>
      </w:pPr>
      <w:proofErr w:type="gramStart"/>
      <w:r w:rsidRPr="00A326C6">
        <w:t>riparian</w:t>
      </w:r>
      <w:proofErr w:type="gramEnd"/>
      <w:r w:rsidRPr="00A326C6">
        <w:t xml:space="preserve"> trees and melaleucas on 121</w:t>
      </w:r>
    </w:p>
    <w:p w:rsidR="007C6B9C" w:rsidRPr="00A326C6" w:rsidRDefault="007C6B9C" w:rsidP="008D3489">
      <w:pPr>
        <w:pStyle w:val="index2AR"/>
      </w:pPr>
      <w:proofErr w:type="gramStart"/>
      <w:r w:rsidRPr="00A326C6">
        <w:t>toxicity</w:t>
      </w:r>
      <w:proofErr w:type="gramEnd"/>
      <w:r w:rsidRPr="00A326C6">
        <w:t xml:space="preserve"> monitoring in 86–92</w:t>
      </w:r>
    </w:p>
    <w:p w:rsidR="007C6B9C" w:rsidRPr="00A326C6" w:rsidRDefault="007C6B9C" w:rsidP="008D3489">
      <w:pPr>
        <w:pStyle w:val="IndexAR0"/>
      </w:pPr>
      <w:r w:rsidRPr="00A326C6">
        <w:t>Gundjeihmi Aboriginal Corporation (GAC) 3, 5, 8, 123</w:t>
      </w:r>
    </w:p>
    <w:p w:rsidR="00632756" w:rsidRDefault="00632756" w:rsidP="00632756">
      <w:pPr>
        <w:pStyle w:val="indexAR-alpha"/>
        <w:rPr>
          <w:lang w:val="en-US"/>
        </w:rPr>
      </w:pPr>
      <w:r>
        <w:rPr>
          <w:lang w:val="en-US"/>
        </w:rPr>
        <w:t>H</w:t>
      </w:r>
    </w:p>
    <w:p w:rsidR="007C6B9C" w:rsidRPr="00A326C6" w:rsidRDefault="007C6B9C" w:rsidP="008D3489">
      <w:pPr>
        <w:pStyle w:val="IndexAR0"/>
      </w:pPr>
      <w:proofErr w:type="gramStart"/>
      <w:r w:rsidRPr="00A326C6">
        <w:t>health</w:t>
      </w:r>
      <w:proofErr w:type="gramEnd"/>
      <w:r w:rsidRPr="00A326C6">
        <w:t xml:space="preserve"> and safety, occupational 131</w:t>
      </w:r>
    </w:p>
    <w:p w:rsidR="007C6B9C" w:rsidRPr="00A326C6" w:rsidRDefault="007C6B9C" w:rsidP="008D3489">
      <w:pPr>
        <w:pStyle w:val="IndexAR0"/>
      </w:pPr>
      <w:proofErr w:type="gramStart"/>
      <w:r w:rsidRPr="00A326C6">
        <w:t>health</w:t>
      </w:r>
      <w:proofErr w:type="gramEnd"/>
      <w:r w:rsidRPr="00A326C6">
        <w:t xml:space="preserve"> and wellbeing programme 131</w:t>
      </w:r>
    </w:p>
    <w:p w:rsidR="007C6B9C" w:rsidRPr="00A326C6" w:rsidRDefault="007C6B9C" w:rsidP="008D3489">
      <w:pPr>
        <w:pStyle w:val="IndexAR0"/>
      </w:pPr>
      <w:proofErr w:type="gramStart"/>
      <w:r w:rsidRPr="00A326C6">
        <w:t>human</w:t>
      </w:r>
      <w:proofErr w:type="gramEnd"/>
      <w:r w:rsidRPr="00A326C6">
        <w:t xml:space="preserve"> resources management 129–131</w:t>
      </w:r>
    </w:p>
    <w:p w:rsidR="00632756" w:rsidRDefault="00632756" w:rsidP="00632756">
      <w:pPr>
        <w:pStyle w:val="indexAR-alpha"/>
        <w:rPr>
          <w:lang w:val="en-US"/>
        </w:rPr>
      </w:pPr>
      <w:r>
        <w:rPr>
          <w:lang w:val="en-US"/>
        </w:rPr>
        <w:t>I</w:t>
      </w:r>
    </w:p>
    <w:p w:rsidR="007C6B9C" w:rsidRPr="00A326C6" w:rsidRDefault="007C6B9C" w:rsidP="008D3489">
      <w:pPr>
        <w:pStyle w:val="IndexAR0"/>
      </w:pPr>
      <w:r w:rsidRPr="00A326C6">
        <w:t>IAEA (International Atomic Energy Agency) 116–117</w:t>
      </w:r>
    </w:p>
    <w:p w:rsidR="007C6B9C" w:rsidRPr="00A326C6" w:rsidRDefault="007C6B9C" w:rsidP="008D3489">
      <w:pPr>
        <w:pStyle w:val="IndexAR0"/>
      </w:pPr>
      <w:proofErr w:type="gramStart"/>
      <w:r w:rsidRPr="00A326C6">
        <w:t>incidents</w:t>
      </w:r>
      <w:proofErr w:type="gramEnd"/>
      <w:r w:rsidRPr="00A326C6">
        <w:t xml:space="preserve"> </w:t>
      </w:r>
      <w:r w:rsidRPr="00A326C6">
        <w:rPr>
          <w:i/>
          <w:iCs/>
        </w:rPr>
        <w:t>see</w:t>
      </w:r>
      <w:r w:rsidRPr="00A326C6">
        <w:t xml:space="preserve"> environmental incident reporting</w:t>
      </w:r>
    </w:p>
    <w:p w:rsidR="007C6B9C" w:rsidRPr="00A326C6" w:rsidRDefault="007C6B9C" w:rsidP="008D3489">
      <w:pPr>
        <w:pStyle w:val="IndexAR0"/>
      </w:pPr>
      <w:r w:rsidRPr="00A326C6">
        <w:t>Indigenous Communication Officer 122, 123</w:t>
      </w:r>
    </w:p>
    <w:p w:rsidR="007C6B9C" w:rsidRPr="00A326C6" w:rsidRDefault="007C6B9C" w:rsidP="008D3489">
      <w:pPr>
        <w:pStyle w:val="IndexAR0"/>
      </w:pPr>
      <w:r w:rsidRPr="00A326C6">
        <w:t>Indigenous peoples x, 122</w:t>
      </w:r>
    </w:p>
    <w:p w:rsidR="007C6B9C" w:rsidRPr="00A326C6" w:rsidRDefault="007C6B9C" w:rsidP="008D3489">
      <w:pPr>
        <w:pStyle w:val="index2AR"/>
      </w:pPr>
      <w:proofErr w:type="gramStart"/>
      <w:r w:rsidRPr="00A326C6">
        <w:t>communication</w:t>
      </w:r>
      <w:proofErr w:type="gramEnd"/>
      <w:r w:rsidRPr="00A326C6">
        <w:t xml:space="preserve"> with 124–125</w:t>
      </w:r>
    </w:p>
    <w:p w:rsidR="007C6B9C" w:rsidRPr="00A326C6" w:rsidRDefault="007C6B9C" w:rsidP="008D3489">
      <w:pPr>
        <w:pStyle w:val="index2AR"/>
      </w:pPr>
      <w:proofErr w:type="gramStart"/>
      <w:r w:rsidRPr="00A326C6">
        <w:t>employment</w:t>
      </w:r>
      <w:proofErr w:type="gramEnd"/>
      <w:r w:rsidRPr="00A326C6">
        <w:t xml:space="preserve"> of 123</w:t>
      </w:r>
    </w:p>
    <w:p w:rsidR="007C6B9C" w:rsidRPr="00A326C6" w:rsidRDefault="007C6B9C" w:rsidP="008D3489">
      <w:pPr>
        <w:pStyle w:val="index2AR"/>
      </w:pPr>
      <w:r w:rsidRPr="00A326C6">
        <w:t>Mirarr people 3</w:t>
      </w:r>
    </w:p>
    <w:p w:rsidR="007C6B9C" w:rsidRPr="00A326C6" w:rsidRDefault="007C6B9C" w:rsidP="008D3489">
      <w:pPr>
        <w:pStyle w:val="index2AR"/>
      </w:pPr>
      <w:r w:rsidRPr="00A326C6">
        <w:t>Mudginberri community 68, 69, 70, 71, 73</w:t>
      </w:r>
    </w:p>
    <w:p w:rsidR="007C6B9C" w:rsidRPr="00A326C6" w:rsidRDefault="007C6B9C" w:rsidP="008D3489">
      <w:pPr>
        <w:pStyle w:val="IndexAR0"/>
      </w:pPr>
      <w:r w:rsidRPr="00A326C6">
        <w:t>Indigenous trainees 130–131</w:t>
      </w:r>
    </w:p>
    <w:p w:rsidR="007C6B9C" w:rsidRPr="00A326C6" w:rsidRDefault="007C6B9C" w:rsidP="008D3489">
      <w:pPr>
        <w:pStyle w:val="IndexAR0"/>
      </w:pPr>
      <w:proofErr w:type="gramStart"/>
      <w:r w:rsidRPr="00A326C6">
        <w:t>information</w:t>
      </w:r>
      <w:proofErr w:type="gramEnd"/>
      <w:r w:rsidRPr="00A326C6">
        <w:t xml:space="preserve"> management 133</w:t>
      </w:r>
    </w:p>
    <w:p w:rsidR="007C6B9C" w:rsidRPr="00A326C6" w:rsidRDefault="007C6B9C" w:rsidP="008D3489">
      <w:pPr>
        <w:pStyle w:val="IndexAR0"/>
      </w:pPr>
      <w:proofErr w:type="gramStart"/>
      <w:r w:rsidRPr="00A326C6">
        <w:t>ingestion</w:t>
      </w:r>
      <w:proofErr w:type="gramEnd"/>
      <w:r w:rsidRPr="00A326C6">
        <w:t xml:space="preserve"> pathway 68, 72–73</w:t>
      </w:r>
    </w:p>
    <w:p w:rsidR="007C6B9C" w:rsidRPr="00A326C6" w:rsidRDefault="007C6B9C" w:rsidP="008D3489">
      <w:pPr>
        <w:pStyle w:val="IndexAR0"/>
      </w:pPr>
      <w:proofErr w:type="gramStart"/>
      <w:r w:rsidRPr="00A326C6">
        <w:t>inhalation</w:t>
      </w:r>
      <w:proofErr w:type="gramEnd"/>
      <w:r w:rsidRPr="00A326C6">
        <w:t xml:space="preserve"> pathway 67, 68–71, 92</w:t>
      </w:r>
    </w:p>
    <w:p w:rsidR="007C6B9C" w:rsidRPr="00A326C6" w:rsidRDefault="007C6B9C" w:rsidP="008D3489">
      <w:pPr>
        <w:pStyle w:val="IndexAR0"/>
      </w:pPr>
      <w:r w:rsidRPr="00A326C6">
        <w:t>Interim Water Management Pond (IWMP) x, 57</w:t>
      </w:r>
    </w:p>
    <w:p w:rsidR="007C6B9C" w:rsidRPr="00A326C6" w:rsidRDefault="007C6B9C" w:rsidP="008D3489">
      <w:pPr>
        <w:pStyle w:val="IndexAR0"/>
      </w:pPr>
      <w:proofErr w:type="gramStart"/>
      <w:r w:rsidRPr="00A326C6">
        <w:t>internal</w:t>
      </w:r>
      <w:proofErr w:type="gramEnd"/>
      <w:r w:rsidRPr="00A326C6">
        <w:t xml:space="preserve"> communication 125–126</w:t>
      </w:r>
    </w:p>
    <w:p w:rsidR="007C6B9C" w:rsidRPr="00A326C6" w:rsidRDefault="007C6B9C" w:rsidP="008D3489">
      <w:pPr>
        <w:pStyle w:val="IndexAR0"/>
      </w:pPr>
      <w:r w:rsidRPr="00A326C6">
        <w:t>International Atomic Energy Agency (IAEA) 116–117</w:t>
      </w:r>
    </w:p>
    <w:p w:rsidR="007C6B9C" w:rsidRPr="00A326C6" w:rsidRDefault="007C6B9C" w:rsidP="008D3489">
      <w:pPr>
        <w:pStyle w:val="IndexAR0"/>
      </w:pPr>
      <w:r w:rsidRPr="00A326C6">
        <w:t>International Commission on Radiological Protection (ICRP) 65</w:t>
      </w:r>
    </w:p>
    <w:p w:rsidR="007C6B9C" w:rsidRPr="00A326C6" w:rsidRDefault="007C6B9C" w:rsidP="008D3489">
      <w:pPr>
        <w:pStyle w:val="IndexAR0"/>
      </w:pPr>
      <w:r w:rsidRPr="00A326C6">
        <w:t>International Union of Radioecology (IUR) 117</w:t>
      </w:r>
    </w:p>
    <w:p w:rsidR="007C6B9C" w:rsidRPr="00A326C6" w:rsidRDefault="007C6B9C" w:rsidP="008D3489">
      <w:pPr>
        <w:pStyle w:val="IndexAR0"/>
      </w:pPr>
      <w:proofErr w:type="gramStart"/>
      <w:r w:rsidRPr="00A326C6">
        <w:t>internet</w:t>
      </w:r>
      <w:proofErr w:type="gramEnd"/>
      <w:r w:rsidRPr="00A326C6">
        <w:t xml:space="preserve"> homepage ii</w:t>
      </w:r>
    </w:p>
    <w:p w:rsidR="007C6B9C" w:rsidRPr="00A326C6" w:rsidRDefault="007C6B9C" w:rsidP="008D3489">
      <w:pPr>
        <w:pStyle w:val="IndexAR0"/>
      </w:pPr>
      <w:proofErr w:type="gramStart"/>
      <w:r w:rsidRPr="00A326C6">
        <w:t>irrigation</w:t>
      </w:r>
      <w:proofErr w:type="gramEnd"/>
      <w:r w:rsidRPr="00A326C6">
        <w:t xml:space="preserve"> areas </w:t>
      </w:r>
      <w:r w:rsidRPr="00A326C6">
        <w:rPr>
          <w:i/>
          <w:iCs/>
        </w:rPr>
        <w:t>see</w:t>
      </w:r>
      <w:r w:rsidRPr="00A326C6">
        <w:t xml:space="preserve"> land application areas</w:t>
      </w:r>
    </w:p>
    <w:p w:rsidR="007C6B9C" w:rsidRPr="00A326C6" w:rsidRDefault="007C6B9C" w:rsidP="008D3489">
      <w:pPr>
        <w:pStyle w:val="IndexAR0"/>
      </w:pPr>
      <w:r w:rsidRPr="00A326C6">
        <w:t>IUR (International Union of Radioecology) 117</w:t>
      </w:r>
    </w:p>
    <w:p w:rsidR="00632756" w:rsidRDefault="00632756" w:rsidP="00632756">
      <w:pPr>
        <w:pStyle w:val="indexAR-alpha"/>
        <w:rPr>
          <w:lang w:val="pt-BR"/>
        </w:rPr>
      </w:pPr>
      <w:r>
        <w:rPr>
          <w:lang w:val="pt-BR"/>
        </w:rPr>
        <w:t>J</w:t>
      </w:r>
    </w:p>
    <w:p w:rsidR="008D3489" w:rsidRPr="00A326C6" w:rsidRDefault="008D3489" w:rsidP="008D3489">
      <w:pPr>
        <w:pStyle w:val="indexAR"/>
      </w:pPr>
      <w:r w:rsidRPr="00A326C6">
        <w:t>Jabiluka uranium mine x, 2, 3</w:t>
      </w:r>
    </w:p>
    <w:p w:rsidR="008D3489" w:rsidRPr="00A326C6" w:rsidRDefault="008D3489" w:rsidP="008D3489">
      <w:pPr>
        <w:pStyle w:val="index2AR"/>
      </w:pPr>
      <w:proofErr w:type="gramStart"/>
      <w:r w:rsidRPr="00A326C6">
        <w:t>audits</w:t>
      </w:r>
      <w:proofErr w:type="gramEnd"/>
      <w:r w:rsidRPr="00A326C6">
        <w:t xml:space="preserve"> and RPIs 8–9, 57–58</w:t>
      </w:r>
    </w:p>
    <w:p w:rsidR="008D3489" w:rsidRPr="00A326C6" w:rsidRDefault="008D3489" w:rsidP="008D3489">
      <w:pPr>
        <w:pStyle w:val="index2AR"/>
      </w:pPr>
      <w:r w:rsidRPr="00A326C6">
        <w:t>Authorisation and approvals 9, 59, 73</w:t>
      </w:r>
    </w:p>
    <w:p w:rsidR="008D3489" w:rsidRPr="00A326C6" w:rsidRDefault="008D3489" w:rsidP="008D3489">
      <w:pPr>
        <w:pStyle w:val="index2AR"/>
      </w:pPr>
      <w:proofErr w:type="gramStart"/>
      <w:r w:rsidRPr="00A326C6">
        <w:t>developments</w:t>
      </w:r>
      <w:proofErr w:type="gramEnd"/>
      <w:r w:rsidRPr="00A326C6">
        <w:t xml:space="preserve"> 57</w:t>
      </w:r>
    </w:p>
    <w:p w:rsidR="008D3489" w:rsidRPr="00A326C6" w:rsidRDefault="008D3489" w:rsidP="008D3489">
      <w:pPr>
        <w:pStyle w:val="index2AR"/>
      </w:pPr>
      <w:proofErr w:type="gramStart"/>
      <w:r w:rsidRPr="00A326C6">
        <w:t>environmental</w:t>
      </w:r>
      <w:proofErr w:type="gramEnd"/>
      <w:r w:rsidRPr="00A326C6">
        <w:t xml:space="preserve"> management 57–59</w:t>
      </w:r>
    </w:p>
    <w:p w:rsidR="008D3489" w:rsidRPr="00A326C6" w:rsidRDefault="008D3489" w:rsidP="008D3489">
      <w:pPr>
        <w:pStyle w:val="index2AR"/>
      </w:pPr>
      <w:proofErr w:type="gramStart"/>
      <w:r w:rsidRPr="00A326C6">
        <w:t>environmental</w:t>
      </w:r>
      <w:proofErr w:type="gramEnd"/>
      <w:r w:rsidRPr="00A326C6">
        <w:t xml:space="preserve"> protection 59–61</w:t>
      </w:r>
    </w:p>
    <w:p w:rsidR="008D3489" w:rsidRPr="00A326C6" w:rsidRDefault="008D3489" w:rsidP="008D3489">
      <w:pPr>
        <w:pStyle w:val="index2AR"/>
      </w:pPr>
      <w:proofErr w:type="gramStart"/>
      <w:r w:rsidRPr="00A326C6">
        <w:t>incidents</w:t>
      </w:r>
      <w:proofErr w:type="gramEnd"/>
      <w:r w:rsidRPr="00A326C6">
        <w:t xml:space="preserve"> 59</w:t>
      </w:r>
    </w:p>
    <w:p w:rsidR="008D3489" w:rsidRPr="00A326C6" w:rsidRDefault="008D3489" w:rsidP="008D3489">
      <w:pPr>
        <w:pStyle w:val="index2AR"/>
      </w:pPr>
      <w:r w:rsidRPr="00A326C6">
        <w:t xml:space="preserve">Key Knowledge Needs 136, 137, </w:t>
      </w:r>
      <w:proofErr w:type="gramStart"/>
      <w:r w:rsidRPr="00A326C6">
        <w:t>147</w:t>
      </w:r>
      <w:proofErr w:type="gramEnd"/>
    </w:p>
    <w:p w:rsidR="008D3489" w:rsidRPr="00A326C6" w:rsidRDefault="008D3489" w:rsidP="008D3489">
      <w:pPr>
        <w:pStyle w:val="index2AR"/>
      </w:pPr>
      <w:r w:rsidRPr="00A326C6">
        <w:t>Minesite Technical Committee 8, 58</w:t>
      </w:r>
    </w:p>
    <w:p w:rsidR="008D3489" w:rsidRPr="00A326C6" w:rsidRDefault="008D3489" w:rsidP="008D3489">
      <w:pPr>
        <w:pStyle w:val="index2AR"/>
      </w:pPr>
      <w:proofErr w:type="gramStart"/>
      <w:r w:rsidRPr="00A326C6">
        <w:t>radiological</w:t>
      </w:r>
      <w:proofErr w:type="gramEnd"/>
      <w:r w:rsidRPr="00A326C6">
        <w:t xml:space="preserve"> exposure of employees and public 73</w:t>
      </w:r>
    </w:p>
    <w:p w:rsidR="008D3489" w:rsidRPr="00A326C6" w:rsidRDefault="008D3489" w:rsidP="008D3489">
      <w:pPr>
        <w:pStyle w:val="index2AR"/>
      </w:pPr>
      <w:proofErr w:type="gramStart"/>
      <w:r w:rsidRPr="00A326C6">
        <w:t>surface</w:t>
      </w:r>
      <w:proofErr w:type="gramEnd"/>
      <w:r w:rsidRPr="00A326C6">
        <w:t xml:space="preserve"> water quality 59–61</w:t>
      </w:r>
    </w:p>
    <w:p w:rsidR="008D3489" w:rsidRPr="00A326C6" w:rsidRDefault="008D3489" w:rsidP="008D3489">
      <w:pPr>
        <w:pStyle w:val="index2AR"/>
      </w:pPr>
      <w:proofErr w:type="gramStart"/>
      <w:r w:rsidRPr="00A326C6">
        <w:t>turbidity</w:t>
      </w:r>
      <w:proofErr w:type="gramEnd"/>
      <w:r w:rsidRPr="00A326C6">
        <w:t xml:space="preserve"> events 60</w:t>
      </w:r>
    </w:p>
    <w:p w:rsidR="008D3489" w:rsidRPr="00A326C6" w:rsidRDefault="008D3489" w:rsidP="008D3489">
      <w:pPr>
        <w:pStyle w:val="index2AR"/>
      </w:pPr>
      <w:proofErr w:type="gramStart"/>
      <w:r w:rsidRPr="00A326C6">
        <w:t>water</w:t>
      </w:r>
      <w:proofErr w:type="gramEnd"/>
      <w:r w:rsidRPr="00A326C6">
        <w:t xml:space="preserve"> management 57</w:t>
      </w:r>
    </w:p>
    <w:p w:rsidR="008D3489" w:rsidRPr="00A326C6" w:rsidRDefault="008D3489" w:rsidP="008D3489">
      <w:pPr>
        <w:pStyle w:val="indexAR"/>
      </w:pPr>
      <w:r w:rsidRPr="00A326C6">
        <w:t>Jabiru Field Station 133</w:t>
      </w:r>
    </w:p>
    <w:p w:rsidR="008D3489" w:rsidRPr="00A326C6" w:rsidRDefault="008D3489" w:rsidP="008D3489">
      <w:pPr>
        <w:pStyle w:val="indexAR"/>
      </w:pPr>
      <w:r w:rsidRPr="00A326C6">
        <w:t>Jabiru town 68, 69, 70, 71</w:t>
      </w:r>
    </w:p>
    <w:p w:rsidR="008D3489" w:rsidRPr="00A326C6" w:rsidRDefault="008D3489" w:rsidP="008D3489">
      <w:pPr>
        <w:pStyle w:val="indexAR"/>
      </w:pPr>
      <w:r w:rsidRPr="00A326C6">
        <w:t>Junior Ranger Program 124</w:t>
      </w:r>
    </w:p>
    <w:p w:rsidR="00632756" w:rsidRDefault="00632756" w:rsidP="00632756">
      <w:pPr>
        <w:pStyle w:val="indexAR-alpha"/>
      </w:pPr>
      <w:r w:rsidRPr="008D3489">
        <w:t>K</w:t>
      </w:r>
    </w:p>
    <w:p w:rsidR="008D3489" w:rsidRPr="00A326C6" w:rsidRDefault="008D3489" w:rsidP="008D3489">
      <w:pPr>
        <w:pStyle w:val="indexAR"/>
      </w:pPr>
      <w:r w:rsidRPr="00A326C6">
        <w:t>Kadjirrikamarnda Creek 63</w:t>
      </w:r>
    </w:p>
    <w:p w:rsidR="008D3489" w:rsidRPr="00A326C6" w:rsidRDefault="008D3489" w:rsidP="008D3489">
      <w:pPr>
        <w:pStyle w:val="indexAR"/>
      </w:pPr>
      <w:r w:rsidRPr="00A326C6">
        <w:t>Kakadu National Park</w:t>
      </w:r>
    </w:p>
    <w:p w:rsidR="008D3489" w:rsidRPr="00A326C6" w:rsidRDefault="008D3489" w:rsidP="008D3489">
      <w:pPr>
        <w:pStyle w:val="index2AR"/>
      </w:pPr>
      <w:r w:rsidRPr="00A326C6">
        <w:t>Koongarra Project Area 2, 149</w:t>
      </w:r>
    </w:p>
    <w:p w:rsidR="008D3489" w:rsidRPr="00A326C6" w:rsidRDefault="008D3489" w:rsidP="008D3489">
      <w:pPr>
        <w:pStyle w:val="index2AR"/>
      </w:pPr>
      <w:proofErr w:type="gramStart"/>
      <w:r w:rsidRPr="00A326C6">
        <w:t>research</w:t>
      </w:r>
      <w:proofErr w:type="gramEnd"/>
      <w:r w:rsidRPr="00A326C6">
        <w:t xml:space="preserve"> protocols 125</w:t>
      </w:r>
    </w:p>
    <w:p w:rsidR="008D3489" w:rsidRPr="00A326C6" w:rsidRDefault="008D3489" w:rsidP="008D3489">
      <w:pPr>
        <w:pStyle w:val="index2AR"/>
      </w:pPr>
      <w:r w:rsidRPr="00A326C6">
        <w:t>South Alligator River Valley xi</w:t>
      </w:r>
    </w:p>
    <w:p w:rsidR="008D3489" w:rsidRPr="00A326C6" w:rsidRDefault="008D3489" w:rsidP="008D3489">
      <w:pPr>
        <w:pStyle w:val="index2AR"/>
      </w:pPr>
      <w:r w:rsidRPr="00A326C6">
        <w:t>World Heritage Area 2, 4</w:t>
      </w:r>
    </w:p>
    <w:p w:rsidR="008D3489" w:rsidRPr="00A326C6" w:rsidRDefault="008D3489" w:rsidP="008D3489">
      <w:pPr>
        <w:pStyle w:val="indexAR"/>
      </w:pPr>
      <w:r w:rsidRPr="00A326C6">
        <w:t>Kakadu Research Advisory Committee (KRAC) 118</w:t>
      </w:r>
    </w:p>
    <w:p w:rsidR="008D3489" w:rsidRPr="00A326C6" w:rsidRDefault="008D3489" w:rsidP="008D3489">
      <w:pPr>
        <w:pStyle w:val="indexAR"/>
      </w:pPr>
      <w:r w:rsidRPr="00A326C6">
        <w:t>Key Knowledge Needs (KKNs) xi, 7, 75, 114, 136–149</w:t>
      </w:r>
    </w:p>
    <w:p w:rsidR="008D3489" w:rsidRPr="00A326C6" w:rsidRDefault="008D3489" w:rsidP="008D3489">
      <w:pPr>
        <w:pStyle w:val="indexAR"/>
      </w:pPr>
      <w:r w:rsidRPr="00A326C6">
        <w:t>King River Camp 64</w:t>
      </w:r>
    </w:p>
    <w:p w:rsidR="008D3489" w:rsidRPr="00A326C6" w:rsidRDefault="008D3489" w:rsidP="008D3489">
      <w:pPr>
        <w:pStyle w:val="indexAR"/>
      </w:pPr>
      <w:r w:rsidRPr="00A326C6">
        <w:t>Kintyre Uranium Project, Environmental Review Management Programme (ERMP) 74</w:t>
      </w:r>
    </w:p>
    <w:p w:rsidR="008D3489" w:rsidRPr="00A326C6" w:rsidRDefault="008D3489" w:rsidP="008D3489">
      <w:pPr>
        <w:pStyle w:val="indexAR"/>
      </w:pPr>
      <w:r w:rsidRPr="00A326C6">
        <w:t>Koongarra Project Area 4, 136, 149</w:t>
      </w:r>
    </w:p>
    <w:p w:rsidR="008D3489" w:rsidRPr="00A326C6" w:rsidRDefault="008D3489" w:rsidP="008D3489">
      <w:pPr>
        <w:pStyle w:val="indexAR"/>
      </w:pPr>
      <w:r w:rsidRPr="00A326C6">
        <w:rPr>
          <w:i/>
          <w:iCs/>
        </w:rPr>
        <w:t>Koongarra Project Area Act 1981</w:t>
      </w:r>
      <w:r w:rsidRPr="00A326C6">
        <w:t xml:space="preserve"> 4</w:t>
      </w:r>
    </w:p>
    <w:p w:rsidR="008D3489" w:rsidRPr="00A326C6" w:rsidRDefault="008D3489" w:rsidP="008D3489">
      <w:pPr>
        <w:pStyle w:val="indexAR"/>
      </w:pPr>
      <w:r w:rsidRPr="00A326C6">
        <w:t>Koongarra Pty Ltd 4</w:t>
      </w:r>
    </w:p>
    <w:p w:rsidR="00632756" w:rsidRDefault="00632756" w:rsidP="00632756">
      <w:pPr>
        <w:pStyle w:val="indexAR-alpha"/>
      </w:pPr>
      <w:r>
        <w:t>L</w:t>
      </w:r>
    </w:p>
    <w:p w:rsidR="008D3489" w:rsidRPr="00A326C6" w:rsidRDefault="008D3489" w:rsidP="008D3489">
      <w:pPr>
        <w:pStyle w:val="indexAR"/>
      </w:pPr>
      <w:proofErr w:type="gramStart"/>
      <w:r w:rsidRPr="00A326C6">
        <w:t>land</w:t>
      </w:r>
      <w:proofErr w:type="gramEnd"/>
      <w:r w:rsidRPr="00A326C6">
        <w:t xml:space="preserve"> application areas 15</w:t>
      </w:r>
    </w:p>
    <w:p w:rsidR="008D3489" w:rsidRPr="00A326C6" w:rsidRDefault="008D3489" w:rsidP="008D3489">
      <w:pPr>
        <w:pStyle w:val="indexAR"/>
      </w:pPr>
      <w:proofErr w:type="gramStart"/>
      <w:r w:rsidRPr="00A326C6">
        <w:t>landform</w:t>
      </w:r>
      <w:proofErr w:type="gramEnd"/>
      <w:r w:rsidRPr="00A326C6">
        <w:t xml:space="preserve"> 141–142</w:t>
      </w:r>
    </w:p>
    <w:p w:rsidR="008D3489" w:rsidRPr="00A326C6" w:rsidRDefault="008D3489" w:rsidP="008D3489">
      <w:pPr>
        <w:pStyle w:val="indexAR"/>
      </w:pPr>
      <w:proofErr w:type="gramStart"/>
      <w:r w:rsidRPr="00A326C6">
        <w:t>leach</w:t>
      </w:r>
      <w:proofErr w:type="gramEnd"/>
      <w:r w:rsidRPr="00A326C6">
        <w:t xml:space="preserve"> tank failure at Ranger mine ix, 3, 16, 20–21</w:t>
      </w:r>
    </w:p>
    <w:p w:rsidR="008D3489" w:rsidRPr="00A326C6" w:rsidRDefault="008D3489" w:rsidP="008D3489">
      <w:pPr>
        <w:pStyle w:val="indexAR"/>
      </w:pPr>
      <w:proofErr w:type="gramStart"/>
      <w:r w:rsidRPr="00A326C6">
        <w:t>library</w:t>
      </w:r>
      <w:proofErr w:type="gramEnd"/>
      <w:r w:rsidRPr="00A326C6">
        <w:t xml:space="preserve"> disbandment 125, 132, 133</w:t>
      </w:r>
    </w:p>
    <w:p w:rsidR="008D3489" w:rsidRPr="00A326C6" w:rsidRDefault="008D3489" w:rsidP="008D3489">
      <w:pPr>
        <w:pStyle w:val="indexAR"/>
      </w:pPr>
      <w:proofErr w:type="gramStart"/>
      <w:r w:rsidRPr="00A326C6">
        <w:t>long-lived</w:t>
      </w:r>
      <w:proofErr w:type="gramEnd"/>
      <w:r w:rsidRPr="00A326C6">
        <w:t xml:space="preserve"> alpha activity (LLAA) </w:t>
      </w:r>
      <w:r w:rsidRPr="00A326C6">
        <w:rPr>
          <w:i/>
          <w:iCs/>
        </w:rPr>
        <w:t>see</w:t>
      </w:r>
      <w:r w:rsidRPr="00A326C6">
        <w:t xml:space="preserve"> dust-bound LLAA radionuclide concentrations</w:t>
      </w:r>
    </w:p>
    <w:p w:rsidR="00632756" w:rsidRDefault="00632756" w:rsidP="00632756">
      <w:pPr>
        <w:pStyle w:val="indexAR-alpha"/>
      </w:pPr>
      <w:r>
        <w:t>M</w:t>
      </w:r>
    </w:p>
    <w:p w:rsidR="008D3489" w:rsidRPr="00A326C6" w:rsidRDefault="008D3489" w:rsidP="008D3489">
      <w:pPr>
        <w:pStyle w:val="indexAR"/>
      </w:pPr>
      <w:proofErr w:type="gramStart"/>
      <w:r w:rsidRPr="00A326C6">
        <w:t>macroinvertebrate</w:t>
      </w:r>
      <w:proofErr w:type="gramEnd"/>
      <w:r w:rsidRPr="00A326C6">
        <w:t xml:space="preserve"> communities x, 50–54</w:t>
      </w:r>
    </w:p>
    <w:p w:rsidR="008D3489" w:rsidRPr="00A326C6" w:rsidRDefault="008D3489" w:rsidP="008D3489">
      <w:pPr>
        <w:pStyle w:val="indexAR"/>
      </w:pPr>
      <w:r w:rsidRPr="00A326C6">
        <w:t>Magela Creek</w:t>
      </w:r>
    </w:p>
    <w:p w:rsidR="008D3489" w:rsidRPr="00A326C6" w:rsidRDefault="008D3489" w:rsidP="008D3489">
      <w:pPr>
        <w:pStyle w:val="index2AR"/>
      </w:pPr>
      <w:proofErr w:type="gramStart"/>
      <w:r w:rsidRPr="00A326C6">
        <w:t>biological</w:t>
      </w:r>
      <w:proofErr w:type="gramEnd"/>
      <w:r w:rsidRPr="00A326C6">
        <w:t xml:space="preserve"> monitoring 42–57</w:t>
      </w:r>
    </w:p>
    <w:p w:rsidR="008D3489" w:rsidRPr="00A326C6" w:rsidRDefault="008D3489" w:rsidP="008D3489">
      <w:pPr>
        <w:pStyle w:val="index2AR"/>
      </w:pPr>
      <w:proofErr w:type="gramStart"/>
      <w:r w:rsidRPr="00A326C6">
        <w:t>chemical</w:t>
      </w:r>
      <w:proofErr w:type="gramEnd"/>
      <w:r w:rsidRPr="00A326C6">
        <w:t xml:space="preserve"> and physical monitoring 22–31</w:t>
      </w:r>
    </w:p>
    <w:p w:rsidR="008D3489" w:rsidRPr="00A326C6" w:rsidRDefault="008D3489" w:rsidP="008D3489">
      <w:pPr>
        <w:pStyle w:val="index2AR"/>
      </w:pPr>
      <w:proofErr w:type="gramStart"/>
      <w:r w:rsidRPr="00A326C6">
        <w:t>electrical</w:t>
      </w:r>
      <w:proofErr w:type="gramEnd"/>
      <w:r w:rsidRPr="00A326C6">
        <w:t xml:space="preserve"> conductivity 15, 22–31, 76, 89–90</w:t>
      </w:r>
    </w:p>
    <w:p w:rsidR="008D3489" w:rsidRPr="00A326C6" w:rsidRDefault="008D3489" w:rsidP="008D3489">
      <w:pPr>
        <w:pStyle w:val="index2AR"/>
      </w:pPr>
      <w:proofErr w:type="gramStart"/>
      <w:r w:rsidRPr="00A326C6">
        <w:t>magnesium</w:t>
      </w:r>
      <w:proofErr w:type="gramEnd"/>
      <w:r w:rsidRPr="00A326C6">
        <w:t xml:space="preserve"> in 76–83</w:t>
      </w:r>
    </w:p>
    <w:p w:rsidR="008D3489" w:rsidRPr="00A326C6" w:rsidRDefault="008D3489" w:rsidP="008D3489">
      <w:pPr>
        <w:pStyle w:val="index2AR"/>
      </w:pPr>
      <w:proofErr w:type="gramStart"/>
      <w:r w:rsidRPr="00A326C6">
        <w:t>manganese</w:t>
      </w:r>
      <w:proofErr w:type="gramEnd"/>
      <w:r w:rsidRPr="00A326C6">
        <w:t xml:space="preserve"> in 83–85</w:t>
      </w:r>
    </w:p>
    <w:p w:rsidR="008D3489" w:rsidRPr="00A326C6" w:rsidRDefault="008D3489" w:rsidP="008D3489">
      <w:pPr>
        <w:pStyle w:val="index2AR"/>
      </w:pPr>
      <w:proofErr w:type="gramStart"/>
      <w:r w:rsidRPr="00A326C6">
        <w:t>radionuclides</w:t>
      </w:r>
      <w:proofErr w:type="gramEnd"/>
      <w:r w:rsidRPr="00A326C6">
        <w:t xml:space="preserve"> in 68, 72</w:t>
      </w:r>
    </w:p>
    <w:p w:rsidR="008D3489" w:rsidRPr="00A326C6" w:rsidRDefault="008D3489" w:rsidP="008D3489">
      <w:pPr>
        <w:pStyle w:val="index2AR"/>
      </w:pPr>
      <w:proofErr w:type="gramStart"/>
      <w:r w:rsidRPr="00A326C6">
        <w:t>radium</w:t>
      </w:r>
      <w:proofErr w:type="gramEnd"/>
      <w:r w:rsidRPr="00A326C6">
        <w:t xml:space="preserve"> in 31–33</w:t>
      </w:r>
    </w:p>
    <w:p w:rsidR="008D3489" w:rsidRPr="00A326C6" w:rsidRDefault="008D3489" w:rsidP="008D3489">
      <w:pPr>
        <w:pStyle w:val="index2AR"/>
      </w:pPr>
      <w:proofErr w:type="gramStart"/>
      <w:r w:rsidRPr="00A326C6">
        <w:t>toxicity</w:t>
      </w:r>
      <w:proofErr w:type="gramEnd"/>
      <w:r w:rsidRPr="00A326C6">
        <w:t xml:space="preserve"> monitoring 86–92</w:t>
      </w:r>
    </w:p>
    <w:p w:rsidR="008D3489" w:rsidRPr="00A326C6" w:rsidRDefault="008D3489" w:rsidP="008D3489">
      <w:pPr>
        <w:pStyle w:val="index2AR"/>
      </w:pPr>
      <w:proofErr w:type="gramStart"/>
      <w:r w:rsidRPr="00A326C6">
        <w:t>water</w:t>
      </w:r>
      <w:proofErr w:type="gramEnd"/>
      <w:r w:rsidRPr="00A326C6">
        <w:t xml:space="preserve"> quality monitoring x, 22–33</w:t>
      </w:r>
    </w:p>
    <w:p w:rsidR="008D3489" w:rsidRPr="00A326C6" w:rsidRDefault="008D3489" w:rsidP="008D3489">
      <w:pPr>
        <w:pStyle w:val="indexAR"/>
      </w:pPr>
      <w:r w:rsidRPr="00A326C6">
        <w:t>Magela floodplain 55, 138–139, 148–149</w:t>
      </w:r>
    </w:p>
    <w:p w:rsidR="008D3489" w:rsidRPr="00A326C6" w:rsidRDefault="008D3489" w:rsidP="008D3489">
      <w:pPr>
        <w:pStyle w:val="indexAR"/>
      </w:pPr>
      <w:proofErr w:type="gramStart"/>
      <w:r w:rsidRPr="00A326C6">
        <w:t>magnesium</w:t>
      </w:r>
      <w:proofErr w:type="gramEnd"/>
      <w:r w:rsidRPr="00A326C6">
        <w:t xml:space="preserve"> x, 139</w:t>
      </w:r>
    </w:p>
    <w:p w:rsidR="008D3489" w:rsidRPr="00A326C6" w:rsidRDefault="008D3489" w:rsidP="008D3489">
      <w:pPr>
        <w:pStyle w:val="index2AR"/>
      </w:pPr>
      <w:proofErr w:type="gramStart"/>
      <w:r w:rsidRPr="00A326C6">
        <w:t>toxicity</w:t>
      </w:r>
      <w:proofErr w:type="gramEnd"/>
      <w:r w:rsidRPr="00A326C6">
        <w:t xml:space="preserve"> to green hydra 76–83</w:t>
      </w:r>
    </w:p>
    <w:p w:rsidR="008D3489" w:rsidRPr="00A326C6" w:rsidRDefault="008D3489" w:rsidP="008D3489">
      <w:pPr>
        <w:pStyle w:val="index2AR"/>
      </w:pPr>
      <w:r w:rsidRPr="00A326C6">
        <w:t xml:space="preserve"> </w:t>
      </w:r>
      <w:proofErr w:type="gramStart"/>
      <w:r w:rsidRPr="00A326C6">
        <w:rPr>
          <w:i/>
          <w:iCs/>
        </w:rPr>
        <w:t>see</w:t>
      </w:r>
      <w:proofErr w:type="gramEnd"/>
      <w:r w:rsidRPr="00A326C6">
        <w:rPr>
          <w:i/>
          <w:iCs/>
        </w:rPr>
        <w:t xml:space="preserve"> also</w:t>
      </w:r>
      <w:r w:rsidRPr="00A326C6">
        <w:t xml:space="preserve"> chemical and physical monitoring</w:t>
      </w:r>
    </w:p>
    <w:p w:rsidR="008D3489" w:rsidRPr="00A326C6" w:rsidRDefault="008D3489" w:rsidP="008D3489">
      <w:pPr>
        <w:pStyle w:val="indexAR"/>
      </w:pPr>
      <w:r w:rsidRPr="00A326C6">
        <w:t>Mahbilil Festival 124</w:t>
      </w:r>
    </w:p>
    <w:p w:rsidR="008D3489" w:rsidRPr="00A326C6" w:rsidRDefault="008D3489" w:rsidP="008D3489">
      <w:pPr>
        <w:pStyle w:val="indexAR"/>
      </w:pPr>
      <w:proofErr w:type="gramStart"/>
      <w:r w:rsidRPr="00A326C6">
        <w:t>managed</w:t>
      </w:r>
      <w:proofErr w:type="gramEnd"/>
      <w:r w:rsidRPr="00A326C6">
        <w:t xml:space="preserve"> release water 14–15</w:t>
      </w:r>
    </w:p>
    <w:p w:rsidR="008D3489" w:rsidRPr="00A326C6" w:rsidRDefault="008D3489" w:rsidP="008D3489">
      <w:pPr>
        <w:pStyle w:val="indexAR"/>
      </w:pPr>
      <w:proofErr w:type="gramStart"/>
      <w:r w:rsidRPr="00A326C6">
        <w:t>manganese</w:t>
      </w:r>
      <w:proofErr w:type="gramEnd"/>
      <w:r w:rsidRPr="00A326C6">
        <w:t xml:space="preserve"> 139</w:t>
      </w:r>
    </w:p>
    <w:p w:rsidR="008D3489" w:rsidRPr="00A326C6" w:rsidRDefault="008D3489" w:rsidP="008D3489">
      <w:pPr>
        <w:pStyle w:val="index2AR"/>
      </w:pPr>
      <w:proofErr w:type="gramStart"/>
      <w:r w:rsidRPr="00A326C6">
        <w:t>toxicity</w:t>
      </w:r>
      <w:proofErr w:type="gramEnd"/>
      <w:r w:rsidRPr="00A326C6">
        <w:t xml:space="preserve"> to tropical freshwater species 83–85</w:t>
      </w:r>
    </w:p>
    <w:p w:rsidR="008D3489" w:rsidRPr="00A326C6" w:rsidRDefault="008D3489" w:rsidP="008D3489">
      <w:pPr>
        <w:pStyle w:val="index2AR"/>
      </w:pPr>
      <w:r w:rsidRPr="00A326C6">
        <w:t xml:space="preserve"> </w:t>
      </w:r>
      <w:proofErr w:type="gramStart"/>
      <w:r w:rsidRPr="00A326C6">
        <w:rPr>
          <w:i/>
          <w:iCs/>
        </w:rPr>
        <w:t>see</w:t>
      </w:r>
      <w:proofErr w:type="gramEnd"/>
      <w:r w:rsidRPr="00A326C6">
        <w:rPr>
          <w:i/>
          <w:iCs/>
        </w:rPr>
        <w:t xml:space="preserve"> also</w:t>
      </w:r>
      <w:r w:rsidRPr="00A326C6">
        <w:t xml:space="preserve"> chemical and physical monitoring</w:t>
      </w:r>
    </w:p>
    <w:p w:rsidR="008D3489" w:rsidRPr="00A326C6" w:rsidRDefault="008D3489" w:rsidP="008D3489">
      <w:pPr>
        <w:pStyle w:val="indexAR"/>
      </w:pPr>
      <w:proofErr w:type="gramStart"/>
      <w:r w:rsidRPr="00A326C6">
        <w:t>melaleucas</w:t>
      </w:r>
      <w:proofErr w:type="gramEnd"/>
      <w:r w:rsidRPr="00A326C6">
        <w:t xml:space="preserve"> on Gulungul Creek 121</w:t>
      </w:r>
    </w:p>
    <w:p w:rsidR="008D3489" w:rsidRPr="00A326C6" w:rsidRDefault="008D3489" w:rsidP="008D3489">
      <w:pPr>
        <w:pStyle w:val="indexAR"/>
      </w:pPr>
      <w:r w:rsidRPr="00A326C6">
        <w:t>Mine Valley 58</w:t>
      </w:r>
    </w:p>
    <w:p w:rsidR="008D3489" w:rsidRPr="00A326C6" w:rsidRDefault="008D3489" w:rsidP="008D3489">
      <w:pPr>
        <w:pStyle w:val="indexAR"/>
      </w:pPr>
      <w:r w:rsidRPr="00A326C6">
        <w:t>Minesite Technical Committees (MTCs) x, 8, 18, 58, 62</w:t>
      </w:r>
    </w:p>
    <w:p w:rsidR="008D3489" w:rsidRPr="00A326C6" w:rsidRDefault="008D3489" w:rsidP="008D3489">
      <w:pPr>
        <w:pStyle w:val="indexAR"/>
      </w:pPr>
      <w:r w:rsidRPr="00A326C6">
        <w:t>Mining Management Plan (MMP) 2013 62</w:t>
      </w:r>
    </w:p>
    <w:p w:rsidR="008D3489" w:rsidRPr="00A326C6" w:rsidRDefault="008D3489" w:rsidP="008D3489">
      <w:pPr>
        <w:pStyle w:val="indexAR"/>
      </w:pPr>
      <w:r w:rsidRPr="00A326C6">
        <w:t xml:space="preserve">Minister </w:t>
      </w:r>
      <w:proofErr w:type="gramStart"/>
      <w:r w:rsidRPr="00A326C6">
        <w:t>ix</w:t>
      </w:r>
      <w:proofErr w:type="gramEnd"/>
    </w:p>
    <w:p w:rsidR="008D3489" w:rsidRPr="00A326C6" w:rsidRDefault="008D3489" w:rsidP="008D3489">
      <w:pPr>
        <w:pStyle w:val="indexAR"/>
      </w:pPr>
      <w:r w:rsidRPr="00A326C6">
        <w:t>Ministerial Directions 134</w:t>
      </w:r>
    </w:p>
    <w:p w:rsidR="008D3489" w:rsidRPr="00A326C6" w:rsidRDefault="008D3489" w:rsidP="008D3489">
      <w:pPr>
        <w:pStyle w:val="indexAR"/>
      </w:pPr>
      <w:r w:rsidRPr="00A326C6">
        <w:t>Mirarr people 3</w:t>
      </w:r>
    </w:p>
    <w:p w:rsidR="008D3489" w:rsidRPr="00A326C6" w:rsidRDefault="008D3489" w:rsidP="008D3489">
      <w:pPr>
        <w:pStyle w:val="indexAR"/>
      </w:pPr>
      <w:r w:rsidRPr="00A326C6">
        <w:t>MODARIA (Modelling and Data for Radiological Impact Assessment) programme 116–117</w:t>
      </w:r>
    </w:p>
    <w:p w:rsidR="008D3489" w:rsidRPr="00A326C6" w:rsidRDefault="008D3489" w:rsidP="008D3489">
      <w:pPr>
        <w:pStyle w:val="indexAR"/>
      </w:pPr>
      <w:r w:rsidRPr="00A326C6">
        <w:rPr>
          <w:i/>
          <w:iCs/>
        </w:rPr>
        <w:t>Moinodaphnia macleayi</w:t>
      </w:r>
      <w:r w:rsidRPr="00A326C6">
        <w:t xml:space="preserve"> 83</w:t>
      </w:r>
    </w:p>
    <w:p w:rsidR="008D3489" w:rsidRPr="00A326C6" w:rsidRDefault="008D3489" w:rsidP="008D3489">
      <w:pPr>
        <w:pStyle w:val="indexAR"/>
      </w:pPr>
      <w:r w:rsidRPr="00A326C6">
        <w:t>Moline 14</w:t>
      </w:r>
    </w:p>
    <w:p w:rsidR="008D3489" w:rsidRPr="00A326C6" w:rsidRDefault="008D3489" w:rsidP="008D3489">
      <w:pPr>
        <w:pStyle w:val="indexAR"/>
      </w:pPr>
      <w:proofErr w:type="gramStart"/>
      <w:r w:rsidRPr="00A326C6">
        <w:t>monitoring</w:t>
      </w:r>
      <w:proofErr w:type="gramEnd"/>
      <w:r w:rsidRPr="00A326C6">
        <w:t xml:space="preserve"> programmes</w:t>
      </w:r>
    </w:p>
    <w:p w:rsidR="008D3489" w:rsidRPr="00A326C6" w:rsidRDefault="008D3489" w:rsidP="008D3489">
      <w:pPr>
        <w:pStyle w:val="index2AR"/>
      </w:pPr>
      <w:proofErr w:type="gramStart"/>
      <w:r w:rsidRPr="00A326C6">
        <w:t>bioaccumulation</w:t>
      </w:r>
      <w:proofErr w:type="gramEnd"/>
      <w:r w:rsidRPr="00A326C6">
        <w:t xml:space="preserve"> monitoring 42, 43, 46–50</w:t>
      </w:r>
    </w:p>
    <w:p w:rsidR="008D3489" w:rsidRPr="00A326C6" w:rsidRDefault="008D3489" w:rsidP="008D3489">
      <w:pPr>
        <w:pStyle w:val="index2AR"/>
      </w:pPr>
      <w:proofErr w:type="gramStart"/>
      <w:r w:rsidRPr="00A326C6">
        <w:t>biological</w:t>
      </w:r>
      <w:proofErr w:type="gramEnd"/>
      <w:r w:rsidRPr="00A326C6">
        <w:t xml:space="preserve"> monitoring 42–57, 140</w:t>
      </w:r>
    </w:p>
    <w:p w:rsidR="008D3489" w:rsidRPr="00A326C6" w:rsidRDefault="008D3489" w:rsidP="008D3489">
      <w:pPr>
        <w:pStyle w:val="index2AR"/>
      </w:pPr>
      <w:proofErr w:type="gramStart"/>
      <w:r w:rsidRPr="00A326C6">
        <w:t>chemical</w:t>
      </w:r>
      <w:proofErr w:type="gramEnd"/>
      <w:r w:rsidRPr="00A326C6">
        <w:t xml:space="preserve"> and physical monitoring 22–33, 33–42, 140</w:t>
      </w:r>
    </w:p>
    <w:p w:rsidR="008D3489" w:rsidRPr="00A326C6" w:rsidRDefault="008D3489" w:rsidP="008D3489">
      <w:pPr>
        <w:pStyle w:val="index2AR"/>
      </w:pPr>
      <w:proofErr w:type="gramStart"/>
      <w:r w:rsidRPr="00A326C6">
        <w:t>findings</w:t>
      </w:r>
      <w:proofErr w:type="gramEnd"/>
      <w:r w:rsidRPr="00A326C6">
        <w:t xml:space="preserve"> communicated to Indigenous communities 122</w:t>
      </w:r>
    </w:p>
    <w:p w:rsidR="008D3489" w:rsidRPr="00A326C6" w:rsidRDefault="008D3489" w:rsidP="008D3489">
      <w:pPr>
        <w:pStyle w:val="index2AR"/>
      </w:pPr>
      <w:proofErr w:type="gramStart"/>
      <w:r w:rsidRPr="00A326C6">
        <w:t>radiological</w:t>
      </w:r>
      <w:proofErr w:type="gramEnd"/>
      <w:r w:rsidRPr="00A326C6">
        <w:t xml:space="preserve"> monitoring 66, 140</w:t>
      </w:r>
    </w:p>
    <w:p w:rsidR="008D3489" w:rsidRPr="00A326C6" w:rsidRDefault="008D3489" w:rsidP="008D3489">
      <w:pPr>
        <w:pStyle w:val="index2AR"/>
      </w:pPr>
      <w:proofErr w:type="gramStart"/>
      <w:r w:rsidRPr="00A326C6">
        <w:t>rehabilitation</w:t>
      </w:r>
      <w:proofErr w:type="gramEnd"/>
      <w:r w:rsidRPr="00A326C6">
        <w:t xml:space="preserve"> of minesites 145, 147</w:t>
      </w:r>
    </w:p>
    <w:p w:rsidR="008D3489" w:rsidRPr="00A326C6" w:rsidRDefault="008D3489" w:rsidP="008D3489">
      <w:pPr>
        <w:pStyle w:val="index2AR"/>
      </w:pPr>
      <w:proofErr w:type="gramStart"/>
      <w:r w:rsidRPr="00A326C6">
        <w:t>toxicity</w:t>
      </w:r>
      <w:proofErr w:type="gramEnd"/>
      <w:r w:rsidRPr="00A326C6">
        <w:t xml:space="preserve"> monitoring x, 42–46, 86–92</w:t>
      </w:r>
    </w:p>
    <w:p w:rsidR="008D3489" w:rsidRPr="00A326C6" w:rsidRDefault="008D3489" w:rsidP="008D3489">
      <w:pPr>
        <w:pStyle w:val="index2AR"/>
      </w:pPr>
      <w:proofErr w:type="gramStart"/>
      <w:r w:rsidRPr="00A326C6">
        <w:t>water</w:t>
      </w:r>
      <w:proofErr w:type="gramEnd"/>
      <w:r w:rsidRPr="00A326C6">
        <w:t xml:space="preserve"> quality monitoring x, 22–42, 59–61, 140, 142</w:t>
      </w:r>
    </w:p>
    <w:p w:rsidR="008D3489" w:rsidRPr="00A326C6" w:rsidRDefault="008D3489" w:rsidP="008D3489">
      <w:pPr>
        <w:pStyle w:val="index2AR"/>
      </w:pPr>
      <w:proofErr w:type="gramStart"/>
      <w:r w:rsidRPr="00A326C6">
        <w:t>waterbodies</w:t>
      </w:r>
      <w:proofErr w:type="gramEnd"/>
      <w:r w:rsidRPr="00A326C6">
        <w:t xml:space="preserve"> and atmospheric monitoring sites used in xv</w:t>
      </w:r>
    </w:p>
    <w:p w:rsidR="008D3489" w:rsidRPr="00A326C6" w:rsidRDefault="008D3489" w:rsidP="008D3489">
      <w:pPr>
        <w:pStyle w:val="indexAR"/>
      </w:pPr>
      <w:r w:rsidRPr="00A326C6">
        <w:t>Mudginberri Billabong x, 47–50, 55, 72, 135</w:t>
      </w:r>
    </w:p>
    <w:p w:rsidR="008D3489" w:rsidRPr="00A326C6" w:rsidRDefault="008D3489" w:rsidP="008D3489">
      <w:pPr>
        <w:pStyle w:val="indexAR"/>
      </w:pPr>
      <w:r w:rsidRPr="00A326C6">
        <w:t>Mudginberri community 68, 69, 70, 71, 73</w:t>
      </w:r>
    </w:p>
    <w:p w:rsidR="008D3489" w:rsidRPr="00A326C6" w:rsidRDefault="008D3489" w:rsidP="008D3489">
      <w:pPr>
        <w:pStyle w:val="indexAR"/>
      </w:pPr>
      <w:proofErr w:type="gramStart"/>
      <w:r w:rsidRPr="00A326C6">
        <w:t>mussels</w:t>
      </w:r>
      <w:proofErr w:type="gramEnd"/>
      <w:r w:rsidRPr="00A326C6">
        <w:t>, freshwater x, 31–33, 46–50, 48–49, 72–73, 145</w:t>
      </w:r>
    </w:p>
    <w:p w:rsidR="008D3489" w:rsidRPr="00A326C6" w:rsidRDefault="008D3489" w:rsidP="008D3489">
      <w:pPr>
        <w:pStyle w:val="indexAR"/>
      </w:pPr>
      <w:r w:rsidRPr="00A326C6">
        <w:t>Myra Camp 64</w:t>
      </w:r>
    </w:p>
    <w:p w:rsidR="00632756" w:rsidRDefault="00632756" w:rsidP="00632756">
      <w:pPr>
        <w:pStyle w:val="indexAR-alpha"/>
      </w:pPr>
      <w:r>
        <w:t>N</w:t>
      </w:r>
    </w:p>
    <w:p w:rsidR="008D3489" w:rsidRPr="00A326C6" w:rsidRDefault="008D3489" w:rsidP="008D3489">
      <w:pPr>
        <w:pStyle w:val="indexAR"/>
      </w:pPr>
      <w:r w:rsidRPr="00A326C6">
        <w:t>Nabarlek Project (UXA Resources Limited) 64–65</w:t>
      </w:r>
    </w:p>
    <w:p w:rsidR="008D3489" w:rsidRPr="00A326C6" w:rsidRDefault="008D3489" w:rsidP="008D3489">
      <w:pPr>
        <w:pStyle w:val="indexAR"/>
      </w:pPr>
      <w:r w:rsidRPr="00A326C6">
        <w:t>Nabarlek uranium mine xi, 2, 4, 136, 138</w:t>
      </w:r>
    </w:p>
    <w:p w:rsidR="008D3489" w:rsidRPr="00A326C6" w:rsidRDefault="008D3489" w:rsidP="008D3489">
      <w:pPr>
        <w:pStyle w:val="index2AR"/>
      </w:pPr>
      <w:proofErr w:type="gramStart"/>
      <w:r w:rsidRPr="00A326C6">
        <w:t>acquisition</w:t>
      </w:r>
      <w:proofErr w:type="gramEnd"/>
      <w:r w:rsidRPr="00A326C6">
        <w:t xml:space="preserve"> of lease 62</w:t>
      </w:r>
    </w:p>
    <w:p w:rsidR="008D3489" w:rsidRPr="00A326C6" w:rsidRDefault="008D3489" w:rsidP="008D3489">
      <w:pPr>
        <w:pStyle w:val="index2AR"/>
      </w:pPr>
      <w:proofErr w:type="gramStart"/>
      <w:r w:rsidRPr="00A326C6">
        <w:t>audits</w:t>
      </w:r>
      <w:proofErr w:type="gramEnd"/>
      <w:r w:rsidRPr="00A326C6">
        <w:t xml:space="preserve"> and inspections 8–9, 62–63</w:t>
      </w:r>
    </w:p>
    <w:p w:rsidR="008D3489" w:rsidRPr="00A326C6" w:rsidRDefault="008D3489" w:rsidP="008D3489">
      <w:pPr>
        <w:pStyle w:val="index2AR"/>
      </w:pPr>
      <w:r w:rsidRPr="00A326C6">
        <w:t>Authorisations and approvals 62</w:t>
      </w:r>
    </w:p>
    <w:p w:rsidR="008D3489" w:rsidRPr="00A326C6" w:rsidRDefault="008D3489" w:rsidP="008D3489">
      <w:pPr>
        <w:pStyle w:val="index2AR"/>
      </w:pPr>
      <w:proofErr w:type="gramStart"/>
      <w:r w:rsidRPr="00A326C6">
        <w:t>developments</w:t>
      </w:r>
      <w:proofErr w:type="gramEnd"/>
      <w:r w:rsidRPr="00A326C6">
        <w:t xml:space="preserve"> 62</w:t>
      </w:r>
    </w:p>
    <w:p w:rsidR="008D3489" w:rsidRPr="00A326C6" w:rsidRDefault="008D3489" w:rsidP="008D3489">
      <w:pPr>
        <w:pStyle w:val="index2AR"/>
      </w:pPr>
      <w:proofErr w:type="gramStart"/>
      <w:r w:rsidRPr="00A326C6">
        <w:t>environmental</w:t>
      </w:r>
      <w:proofErr w:type="gramEnd"/>
      <w:r w:rsidRPr="00A326C6">
        <w:t xml:space="preserve"> management 62–63</w:t>
      </w:r>
    </w:p>
    <w:p w:rsidR="008D3489" w:rsidRPr="00A326C6" w:rsidRDefault="008D3489" w:rsidP="008D3489">
      <w:pPr>
        <w:pStyle w:val="index2AR"/>
      </w:pPr>
      <w:proofErr w:type="gramStart"/>
      <w:r w:rsidRPr="00A326C6">
        <w:t>environmental</w:t>
      </w:r>
      <w:proofErr w:type="gramEnd"/>
      <w:r w:rsidRPr="00A326C6">
        <w:t xml:space="preserve"> protection 63</w:t>
      </w:r>
    </w:p>
    <w:p w:rsidR="008D3489" w:rsidRPr="00A326C6" w:rsidRDefault="008D3489" w:rsidP="008D3489">
      <w:pPr>
        <w:pStyle w:val="index2AR"/>
      </w:pPr>
      <w:proofErr w:type="gramStart"/>
      <w:r w:rsidRPr="00A326C6">
        <w:t>incidents</w:t>
      </w:r>
      <w:proofErr w:type="gramEnd"/>
      <w:r w:rsidRPr="00A326C6">
        <w:t xml:space="preserve"> 62</w:t>
      </w:r>
    </w:p>
    <w:p w:rsidR="008D3489" w:rsidRPr="00A326C6" w:rsidRDefault="008D3489" w:rsidP="008D3489">
      <w:pPr>
        <w:pStyle w:val="index2AR"/>
      </w:pPr>
      <w:r w:rsidRPr="00A326C6">
        <w:t>Key Knowledge Needs 147–148</w:t>
      </w:r>
    </w:p>
    <w:p w:rsidR="008D3489" w:rsidRPr="00A326C6" w:rsidRDefault="008D3489" w:rsidP="008D3489">
      <w:pPr>
        <w:pStyle w:val="index2AR"/>
      </w:pPr>
      <w:r w:rsidRPr="00A326C6">
        <w:t>Minesite Technical Committee 8, 62</w:t>
      </w:r>
    </w:p>
    <w:p w:rsidR="008D3489" w:rsidRPr="00A326C6" w:rsidRDefault="008D3489" w:rsidP="008D3489">
      <w:pPr>
        <w:pStyle w:val="index2AR"/>
      </w:pPr>
      <w:r w:rsidRPr="00A326C6">
        <w:t>Radiologically anomalous area 63</w:t>
      </w:r>
    </w:p>
    <w:p w:rsidR="008D3489" w:rsidRPr="00A326C6" w:rsidRDefault="008D3489" w:rsidP="008D3489">
      <w:pPr>
        <w:pStyle w:val="index2AR"/>
      </w:pPr>
      <w:proofErr w:type="gramStart"/>
      <w:r w:rsidRPr="00A326C6">
        <w:t>rehabilitation</w:t>
      </w:r>
      <w:proofErr w:type="gramEnd"/>
      <w:r w:rsidRPr="00A326C6">
        <w:t xml:space="preserve"> and revegetation 62, 147–148</w:t>
      </w:r>
    </w:p>
    <w:p w:rsidR="008D3489" w:rsidRPr="00A326C6" w:rsidRDefault="008D3489" w:rsidP="008D3489">
      <w:pPr>
        <w:pStyle w:val="indexAR"/>
      </w:pPr>
      <w:r w:rsidRPr="00A326C6">
        <w:t>Nabarlek Village 62</w:t>
      </w:r>
    </w:p>
    <w:p w:rsidR="008D3489" w:rsidRPr="00A326C6" w:rsidRDefault="008D3489" w:rsidP="008D3489">
      <w:pPr>
        <w:pStyle w:val="indexAR"/>
      </w:pPr>
      <w:r w:rsidRPr="00A326C6">
        <w:t>National Environmental Research Program (NERP) 118</w:t>
      </w:r>
    </w:p>
    <w:p w:rsidR="008D3489" w:rsidRPr="00A326C6" w:rsidRDefault="008D3489" w:rsidP="008D3489">
      <w:pPr>
        <w:pStyle w:val="indexAR"/>
      </w:pPr>
      <w:proofErr w:type="gramStart"/>
      <w:r w:rsidRPr="00A326C6">
        <w:t>national</w:t>
      </w:r>
      <w:proofErr w:type="gramEnd"/>
      <w:r w:rsidRPr="00A326C6">
        <w:t xml:space="preserve"> water quality guidelines 117–118</w:t>
      </w:r>
    </w:p>
    <w:p w:rsidR="008D3489" w:rsidRPr="00A326C6" w:rsidRDefault="008D3489" w:rsidP="008D3489">
      <w:pPr>
        <w:pStyle w:val="indexAR"/>
      </w:pPr>
      <w:r w:rsidRPr="00A326C6">
        <w:t>NERP (National Environmental Research Program) 118</w:t>
      </w:r>
    </w:p>
    <w:p w:rsidR="008D3489" w:rsidRPr="00A326C6" w:rsidRDefault="008D3489" w:rsidP="008D3489">
      <w:pPr>
        <w:pStyle w:val="indexAR"/>
      </w:pPr>
      <w:r w:rsidRPr="00A326C6">
        <w:t>Ngarradj (Swift Creek) 57, 59–61</w:t>
      </w:r>
    </w:p>
    <w:p w:rsidR="008D3489" w:rsidRPr="00A326C6" w:rsidRDefault="008D3489" w:rsidP="008D3489">
      <w:pPr>
        <w:pStyle w:val="indexAR"/>
      </w:pPr>
      <w:r w:rsidRPr="00A326C6">
        <w:t>Northern Land Council (NLC) 3, 5, 6, 7, 8, 123, 125, 136</w:t>
      </w:r>
    </w:p>
    <w:p w:rsidR="008D3489" w:rsidRPr="00A326C6" w:rsidRDefault="008D3489" w:rsidP="008D3489">
      <w:pPr>
        <w:pStyle w:val="indexAR"/>
      </w:pPr>
      <w:r w:rsidRPr="00A326C6">
        <w:t>Northern Territory Department of Health 5</w:t>
      </w:r>
    </w:p>
    <w:p w:rsidR="008D3489" w:rsidRPr="00A326C6" w:rsidRDefault="008D3489" w:rsidP="008D3489">
      <w:pPr>
        <w:pStyle w:val="indexAR"/>
      </w:pPr>
      <w:r w:rsidRPr="00A326C6">
        <w:t>Northern Territory Department of Mines and Energy (DME) 4, 5, 8, 9, 63, 119</w:t>
      </w:r>
    </w:p>
    <w:p w:rsidR="008D3489" w:rsidRPr="00A326C6" w:rsidRDefault="008D3489" w:rsidP="008D3489">
      <w:pPr>
        <w:pStyle w:val="indexAR"/>
      </w:pPr>
      <w:r w:rsidRPr="00A326C6">
        <w:t>Northern Territory Environment Protection Authority 5</w:t>
      </w:r>
    </w:p>
    <w:p w:rsidR="008D3489" w:rsidRPr="00A326C6" w:rsidRDefault="008D3489" w:rsidP="008D3489">
      <w:pPr>
        <w:pStyle w:val="indexAR"/>
      </w:pPr>
      <w:r w:rsidRPr="00A326C6">
        <w:rPr>
          <w:i/>
          <w:iCs/>
        </w:rPr>
        <w:t>Northern Territory Mining Management Act 2001</w:t>
      </w:r>
      <w:r w:rsidRPr="00A326C6">
        <w:t xml:space="preserve"> 9</w:t>
      </w:r>
    </w:p>
    <w:p w:rsidR="008D3489" w:rsidRPr="00A326C6" w:rsidRDefault="008D3489" w:rsidP="008D3489">
      <w:pPr>
        <w:pStyle w:val="indexAR"/>
      </w:pPr>
      <w:r w:rsidRPr="00A326C6">
        <w:t>Northern Territory Supervising Authorities Environmental Surveillance Monitoring in the Alligator Rivers Region reports 63</w:t>
      </w:r>
    </w:p>
    <w:p w:rsidR="008D3489" w:rsidRPr="00A326C6" w:rsidRDefault="008D3489" w:rsidP="008D3489">
      <w:pPr>
        <w:pStyle w:val="indexAR"/>
      </w:pPr>
      <w:r w:rsidRPr="00A326C6">
        <w:t>Nourlangie catchment 72</w:t>
      </w:r>
    </w:p>
    <w:p w:rsidR="008D3489" w:rsidRPr="00A326C6" w:rsidRDefault="008D3489" w:rsidP="008D3489">
      <w:pPr>
        <w:pStyle w:val="indexAR"/>
      </w:pPr>
      <w:r w:rsidRPr="00A326C6">
        <w:t>Nourlangie Creek 50–51, 54, 55</w:t>
      </w:r>
    </w:p>
    <w:p w:rsidR="00632756" w:rsidRDefault="00632756" w:rsidP="00632756">
      <w:pPr>
        <w:pStyle w:val="indexAR-alpha"/>
      </w:pPr>
      <w:r>
        <w:br w:type="column"/>
        <w:t>O</w:t>
      </w:r>
    </w:p>
    <w:p w:rsidR="001B2FD5" w:rsidRPr="00A326C6" w:rsidRDefault="001B2FD5" w:rsidP="001B2FD5">
      <w:pPr>
        <w:pStyle w:val="indexAR"/>
      </w:pPr>
      <w:proofErr w:type="gramStart"/>
      <w:r w:rsidRPr="00A326C6">
        <w:t>occupational</w:t>
      </w:r>
      <w:proofErr w:type="gramEnd"/>
      <w:r w:rsidRPr="00A326C6">
        <w:t xml:space="preserve"> health and safety 131</w:t>
      </w:r>
    </w:p>
    <w:p w:rsidR="001B2FD5" w:rsidRPr="00A326C6" w:rsidRDefault="001B2FD5" w:rsidP="001B2FD5">
      <w:pPr>
        <w:pStyle w:val="indexAR"/>
      </w:pPr>
      <w:r w:rsidRPr="00A326C6">
        <w:t>Office of the Administrator of the Northern Territory 5</w:t>
      </w:r>
    </w:p>
    <w:p w:rsidR="001B2FD5" w:rsidRPr="00A326C6" w:rsidRDefault="001B2FD5" w:rsidP="001B2FD5">
      <w:pPr>
        <w:pStyle w:val="indexAR"/>
      </w:pPr>
      <w:r w:rsidRPr="00A326C6">
        <w:t>Office of the Supervising Scientist (</w:t>
      </w:r>
      <w:r w:rsidRPr="00A326C6">
        <w:rPr>
          <w:b/>
          <w:bCs/>
          <w:i/>
          <w:iCs/>
        </w:rPr>
        <w:t>oss</w:t>
      </w:r>
      <w:r w:rsidRPr="00A326C6">
        <w:t>) 1, 129–130</w:t>
      </w:r>
    </w:p>
    <w:p w:rsidR="001B2FD5" w:rsidRPr="00A326C6" w:rsidRDefault="001B2FD5" w:rsidP="001B2FD5">
      <w:pPr>
        <w:pStyle w:val="indexAR"/>
      </w:pPr>
      <w:r w:rsidRPr="00A326C6">
        <w:t>Olympic Dam, Mine Closure and Rehabilitation Plan (2013) 74</w:t>
      </w:r>
    </w:p>
    <w:p w:rsidR="001B2FD5" w:rsidRPr="00A326C6" w:rsidRDefault="001B2FD5" w:rsidP="001B2FD5">
      <w:pPr>
        <w:pStyle w:val="indexAR"/>
      </w:pPr>
      <w:r w:rsidRPr="00A326C6">
        <w:t>One Year Weed Management Plan (2013) 58</w:t>
      </w:r>
    </w:p>
    <w:p w:rsidR="001B2FD5" w:rsidRPr="00A326C6" w:rsidRDefault="001B2FD5" w:rsidP="001B2FD5">
      <w:pPr>
        <w:pStyle w:val="indexAR"/>
      </w:pPr>
      <w:proofErr w:type="gramStart"/>
      <w:r w:rsidRPr="00A326C6">
        <w:t>organisational</w:t>
      </w:r>
      <w:proofErr w:type="gramEnd"/>
      <w:r w:rsidRPr="00A326C6">
        <w:t xml:space="preserve"> structure 129–130</w:t>
      </w:r>
    </w:p>
    <w:p w:rsidR="001B2FD5" w:rsidRPr="00A326C6" w:rsidRDefault="001B2FD5" w:rsidP="001B2FD5">
      <w:pPr>
        <w:pStyle w:val="indexAR"/>
      </w:pPr>
      <w:r w:rsidRPr="00A326C6">
        <w:t>Outcome 5 (Department of the Environment) 1–2, 132</w:t>
      </w:r>
    </w:p>
    <w:p w:rsidR="00632756" w:rsidRDefault="00632756" w:rsidP="00632756">
      <w:pPr>
        <w:pStyle w:val="indexAR-alpha"/>
        <w:rPr>
          <w:lang w:val="pt-BR"/>
        </w:rPr>
      </w:pPr>
      <w:r>
        <w:rPr>
          <w:lang w:val="pt-BR"/>
        </w:rPr>
        <w:t>P</w:t>
      </w:r>
    </w:p>
    <w:p w:rsidR="001B2FD5" w:rsidRPr="00A326C6" w:rsidRDefault="001B2FD5" w:rsidP="001B2FD5">
      <w:pPr>
        <w:pStyle w:val="Main"/>
        <w:widowControl/>
        <w:rPr>
          <w:rFonts w:ascii="Times New Roman" w:hAnsi="Times New Roman" w:cs="Times New Roman"/>
          <w:sz w:val="18"/>
          <w:szCs w:val="18"/>
        </w:rPr>
      </w:pPr>
      <w:r w:rsidRPr="00A326C6">
        <w:rPr>
          <w:rFonts w:ascii="Times New Roman" w:hAnsi="Times New Roman" w:cs="Times New Roman"/>
          <w:sz w:val="18"/>
          <w:szCs w:val="18"/>
        </w:rPr>
        <w:t>Parks Australia 4, 5, 9, 63, 64</w:t>
      </w:r>
    </w:p>
    <w:p w:rsidR="001B2FD5" w:rsidRPr="00A326C6" w:rsidRDefault="001B2FD5" w:rsidP="001B2FD5">
      <w:pPr>
        <w:pStyle w:val="Main"/>
        <w:widowControl/>
        <w:rPr>
          <w:rFonts w:ascii="Times New Roman" w:hAnsi="Times New Roman" w:cs="Times New Roman"/>
          <w:sz w:val="18"/>
          <w:szCs w:val="18"/>
        </w:rPr>
      </w:pPr>
      <w:proofErr w:type="gramStart"/>
      <w:r w:rsidRPr="00A326C6">
        <w:rPr>
          <w:rFonts w:ascii="Times New Roman" w:hAnsi="Times New Roman" w:cs="Times New Roman"/>
          <w:sz w:val="18"/>
          <w:szCs w:val="18"/>
        </w:rPr>
        <w:t>passive</w:t>
      </w:r>
      <w:proofErr w:type="gramEnd"/>
      <w:r w:rsidRPr="00A326C6">
        <w:rPr>
          <w:rFonts w:ascii="Times New Roman" w:hAnsi="Times New Roman" w:cs="Times New Roman"/>
          <w:sz w:val="18"/>
          <w:szCs w:val="18"/>
        </w:rPr>
        <w:t xml:space="preserve"> release water 14</w:t>
      </w:r>
    </w:p>
    <w:p w:rsidR="001B2FD5" w:rsidRPr="00A326C6" w:rsidRDefault="001B2FD5" w:rsidP="001B2FD5">
      <w:pPr>
        <w:pStyle w:val="Main"/>
        <w:widowControl/>
        <w:rPr>
          <w:rFonts w:ascii="Times New Roman" w:hAnsi="Times New Roman" w:cs="Times New Roman"/>
          <w:sz w:val="18"/>
          <w:szCs w:val="18"/>
        </w:rPr>
      </w:pPr>
      <w:r w:rsidRPr="00A326C6">
        <w:rPr>
          <w:rFonts w:ascii="Times New Roman" w:hAnsi="Times New Roman" w:cs="Times New Roman"/>
          <w:sz w:val="18"/>
          <w:szCs w:val="18"/>
        </w:rPr>
        <w:t>Performance Development Scheme 130</w:t>
      </w:r>
    </w:p>
    <w:p w:rsidR="001B2FD5" w:rsidRPr="00A326C6" w:rsidRDefault="001B2FD5" w:rsidP="001B2FD5">
      <w:pPr>
        <w:pStyle w:val="Main"/>
        <w:widowControl/>
        <w:rPr>
          <w:rFonts w:ascii="Times New Roman" w:hAnsi="Times New Roman" w:cs="Times New Roman"/>
          <w:sz w:val="18"/>
          <w:szCs w:val="18"/>
        </w:rPr>
      </w:pPr>
      <w:proofErr w:type="gramStart"/>
      <w:r w:rsidRPr="00A326C6">
        <w:rPr>
          <w:rFonts w:ascii="Times New Roman" w:hAnsi="Times New Roman" w:cs="Times New Roman"/>
          <w:sz w:val="18"/>
          <w:szCs w:val="18"/>
        </w:rPr>
        <w:t>performance</w:t>
      </w:r>
      <w:proofErr w:type="gramEnd"/>
      <w:r w:rsidRPr="00A326C6">
        <w:rPr>
          <w:rFonts w:ascii="Times New Roman" w:hAnsi="Times New Roman" w:cs="Times New Roman"/>
          <w:sz w:val="18"/>
          <w:szCs w:val="18"/>
        </w:rPr>
        <w:t xml:space="preserve"> summary 1–2</w:t>
      </w:r>
    </w:p>
    <w:p w:rsidR="001B2FD5" w:rsidRPr="00A326C6" w:rsidRDefault="001B2FD5" w:rsidP="001B2FD5">
      <w:pPr>
        <w:pStyle w:val="Main"/>
        <w:widowControl/>
        <w:rPr>
          <w:rFonts w:ascii="Times New Roman" w:hAnsi="Times New Roman" w:cs="Times New Roman"/>
          <w:sz w:val="18"/>
          <w:szCs w:val="18"/>
        </w:rPr>
      </w:pPr>
      <w:r w:rsidRPr="00A326C6">
        <w:rPr>
          <w:rFonts w:ascii="Times New Roman" w:hAnsi="Times New Roman" w:cs="Times New Roman"/>
          <w:sz w:val="18"/>
          <w:szCs w:val="18"/>
        </w:rPr>
        <w:t>PERMANOVA (PERmutational Multivariate ANalysis Of Variance) testing 53, 54</w:t>
      </w:r>
    </w:p>
    <w:p w:rsidR="001B2FD5" w:rsidRPr="00A326C6" w:rsidRDefault="001B2FD5" w:rsidP="001B2FD5">
      <w:pPr>
        <w:pStyle w:val="Main"/>
        <w:widowControl/>
        <w:rPr>
          <w:rFonts w:ascii="Times New Roman" w:hAnsi="Times New Roman" w:cs="Times New Roman"/>
          <w:sz w:val="18"/>
          <w:szCs w:val="18"/>
        </w:rPr>
      </w:pPr>
      <w:r w:rsidRPr="00A326C6">
        <w:rPr>
          <w:rFonts w:ascii="Times New Roman" w:hAnsi="Times New Roman" w:cs="Times New Roman"/>
          <w:sz w:val="18"/>
          <w:szCs w:val="18"/>
        </w:rPr>
        <w:t>Pit 1, Ranger 12, 13, 16, 18, 144</w:t>
      </w:r>
    </w:p>
    <w:p w:rsidR="001B2FD5" w:rsidRPr="00A326C6" w:rsidRDefault="001B2FD5" w:rsidP="001B2FD5">
      <w:pPr>
        <w:pStyle w:val="Main"/>
        <w:widowControl/>
        <w:rPr>
          <w:rFonts w:ascii="Times New Roman" w:hAnsi="Times New Roman" w:cs="Times New Roman"/>
          <w:sz w:val="18"/>
          <w:szCs w:val="18"/>
        </w:rPr>
      </w:pPr>
      <w:r w:rsidRPr="00A326C6">
        <w:rPr>
          <w:rFonts w:ascii="Times New Roman" w:hAnsi="Times New Roman" w:cs="Times New Roman"/>
          <w:sz w:val="18"/>
          <w:szCs w:val="18"/>
        </w:rPr>
        <w:t>Pit 3, Ranger 3, 10, 12, 13, 14, 18, 143</w:t>
      </w:r>
    </w:p>
    <w:p w:rsidR="001B2FD5" w:rsidRPr="00A326C6" w:rsidRDefault="001B2FD5" w:rsidP="001B2FD5">
      <w:pPr>
        <w:pStyle w:val="Main"/>
        <w:widowControl/>
        <w:rPr>
          <w:rFonts w:ascii="Times New Roman" w:hAnsi="Times New Roman" w:cs="Times New Roman"/>
          <w:sz w:val="18"/>
          <w:szCs w:val="18"/>
        </w:rPr>
      </w:pPr>
      <w:proofErr w:type="gramStart"/>
      <w:r w:rsidRPr="00A326C6">
        <w:rPr>
          <w:rFonts w:ascii="Times New Roman" w:hAnsi="Times New Roman" w:cs="Times New Roman"/>
          <w:sz w:val="18"/>
          <w:szCs w:val="18"/>
        </w:rPr>
        <w:t>pond</w:t>
      </w:r>
      <w:proofErr w:type="gramEnd"/>
      <w:r w:rsidRPr="00A326C6">
        <w:rPr>
          <w:rFonts w:ascii="Times New Roman" w:hAnsi="Times New Roman" w:cs="Times New Roman"/>
          <w:sz w:val="18"/>
          <w:szCs w:val="18"/>
        </w:rPr>
        <w:t xml:space="preserve"> water system 13–16</w:t>
      </w:r>
    </w:p>
    <w:p w:rsidR="001B2FD5" w:rsidRPr="00A326C6" w:rsidRDefault="001B2FD5" w:rsidP="001B2FD5">
      <w:pPr>
        <w:pStyle w:val="Main"/>
        <w:widowControl/>
        <w:rPr>
          <w:rFonts w:ascii="Times New Roman" w:hAnsi="Times New Roman" w:cs="Times New Roman"/>
          <w:sz w:val="18"/>
          <w:szCs w:val="18"/>
        </w:rPr>
      </w:pPr>
      <w:proofErr w:type="gramStart"/>
      <w:r w:rsidRPr="00A326C6">
        <w:rPr>
          <w:rFonts w:ascii="Times New Roman" w:hAnsi="Times New Roman" w:cs="Times New Roman"/>
          <w:sz w:val="18"/>
          <w:szCs w:val="18"/>
        </w:rPr>
        <w:t>process</w:t>
      </w:r>
      <w:proofErr w:type="gramEnd"/>
      <w:r w:rsidRPr="00A326C6">
        <w:rPr>
          <w:rFonts w:ascii="Times New Roman" w:hAnsi="Times New Roman" w:cs="Times New Roman"/>
          <w:sz w:val="18"/>
          <w:szCs w:val="18"/>
        </w:rPr>
        <w:t xml:space="preserve"> water system ix, 13</w:t>
      </w:r>
    </w:p>
    <w:p w:rsidR="001B2FD5" w:rsidRPr="00A326C6" w:rsidRDefault="001B2FD5" w:rsidP="001B2FD5">
      <w:pPr>
        <w:pStyle w:val="Main"/>
        <w:widowControl/>
        <w:rPr>
          <w:rFonts w:ascii="Times New Roman" w:hAnsi="Times New Roman" w:cs="Times New Roman"/>
          <w:sz w:val="18"/>
          <w:szCs w:val="18"/>
        </w:rPr>
      </w:pPr>
      <w:r w:rsidRPr="00A326C6">
        <w:rPr>
          <w:rFonts w:ascii="Times New Roman" w:hAnsi="Times New Roman" w:cs="Times New Roman"/>
          <w:sz w:val="18"/>
          <w:szCs w:val="18"/>
        </w:rPr>
        <w:t>Program 5.2: Environmental Regulation 1–2, 131–132</w:t>
      </w:r>
    </w:p>
    <w:p w:rsidR="001B2FD5" w:rsidRPr="00A326C6" w:rsidRDefault="001B2FD5" w:rsidP="001B2FD5">
      <w:pPr>
        <w:pStyle w:val="Main"/>
        <w:widowControl/>
        <w:rPr>
          <w:rFonts w:ascii="Times New Roman" w:hAnsi="Times New Roman" w:cs="Times New Roman"/>
          <w:sz w:val="18"/>
          <w:szCs w:val="18"/>
        </w:rPr>
      </w:pPr>
      <w:r w:rsidRPr="00A326C6">
        <w:rPr>
          <w:rFonts w:ascii="Times New Roman" w:hAnsi="Times New Roman" w:cs="Times New Roman"/>
          <w:i/>
          <w:iCs/>
          <w:sz w:val="18"/>
          <w:szCs w:val="18"/>
        </w:rPr>
        <w:t>Public Service Act 1999</w:t>
      </w:r>
      <w:r w:rsidRPr="00A326C6">
        <w:rPr>
          <w:rFonts w:ascii="Times New Roman" w:hAnsi="Times New Roman" w:cs="Times New Roman"/>
          <w:sz w:val="18"/>
          <w:szCs w:val="18"/>
        </w:rPr>
        <w:t xml:space="preserve"> 129</w:t>
      </w:r>
    </w:p>
    <w:p w:rsidR="001B2FD5" w:rsidRPr="00A326C6" w:rsidRDefault="001B2FD5" w:rsidP="001B2FD5">
      <w:pPr>
        <w:pStyle w:val="Main"/>
        <w:widowControl/>
        <w:rPr>
          <w:rFonts w:ascii="Times New Roman" w:hAnsi="Times New Roman" w:cs="Times New Roman"/>
          <w:sz w:val="18"/>
          <w:szCs w:val="18"/>
        </w:rPr>
      </w:pPr>
      <w:proofErr w:type="gramStart"/>
      <w:r w:rsidRPr="00A326C6">
        <w:rPr>
          <w:rFonts w:ascii="Times New Roman" w:hAnsi="Times New Roman" w:cs="Times New Roman"/>
          <w:sz w:val="18"/>
          <w:szCs w:val="18"/>
        </w:rPr>
        <w:t>publications</w:t>
      </w:r>
      <w:proofErr w:type="gramEnd"/>
      <w:r w:rsidRPr="00A326C6">
        <w:rPr>
          <w:rFonts w:ascii="Times New Roman" w:hAnsi="Times New Roman" w:cs="Times New Roman"/>
          <w:sz w:val="18"/>
          <w:szCs w:val="18"/>
        </w:rPr>
        <w:t>, papers and reports 76, 123, 126–128, 150–154</w:t>
      </w:r>
    </w:p>
    <w:p w:rsidR="001B2FD5" w:rsidRPr="00A326C6" w:rsidRDefault="001B2FD5" w:rsidP="001B2FD5">
      <w:pPr>
        <w:pStyle w:val="index2AR"/>
      </w:pPr>
      <w:proofErr w:type="gramStart"/>
      <w:r w:rsidRPr="00A326C6">
        <w:t>presentations</w:t>
      </w:r>
      <w:proofErr w:type="gramEnd"/>
      <w:r w:rsidRPr="00A326C6">
        <w:t xml:space="preserve"> to conferences 127, 155–156</w:t>
      </w:r>
    </w:p>
    <w:p w:rsidR="00632756" w:rsidRDefault="00632756" w:rsidP="00632756">
      <w:pPr>
        <w:pStyle w:val="indexAR-alpha"/>
      </w:pPr>
      <w:r>
        <w:t>Q</w:t>
      </w:r>
    </w:p>
    <w:p w:rsidR="001B2FD5" w:rsidRPr="00A326C6" w:rsidRDefault="001B2FD5" w:rsidP="001B2FD5">
      <w:pPr>
        <w:pStyle w:val="indexAR"/>
      </w:pPr>
      <w:proofErr w:type="gramStart"/>
      <w:r w:rsidRPr="00A326C6">
        <w:t>quad</w:t>
      </w:r>
      <w:proofErr w:type="gramEnd"/>
      <w:r w:rsidRPr="00A326C6">
        <w:t xml:space="preserve"> bike fleet 131</w:t>
      </w:r>
    </w:p>
    <w:p w:rsidR="001B2FD5" w:rsidRPr="00A326C6" w:rsidRDefault="001B2FD5" w:rsidP="001B2FD5">
      <w:pPr>
        <w:pStyle w:val="indexAR"/>
      </w:pPr>
      <w:r w:rsidRPr="00A326C6">
        <w:t>Queensland Mines Pty Ltd 4, 62</w:t>
      </w:r>
    </w:p>
    <w:p w:rsidR="00632756" w:rsidRDefault="00632756" w:rsidP="00632756">
      <w:pPr>
        <w:pStyle w:val="indexAR-alpha"/>
      </w:pPr>
      <w:r>
        <w:t>R</w:t>
      </w:r>
    </w:p>
    <w:p w:rsidR="001B2FD5" w:rsidRPr="00A326C6" w:rsidRDefault="001B2FD5" w:rsidP="001B2FD5">
      <w:pPr>
        <w:pStyle w:val="indexAR"/>
      </w:pPr>
      <w:proofErr w:type="gramStart"/>
      <w:r w:rsidRPr="00A326C6">
        <w:t>radiation</w:t>
      </w:r>
      <w:proofErr w:type="gramEnd"/>
      <w:r w:rsidRPr="00A326C6">
        <w:t xml:space="preserve"> dose limits 65, 67, 96</w:t>
      </w:r>
    </w:p>
    <w:p w:rsidR="001B2FD5" w:rsidRPr="00A326C6" w:rsidRDefault="001B2FD5" w:rsidP="001B2FD5">
      <w:pPr>
        <w:pStyle w:val="indexAR"/>
      </w:pPr>
      <w:proofErr w:type="gramStart"/>
      <w:r w:rsidRPr="00A326C6">
        <w:t>radiation</w:t>
      </w:r>
      <w:proofErr w:type="gramEnd"/>
      <w:r w:rsidRPr="00A326C6">
        <w:t xml:space="preserve"> exposure of employees and public 67–73</w:t>
      </w:r>
    </w:p>
    <w:p w:rsidR="001B2FD5" w:rsidRPr="00A326C6" w:rsidRDefault="001B2FD5" w:rsidP="001B2FD5">
      <w:pPr>
        <w:pStyle w:val="indexAR"/>
      </w:pPr>
      <w:proofErr w:type="gramStart"/>
      <w:r w:rsidRPr="00A326C6">
        <w:t>radiation</w:t>
      </w:r>
      <w:proofErr w:type="gramEnd"/>
      <w:r w:rsidRPr="00A326C6">
        <w:t xml:space="preserve"> monitoring and research 66, 140</w:t>
      </w:r>
    </w:p>
    <w:p w:rsidR="001B2FD5" w:rsidRPr="00A326C6" w:rsidRDefault="001B2FD5" w:rsidP="001B2FD5">
      <w:pPr>
        <w:pStyle w:val="indexAR"/>
      </w:pPr>
      <w:proofErr w:type="gramStart"/>
      <w:r w:rsidRPr="00A326C6">
        <w:t>radiation</w:t>
      </w:r>
      <w:proofErr w:type="gramEnd"/>
      <w:r w:rsidRPr="00A326C6">
        <w:t xml:space="preserve"> protection of the environment, national initiatives 116</w:t>
      </w:r>
    </w:p>
    <w:p w:rsidR="001B2FD5" w:rsidRPr="00A326C6" w:rsidRDefault="001B2FD5" w:rsidP="001B2FD5">
      <w:pPr>
        <w:pStyle w:val="indexAR"/>
      </w:pPr>
      <w:proofErr w:type="gramStart"/>
      <w:r w:rsidRPr="00A326C6">
        <w:t>radioecology</w:t>
      </w:r>
      <w:proofErr w:type="gramEnd"/>
      <w:r w:rsidRPr="00A326C6">
        <w:t xml:space="preserve"> 116, 117</w:t>
      </w:r>
    </w:p>
    <w:p w:rsidR="001B2FD5" w:rsidRPr="00A326C6" w:rsidRDefault="001B2FD5" w:rsidP="001B2FD5">
      <w:pPr>
        <w:pStyle w:val="indexAR"/>
      </w:pPr>
      <w:r w:rsidRPr="00A326C6">
        <w:t>Radiologically Anomalous Area (RAA) 63</w:t>
      </w:r>
    </w:p>
    <w:p w:rsidR="001B2FD5" w:rsidRPr="00A326C6" w:rsidRDefault="001B2FD5" w:rsidP="001B2FD5">
      <w:pPr>
        <w:pStyle w:val="indexAR"/>
      </w:pPr>
      <w:proofErr w:type="gramStart"/>
      <w:r w:rsidRPr="00A326C6">
        <w:t>radionuclides</w:t>
      </w:r>
      <w:proofErr w:type="gramEnd"/>
    </w:p>
    <w:p w:rsidR="001B2FD5" w:rsidRPr="00A326C6" w:rsidRDefault="001B2FD5" w:rsidP="001B2FD5">
      <w:pPr>
        <w:pStyle w:val="index2AR"/>
      </w:pPr>
      <w:proofErr w:type="gramStart"/>
      <w:r w:rsidRPr="00A326C6">
        <w:t>in</w:t>
      </w:r>
      <w:proofErr w:type="gramEnd"/>
      <w:r w:rsidRPr="00A326C6">
        <w:t xml:space="preserve"> bushfoods 68, 72, 96–101</w:t>
      </w:r>
    </w:p>
    <w:p w:rsidR="001B2FD5" w:rsidRPr="00A326C6" w:rsidRDefault="001B2FD5" w:rsidP="001B2FD5">
      <w:pPr>
        <w:pStyle w:val="index2AR"/>
      </w:pPr>
      <w:proofErr w:type="gramStart"/>
      <w:r w:rsidRPr="00A326C6">
        <w:t>exposure</w:t>
      </w:r>
      <w:proofErr w:type="gramEnd"/>
      <w:r w:rsidRPr="00A326C6">
        <w:t xml:space="preserve"> of wildlife 117</w:t>
      </w:r>
    </w:p>
    <w:p w:rsidR="001B2FD5" w:rsidRPr="00A326C6" w:rsidRDefault="001B2FD5" w:rsidP="001B2FD5">
      <w:pPr>
        <w:pStyle w:val="index2AR"/>
      </w:pPr>
      <w:proofErr w:type="gramStart"/>
      <w:r w:rsidRPr="00A326C6">
        <w:t>exposure</w:t>
      </w:r>
      <w:proofErr w:type="gramEnd"/>
      <w:r w:rsidRPr="00A326C6">
        <w:t xml:space="preserve"> pathways 68–71</w:t>
      </w:r>
    </w:p>
    <w:p w:rsidR="001B2FD5" w:rsidRPr="00A326C6" w:rsidRDefault="001B2FD5" w:rsidP="001B2FD5">
      <w:pPr>
        <w:pStyle w:val="index2AR"/>
      </w:pPr>
      <w:proofErr w:type="gramStart"/>
      <w:r w:rsidRPr="00A326C6">
        <w:t>in</w:t>
      </w:r>
      <w:proofErr w:type="gramEnd"/>
      <w:r w:rsidRPr="00A326C6">
        <w:t xml:space="preserve"> mussels x, 46–50, 72–73, 145</w:t>
      </w:r>
    </w:p>
    <w:p w:rsidR="001B2FD5" w:rsidRPr="00A326C6" w:rsidRDefault="001B2FD5" w:rsidP="001B2FD5">
      <w:pPr>
        <w:pStyle w:val="index2AR"/>
      </w:pPr>
      <w:proofErr w:type="gramStart"/>
      <w:r w:rsidRPr="00A326C6">
        <w:t>safety</w:t>
      </w:r>
      <w:proofErr w:type="gramEnd"/>
      <w:r w:rsidRPr="00A326C6">
        <w:t xml:space="preserve"> guide 116</w:t>
      </w:r>
    </w:p>
    <w:p w:rsidR="001B2FD5" w:rsidRPr="00A326C6" w:rsidRDefault="001B2FD5" w:rsidP="001B2FD5">
      <w:pPr>
        <w:pStyle w:val="index2AR"/>
      </w:pPr>
      <w:proofErr w:type="gramStart"/>
      <w:r w:rsidRPr="00A326C6">
        <w:t>transport</w:t>
      </w:r>
      <w:proofErr w:type="gramEnd"/>
      <w:r w:rsidRPr="00A326C6">
        <w:t xml:space="preserve"> of 138</w:t>
      </w:r>
    </w:p>
    <w:p w:rsidR="001B2FD5" w:rsidRPr="00A326C6" w:rsidRDefault="001B2FD5" w:rsidP="001B2FD5">
      <w:pPr>
        <w:pStyle w:val="indexAR"/>
      </w:pPr>
      <w:proofErr w:type="gramStart"/>
      <w:r w:rsidRPr="00A326C6">
        <w:t>radium</w:t>
      </w:r>
      <w:proofErr w:type="gramEnd"/>
      <w:r w:rsidRPr="00A326C6">
        <w:t xml:space="preserve"> in freshwater mussels x, 31–33</w:t>
      </w:r>
    </w:p>
    <w:p w:rsidR="001B2FD5" w:rsidRPr="00A326C6" w:rsidRDefault="001B2FD5" w:rsidP="001B2FD5">
      <w:pPr>
        <w:pStyle w:val="indexAR"/>
      </w:pPr>
      <w:proofErr w:type="gramStart"/>
      <w:r w:rsidRPr="00A326C6">
        <w:t>radon</w:t>
      </w:r>
      <w:proofErr w:type="gramEnd"/>
      <w:r w:rsidRPr="00A326C6">
        <w:t xml:space="preserve"> decay products (RDP) 67, 92–96</w:t>
      </w:r>
    </w:p>
    <w:p w:rsidR="001B2FD5" w:rsidRPr="00A326C6" w:rsidRDefault="001B2FD5" w:rsidP="001B2FD5">
      <w:pPr>
        <w:pStyle w:val="indexAR"/>
      </w:pPr>
      <w:proofErr w:type="gramStart"/>
      <w:r w:rsidRPr="00A326C6">
        <w:t>radon</w:t>
      </w:r>
      <w:proofErr w:type="gramEnd"/>
      <w:r w:rsidRPr="00A326C6">
        <w:t xml:space="preserve"> progeny PAEC 68–71, 73</w:t>
      </w:r>
    </w:p>
    <w:p w:rsidR="001B2FD5" w:rsidRPr="00A326C6" w:rsidRDefault="001B2FD5" w:rsidP="001B2FD5">
      <w:pPr>
        <w:pStyle w:val="indexAR"/>
      </w:pPr>
      <w:r w:rsidRPr="00A326C6">
        <w:t xml:space="preserve">Ranger 3 Deeps underground mine ix, 3, 10, 11, </w:t>
      </w:r>
      <w:proofErr w:type="gramStart"/>
      <w:r w:rsidRPr="00A326C6">
        <w:t>74</w:t>
      </w:r>
      <w:proofErr w:type="gramEnd"/>
    </w:p>
    <w:p w:rsidR="001B2FD5" w:rsidRPr="00A326C6" w:rsidRDefault="001B2FD5" w:rsidP="001B2FD5">
      <w:pPr>
        <w:pStyle w:val="indexAR"/>
      </w:pPr>
      <w:r w:rsidRPr="00A326C6">
        <w:t>Ranger Environmental Requirements 136–137</w:t>
      </w:r>
    </w:p>
    <w:p w:rsidR="001B2FD5" w:rsidRPr="00A326C6" w:rsidRDefault="001B2FD5" w:rsidP="001B2FD5">
      <w:pPr>
        <w:pStyle w:val="indexAR"/>
      </w:pPr>
      <w:r w:rsidRPr="00A326C6">
        <w:t>Ranger Exploration Decline Project x, 10–11</w:t>
      </w:r>
    </w:p>
    <w:p w:rsidR="001B2FD5" w:rsidRPr="00A326C6" w:rsidRDefault="001B2FD5" w:rsidP="001B2FD5">
      <w:pPr>
        <w:pStyle w:val="indexAR"/>
      </w:pPr>
      <w:r w:rsidRPr="00A326C6">
        <w:t>Ranger uranium mine ix, x, xiv, 2, 3, 10–57, 136, 137</w:t>
      </w:r>
    </w:p>
    <w:p w:rsidR="001B2FD5" w:rsidRPr="00A326C6" w:rsidRDefault="001B2FD5" w:rsidP="001B2FD5">
      <w:pPr>
        <w:pStyle w:val="index2AR"/>
      </w:pPr>
      <w:proofErr w:type="gramStart"/>
      <w:r w:rsidRPr="00A326C6">
        <w:t>audits</w:t>
      </w:r>
      <w:proofErr w:type="gramEnd"/>
      <w:r w:rsidRPr="00A326C6">
        <w:t xml:space="preserve"> and RPIs 8–9, 16–18</w:t>
      </w:r>
    </w:p>
    <w:p w:rsidR="001B2FD5" w:rsidRPr="00A326C6" w:rsidRDefault="001B2FD5" w:rsidP="001B2FD5">
      <w:pPr>
        <w:pStyle w:val="index2AR"/>
      </w:pPr>
      <w:r w:rsidRPr="00A326C6">
        <w:t>Authorisation and approvals 9, 18–19, 22</w:t>
      </w:r>
    </w:p>
    <w:p w:rsidR="001B2FD5" w:rsidRPr="00A326C6" w:rsidRDefault="001B2FD5" w:rsidP="001B2FD5">
      <w:pPr>
        <w:pStyle w:val="index2AR"/>
      </w:pPr>
      <w:proofErr w:type="gramStart"/>
      <w:r w:rsidRPr="00A326C6">
        <w:t>developments</w:t>
      </w:r>
      <w:proofErr w:type="gramEnd"/>
      <w:r w:rsidRPr="00A326C6">
        <w:t xml:space="preserve"> 10–12</w:t>
      </w:r>
    </w:p>
    <w:p w:rsidR="001B2FD5" w:rsidRPr="00A326C6" w:rsidRDefault="001B2FD5" w:rsidP="001B2FD5">
      <w:pPr>
        <w:pStyle w:val="index2AR"/>
      </w:pPr>
      <w:proofErr w:type="gramStart"/>
      <w:r w:rsidRPr="00A326C6">
        <w:t>ecological</w:t>
      </w:r>
      <w:proofErr w:type="gramEnd"/>
      <w:r w:rsidRPr="00A326C6">
        <w:t xml:space="preserve"> risk assessment for rehabilitation and closure 111–115</w:t>
      </w:r>
    </w:p>
    <w:p w:rsidR="001B2FD5" w:rsidRPr="00A326C6" w:rsidRDefault="001B2FD5" w:rsidP="001B2FD5">
      <w:pPr>
        <w:pStyle w:val="index2AR"/>
      </w:pPr>
      <w:proofErr w:type="gramStart"/>
      <w:r w:rsidRPr="00A326C6">
        <w:t>environmental</w:t>
      </w:r>
      <w:proofErr w:type="gramEnd"/>
      <w:r w:rsidRPr="00A326C6">
        <w:t xml:space="preserve"> management 12–21</w:t>
      </w:r>
    </w:p>
    <w:p w:rsidR="001B2FD5" w:rsidRPr="00A326C6" w:rsidRDefault="001B2FD5" w:rsidP="001B2FD5">
      <w:pPr>
        <w:pStyle w:val="index2AR"/>
      </w:pPr>
      <w:proofErr w:type="gramStart"/>
      <w:r w:rsidRPr="00A326C6">
        <w:t>environmental</w:t>
      </w:r>
      <w:proofErr w:type="gramEnd"/>
      <w:r w:rsidRPr="00A326C6">
        <w:t xml:space="preserve"> protection 22–57, 111–115</w:t>
      </w:r>
    </w:p>
    <w:p w:rsidR="001B2FD5" w:rsidRPr="00A326C6" w:rsidRDefault="001B2FD5" w:rsidP="001B2FD5">
      <w:pPr>
        <w:pStyle w:val="index2AR"/>
      </w:pPr>
      <w:proofErr w:type="gramStart"/>
      <w:r w:rsidRPr="00A326C6">
        <w:t>environmental</w:t>
      </w:r>
      <w:proofErr w:type="gramEnd"/>
      <w:r w:rsidRPr="00A326C6">
        <w:t xml:space="preserve"> requirements 133</w:t>
      </w:r>
    </w:p>
    <w:p w:rsidR="001B2FD5" w:rsidRPr="00A326C6" w:rsidRDefault="001B2FD5" w:rsidP="001B2FD5">
      <w:pPr>
        <w:pStyle w:val="index2AR"/>
      </w:pPr>
      <w:proofErr w:type="gramStart"/>
      <w:r w:rsidRPr="00A326C6">
        <w:t>incidents</w:t>
      </w:r>
      <w:proofErr w:type="gramEnd"/>
      <w:r w:rsidRPr="00A326C6">
        <w:t xml:space="preserve"> ix, 3, 16, 19–21</w:t>
      </w:r>
    </w:p>
    <w:p w:rsidR="001B2FD5" w:rsidRPr="00A326C6" w:rsidRDefault="001B2FD5" w:rsidP="001B2FD5">
      <w:pPr>
        <w:pStyle w:val="index2AR"/>
      </w:pPr>
      <w:r w:rsidRPr="00A326C6">
        <w:t>Key Knowledge Needs 138–146</w:t>
      </w:r>
    </w:p>
    <w:p w:rsidR="001B2FD5" w:rsidRPr="00A326C6" w:rsidRDefault="001B2FD5" w:rsidP="001B2FD5">
      <w:pPr>
        <w:pStyle w:val="index2AR"/>
      </w:pPr>
      <w:r w:rsidRPr="00A326C6">
        <w:t>Minesite Technical Committee 8, 18</w:t>
      </w:r>
    </w:p>
    <w:p w:rsidR="001B2FD5" w:rsidRPr="00A326C6" w:rsidRDefault="001B2FD5" w:rsidP="001B2FD5">
      <w:pPr>
        <w:pStyle w:val="index2AR"/>
      </w:pPr>
      <w:proofErr w:type="gramStart"/>
      <w:r w:rsidRPr="00A326C6">
        <w:t>radiation</w:t>
      </w:r>
      <w:proofErr w:type="gramEnd"/>
      <w:r w:rsidRPr="00A326C6">
        <w:t xml:space="preserve"> exposure of employees and public 67–73</w:t>
      </w:r>
    </w:p>
    <w:p w:rsidR="001B2FD5" w:rsidRPr="00A326C6" w:rsidRDefault="001B2FD5" w:rsidP="001B2FD5">
      <w:pPr>
        <w:pStyle w:val="index2AR"/>
      </w:pPr>
      <w:proofErr w:type="gramStart"/>
      <w:r w:rsidRPr="00A326C6">
        <w:t>rehabilitation</w:t>
      </w:r>
      <w:proofErr w:type="gramEnd"/>
      <w:r w:rsidRPr="00A326C6">
        <w:t xml:space="preserve"> of 72, 111–115, 141–146</w:t>
      </w:r>
    </w:p>
    <w:p w:rsidR="001B2FD5" w:rsidRPr="00A326C6" w:rsidRDefault="001B2FD5" w:rsidP="001B2FD5">
      <w:pPr>
        <w:pStyle w:val="index2AR"/>
      </w:pPr>
      <w:proofErr w:type="gramStart"/>
      <w:r w:rsidRPr="00A326C6">
        <w:t>research</w:t>
      </w:r>
      <w:proofErr w:type="gramEnd"/>
      <w:r w:rsidRPr="00A326C6">
        <w:t xml:space="preserve"> projects associated with 75–115</w:t>
      </w:r>
    </w:p>
    <w:p w:rsidR="001B2FD5" w:rsidRPr="00A326C6" w:rsidRDefault="001B2FD5" w:rsidP="001B2FD5">
      <w:pPr>
        <w:pStyle w:val="index2AR"/>
      </w:pPr>
      <w:proofErr w:type="gramStart"/>
      <w:r w:rsidRPr="00A326C6">
        <w:t>tailings</w:t>
      </w:r>
      <w:proofErr w:type="gramEnd"/>
      <w:r w:rsidRPr="00A326C6">
        <w:t xml:space="preserve"> and waste management 16</w:t>
      </w:r>
    </w:p>
    <w:p w:rsidR="001B2FD5" w:rsidRPr="00A326C6" w:rsidRDefault="001B2FD5" w:rsidP="001B2FD5">
      <w:pPr>
        <w:pStyle w:val="index2AR"/>
      </w:pPr>
      <w:proofErr w:type="gramStart"/>
      <w:r w:rsidRPr="00A326C6">
        <w:t>water</w:t>
      </w:r>
      <w:proofErr w:type="gramEnd"/>
      <w:r w:rsidRPr="00A326C6">
        <w:t xml:space="preserve"> management 12–15, 137</w:t>
      </w:r>
    </w:p>
    <w:p w:rsidR="001B2FD5" w:rsidRPr="00A326C6" w:rsidRDefault="001B2FD5" w:rsidP="001B2FD5">
      <w:pPr>
        <w:pStyle w:val="indexAR"/>
      </w:pPr>
      <w:proofErr w:type="gramStart"/>
      <w:r w:rsidRPr="00A326C6">
        <w:t>records</w:t>
      </w:r>
      <w:proofErr w:type="gramEnd"/>
      <w:r w:rsidRPr="00A326C6">
        <w:t xml:space="preserve"> management 133</w:t>
      </w:r>
    </w:p>
    <w:p w:rsidR="001B2FD5" w:rsidRPr="00A326C6" w:rsidRDefault="001B2FD5" w:rsidP="001B2FD5">
      <w:pPr>
        <w:pStyle w:val="indexAR"/>
      </w:pPr>
      <w:proofErr w:type="gramStart"/>
      <w:r w:rsidRPr="00A326C6">
        <w:t>reference</w:t>
      </w:r>
      <w:proofErr w:type="gramEnd"/>
      <w:r w:rsidRPr="00A326C6">
        <w:t xml:space="preserve"> state/baseline data for Ranger mine site 141</w:t>
      </w:r>
    </w:p>
    <w:p w:rsidR="001B2FD5" w:rsidRPr="00A326C6" w:rsidRDefault="001B2FD5" w:rsidP="001B2FD5">
      <w:pPr>
        <w:pStyle w:val="indexAR"/>
      </w:pPr>
      <w:proofErr w:type="gramStart"/>
      <w:r w:rsidRPr="00A326C6">
        <w:t>rehabilitation</w:t>
      </w:r>
      <w:proofErr w:type="gramEnd"/>
      <w:r w:rsidRPr="00A326C6">
        <w:t xml:space="preserve"> of minesites</w:t>
      </w:r>
    </w:p>
    <w:p w:rsidR="001B2FD5" w:rsidRPr="00A326C6" w:rsidRDefault="001B2FD5" w:rsidP="001B2FD5">
      <w:pPr>
        <w:pStyle w:val="index2AR"/>
      </w:pPr>
      <w:r w:rsidRPr="00A326C6">
        <w:t>Alligator Rivers Region 5</w:t>
      </w:r>
    </w:p>
    <w:p w:rsidR="001B2FD5" w:rsidRPr="00A326C6" w:rsidRDefault="001B2FD5" w:rsidP="001B2FD5">
      <w:pPr>
        <w:pStyle w:val="index2AR"/>
      </w:pPr>
      <w:r w:rsidRPr="00A326C6">
        <w:t>Jabiluka 57, 58, 147</w:t>
      </w:r>
    </w:p>
    <w:p w:rsidR="001B2FD5" w:rsidRPr="00A326C6" w:rsidRDefault="001B2FD5" w:rsidP="001B2FD5">
      <w:pPr>
        <w:pStyle w:val="index2AR"/>
      </w:pPr>
      <w:r w:rsidRPr="00A326C6">
        <w:t>Nabarlek 2, 4, 62, 64–65, 147–148</w:t>
      </w:r>
    </w:p>
    <w:p w:rsidR="001B2FD5" w:rsidRPr="00A326C6" w:rsidRDefault="001B2FD5" w:rsidP="001B2FD5">
      <w:pPr>
        <w:pStyle w:val="index2AR"/>
      </w:pPr>
      <w:r w:rsidRPr="00A326C6">
        <w:t>Olympic Dam 74</w:t>
      </w:r>
    </w:p>
    <w:p w:rsidR="001B2FD5" w:rsidRPr="00A326C6" w:rsidRDefault="001B2FD5" w:rsidP="001B2FD5">
      <w:pPr>
        <w:pStyle w:val="index2AR"/>
      </w:pPr>
      <w:r w:rsidRPr="00A326C6">
        <w:t>Ranger 72, 111–115, 141–146</w:t>
      </w:r>
    </w:p>
    <w:p w:rsidR="001B2FD5" w:rsidRPr="00A326C6" w:rsidRDefault="001B2FD5" w:rsidP="001B2FD5">
      <w:pPr>
        <w:pStyle w:val="index2AR"/>
      </w:pPr>
      <w:r w:rsidRPr="00A326C6">
        <w:t>South Alligator River Valley 63–64, 149</w:t>
      </w:r>
    </w:p>
    <w:p w:rsidR="001B2FD5" w:rsidRPr="00A326C6" w:rsidRDefault="001B2FD5" w:rsidP="001B2FD5">
      <w:pPr>
        <w:pStyle w:val="indexAR"/>
      </w:pPr>
      <w:proofErr w:type="gramStart"/>
      <w:r w:rsidRPr="00A326C6">
        <w:t>remote</w:t>
      </w:r>
      <w:proofErr w:type="gramEnd"/>
      <w:r w:rsidRPr="00A326C6">
        <w:t xml:space="preserve"> sensing 101–105</w:t>
      </w:r>
    </w:p>
    <w:p w:rsidR="001B2FD5" w:rsidRPr="00A326C6" w:rsidRDefault="001B2FD5" w:rsidP="001B2FD5">
      <w:pPr>
        <w:pStyle w:val="indexAR"/>
      </w:pPr>
      <w:proofErr w:type="gramStart"/>
      <w:r w:rsidRPr="00A326C6">
        <w:t>reports</w:t>
      </w:r>
      <w:proofErr w:type="gramEnd"/>
      <w:r w:rsidRPr="00A326C6">
        <w:t>, plans and applications assessed 9</w:t>
      </w:r>
    </w:p>
    <w:p w:rsidR="001B2FD5" w:rsidRPr="00A326C6" w:rsidRDefault="001B2FD5" w:rsidP="001B2FD5">
      <w:pPr>
        <w:pStyle w:val="indexAR"/>
      </w:pPr>
      <w:proofErr w:type="gramStart"/>
      <w:r w:rsidRPr="00A326C6">
        <w:t>research</w:t>
      </w:r>
      <w:proofErr w:type="gramEnd"/>
    </w:p>
    <w:p w:rsidR="001B2FD5" w:rsidRPr="00A326C6" w:rsidRDefault="001B2FD5" w:rsidP="001B2FD5">
      <w:pPr>
        <w:pStyle w:val="index2AR"/>
      </w:pPr>
      <w:proofErr w:type="gramStart"/>
      <w:r w:rsidRPr="00A326C6">
        <w:t>communication</w:t>
      </w:r>
      <w:proofErr w:type="gramEnd"/>
      <w:r w:rsidRPr="00A326C6">
        <w:t xml:space="preserve"> of results 126–128</w:t>
      </w:r>
    </w:p>
    <w:p w:rsidR="001B2FD5" w:rsidRPr="00A326C6" w:rsidRDefault="001B2FD5" w:rsidP="001B2FD5">
      <w:pPr>
        <w:pStyle w:val="index2AR"/>
      </w:pPr>
      <w:r w:rsidRPr="00A326C6">
        <w:t>Key Knowledge Needs 136–149</w:t>
      </w:r>
    </w:p>
    <w:p w:rsidR="001B2FD5" w:rsidRPr="00A326C6" w:rsidRDefault="001B2FD5" w:rsidP="001B2FD5">
      <w:pPr>
        <w:pStyle w:val="index2AR"/>
      </w:pPr>
      <w:proofErr w:type="gramStart"/>
      <w:r w:rsidRPr="00A326C6">
        <w:t>prior</w:t>
      </w:r>
      <w:proofErr w:type="gramEnd"/>
      <w:r w:rsidRPr="00A326C6">
        <w:t xml:space="preserve"> to development 147</w:t>
      </w:r>
    </w:p>
    <w:p w:rsidR="001B2FD5" w:rsidRPr="00A326C6" w:rsidRDefault="001B2FD5" w:rsidP="001B2FD5">
      <w:pPr>
        <w:pStyle w:val="index2AR"/>
      </w:pPr>
      <w:proofErr w:type="gramStart"/>
      <w:r w:rsidRPr="00A326C6">
        <w:t>projects</w:t>
      </w:r>
      <w:proofErr w:type="gramEnd"/>
      <w:r w:rsidRPr="00A326C6">
        <w:t xml:space="preserve"> 75–115, 157–159</w:t>
      </w:r>
    </w:p>
    <w:p w:rsidR="001B2FD5" w:rsidRPr="00A326C6" w:rsidRDefault="001B2FD5" w:rsidP="001B2FD5">
      <w:pPr>
        <w:pStyle w:val="index2AR"/>
      </w:pPr>
      <w:proofErr w:type="gramStart"/>
      <w:r w:rsidRPr="00A326C6">
        <w:t>protocols</w:t>
      </w:r>
      <w:proofErr w:type="gramEnd"/>
      <w:r w:rsidRPr="00A326C6">
        <w:t xml:space="preserve"> 125</w:t>
      </w:r>
    </w:p>
    <w:p w:rsidR="001B2FD5" w:rsidRPr="00A326C6" w:rsidRDefault="001B2FD5" w:rsidP="001B2FD5">
      <w:pPr>
        <w:pStyle w:val="indexAR"/>
      </w:pPr>
      <w:proofErr w:type="gramStart"/>
      <w:r w:rsidRPr="00A326C6">
        <w:t>riparian</w:t>
      </w:r>
      <w:proofErr w:type="gramEnd"/>
      <w:r w:rsidRPr="00A326C6">
        <w:t xml:space="preserve"> vegetation on Gulungul Creek 121</w:t>
      </w:r>
    </w:p>
    <w:p w:rsidR="001B2FD5" w:rsidRPr="00A326C6" w:rsidRDefault="001B2FD5" w:rsidP="001B2FD5">
      <w:pPr>
        <w:pStyle w:val="indexAR"/>
      </w:pPr>
      <w:proofErr w:type="gramStart"/>
      <w:r w:rsidRPr="00A326C6">
        <w:t>risk</w:t>
      </w:r>
      <w:proofErr w:type="gramEnd"/>
      <w:r w:rsidRPr="00A326C6">
        <w:t xml:space="preserve"> assessment </w:t>
      </w:r>
      <w:r w:rsidRPr="00A326C6">
        <w:rPr>
          <w:i/>
          <w:iCs/>
        </w:rPr>
        <w:t>see</w:t>
      </w:r>
      <w:r w:rsidRPr="00A326C6">
        <w:t xml:space="preserve"> ecological risk assessment</w:t>
      </w:r>
    </w:p>
    <w:p w:rsidR="001B2FD5" w:rsidRPr="00A326C6" w:rsidRDefault="001B2FD5" w:rsidP="001B2FD5">
      <w:pPr>
        <w:pStyle w:val="indexAR"/>
      </w:pPr>
      <w:r w:rsidRPr="00A326C6">
        <w:t>Rockhole Creek 14</w:t>
      </w:r>
    </w:p>
    <w:p w:rsidR="001B2FD5" w:rsidRPr="00A326C6" w:rsidRDefault="001B2FD5" w:rsidP="001B2FD5">
      <w:pPr>
        <w:pStyle w:val="indexAR"/>
      </w:pPr>
      <w:proofErr w:type="gramStart"/>
      <w:r w:rsidRPr="00A326C6">
        <w:t>role</w:t>
      </w:r>
      <w:proofErr w:type="gramEnd"/>
      <w:r w:rsidRPr="00A326C6">
        <w:t xml:space="preserve"> and function of Supervising Scientist 1</w:t>
      </w:r>
    </w:p>
    <w:p w:rsidR="001B2FD5" w:rsidRPr="00A326C6" w:rsidRDefault="001B2FD5" w:rsidP="001B2FD5">
      <w:pPr>
        <w:pStyle w:val="indexAR"/>
      </w:pPr>
      <w:r w:rsidRPr="00A326C6">
        <w:t>Routine Periodic Inspections (RPIs) 8–9, 16–18, 57–58, 62–63, 64–65</w:t>
      </w:r>
    </w:p>
    <w:p w:rsidR="001B2FD5" w:rsidRPr="00A326C6" w:rsidRDefault="001B2FD5" w:rsidP="001B2FD5">
      <w:pPr>
        <w:pStyle w:val="indexAR"/>
      </w:pPr>
      <w:r w:rsidRPr="00A326C6">
        <w:t>Rum Jungle mine site xi, 118–119</w:t>
      </w:r>
    </w:p>
    <w:p w:rsidR="001B2FD5" w:rsidRPr="00A326C6" w:rsidRDefault="001B2FD5" w:rsidP="001B2FD5">
      <w:pPr>
        <w:pStyle w:val="indexAR"/>
      </w:pPr>
      <w:r w:rsidRPr="00A326C6">
        <w:t>Rum Jungle Technical Working Group (RJTWG) xi, 118–119</w:t>
      </w:r>
    </w:p>
    <w:p w:rsidR="00632756" w:rsidRDefault="00632756" w:rsidP="00632756">
      <w:pPr>
        <w:pStyle w:val="indexAR-alpha"/>
      </w:pPr>
      <w:r>
        <w:t>S</w:t>
      </w:r>
    </w:p>
    <w:p w:rsidR="001B2FD5" w:rsidRPr="00A326C6" w:rsidRDefault="001B2FD5" w:rsidP="001B2FD5">
      <w:pPr>
        <w:pStyle w:val="indexAR"/>
      </w:pPr>
      <w:r w:rsidRPr="00A326C6">
        <w:t>Sandy Billabong 47, 48, 72</w:t>
      </w:r>
    </w:p>
    <w:p w:rsidR="001B2FD5" w:rsidRPr="00A326C6" w:rsidRDefault="001B2FD5" w:rsidP="001B2FD5">
      <w:pPr>
        <w:pStyle w:val="indexAR"/>
      </w:pPr>
      <w:r w:rsidRPr="00A326C6">
        <w:t>Sandy Shallow Billabong 55</w:t>
      </w:r>
    </w:p>
    <w:p w:rsidR="001B2FD5" w:rsidRPr="00A326C6" w:rsidRDefault="001B2FD5" w:rsidP="001B2FD5">
      <w:pPr>
        <w:pStyle w:val="indexAR"/>
      </w:pPr>
      <w:proofErr w:type="gramStart"/>
      <w:r w:rsidRPr="00A326C6">
        <w:t>school</w:t>
      </w:r>
      <w:proofErr w:type="gramEnd"/>
      <w:r w:rsidRPr="00A326C6">
        <w:t xml:space="preserve"> programs 122, 124, 130</w:t>
      </w:r>
    </w:p>
    <w:p w:rsidR="001B2FD5" w:rsidRPr="00A326C6" w:rsidRDefault="001B2FD5" w:rsidP="001B2FD5">
      <w:pPr>
        <w:pStyle w:val="indexAR"/>
      </w:pPr>
      <w:proofErr w:type="gramStart"/>
      <w:r w:rsidRPr="00A326C6">
        <w:t>science</w:t>
      </w:r>
      <w:proofErr w:type="gramEnd"/>
      <w:r w:rsidRPr="00A326C6">
        <w:t xml:space="preserve"> communication 126–128, 150–159</w:t>
      </w:r>
    </w:p>
    <w:p w:rsidR="001B2FD5" w:rsidRPr="00A326C6" w:rsidRDefault="001B2FD5" w:rsidP="001B2FD5">
      <w:pPr>
        <w:pStyle w:val="indexAR"/>
      </w:pPr>
      <w:r w:rsidRPr="00A326C6">
        <w:t>Science Division 130</w:t>
      </w:r>
    </w:p>
    <w:p w:rsidR="001B2FD5" w:rsidRPr="00A326C6" w:rsidRDefault="001B2FD5" w:rsidP="001B2FD5">
      <w:pPr>
        <w:pStyle w:val="indexAR"/>
      </w:pPr>
      <w:r w:rsidRPr="00A326C6">
        <w:t>Science Knowledge &amp; Communication unit 122, 123</w:t>
      </w:r>
    </w:p>
    <w:p w:rsidR="001B2FD5" w:rsidRPr="00A326C6" w:rsidRDefault="001B2FD5" w:rsidP="001B2FD5">
      <w:pPr>
        <w:pStyle w:val="indexAR"/>
      </w:pPr>
      <w:proofErr w:type="gramStart"/>
      <w:r w:rsidRPr="00A326C6">
        <w:t>senior</w:t>
      </w:r>
      <w:proofErr w:type="gramEnd"/>
      <w:r w:rsidRPr="00A326C6">
        <w:t xml:space="preserve"> executive 129</w:t>
      </w:r>
    </w:p>
    <w:p w:rsidR="001B2FD5" w:rsidRPr="00A326C6" w:rsidRDefault="001B2FD5" w:rsidP="001B2FD5">
      <w:pPr>
        <w:pStyle w:val="indexAR"/>
      </w:pPr>
      <w:proofErr w:type="gramStart"/>
      <w:r w:rsidRPr="00A326C6">
        <w:t>shallow</w:t>
      </w:r>
      <w:proofErr w:type="gramEnd"/>
      <w:r w:rsidRPr="00A326C6">
        <w:t xml:space="preserve"> lowland billabongs 55–57</w:t>
      </w:r>
    </w:p>
    <w:p w:rsidR="001B2FD5" w:rsidRPr="00A326C6" w:rsidRDefault="001B2FD5" w:rsidP="001B2FD5">
      <w:pPr>
        <w:pStyle w:val="indexAR"/>
      </w:pPr>
      <w:r w:rsidRPr="00A326C6">
        <w:t>Skycam Swampfox UAV 103</w:t>
      </w:r>
    </w:p>
    <w:p w:rsidR="001B2FD5" w:rsidRPr="00A326C6" w:rsidRDefault="001B2FD5" w:rsidP="001B2FD5">
      <w:pPr>
        <w:pStyle w:val="indexAR"/>
      </w:pPr>
      <w:proofErr w:type="gramStart"/>
      <w:r w:rsidRPr="00A326C6">
        <w:t>snails</w:t>
      </w:r>
      <w:proofErr w:type="gramEnd"/>
      <w:r w:rsidRPr="00A326C6">
        <w:t>, freshwater x, 43–46, 86–92</w:t>
      </w:r>
    </w:p>
    <w:p w:rsidR="001B2FD5" w:rsidRPr="00A326C6" w:rsidRDefault="001B2FD5" w:rsidP="001B2FD5">
      <w:pPr>
        <w:pStyle w:val="indexAR"/>
      </w:pPr>
      <w:proofErr w:type="gramStart"/>
      <w:r w:rsidRPr="00A326C6">
        <w:t>solute</w:t>
      </w:r>
      <w:proofErr w:type="gramEnd"/>
      <w:r w:rsidRPr="00A326C6">
        <w:t xml:space="preserve"> mass balance 140</w:t>
      </w:r>
    </w:p>
    <w:p w:rsidR="001B2FD5" w:rsidRPr="00A326C6" w:rsidRDefault="001B2FD5" w:rsidP="001B2FD5">
      <w:pPr>
        <w:pStyle w:val="indexAR"/>
      </w:pPr>
      <w:r w:rsidRPr="00A326C6">
        <w:t>South Alligator River 2, 4</w:t>
      </w:r>
    </w:p>
    <w:p w:rsidR="001B2FD5" w:rsidRPr="00A326C6" w:rsidRDefault="001B2FD5" w:rsidP="001B2FD5">
      <w:pPr>
        <w:pStyle w:val="indexAR"/>
      </w:pPr>
      <w:r w:rsidRPr="00A326C6">
        <w:t>South Alligator River Valley 2, 4, 9, 75</w:t>
      </w:r>
    </w:p>
    <w:p w:rsidR="001B2FD5" w:rsidRPr="00A326C6" w:rsidRDefault="001B2FD5" w:rsidP="001B2FD5">
      <w:pPr>
        <w:pStyle w:val="index2AR"/>
      </w:pPr>
      <w:proofErr w:type="gramStart"/>
      <w:r w:rsidRPr="00A326C6">
        <w:t>rehabilitation</w:t>
      </w:r>
      <w:proofErr w:type="gramEnd"/>
      <w:r w:rsidRPr="00A326C6">
        <w:t xml:space="preserve"> of minesites xi, 6, 7, 63–64, 148, 149</w:t>
      </w:r>
    </w:p>
    <w:p w:rsidR="001B2FD5" w:rsidRPr="00A326C6" w:rsidRDefault="001B2FD5" w:rsidP="001B2FD5">
      <w:pPr>
        <w:pStyle w:val="indexAR"/>
      </w:pPr>
      <w:r w:rsidRPr="00A326C6">
        <w:t>SPIRE system 133</w:t>
      </w:r>
    </w:p>
    <w:p w:rsidR="001B2FD5" w:rsidRPr="00A326C6" w:rsidRDefault="001B2FD5" w:rsidP="001B2FD5">
      <w:pPr>
        <w:pStyle w:val="indexAR"/>
      </w:pPr>
      <w:proofErr w:type="gramStart"/>
      <w:r w:rsidRPr="00A326C6">
        <w:t>staff</w:t>
      </w:r>
      <w:proofErr w:type="gramEnd"/>
    </w:p>
    <w:p w:rsidR="001B2FD5" w:rsidRPr="00A326C6" w:rsidRDefault="001B2FD5" w:rsidP="001B2FD5">
      <w:pPr>
        <w:pStyle w:val="index2AR"/>
      </w:pPr>
      <w:proofErr w:type="gramStart"/>
      <w:r w:rsidRPr="00A326C6">
        <w:t>apprenticeships</w:t>
      </w:r>
      <w:proofErr w:type="gramEnd"/>
      <w:r w:rsidRPr="00A326C6">
        <w:t xml:space="preserve"> 122, 130</w:t>
      </w:r>
    </w:p>
    <w:p w:rsidR="001B2FD5" w:rsidRPr="00A326C6" w:rsidRDefault="001B2FD5" w:rsidP="001B2FD5">
      <w:pPr>
        <w:pStyle w:val="index2AR"/>
      </w:pPr>
      <w:proofErr w:type="gramStart"/>
      <w:r w:rsidRPr="00A326C6">
        <w:t>health</w:t>
      </w:r>
      <w:proofErr w:type="gramEnd"/>
      <w:r w:rsidRPr="00A326C6">
        <w:t xml:space="preserve"> and wellbeing programme 131</w:t>
      </w:r>
    </w:p>
    <w:p w:rsidR="001B2FD5" w:rsidRPr="00A326C6" w:rsidRDefault="001B2FD5" w:rsidP="001B2FD5">
      <w:pPr>
        <w:pStyle w:val="index2AR"/>
      </w:pPr>
      <w:proofErr w:type="gramStart"/>
      <w:r w:rsidRPr="00A326C6">
        <w:t>numbers</w:t>
      </w:r>
      <w:proofErr w:type="gramEnd"/>
      <w:r w:rsidRPr="00A326C6">
        <w:t xml:space="preserve"> and locations 130</w:t>
      </w:r>
    </w:p>
    <w:p w:rsidR="001B2FD5" w:rsidRPr="00A326C6" w:rsidRDefault="001B2FD5" w:rsidP="001B2FD5">
      <w:pPr>
        <w:pStyle w:val="index2AR"/>
      </w:pPr>
      <w:proofErr w:type="gramStart"/>
      <w:r w:rsidRPr="00A326C6">
        <w:t>training</w:t>
      </w:r>
      <w:proofErr w:type="gramEnd"/>
      <w:r w:rsidRPr="00A326C6">
        <w:t xml:space="preserve"> and development 130–131</w:t>
      </w:r>
    </w:p>
    <w:p w:rsidR="001B2FD5" w:rsidRPr="00A326C6" w:rsidRDefault="001B2FD5" w:rsidP="001B2FD5">
      <w:pPr>
        <w:pStyle w:val="indexAR"/>
      </w:pPr>
      <w:proofErr w:type="gramStart"/>
      <w:r w:rsidRPr="00A326C6">
        <w:t>stakeholder</w:t>
      </w:r>
      <w:proofErr w:type="gramEnd"/>
      <w:r w:rsidRPr="00A326C6">
        <w:t xml:space="preserve"> consultation 124–125</w:t>
      </w:r>
    </w:p>
    <w:p w:rsidR="001B2FD5" w:rsidRPr="00A326C6" w:rsidRDefault="001B2FD5" w:rsidP="001B2FD5">
      <w:pPr>
        <w:pStyle w:val="indexAR"/>
      </w:pPr>
      <w:proofErr w:type="gramStart"/>
      <w:r w:rsidRPr="00A326C6">
        <w:t>stakeholders</w:t>
      </w:r>
      <w:proofErr w:type="gramEnd"/>
      <w:r w:rsidRPr="00A326C6">
        <w:t xml:space="preserve"> 5–6</w:t>
      </w:r>
    </w:p>
    <w:p w:rsidR="001B2FD5" w:rsidRPr="00A326C6" w:rsidRDefault="001B2FD5" w:rsidP="001B2FD5">
      <w:pPr>
        <w:pStyle w:val="indexAR"/>
      </w:pPr>
      <w:proofErr w:type="gramStart"/>
      <w:r w:rsidRPr="00A326C6">
        <w:t>statutory</w:t>
      </w:r>
      <w:proofErr w:type="gramEnd"/>
      <w:r w:rsidRPr="00A326C6">
        <w:t xml:space="preserve"> committees 5–7</w:t>
      </w:r>
    </w:p>
    <w:p w:rsidR="001B2FD5" w:rsidRPr="00A326C6" w:rsidRDefault="001B2FD5" w:rsidP="001B2FD5">
      <w:pPr>
        <w:pStyle w:val="indexAR"/>
      </w:pPr>
      <w:r w:rsidRPr="00A326C6">
        <w:t>Stewardship (concept) 146</w:t>
      </w:r>
    </w:p>
    <w:p w:rsidR="001B2FD5" w:rsidRPr="00A326C6" w:rsidRDefault="001B2FD5" w:rsidP="001B2FD5">
      <w:pPr>
        <w:pStyle w:val="indexAR"/>
      </w:pPr>
      <w:r w:rsidRPr="00A326C6">
        <w:t>Supervising Scientist 5, 129</w:t>
      </w:r>
    </w:p>
    <w:p w:rsidR="001B2FD5" w:rsidRPr="00A326C6" w:rsidRDefault="001B2FD5" w:rsidP="001B2FD5">
      <w:pPr>
        <w:pStyle w:val="index2AR"/>
      </w:pPr>
      <w:proofErr w:type="gramStart"/>
      <w:r w:rsidRPr="00A326C6">
        <w:t>overview</w:t>
      </w:r>
      <w:proofErr w:type="gramEnd"/>
      <w:r w:rsidRPr="00A326C6">
        <w:t xml:space="preserve"> by ix–xii</w:t>
      </w:r>
    </w:p>
    <w:p w:rsidR="001B2FD5" w:rsidRPr="00A326C6" w:rsidRDefault="001B2FD5" w:rsidP="001B2FD5">
      <w:pPr>
        <w:pStyle w:val="index2AR"/>
      </w:pPr>
      <w:proofErr w:type="gramStart"/>
      <w:r w:rsidRPr="00A326C6">
        <w:t>role</w:t>
      </w:r>
      <w:proofErr w:type="gramEnd"/>
      <w:r w:rsidRPr="00A326C6">
        <w:t xml:space="preserve"> and function 1</w:t>
      </w:r>
    </w:p>
    <w:p w:rsidR="001B2FD5" w:rsidRPr="00A326C6" w:rsidRDefault="001B2FD5" w:rsidP="001B2FD5">
      <w:pPr>
        <w:pStyle w:val="indexAR"/>
      </w:pPr>
      <w:r w:rsidRPr="00A326C6">
        <w:t>Supervising Scientist Division (SSD) 1</w:t>
      </w:r>
    </w:p>
    <w:p w:rsidR="001B2FD5" w:rsidRPr="00A326C6" w:rsidRDefault="001B2FD5" w:rsidP="001B2FD5">
      <w:pPr>
        <w:pStyle w:val="index2AR"/>
      </w:pPr>
      <w:proofErr w:type="gramStart"/>
      <w:r w:rsidRPr="00A326C6">
        <w:t>administrative</w:t>
      </w:r>
      <w:proofErr w:type="gramEnd"/>
      <w:r w:rsidRPr="00A326C6">
        <w:t xml:space="preserve"> arrangements 129–135</w:t>
      </w:r>
    </w:p>
    <w:p w:rsidR="001B2FD5" w:rsidRPr="00A326C6" w:rsidRDefault="001B2FD5" w:rsidP="001B2FD5">
      <w:pPr>
        <w:pStyle w:val="index2AR"/>
      </w:pPr>
      <w:proofErr w:type="gramStart"/>
      <w:r w:rsidRPr="00A326C6">
        <w:t>and</w:t>
      </w:r>
      <w:proofErr w:type="gramEnd"/>
      <w:r w:rsidRPr="00A326C6">
        <w:t xml:space="preserve"> departmental restructure xi</w:t>
      </w:r>
    </w:p>
    <w:p w:rsidR="001B2FD5" w:rsidRPr="00A326C6" w:rsidRDefault="001B2FD5" w:rsidP="001B2FD5">
      <w:pPr>
        <w:pStyle w:val="index2AR"/>
      </w:pPr>
      <w:proofErr w:type="gramStart"/>
      <w:r w:rsidRPr="00A326C6">
        <w:t>facilities</w:t>
      </w:r>
      <w:proofErr w:type="gramEnd"/>
      <w:r w:rsidRPr="00A326C6">
        <w:t xml:space="preserve"> 132–133</w:t>
      </w:r>
    </w:p>
    <w:p w:rsidR="001B2FD5" w:rsidRPr="00A326C6" w:rsidRDefault="001B2FD5" w:rsidP="001B2FD5">
      <w:pPr>
        <w:pStyle w:val="index2AR"/>
      </w:pPr>
      <w:proofErr w:type="gramStart"/>
      <w:r w:rsidRPr="00A326C6">
        <w:t>finance</w:t>
      </w:r>
      <w:proofErr w:type="gramEnd"/>
      <w:r w:rsidRPr="00A326C6">
        <w:t xml:space="preserve"> 131–132</w:t>
      </w:r>
    </w:p>
    <w:p w:rsidR="001B2FD5" w:rsidRPr="00A326C6" w:rsidRDefault="001B2FD5" w:rsidP="001B2FD5">
      <w:pPr>
        <w:pStyle w:val="index2AR"/>
      </w:pPr>
      <w:proofErr w:type="gramStart"/>
      <w:r w:rsidRPr="00A326C6">
        <w:t>information</w:t>
      </w:r>
      <w:proofErr w:type="gramEnd"/>
      <w:r w:rsidRPr="00A326C6">
        <w:t xml:space="preserve"> management 133</w:t>
      </w:r>
    </w:p>
    <w:p w:rsidR="001B2FD5" w:rsidRPr="00A326C6" w:rsidRDefault="001B2FD5" w:rsidP="001B2FD5">
      <w:pPr>
        <w:pStyle w:val="index2AR"/>
      </w:pPr>
      <w:proofErr w:type="gramStart"/>
      <w:r w:rsidRPr="00A326C6">
        <w:t>structure</w:t>
      </w:r>
      <w:proofErr w:type="gramEnd"/>
      <w:r w:rsidRPr="00A326C6">
        <w:t xml:space="preserve"> 129–130</w:t>
      </w:r>
    </w:p>
    <w:p w:rsidR="001B2FD5" w:rsidRPr="00A326C6" w:rsidRDefault="001B2FD5" w:rsidP="001B2FD5">
      <w:pPr>
        <w:pStyle w:val="index2AR"/>
      </w:pPr>
      <w:proofErr w:type="gramStart"/>
      <w:r w:rsidRPr="00A326C6">
        <w:t>supervisory</w:t>
      </w:r>
      <w:proofErr w:type="gramEnd"/>
      <w:r w:rsidRPr="00A326C6">
        <w:t xml:space="preserve"> processes 8–9</w:t>
      </w:r>
    </w:p>
    <w:p w:rsidR="001B2FD5" w:rsidRPr="00A326C6" w:rsidRDefault="001B2FD5" w:rsidP="001B2FD5">
      <w:pPr>
        <w:pStyle w:val="index2AR"/>
      </w:pPr>
      <w:proofErr w:type="gramStart"/>
      <w:r w:rsidRPr="00A326C6">
        <w:t>website</w:t>
      </w:r>
      <w:proofErr w:type="gramEnd"/>
      <w:r w:rsidRPr="00A326C6">
        <w:t xml:space="preserve"> 126</w:t>
      </w:r>
    </w:p>
    <w:p w:rsidR="001B2FD5" w:rsidRPr="00A326C6" w:rsidRDefault="001B2FD5" w:rsidP="001B2FD5">
      <w:pPr>
        <w:pStyle w:val="indexAR"/>
      </w:pPr>
      <w:proofErr w:type="gramStart"/>
      <w:r w:rsidRPr="00A326C6">
        <w:t>supervision</w:t>
      </w:r>
      <w:proofErr w:type="gramEnd"/>
      <w:r w:rsidRPr="00A326C6">
        <w:t xml:space="preserve"> process in environmental assessments of uranium mines 8–9</w:t>
      </w:r>
    </w:p>
    <w:p w:rsidR="001B2FD5" w:rsidRPr="00A326C6" w:rsidRDefault="001B2FD5" w:rsidP="001B2FD5">
      <w:pPr>
        <w:pStyle w:val="indexAR"/>
      </w:pPr>
      <w:proofErr w:type="gramStart"/>
      <w:r w:rsidRPr="00A326C6">
        <w:t>surface</w:t>
      </w:r>
      <w:proofErr w:type="gramEnd"/>
      <w:r w:rsidRPr="00A326C6">
        <w:t xml:space="preserve"> water pathway 138–139</w:t>
      </w:r>
    </w:p>
    <w:p w:rsidR="001B2FD5" w:rsidRPr="00A326C6" w:rsidRDefault="001B2FD5" w:rsidP="001B2FD5">
      <w:pPr>
        <w:pStyle w:val="indexAR"/>
      </w:pPr>
      <w:proofErr w:type="gramStart"/>
      <w:r w:rsidRPr="00A326C6">
        <w:t>surface</w:t>
      </w:r>
      <w:proofErr w:type="gramEnd"/>
      <w:r w:rsidRPr="00A326C6">
        <w:t xml:space="preserve"> water quality x, 22–42, 59–61, 142</w:t>
      </w:r>
    </w:p>
    <w:p w:rsidR="001B2FD5" w:rsidRPr="00A326C6" w:rsidRDefault="001B2FD5" w:rsidP="001B2FD5">
      <w:pPr>
        <w:pStyle w:val="indexAR"/>
      </w:pPr>
      <w:r w:rsidRPr="00A326C6">
        <w:t xml:space="preserve">Swift Creek </w:t>
      </w:r>
      <w:r w:rsidRPr="00A326C6">
        <w:rPr>
          <w:i/>
          <w:iCs/>
        </w:rPr>
        <w:t>see</w:t>
      </w:r>
      <w:r w:rsidRPr="00A326C6">
        <w:t xml:space="preserve"> Ngarradj (Swift Creek)</w:t>
      </w:r>
    </w:p>
    <w:p w:rsidR="00632756" w:rsidRDefault="00632756" w:rsidP="00632756">
      <w:pPr>
        <w:pStyle w:val="indexAR-alpha"/>
      </w:pPr>
      <w:r>
        <w:t>T</w:t>
      </w:r>
    </w:p>
    <w:p w:rsidR="001B2FD5" w:rsidRPr="00A326C6" w:rsidRDefault="001B2FD5" w:rsidP="001B2FD5">
      <w:pPr>
        <w:pStyle w:val="indexAR"/>
      </w:pPr>
      <w:proofErr w:type="gramStart"/>
      <w:r w:rsidRPr="00A326C6">
        <w:t>tailings</w:t>
      </w:r>
      <w:proofErr w:type="gramEnd"/>
      <w:r w:rsidRPr="00A326C6">
        <w:t xml:space="preserve"> 16, 143</w:t>
      </w:r>
    </w:p>
    <w:p w:rsidR="001B2FD5" w:rsidRPr="00A326C6" w:rsidRDefault="001B2FD5" w:rsidP="001B2FD5">
      <w:pPr>
        <w:pStyle w:val="indexAR"/>
      </w:pPr>
      <w:r w:rsidRPr="00A326C6">
        <w:t>Tailings Storage Facility (TSF) ix, 16</w:t>
      </w:r>
    </w:p>
    <w:p w:rsidR="001B2FD5" w:rsidRPr="00A326C6" w:rsidRDefault="001B2FD5" w:rsidP="001B2FD5">
      <w:pPr>
        <w:pStyle w:val="indexAR"/>
      </w:pPr>
      <w:proofErr w:type="gramStart"/>
      <w:r w:rsidRPr="00A326C6">
        <w:t>terminology</w:t>
      </w:r>
      <w:proofErr w:type="gramEnd"/>
      <w:r w:rsidRPr="00A326C6">
        <w:t xml:space="preserve"> (definitions) 160–166</w:t>
      </w:r>
    </w:p>
    <w:p w:rsidR="001B2FD5" w:rsidRPr="00A326C6" w:rsidRDefault="001B2FD5" w:rsidP="001B2FD5">
      <w:pPr>
        <w:pStyle w:val="indexAR"/>
      </w:pPr>
      <w:proofErr w:type="gramStart"/>
      <w:r w:rsidRPr="00A326C6">
        <w:t>toxicity</w:t>
      </w:r>
      <w:proofErr w:type="gramEnd"/>
      <w:r w:rsidRPr="00A326C6">
        <w:t xml:space="preserve"> monitoring x, 42–46, 86–92</w:t>
      </w:r>
    </w:p>
    <w:p w:rsidR="001B2FD5" w:rsidRPr="00A326C6" w:rsidRDefault="001B2FD5" w:rsidP="001B2FD5">
      <w:pPr>
        <w:pStyle w:val="indexAR"/>
      </w:pPr>
      <w:proofErr w:type="gramStart"/>
      <w:r w:rsidRPr="00A326C6">
        <w:t>toxicity</w:t>
      </w:r>
      <w:proofErr w:type="gramEnd"/>
      <w:r w:rsidRPr="00A326C6">
        <w:t xml:space="preserve"> of magnesium to Green hydra 76–83</w:t>
      </w:r>
    </w:p>
    <w:p w:rsidR="001B2FD5" w:rsidRPr="00A326C6" w:rsidRDefault="001B2FD5" w:rsidP="001B2FD5">
      <w:pPr>
        <w:pStyle w:val="indexAR"/>
      </w:pPr>
      <w:proofErr w:type="gramStart"/>
      <w:r w:rsidRPr="00A326C6">
        <w:t>toxicity</w:t>
      </w:r>
      <w:proofErr w:type="gramEnd"/>
      <w:r w:rsidRPr="00A326C6">
        <w:t xml:space="preserve"> of manganese to tropical freshwater species 83–85</w:t>
      </w:r>
    </w:p>
    <w:p w:rsidR="001B2FD5" w:rsidRPr="00A326C6" w:rsidRDefault="001B2FD5" w:rsidP="001B2FD5">
      <w:pPr>
        <w:pStyle w:val="indexAR"/>
      </w:pPr>
      <w:proofErr w:type="gramStart"/>
      <w:r w:rsidRPr="00A326C6">
        <w:t>toxicity</w:t>
      </w:r>
      <w:proofErr w:type="gramEnd"/>
      <w:r w:rsidRPr="00A326C6">
        <w:t xml:space="preserve"> testing methods for tropical marine species 120</w:t>
      </w:r>
    </w:p>
    <w:p w:rsidR="001B2FD5" w:rsidRPr="00A326C6" w:rsidRDefault="001B2FD5" w:rsidP="001B2FD5">
      <w:pPr>
        <w:pStyle w:val="indexAR"/>
      </w:pPr>
      <w:proofErr w:type="gramStart"/>
      <w:r w:rsidRPr="00A326C6">
        <w:t>traditional</w:t>
      </w:r>
      <w:proofErr w:type="gramEnd"/>
      <w:r w:rsidRPr="00A326C6">
        <w:t xml:space="preserve"> owners </w:t>
      </w:r>
      <w:r w:rsidRPr="00A326C6">
        <w:rPr>
          <w:i/>
          <w:iCs/>
        </w:rPr>
        <w:t>see</w:t>
      </w:r>
      <w:r w:rsidRPr="00A326C6">
        <w:t xml:space="preserve"> Indigenous peoples</w:t>
      </w:r>
    </w:p>
    <w:p w:rsidR="001B2FD5" w:rsidRPr="00A326C6" w:rsidRDefault="001B2FD5" w:rsidP="001B2FD5">
      <w:pPr>
        <w:pStyle w:val="indexAR"/>
      </w:pPr>
      <w:proofErr w:type="gramStart"/>
      <w:r w:rsidRPr="00A326C6">
        <w:t>training</w:t>
      </w:r>
      <w:proofErr w:type="gramEnd"/>
      <w:r w:rsidRPr="00A326C6">
        <w:t xml:space="preserve"> and development 122, 130–131</w:t>
      </w:r>
    </w:p>
    <w:p w:rsidR="001B2FD5" w:rsidRPr="00A326C6" w:rsidRDefault="001B2FD5" w:rsidP="001B2FD5">
      <w:pPr>
        <w:pStyle w:val="indexAR"/>
      </w:pPr>
      <w:proofErr w:type="gramStart"/>
      <w:r w:rsidRPr="00A326C6">
        <w:t>trigger</w:t>
      </w:r>
      <w:proofErr w:type="gramEnd"/>
      <w:r w:rsidRPr="00A326C6">
        <w:t xml:space="preserve"> values, water quality x, 76, 83–85</w:t>
      </w:r>
    </w:p>
    <w:p w:rsidR="001B2FD5" w:rsidRPr="00A326C6" w:rsidRDefault="001B2FD5" w:rsidP="001B2FD5">
      <w:pPr>
        <w:pStyle w:val="indexAR"/>
      </w:pPr>
      <w:proofErr w:type="gramStart"/>
      <w:r w:rsidRPr="00A326C6">
        <w:t>tropical</w:t>
      </w:r>
      <w:proofErr w:type="gramEnd"/>
      <w:r w:rsidRPr="00A326C6">
        <w:t xml:space="preserve"> marine species 120</w:t>
      </w:r>
    </w:p>
    <w:p w:rsidR="001B2FD5" w:rsidRPr="00A326C6" w:rsidRDefault="001B2FD5" w:rsidP="001B2FD5">
      <w:pPr>
        <w:pStyle w:val="indexAR"/>
      </w:pPr>
      <w:proofErr w:type="gramStart"/>
      <w:r w:rsidRPr="00A326C6">
        <w:t>turbidity</w:t>
      </w:r>
      <w:proofErr w:type="gramEnd"/>
      <w:r w:rsidRPr="00A326C6">
        <w:t xml:space="preserve"> 22, 27, 33, 38, 41, 60, 142</w:t>
      </w:r>
    </w:p>
    <w:p w:rsidR="001B2FD5" w:rsidRPr="00A326C6" w:rsidRDefault="001B2FD5" w:rsidP="001B2FD5">
      <w:pPr>
        <w:pStyle w:val="indexAR"/>
      </w:pPr>
      <w:r w:rsidRPr="00A326C6">
        <w:t>Two Rocks prospect 64</w:t>
      </w:r>
    </w:p>
    <w:p w:rsidR="00632756" w:rsidRDefault="00632756" w:rsidP="00632756">
      <w:pPr>
        <w:pStyle w:val="indexAR-alpha"/>
      </w:pPr>
      <w:r>
        <w:t>U</w:t>
      </w:r>
    </w:p>
    <w:p w:rsidR="001B2FD5" w:rsidRPr="00A326C6" w:rsidRDefault="001B2FD5" w:rsidP="001B2FD5">
      <w:pPr>
        <w:pStyle w:val="indexAR"/>
      </w:pPr>
      <w:proofErr w:type="gramStart"/>
      <w:r w:rsidRPr="00A326C6">
        <w:t>unpublished</w:t>
      </w:r>
      <w:proofErr w:type="gramEnd"/>
      <w:r w:rsidRPr="00A326C6">
        <w:t xml:space="preserve"> papers and reports 153–154</w:t>
      </w:r>
    </w:p>
    <w:p w:rsidR="001B2FD5" w:rsidRPr="00A326C6" w:rsidRDefault="001B2FD5" w:rsidP="001B2FD5">
      <w:pPr>
        <w:pStyle w:val="indexAR"/>
      </w:pPr>
      <w:r w:rsidRPr="00A326C6">
        <w:t>Uranium Equities Limited (UEL) xi, 4, 5, 8, 62, 63</w:t>
      </w:r>
    </w:p>
    <w:p w:rsidR="001B2FD5" w:rsidRPr="00A326C6" w:rsidRDefault="001B2FD5" w:rsidP="001B2FD5">
      <w:pPr>
        <w:pStyle w:val="indexAR"/>
      </w:pPr>
      <w:proofErr w:type="gramStart"/>
      <w:r w:rsidRPr="00A326C6">
        <w:t>uranium</w:t>
      </w:r>
      <w:proofErr w:type="gramEnd"/>
      <w:r w:rsidRPr="00A326C6">
        <w:t xml:space="preserve"> in freshwater mussels x, 48–49</w:t>
      </w:r>
    </w:p>
    <w:p w:rsidR="001B2FD5" w:rsidRPr="00A326C6" w:rsidRDefault="001B2FD5" w:rsidP="001B2FD5">
      <w:pPr>
        <w:pStyle w:val="indexAR"/>
      </w:pPr>
      <w:proofErr w:type="gramStart"/>
      <w:r w:rsidRPr="00A326C6">
        <w:t>uranium</w:t>
      </w:r>
      <w:proofErr w:type="gramEnd"/>
      <w:r w:rsidRPr="00A326C6">
        <w:t xml:space="preserve"> mining 2–4, 8–9, 74</w:t>
      </w:r>
    </w:p>
    <w:p w:rsidR="001B2FD5" w:rsidRPr="00A326C6" w:rsidRDefault="001B2FD5" w:rsidP="00E67090">
      <w:pPr>
        <w:pStyle w:val="index2AR"/>
      </w:pPr>
      <w:r w:rsidRPr="00A326C6">
        <w:t xml:space="preserve"> </w:t>
      </w:r>
      <w:proofErr w:type="gramStart"/>
      <w:r w:rsidRPr="00A326C6">
        <w:rPr>
          <w:i/>
          <w:iCs/>
        </w:rPr>
        <w:t>see</w:t>
      </w:r>
      <w:proofErr w:type="gramEnd"/>
      <w:r w:rsidRPr="00A326C6">
        <w:rPr>
          <w:i/>
          <w:iCs/>
        </w:rPr>
        <w:t xml:space="preserve"> also</w:t>
      </w:r>
      <w:r w:rsidRPr="00A326C6">
        <w:t xml:space="preserve"> environmental management; environmental protection; Jabiluka uranium mine; Nabarlek uranium mine; Ranger uranium mine</w:t>
      </w:r>
    </w:p>
    <w:p w:rsidR="001B2FD5" w:rsidRPr="00A326C6" w:rsidRDefault="001B2FD5" w:rsidP="001B2FD5">
      <w:pPr>
        <w:pStyle w:val="indexAR"/>
      </w:pPr>
      <w:r w:rsidRPr="00A326C6">
        <w:t>UXA Resources Limited Nabarlek Project 64–65</w:t>
      </w:r>
    </w:p>
    <w:p w:rsidR="00632756" w:rsidRDefault="00632756" w:rsidP="00632756">
      <w:pPr>
        <w:pStyle w:val="indexAR-alpha"/>
      </w:pPr>
      <w:r>
        <w:br w:type="column"/>
        <w:t>V</w:t>
      </w:r>
    </w:p>
    <w:p w:rsidR="00E67090" w:rsidRPr="00A326C6" w:rsidRDefault="00E67090" w:rsidP="00E67090">
      <w:pPr>
        <w:pStyle w:val="indexAR"/>
      </w:pPr>
      <w:proofErr w:type="gramStart"/>
      <w:r w:rsidRPr="00A326C6">
        <w:t>visitors</w:t>
      </w:r>
      <w:proofErr w:type="gramEnd"/>
      <w:r w:rsidRPr="00A326C6">
        <w:t xml:space="preserve"> 127–128</w:t>
      </w:r>
    </w:p>
    <w:p w:rsidR="00632756" w:rsidRDefault="00632756" w:rsidP="00632756">
      <w:pPr>
        <w:pStyle w:val="indexAR-alpha"/>
      </w:pPr>
      <w:r>
        <w:t>W</w:t>
      </w:r>
    </w:p>
    <w:p w:rsidR="00E67090" w:rsidRPr="00A326C6" w:rsidRDefault="00E67090" w:rsidP="00E67090">
      <w:pPr>
        <w:pStyle w:val="indexAR"/>
      </w:pPr>
      <w:proofErr w:type="gramStart"/>
      <w:r w:rsidRPr="00A326C6">
        <w:t>waste</w:t>
      </w:r>
      <w:proofErr w:type="gramEnd"/>
      <w:r w:rsidRPr="00A326C6">
        <w:t xml:space="preserve"> management 16</w:t>
      </w:r>
    </w:p>
    <w:p w:rsidR="00E67090" w:rsidRPr="00A326C6" w:rsidRDefault="00E67090" w:rsidP="00E67090">
      <w:pPr>
        <w:pStyle w:val="indexAR"/>
      </w:pPr>
      <w:proofErr w:type="gramStart"/>
      <w:r w:rsidRPr="00A326C6">
        <w:t>water</w:t>
      </w:r>
      <w:proofErr w:type="gramEnd"/>
      <w:r w:rsidRPr="00A326C6">
        <w:t xml:space="preserve"> management 12–15, 57, 59–61</w:t>
      </w:r>
    </w:p>
    <w:p w:rsidR="00E67090" w:rsidRPr="00A326C6" w:rsidRDefault="00E67090" w:rsidP="00E67090">
      <w:pPr>
        <w:pStyle w:val="indexAR"/>
      </w:pPr>
      <w:proofErr w:type="gramStart"/>
      <w:r w:rsidRPr="00A326C6">
        <w:t>water</w:t>
      </w:r>
      <w:proofErr w:type="gramEnd"/>
      <w:r w:rsidRPr="00A326C6">
        <w:t xml:space="preserve"> quality guidelines, national 117–118</w:t>
      </w:r>
    </w:p>
    <w:p w:rsidR="00E67090" w:rsidRPr="00A326C6" w:rsidRDefault="00E67090" w:rsidP="00E67090">
      <w:pPr>
        <w:pStyle w:val="indexAR"/>
      </w:pPr>
      <w:proofErr w:type="gramStart"/>
      <w:r w:rsidRPr="00A326C6">
        <w:t>water</w:t>
      </w:r>
      <w:proofErr w:type="gramEnd"/>
      <w:r w:rsidRPr="00A326C6">
        <w:t xml:space="preserve"> quality influence on snail egg production 89–91</w:t>
      </w:r>
    </w:p>
    <w:p w:rsidR="00E67090" w:rsidRPr="00A326C6" w:rsidRDefault="00E67090" w:rsidP="00E67090">
      <w:pPr>
        <w:pStyle w:val="indexAR"/>
      </w:pPr>
      <w:proofErr w:type="gramStart"/>
      <w:r w:rsidRPr="00A326C6">
        <w:t>water</w:t>
      </w:r>
      <w:proofErr w:type="gramEnd"/>
      <w:r w:rsidRPr="00A326C6">
        <w:t xml:space="preserve"> quality monitoring x, 22–42, 59–61, 140, 142</w:t>
      </w:r>
    </w:p>
    <w:p w:rsidR="00E67090" w:rsidRPr="00A326C6" w:rsidRDefault="00E67090" w:rsidP="00E67090">
      <w:pPr>
        <w:pStyle w:val="indexAR"/>
      </w:pPr>
      <w:proofErr w:type="gramStart"/>
      <w:r w:rsidRPr="00A326C6">
        <w:t>water</w:t>
      </w:r>
      <w:proofErr w:type="gramEnd"/>
      <w:r w:rsidRPr="00A326C6">
        <w:t xml:space="preserve"> quality trigger values (TVs) 76, 83–85</w:t>
      </w:r>
    </w:p>
    <w:p w:rsidR="00E67090" w:rsidRPr="00A326C6" w:rsidRDefault="00E67090" w:rsidP="00E67090">
      <w:pPr>
        <w:pStyle w:val="indexAR"/>
      </w:pPr>
      <w:proofErr w:type="gramStart"/>
      <w:r w:rsidRPr="00A326C6">
        <w:t>water</w:t>
      </w:r>
      <w:proofErr w:type="gramEnd"/>
      <w:r w:rsidRPr="00A326C6">
        <w:t xml:space="preserve"> temperature 22, 46, 87, 89–91</w:t>
      </w:r>
    </w:p>
    <w:p w:rsidR="00E67090" w:rsidRPr="00A326C6" w:rsidRDefault="00E67090" w:rsidP="00E67090">
      <w:pPr>
        <w:pStyle w:val="indexAR"/>
      </w:pPr>
      <w:proofErr w:type="gramStart"/>
      <w:r w:rsidRPr="00A326C6">
        <w:t>water</w:t>
      </w:r>
      <w:proofErr w:type="gramEnd"/>
      <w:r w:rsidRPr="00A326C6">
        <w:t xml:space="preserve"> treatment plants ix, 15</w:t>
      </w:r>
    </w:p>
    <w:p w:rsidR="00E67090" w:rsidRPr="00A326C6" w:rsidRDefault="00E67090" w:rsidP="00E67090">
      <w:pPr>
        <w:pStyle w:val="indexAR"/>
      </w:pPr>
      <w:proofErr w:type="gramStart"/>
      <w:r w:rsidRPr="00A326C6">
        <w:t>waterbodies</w:t>
      </w:r>
      <w:proofErr w:type="gramEnd"/>
      <w:r w:rsidRPr="00A326C6">
        <w:t xml:space="preserve"> and atmospheric monitoring sites xv</w:t>
      </w:r>
    </w:p>
    <w:p w:rsidR="00E67090" w:rsidRPr="00A326C6" w:rsidRDefault="00E67090" w:rsidP="00E67090">
      <w:pPr>
        <w:pStyle w:val="indexAR"/>
      </w:pPr>
      <w:proofErr w:type="gramStart"/>
      <w:r w:rsidRPr="00A326C6">
        <w:t>website</w:t>
      </w:r>
      <w:proofErr w:type="gramEnd"/>
      <w:r w:rsidRPr="00A326C6">
        <w:t xml:space="preserve"> 126</w:t>
      </w:r>
    </w:p>
    <w:p w:rsidR="00E67090" w:rsidRPr="00A326C6" w:rsidRDefault="00E67090" w:rsidP="00E67090">
      <w:pPr>
        <w:pStyle w:val="indexAR"/>
      </w:pPr>
      <w:r w:rsidRPr="00A326C6">
        <w:t>West Alligator River 2</w:t>
      </w:r>
    </w:p>
    <w:p w:rsidR="00E67090" w:rsidRPr="00A326C6" w:rsidRDefault="00E67090" w:rsidP="00E67090">
      <w:pPr>
        <w:pStyle w:val="indexAR"/>
      </w:pPr>
      <w:r w:rsidRPr="00A326C6">
        <w:t>West Arnhem College 124</w:t>
      </w:r>
    </w:p>
    <w:p w:rsidR="00E67090" w:rsidRPr="00A326C6" w:rsidRDefault="00E67090" w:rsidP="00E67090">
      <w:pPr>
        <w:pStyle w:val="indexAR"/>
      </w:pPr>
      <w:r w:rsidRPr="00A326C6">
        <w:t>West Arnhem Land 64–65, 149</w:t>
      </w:r>
    </w:p>
    <w:p w:rsidR="00E67090" w:rsidRPr="00A326C6" w:rsidRDefault="00E67090" w:rsidP="00E67090">
      <w:pPr>
        <w:pStyle w:val="indexAR"/>
      </w:pPr>
      <w:proofErr w:type="gramStart"/>
      <w:r w:rsidRPr="00A326C6">
        <w:t>wet</w:t>
      </w:r>
      <w:proofErr w:type="gramEnd"/>
      <w:r w:rsidRPr="00A326C6">
        <w:t xml:space="preserve"> season characteristics ix, x, 12, 14</w:t>
      </w:r>
    </w:p>
    <w:p w:rsidR="00E67090" w:rsidRPr="00A326C6" w:rsidRDefault="00E67090" w:rsidP="00E67090">
      <w:pPr>
        <w:pStyle w:val="indexAR"/>
      </w:pPr>
      <w:proofErr w:type="gramStart"/>
      <w:r w:rsidRPr="00A326C6">
        <w:t>wet</w:t>
      </w:r>
      <w:proofErr w:type="gramEnd"/>
      <w:r w:rsidRPr="00A326C6">
        <w:t xml:space="preserve"> season median difference 33</w:t>
      </w:r>
    </w:p>
    <w:p w:rsidR="00E67090" w:rsidRPr="00A326C6" w:rsidRDefault="00E67090" w:rsidP="00E67090">
      <w:pPr>
        <w:pStyle w:val="indexAR"/>
      </w:pPr>
      <w:proofErr w:type="gramStart"/>
      <w:r w:rsidRPr="00A326C6">
        <w:t>wet</w:t>
      </w:r>
      <w:proofErr w:type="gramEnd"/>
      <w:r w:rsidRPr="00A326C6">
        <w:t xml:space="preserve"> season monitoring x</w:t>
      </w:r>
    </w:p>
    <w:p w:rsidR="00E67090" w:rsidRPr="00A326C6" w:rsidRDefault="00E67090" w:rsidP="00E67090">
      <w:pPr>
        <w:pStyle w:val="indexAR"/>
      </w:pPr>
      <w:proofErr w:type="gramStart"/>
      <w:r w:rsidRPr="00A326C6">
        <w:t>wet</w:t>
      </w:r>
      <w:proofErr w:type="gramEnd"/>
      <w:r w:rsidRPr="00A326C6">
        <w:t xml:space="preserve"> season reports 9, 22</w:t>
      </w:r>
    </w:p>
    <w:p w:rsidR="00E67090" w:rsidRPr="00A326C6" w:rsidRDefault="00E67090" w:rsidP="00E67090">
      <w:pPr>
        <w:pStyle w:val="indexAR"/>
      </w:pPr>
      <w:proofErr w:type="gramStart"/>
      <w:r w:rsidRPr="00A326C6">
        <w:t>wetland</w:t>
      </w:r>
      <w:proofErr w:type="gramEnd"/>
      <w:r w:rsidRPr="00A326C6">
        <w:t xml:space="preserve"> filtration 19, 139</w:t>
      </w:r>
    </w:p>
    <w:p w:rsidR="00E67090" w:rsidRPr="00A326C6" w:rsidRDefault="00E67090" w:rsidP="00E67090">
      <w:pPr>
        <w:pStyle w:val="indexAR"/>
      </w:pPr>
      <w:proofErr w:type="gramStart"/>
      <w:r w:rsidRPr="00A326C6">
        <w:t>wildlife</w:t>
      </w:r>
      <w:proofErr w:type="gramEnd"/>
      <w:r w:rsidRPr="00A326C6">
        <w:t xml:space="preserve"> radionuclide uptake 117</w:t>
      </w:r>
    </w:p>
    <w:p w:rsidR="00E67090" w:rsidRPr="00A326C6" w:rsidRDefault="00E67090" w:rsidP="00E67090">
      <w:pPr>
        <w:pStyle w:val="indexAR"/>
      </w:pPr>
      <w:r w:rsidRPr="00A326C6">
        <w:t>Wiluna Uranium Project 74</w:t>
      </w:r>
    </w:p>
    <w:p w:rsidR="00E67090" w:rsidRPr="00A326C6" w:rsidRDefault="00E67090" w:rsidP="00E67090">
      <w:pPr>
        <w:pStyle w:val="indexAR"/>
      </w:pPr>
      <w:r w:rsidRPr="00A326C6">
        <w:t>Wirnmuyurr Billabong 55, 56</w:t>
      </w:r>
    </w:p>
    <w:p w:rsidR="00E67090" w:rsidRPr="00A326C6" w:rsidRDefault="00E67090" w:rsidP="00E67090">
      <w:pPr>
        <w:pStyle w:val="indexAR"/>
      </w:pPr>
      <w:proofErr w:type="gramStart"/>
      <w:r w:rsidRPr="00A326C6">
        <w:t>work</w:t>
      </w:r>
      <w:proofErr w:type="gramEnd"/>
      <w:r w:rsidRPr="00A326C6">
        <w:t xml:space="preserve"> health and safety 131</w:t>
      </w:r>
    </w:p>
    <w:p w:rsidR="00E67090" w:rsidRPr="00A326C6" w:rsidRDefault="00E67090" w:rsidP="00E67090">
      <w:pPr>
        <w:pStyle w:val="indexAR"/>
      </w:pPr>
      <w:proofErr w:type="gramStart"/>
      <w:r w:rsidRPr="00A326C6">
        <w:t>workforce</w:t>
      </w:r>
      <w:proofErr w:type="gramEnd"/>
      <w:r w:rsidRPr="00A326C6">
        <w:t xml:space="preserve"> management 130–131</w:t>
      </w:r>
    </w:p>
    <w:p w:rsidR="00E67090" w:rsidRDefault="00E67090" w:rsidP="00E67090">
      <w:pPr>
        <w:pStyle w:val="indexAR-alpha"/>
      </w:pPr>
      <w:r>
        <w:t>Y</w:t>
      </w:r>
    </w:p>
    <w:p w:rsidR="00CB301F" w:rsidRDefault="00E67090" w:rsidP="00E30949">
      <w:pPr>
        <w:pStyle w:val="indexAR"/>
      </w:pPr>
      <w:r w:rsidRPr="00A326C6">
        <w:t xml:space="preserve">Yea </w:t>
      </w:r>
      <w:r w:rsidR="00E30949">
        <w:t>and Acheron Rivers, Victoria 12</w:t>
      </w:r>
    </w:p>
    <w:p w:rsidR="00E30949" w:rsidRDefault="00E30949" w:rsidP="00E30949">
      <w:pPr>
        <w:pStyle w:val="indexAR"/>
      </w:pPr>
    </w:p>
    <w:p w:rsidR="00E30949" w:rsidRDefault="00E30949" w:rsidP="00E30949">
      <w:pPr>
        <w:pStyle w:val="indexAR"/>
      </w:pPr>
    </w:p>
    <w:p w:rsidR="00E30949" w:rsidRDefault="00E30949" w:rsidP="00E30949">
      <w:pPr>
        <w:pStyle w:val="indexAR"/>
      </w:pPr>
    </w:p>
    <w:p w:rsidR="00E30949" w:rsidRDefault="00E30949" w:rsidP="00E30949">
      <w:pPr>
        <w:pStyle w:val="indexAR"/>
      </w:pPr>
    </w:p>
    <w:p w:rsidR="00E30949" w:rsidRDefault="00E30949" w:rsidP="00E30949">
      <w:pPr>
        <w:pStyle w:val="indexAR"/>
      </w:pPr>
    </w:p>
    <w:p w:rsidR="00E30949" w:rsidRDefault="00E30949" w:rsidP="00E30949">
      <w:pPr>
        <w:pStyle w:val="indexAR"/>
      </w:pPr>
    </w:p>
    <w:p w:rsidR="00E30949" w:rsidRDefault="00E30949" w:rsidP="00E30949">
      <w:pPr>
        <w:pStyle w:val="indexAR"/>
      </w:pPr>
    </w:p>
    <w:p w:rsidR="00E30949" w:rsidRDefault="00E30949" w:rsidP="00E30949">
      <w:pPr>
        <w:pStyle w:val="indexAR"/>
      </w:pPr>
    </w:p>
    <w:p w:rsidR="00E30949" w:rsidRDefault="00E30949" w:rsidP="00E30949">
      <w:pPr>
        <w:pStyle w:val="indexAR"/>
      </w:pPr>
    </w:p>
    <w:p w:rsidR="00E30949" w:rsidRDefault="00E30949" w:rsidP="00E30949">
      <w:pPr>
        <w:pStyle w:val="indexAR"/>
      </w:pPr>
    </w:p>
    <w:p w:rsidR="00E30949" w:rsidRDefault="00E30949" w:rsidP="00654EDF">
      <w:pPr>
        <w:pStyle w:val="indexAR"/>
        <w:ind w:left="0" w:firstLine="0"/>
        <w:sectPr w:rsidR="00E30949" w:rsidSect="005F377A">
          <w:headerReference w:type="even" r:id="rId169"/>
          <w:headerReference w:type="default" r:id="rId170"/>
          <w:headerReference w:type="first" r:id="rId171"/>
          <w:pgSz w:w="10325" w:h="14573" w:code="13"/>
          <w:pgMar w:top="1440" w:right="1440" w:bottom="1440" w:left="1440" w:header="720" w:footer="720" w:gutter="0"/>
          <w:cols w:num="2" w:space="720"/>
          <w:noEndnote/>
          <w:titlePg/>
          <w:docGrid w:linePitch="272"/>
        </w:sectPr>
      </w:pPr>
    </w:p>
    <w:p w:rsidR="005475F7" w:rsidRPr="00A326C6" w:rsidRDefault="005475F7" w:rsidP="00043E89">
      <w:pPr>
        <w:pStyle w:val="indexAR"/>
        <w:ind w:left="0" w:firstLine="0"/>
      </w:pPr>
    </w:p>
    <w:sectPr w:rsidR="005475F7" w:rsidRPr="00A326C6" w:rsidSect="00ED0736">
      <w:pgSz w:w="12240" w:h="15840"/>
      <w:pgMar w:top="1440" w:right="1440" w:bottom="1440" w:left="1440" w:header="720" w:footer="720" w:gutter="0"/>
      <w:cols w:space="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A70C56" w:rsidRDefault="00A70C56" w:rsidP="00A00BA3">
      <w:r>
        <w:separator/>
      </w:r>
    </w:p>
  </w:endnote>
  <w:endnote w:type="continuationSeparator" w:id="0">
    <w:p w:rsidR="00A70C56" w:rsidRDefault="00A70C56" w:rsidP="00A00BA3">
      <w:r>
        <w:continuationSeparator/>
      </w:r>
    </w:p>
  </w:endnote>
</w:endnotes>
</file>

<file path=word/fontTable.xml><?xml version="1.0" encoding="utf-8"?>
<w:fonts xmlns:r="http://schemas.openxmlformats.org/officeDocument/2006/relationships" xmlns:w="http://schemas.openxmlformats.org/wordprocessingml/2006/main">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AFF" w:usb1="C0007843" w:usb2="00000009" w:usb3="00000000" w:csb0="000001FF" w:csb1="00000000"/>
  </w:font>
  <w:font w:name="Calibri">
    <w:panose1 w:val="020F0502020204030204"/>
    <w:charset w:val="00"/>
    <w:family w:val="swiss"/>
    <w:pitch w:val="variable"/>
    <w:sig w:usb0="E00002FF" w:usb1="4000ACFF" w:usb2="00000001" w:usb3="00000000" w:csb0="0000019F" w:csb1="00000000"/>
    <w:embedRegular r:id="rId1" w:fontKey="{0FFE9C26-021D-4FEE-9297-4370DA72C6C9}"/>
  </w:font>
  <w:font w:name="Arial Bold">
    <w:panose1 w:val="020B0704020202020204"/>
    <w:charset w:val="00"/>
    <w:family w:val="swiss"/>
    <w:notTrueType/>
    <w:pitch w:val="variable"/>
    <w:sig w:usb0="00000003" w:usb1="00000000" w:usb2="00000000" w:usb3="00000000" w:csb0="00000001" w:csb1="00000000"/>
  </w:font>
  <w:font w:name="Garamond">
    <w:panose1 w:val="02020404030301010803"/>
    <w:charset w:val="00"/>
    <w:family w:val="roman"/>
    <w:pitch w:val="variable"/>
    <w:sig w:usb0="00000287" w:usb1="00000000" w:usb2="00000000" w:usb3="00000000" w:csb0="0000009F" w:csb1="00000000"/>
    <w:embedRegular r:id="rId2" w:fontKey="{92CB338A-A443-45D1-B16A-43C754046C4E}"/>
    <w:embedBold r:id="rId3" w:fontKey="{BF59146E-1CF4-4EDD-9DAE-34C5069C5534}"/>
  </w:font>
  <w:font w:name="Tahoma">
    <w:panose1 w:val="020B0604030504040204"/>
    <w:charset w:val="00"/>
    <w:family w:val="swiss"/>
    <w:pitch w:val="variable"/>
    <w:sig w:usb0="E1002EFF" w:usb1="C000605B" w:usb2="00000029" w:usb3="00000000" w:csb0="000101FF" w:csb1="00000000"/>
    <w:embedRegular r:id="rId4" w:fontKey="{9E1551C2-23CD-4A60-BBC2-BFBDE24A5F90}"/>
  </w:font>
  <w:font w:name="Verdana">
    <w:panose1 w:val="020B0604030504040204"/>
    <w:charset w:val="00"/>
    <w:family w:val="swiss"/>
    <w:pitch w:val="variable"/>
    <w:sig w:usb0="A10006FF" w:usb1="4000205B" w:usb2="00000010" w:usb3="00000000" w:csb0="0000019F" w:csb1="00000000"/>
    <w:embedItalic r:id="rId5" w:fontKey="{9B07BBDB-F9B8-41E9-8604-E0F11265FFEA}"/>
  </w:font>
  <w:font w:name="DILDEL+Arial,Bold">
    <w:altName w:val="Arial"/>
    <w:panose1 w:val="00000000000000000000"/>
    <w:charset w:val="00"/>
    <w:family w:val="swiss"/>
    <w:notTrueType/>
    <w:pitch w:val="default"/>
    <w:sig w:usb0="00000003" w:usb1="00000000" w:usb2="00000000" w:usb3="00000000" w:csb0="00000001" w:csb1="00000000"/>
  </w:font>
  <w:font w:name="Georgia">
    <w:panose1 w:val="02040502050405020303"/>
    <w:charset w:val="00"/>
    <w:family w:val="roman"/>
    <w:pitch w:val="variable"/>
    <w:sig w:usb0="00000287" w:usb1="00000000" w:usb2="00000000" w:usb3="00000000" w:csb0="0000009F" w:csb1="00000000"/>
    <w:embedRegular r:id="rId6" w:fontKey="{102B78E1-004A-42FF-B337-9BC42FC1633F}"/>
  </w:font>
  <w:font w:name="Cambria">
    <w:panose1 w:val="02040503050406030204"/>
    <w:charset w:val="00"/>
    <w:family w:val="roman"/>
    <w:pitch w:val="variable"/>
    <w:sig w:usb0="E00002FF" w:usb1="400004FF" w:usb2="00000000" w:usb3="00000000" w:csb0="0000019F" w:csb1="00000000"/>
    <w:embedRegular r:id="rId7" w:fontKey="{6D24499F-DC02-4C24-8C96-C46A7CB7CC1A}"/>
    <w:embedBold r:id="rId8" w:fontKey="{81DDC049-5DF1-47C3-A6D2-5F92CE5CB211}"/>
  </w:font>
  <w:font w:name="Futura XBlk BT">
    <w:altName w:val="Trebuchet MS"/>
    <w:charset w:val="00"/>
    <w:family w:val="swiss"/>
    <w:pitch w:val="variable"/>
    <w:sig w:usb0="00000087" w:usb1="00000000" w:usb2="00000000" w:usb3="00000000" w:csb0="0000001B" w:csb1="00000000"/>
  </w:font>
  <w:font w:name="GarmdITC Bk BT">
    <w:altName w:val="Times New Roman"/>
    <w:charset w:val="00"/>
    <w:family w:val="roman"/>
    <w:pitch w:val="variable"/>
    <w:sig w:usb0="00000087" w:usb1="00000000" w:usb2="00000000" w:usb3="00000000" w:csb0="0000001B" w:csb1="00000000"/>
  </w:font>
  <w:font w:name="Adobe Garamond Pro">
    <w:panose1 w:val="00000000000000000000"/>
    <w:charset w:val="00"/>
    <w:family w:val="roman"/>
    <w:notTrueType/>
    <w:pitch w:val="variable"/>
    <w:sig w:usb0="00000007" w:usb1="00000001" w:usb2="00000000" w:usb3="00000000" w:csb0="00000093" w:csb1="00000000"/>
  </w:font>
  <w:font w:name="Arial Unicode MS">
    <w:panose1 w:val="020B0604020202020204"/>
    <w:charset w:val="80"/>
    <w:family w:val="swiss"/>
    <w:pitch w:val="variable"/>
    <w:sig w:usb0="F7FFAFFF" w:usb1="E9DFFFFF" w:usb2="0000003F" w:usb3="00000000" w:csb0="003F01FF" w:csb1="00000000"/>
  </w:font>
  <w:font w:name="Times New Roman Bold">
    <w:panose1 w:val="00000000000000000000"/>
    <w:charset w:val="00"/>
    <w:family w:val="roman"/>
    <w:notTrueType/>
    <w:pitch w:val="variable"/>
    <w:sig w:usb0="00000003" w:usb1="00000000" w:usb2="00000000" w:usb3="00000000" w:csb0="00000001" w:csb1="00000000"/>
  </w:font>
  <w:font w:name="Times">
    <w:panose1 w:val="02020603050405020304"/>
    <w:charset w:val="00"/>
    <w:family w:val="roman"/>
    <w:pitch w:val="variable"/>
    <w:sig w:usb0="E0002AFF" w:usb1="C0007841" w:usb2="00000009" w:usb3="00000000" w:csb0="000001FF" w:csb1="00000000"/>
    <w:embedRegular r:id="rId9" w:fontKey="{B684C55B-8B2A-45C0-8962-5FA433C52CD0}"/>
  </w:font>
  <w:font w:name="Cambria Math">
    <w:panose1 w:val="02040503050406030204"/>
    <w:charset w:val="00"/>
    <w:family w:val="roman"/>
    <w:pitch w:val="variable"/>
    <w:sig w:usb0="E00002FF" w:usb1="420024FF" w:usb2="00000000" w:usb3="00000000" w:csb0="0000019F" w:csb1="00000000"/>
    <w:embedRegular r:id="rId10" w:fontKey="{0D9125C3-16F4-4823-A33E-8D99D8A772A6}"/>
    <w:embedItalic r:id="rId11" w:fontKey="{57DFDFCF-85F2-466D-B7CB-3AA7A06558F7}"/>
  </w:font>
  <w:font w:name="TimesNewRomanPS-ItalicMT">
    <w:panose1 w:val="00000000000000000000"/>
    <w:charset w:val="00"/>
    <w:family w:val="roman"/>
    <w:notTrueType/>
    <w:pitch w:val="default"/>
    <w:sig w:usb0="00000003" w:usb1="00000000" w:usb2="00000000" w:usb3="00000000" w:csb0="00000001" w:csb1="00000000"/>
  </w:font>
  <w:font w:name="Helvetica">
    <w:panose1 w:val="020B0604020202020204"/>
    <w:charset w:val="00"/>
    <w:family w:val="swiss"/>
    <w:notTrueType/>
    <w:pitch w:val="variable"/>
    <w:sig w:usb0="00000003" w:usb1="00000000" w:usb2="00000000" w:usb3="00000000" w:csb0="00000001"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45ED" w:rsidRDefault="009C45ED">
    <w:pPr>
      <w:pStyle w:val="Footer"/>
    </w:pPr>
  </w:p>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4B0622" w:rsidRDefault="00F9111F">
    <w:pPr>
      <w:pStyle w:val="Footer"/>
      <w:rPr>
        <w:sz w:val="18"/>
        <w:szCs w:val="18"/>
      </w:rPr>
    </w:pPr>
    <w:r w:rsidRPr="004B0622">
      <w:rPr>
        <w:rStyle w:val="PageNumber"/>
        <w:sz w:val="18"/>
        <w:szCs w:val="18"/>
      </w:rPr>
      <w:fldChar w:fldCharType="begin"/>
    </w:r>
    <w:r w:rsidR="00A70C56" w:rsidRPr="004B0622">
      <w:rPr>
        <w:rStyle w:val="PageNumber"/>
        <w:sz w:val="18"/>
        <w:szCs w:val="18"/>
      </w:rPr>
      <w:instrText xml:space="preserve"> PAGE </w:instrText>
    </w:r>
    <w:r w:rsidRPr="004B0622">
      <w:rPr>
        <w:rStyle w:val="PageNumber"/>
        <w:sz w:val="18"/>
        <w:szCs w:val="18"/>
      </w:rPr>
      <w:fldChar w:fldCharType="separate"/>
    </w:r>
    <w:r w:rsidR="009C45ED">
      <w:rPr>
        <w:rStyle w:val="PageNumber"/>
        <w:noProof/>
        <w:sz w:val="18"/>
        <w:szCs w:val="18"/>
      </w:rPr>
      <w:t>126</w:t>
    </w:r>
    <w:r w:rsidRPr="004B0622">
      <w:rPr>
        <w:rStyle w:val="PageNumber"/>
        <w:sz w:val="18"/>
        <w:szCs w:val="18"/>
      </w:rPr>
      <w:fldChar w:fldCharType="end"/>
    </w: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4B0622" w:rsidRDefault="00F9111F">
    <w:pPr>
      <w:pStyle w:val="Footer"/>
      <w:rPr>
        <w:sz w:val="18"/>
        <w:szCs w:val="18"/>
      </w:rPr>
    </w:pPr>
    <w:r w:rsidRPr="004B0622">
      <w:rPr>
        <w:sz w:val="18"/>
        <w:szCs w:val="18"/>
      </w:rPr>
      <w:fldChar w:fldCharType="begin"/>
    </w:r>
    <w:r w:rsidR="00A70C56" w:rsidRPr="004B0622">
      <w:rPr>
        <w:sz w:val="18"/>
        <w:szCs w:val="18"/>
      </w:rPr>
      <w:instrText xml:space="preserve"> PAGE </w:instrText>
    </w:r>
    <w:r w:rsidRPr="004B0622">
      <w:rPr>
        <w:sz w:val="18"/>
        <w:szCs w:val="18"/>
      </w:rPr>
      <w:fldChar w:fldCharType="separate"/>
    </w:r>
    <w:r w:rsidR="009C45ED">
      <w:rPr>
        <w:noProof/>
        <w:sz w:val="18"/>
        <w:szCs w:val="18"/>
      </w:rPr>
      <w:t>127</w:t>
    </w:r>
    <w:r w:rsidRPr="004B0622">
      <w:rPr>
        <w:sz w:val="18"/>
        <w:szCs w:val="18"/>
      </w:rPr>
      <w:fldChar w:fldCharType="end"/>
    </w: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F9111F">
    <w:pPr>
      <w:pStyle w:val="Footer"/>
    </w:pPr>
    <w:r>
      <w:rPr>
        <w:rStyle w:val="PageNumber"/>
      </w:rPr>
      <w:fldChar w:fldCharType="begin"/>
    </w:r>
    <w:r w:rsidR="00A70C56">
      <w:rPr>
        <w:rStyle w:val="PageNumber"/>
      </w:rPr>
      <w:instrText xml:space="preserve"> PAGE </w:instrText>
    </w:r>
    <w:r>
      <w:rPr>
        <w:rStyle w:val="PageNumber"/>
      </w:rPr>
      <w:fldChar w:fldCharType="separate"/>
    </w:r>
    <w:r w:rsidR="009C45ED">
      <w:rPr>
        <w:rStyle w:val="PageNumber"/>
        <w:noProof/>
      </w:rPr>
      <w:t>128</w:t>
    </w:r>
    <w:r>
      <w:rPr>
        <w:rStyle w:val="PageNumber"/>
      </w:rPr>
      <w:fldChar w:fldCharType="end"/>
    </w:r>
  </w:p>
</w:ftr>
</file>

<file path=word/footer1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CD24A2" w:rsidRDefault="00F9111F">
    <w:pPr>
      <w:pStyle w:val="Footer"/>
      <w:rPr>
        <w:sz w:val="18"/>
        <w:szCs w:val="18"/>
      </w:rPr>
    </w:pPr>
    <w:r w:rsidRPr="00CD24A2">
      <w:rPr>
        <w:rStyle w:val="PageNumber"/>
        <w:sz w:val="18"/>
        <w:szCs w:val="18"/>
      </w:rPr>
      <w:fldChar w:fldCharType="begin"/>
    </w:r>
    <w:r w:rsidR="00A70C56" w:rsidRPr="00CD24A2">
      <w:rPr>
        <w:rStyle w:val="PageNumber"/>
        <w:sz w:val="18"/>
        <w:szCs w:val="18"/>
      </w:rPr>
      <w:instrText xml:space="preserve"> PAGE </w:instrText>
    </w:r>
    <w:r w:rsidRPr="00CD24A2">
      <w:rPr>
        <w:rStyle w:val="PageNumber"/>
        <w:sz w:val="18"/>
        <w:szCs w:val="18"/>
      </w:rPr>
      <w:fldChar w:fldCharType="separate"/>
    </w:r>
    <w:r w:rsidR="009C45ED">
      <w:rPr>
        <w:rStyle w:val="PageNumber"/>
        <w:noProof/>
        <w:sz w:val="18"/>
        <w:szCs w:val="18"/>
      </w:rPr>
      <w:t>158</w:t>
    </w:r>
    <w:r w:rsidRPr="00CD24A2">
      <w:rPr>
        <w:rStyle w:val="PageNumber"/>
        <w:sz w:val="18"/>
        <w:szCs w:val="18"/>
      </w:rPr>
      <w:fldChar w:fldCharType="end"/>
    </w:r>
  </w:p>
</w:ftr>
</file>

<file path=word/footer1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335049"/>
      <w:docPartObj>
        <w:docPartGallery w:val="Page Numbers (Bottom of Page)"/>
        <w:docPartUnique/>
      </w:docPartObj>
    </w:sdtPr>
    <w:sdtEndPr>
      <w:rPr>
        <w:sz w:val="18"/>
        <w:szCs w:val="18"/>
      </w:rPr>
    </w:sdtEndPr>
    <w:sdtContent>
      <w:p w:rsidR="00A70C56" w:rsidRPr="00CD24A2" w:rsidRDefault="00F9111F">
        <w:pPr>
          <w:pStyle w:val="Footer"/>
          <w:rPr>
            <w:sz w:val="18"/>
            <w:szCs w:val="18"/>
          </w:rPr>
        </w:pPr>
        <w:r w:rsidRPr="00CD24A2">
          <w:rPr>
            <w:sz w:val="18"/>
            <w:szCs w:val="18"/>
          </w:rPr>
          <w:fldChar w:fldCharType="begin"/>
        </w:r>
        <w:r w:rsidR="00A70C56" w:rsidRPr="00CD24A2">
          <w:rPr>
            <w:sz w:val="18"/>
            <w:szCs w:val="18"/>
          </w:rPr>
          <w:instrText xml:space="preserve"> PAGE   \* MERGEFORMAT </w:instrText>
        </w:r>
        <w:r w:rsidRPr="00CD24A2">
          <w:rPr>
            <w:sz w:val="18"/>
            <w:szCs w:val="18"/>
          </w:rPr>
          <w:fldChar w:fldCharType="separate"/>
        </w:r>
        <w:r w:rsidR="009C45ED">
          <w:rPr>
            <w:noProof/>
            <w:sz w:val="18"/>
            <w:szCs w:val="18"/>
          </w:rPr>
          <w:t>159</w:t>
        </w:r>
        <w:r w:rsidRPr="00CD24A2">
          <w:rPr>
            <w:sz w:val="18"/>
            <w:szCs w:val="18"/>
          </w:rPr>
          <w:fldChar w:fldCharType="end"/>
        </w:r>
      </w:p>
    </w:sdtContent>
  </w:sdt>
</w:ftr>
</file>

<file path=word/footer1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F9111F">
    <w:pPr>
      <w:pStyle w:val="Footer"/>
    </w:pPr>
    <w:r>
      <w:rPr>
        <w:rStyle w:val="PageNumber"/>
      </w:rPr>
      <w:fldChar w:fldCharType="begin"/>
    </w:r>
    <w:r w:rsidR="00A70C56">
      <w:rPr>
        <w:rStyle w:val="PageNumber"/>
      </w:rPr>
      <w:instrText xml:space="preserve"> PAGE </w:instrText>
    </w:r>
    <w:r>
      <w:rPr>
        <w:rStyle w:val="PageNumber"/>
      </w:rPr>
      <w:fldChar w:fldCharType="separate"/>
    </w:r>
    <w:r w:rsidR="009C45ED">
      <w:rPr>
        <w:rStyle w:val="PageNumber"/>
        <w:noProof/>
      </w:rPr>
      <w:t>157</w:t>
    </w:r>
    <w:r>
      <w:rPr>
        <w:rStyle w:val="PageNumber"/>
      </w:rPr>
      <w:fldChar w:fldCharType="end"/>
    </w:r>
  </w:p>
</w:ftr>
</file>

<file path=word/footer1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4B0622" w:rsidRDefault="00F9111F">
    <w:pPr>
      <w:pStyle w:val="Footer"/>
      <w:rPr>
        <w:sz w:val="18"/>
        <w:szCs w:val="18"/>
      </w:rPr>
    </w:pPr>
    <w:r w:rsidRPr="004B0622">
      <w:rPr>
        <w:rStyle w:val="PageNumber"/>
        <w:sz w:val="18"/>
        <w:szCs w:val="18"/>
      </w:rPr>
      <w:fldChar w:fldCharType="begin"/>
    </w:r>
    <w:r w:rsidR="00A70C56" w:rsidRPr="004B0622">
      <w:rPr>
        <w:rStyle w:val="PageNumber"/>
        <w:sz w:val="18"/>
        <w:szCs w:val="18"/>
      </w:rPr>
      <w:instrText xml:space="preserve"> PAGE  \* Arabic </w:instrText>
    </w:r>
    <w:r w:rsidRPr="004B0622">
      <w:rPr>
        <w:rStyle w:val="PageNumber"/>
        <w:sz w:val="18"/>
        <w:szCs w:val="18"/>
      </w:rPr>
      <w:fldChar w:fldCharType="separate"/>
    </w:r>
    <w:r w:rsidR="009C45ED">
      <w:rPr>
        <w:rStyle w:val="PageNumber"/>
        <w:noProof/>
        <w:sz w:val="18"/>
        <w:szCs w:val="18"/>
      </w:rPr>
      <w:t>174</w:t>
    </w:r>
    <w:r w:rsidRPr="004B0622">
      <w:rPr>
        <w:rStyle w:val="PageNumber"/>
        <w:sz w:val="18"/>
        <w:szCs w:val="18"/>
      </w:rPr>
      <w:fldChar w:fldCharType="end"/>
    </w:r>
  </w:p>
</w:ftr>
</file>

<file path=word/footer1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4B0622" w:rsidRDefault="00F9111F">
    <w:pPr>
      <w:pStyle w:val="Footer"/>
      <w:rPr>
        <w:sz w:val="18"/>
        <w:szCs w:val="18"/>
      </w:rPr>
    </w:pPr>
    <w:r w:rsidRPr="004B0622">
      <w:rPr>
        <w:sz w:val="18"/>
        <w:szCs w:val="18"/>
      </w:rPr>
      <w:fldChar w:fldCharType="begin"/>
    </w:r>
    <w:r w:rsidR="00A70C56" w:rsidRPr="004B0622">
      <w:rPr>
        <w:sz w:val="18"/>
        <w:szCs w:val="18"/>
      </w:rPr>
      <w:instrText xml:space="preserve"> PAGE  \* Arabic </w:instrText>
    </w:r>
    <w:r w:rsidRPr="004B0622">
      <w:rPr>
        <w:sz w:val="18"/>
        <w:szCs w:val="18"/>
      </w:rPr>
      <w:fldChar w:fldCharType="separate"/>
    </w:r>
    <w:r w:rsidR="009C45ED">
      <w:rPr>
        <w:noProof/>
        <w:sz w:val="18"/>
        <w:szCs w:val="18"/>
      </w:rPr>
      <w:t>173</w:t>
    </w:r>
    <w:r w:rsidRPr="004B0622">
      <w:rPr>
        <w:sz w:val="18"/>
        <w:szCs w:val="18"/>
      </w:rPr>
      <w:fldChar w:fldCharType="end"/>
    </w:r>
  </w:p>
</w:ftr>
</file>

<file path=word/footer1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6335063"/>
      <w:docPartObj>
        <w:docPartGallery w:val="Page Numbers (Bottom of Page)"/>
        <w:docPartUnique/>
      </w:docPartObj>
    </w:sdtPr>
    <w:sdtEndPr>
      <w:rPr>
        <w:sz w:val="18"/>
        <w:szCs w:val="18"/>
      </w:rPr>
    </w:sdtEndPr>
    <w:sdtContent>
      <w:p w:rsidR="00A70C56" w:rsidRPr="008F3012" w:rsidRDefault="00F9111F">
        <w:pPr>
          <w:pStyle w:val="Footer"/>
          <w:rPr>
            <w:sz w:val="18"/>
            <w:szCs w:val="18"/>
          </w:rPr>
        </w:pPr>
        <w:r w:rsidRPr="008F3012">
          <w:rPr>
            <w:sz w:val="18"/>
            <w:szCs w:val="18"/>
          </w:rPr>
          <w:fldChar w:fldCharType="begin"/>
        </w:r>
        <w:r w:rsidR="00A70C56" w:rsidRPr="008F3012">
          <w:rPr>
            <w:sz w:val="18"/>
            <w:szCs w:val="18"/>
          </w:rPr>
          <w:instrText xml:space="preserve"> PAGE   \* MERGEFORMAT </w:instrText>
        </w:r>
        <w:r w:rsidRPr="008F3012">
          <w:rPr>
            <w:sz w:val="18"/>
            <w:szCs w:val="18"/>
          </w:rPr>
          <w:fldChar w:fldCharType="separate"/>
        </w:r>
        <w:r w:rsidR="009C45ED">
          <w:rPr>
            <w:noProof/>
            <w:sz w:val="18"/>
            <w:szCs w:val="18"/>
          </w:rPr>
          <w:t>167</w:t>
        </w:r>
        <w:r w:rsidRPr="008F3012">
          <w:rPr>
            <w:sz w:val="18"/>
            <w:szCs w:val="18"/>
          </w:rPr>
          <w:fldChar w:fldCharType="end"/>
        </w:r>
      </w:p>
    </w:sdtContent>
  </w:sdt>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45ED" w:rsidRDefault="009C45ED">
    <w:pPr>
      <w:pStyle w:val="Footer"/>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45ED" w:rsidRDefault="009C45ED">
    <w:pPr>
      <w:pStyle w:val="Footer"/>
    </w:pP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pPr>
      <w:pStyle w:val="Footer"/>
    </w:pPr>
  </w:p>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C55B03">
    <w:pPr>
      <w:spacing w:line="240" w:lineRule="auto"/>
      <w:rPr>
        <w:rFonts w:eastAsia="Arial Unicode MS"/>
      </w:rPr>
    </w:pPr>
    <w:r>
      <w:t>ABN 34190894983</w:t>
    </w:r>
  </w:p>
  <w:tbl>
    <w:tblPr>
      <w:tblW w:w="7632" w:type="dxa"/>
      <w:tblLayout w:type="fixed"/>
      <w:tblLook w:val="0000"/>
    </w:tblPr>
    <w:tblGrid>
      <w:gridCol w:w="3816"/>
      <w:gridCol w:w="3816"/>
    </w:tblGrid>
    <w:tr w:rsidR="00A70C56" w:rsidTr="006C6713">
      <w:trPr>
        <w:trHeight w:val="779"/>
      </w:trPr>
      <w:tc>
        <w:tcPr>
          <w:tcW w:w="3600" w:type="dxa"/>
        </w:tcPr>
        <w:p w:rsidR="00A70C56" w:rsidRPr="00C55B03" w:rsidRDefault="00A70C56" w:rsidP="00C55B03">
          <w:pPr>
            <w:spacing w:line="240" w:lineRule="auto"/>
            <w:rPr>
              <w:b/>
            </w:rPr>
          </w:pPr>
          <w:r w:rsidRPr="00C55B03">
            <w:rPr>
              <w:b/>
            </w:rPr>
            <w:t>Darwin Office</w:t>
          </w:r>
        </w:p>
        <w:p w:rsidR="00A70C56" w:rsidRDefault="00A70C56" w:rsidP="00C55B03">
          <w:pPr>
            <w:spacing w:line="240" w:lineRule="auto"/>
          </w:pPr>
          <w:r>
            <w:t xml:space="preserve">GPO Box 461 Darwin  </w:t>
          </w:r>
          <w:smartTag w:uri="urn:schemas-microsoft-com:office:smarttags" w:element="State">
            <w:r>
              <w:t>NT</w:t>
            </w:r>
          </w:smartTag>
          <w:r>
            <w:t xml:space="preserve">  0801  </w:t>
          </w:r>
          <w:smartTag w:uri="urn:schemas-microsoft-com:office:smarttags" w:element="place">
            <w:smartTag w:uri="urn:schemas-microsoft-com:office:smarttags" w:element="country-region">
              <w:r>
                <w:t>Australia</w:t>
              </w:r>
            </w:smartTag>
          </w:smartTag>
        </w:p>
        <w:p w:rsidR="00A70C56" w:rsidRDefault="00A70C56" w:rsidP="00C55B03">
          <w:pPr>
            <w:spacing w:line="240" w:lineRule="auto"/>
          </w:pPr>
          <w:r>
            <w:t xml:space="preserve">Tel (08) 8920 1100  Fax (08) 8920 1199 </w:t>
          </w:r>
        </w:p>
        <w:p w:rsidR="00A70C56" w:rsidRDefault="00A70C56" w:rsidP="00C55B03">
          <w:pPr>
            <w:spacing w:line="240" w:lineRule="auto"/>
          </w:pPr>
          <w:r>
            <w:t xml:space="preserve">Internet: </w:t>
          </w:r>
          <w:r w:rsidRPr="006370AE">
            <w:rPr>
              <w:b/>
            </w:rPr>
            <w:t>environment</w:t>
          </w:r>
          <w:r>
            <w:t>.gov.au/science/ssd</w:t>
          </w:r>
        </w:p>
      </w:tc>
      <w:tc>
        <w:tcPr>
          <w:tcW w:w="3600" w:type="dxa"/>
        </w:tcPr>
        <w:p w:rsidR="00A70C56" w:rsidRPr="00C55B03" w:rsidRDefault="00A70C56" w:rsidP="00C55B03">
          <w:pPr>
            <w:spacing w:line="240" w:lineRule="auto"/>
            <w:rPr>
              <w:b/>
            </w:rPr>
          </w:pPr>
          <w:r w:rsidRPr="00C55B03">
            <w:rPr>
              <w:b/>
            </w:rPr>
            <w:t>Jabiru Field Station</w:t>
          </w:r>
        </w:p>
        <w:p w:rsidR="00A70C56" w:rsidRDefault="00A70C56" w:rsidP="00C55B03">
          <w:pPr>
            <w:spacing w:line="240" w:lineRule="auto"/>
          </w:pPr>
          <w:r>
            <w:t xml:space="preserve">Locked Bag 2  Jabiru  NT 0886  </w:t>
          </w:r>
          <w:smartTag w:uri="urn:schemas-microsoft-com:office:smarttags" w:element="place">
            <w:smartTag w:uri="urn:schemas-microsoft-com:office:smarttags" w:element="country-region">
              <w:r>
                <w:t>Australia</w:t>
              </w:r>
            </w:smartTag>
          </w:smartTag>
        </w:p>
        <w:p w:rsidR="00A70C56" w:rsidRDefault="00A70C56" w:rsidP="00C55B03">
          <w:pPr>
            <w:spacing w:line="240" w:lineRule="auto"/>
          </w:pPr>
          <w:r>
            <w:t>Tel (08) 8979 9711  Fax (08) 8979 2076</w:t>
          </w:r>
        </w:p>
        <w:p w:rsidR="00A70C56" w:rsidRDefault="00A70C56" w:rsidP="00C55B03">
          <w:pPr>
            <w:spacing w:line="240" w:lineRule="auto"/>
            <w:rPr>
              <w:lang w:val="de-DE"/>
            </w:rPr>
          </w:pPr>
          <w:r>
            <w:rPr>
              <w:lang w:val="de-DE"/>
            </w:rPr>
            <w:t xml:space="preserve">Internet: </w:t>
          </w:r>
          <w:r w:rsidRPr="006370AE">
            <w:rPr>
              <w:b/>
            </w:rPr>
            <w:t>environment</w:t>
          </w:r>
          <w:r>
            <w:t>.gov.au/science/ssd</w:t>
          </w:r>
        </w:p>
      </w:tc>
    </w:tr>
  </w:tbl>
  <w:p w:rsidR="00A70C56" w:rsidRDefault="00A70C56">
    <w:pPr>
      <w:pStyle w:val="4point"/>
      <w:rPr>
        <w:kern w:val="28"/>
        <w:lang w:val="de-DE"/>
      </w:rPr>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pPr>
      <w:pStyle w:val="Footer"/>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4B0622" w:rsidRDefault="00F9111F">
    <w:pPr>
      <w:pStyle w:val="Footer"/>
      <w:rPr>
        <w:sz w:val="18"/>
        <w:szCs w:val="18"/>
      </w:rPr>
    </w:pPr>
    <w:r w:rsidRPr="004B0622">
      <w:rPr>
        <w:rStyle w:val="PageNumber"/>
        <w:sz w:val="18"/>
        <w:szCs w:val="18"/>
      </w:rPr>
      <w:fldChar w:fldCharType="begin"/>
    </w:r>
    <w:r w:rsidR="00A70C56" w:rsidRPr="004B0622">
      <w:rPr>
        <w:rStyle w:val="PageNumber"/>
        <w:sz w:val="18"/>
        <w:szCs w:val="18"/>
      </w:rPr>
      <w:instrText xml:space="preserve"> PAGE </w:instrText>
    </w:r>
    <w:r w:rsidRPr="004B0622">
      <w:rPr>
        <w:rStyle w:val="PageNumber"/>
        <w:sz w:val="18"/>
        <w:szCs w:val="18"/>
      </w:rPr>
      <w:fldChar w:fldCharType="separate"/>
    </w:r>
    <w:r w:rsidR="009C45ED">
      <w:rPr>
        <w:rStyle w:val="PageNumber"/>
        <w:noProof/>
        <w:sz w:val="18"/>
        <w:szCs w:val="18"/>
      </w:rPr>
      <w:t>xiv</w:t>
    </w:r>
    <w:r w:rsidRPr="004B0622">
      <w:rPr>
        <w:rStyle w:val="PageNumber"/>
        <w:sz w:val="18"/>
        <w:szCs w:val="18"/>
      </w:rPr>
      <w:fldChar w:fldCharType="end"/>
    </w:r>
  </w:p>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4B0622" w:rsidRDefault="00F9111F">
    <w:pPr>
      <w:pStyle w:val="Footer"/>
      <w:rPr>
        <w:sz w:val="18"/>
        <w:szCs w:val="18"/>
      </w:rPr>
    </w:pPr>
    <w:r w:rsidRPr="004B0622">
      <w:rPr>
        <w:rStyle w:val="PageNumber"/>
        <w:sz w:val="18"/>
        <w:szCs w:val="18"/>
      </w:rPr>
      <w:fldChar w:fldCharType="begin"/>
    </w:r>
    <w:r w:rsidR="00A70C56" w:rsidRPr="004B0622">
      <w:rPr>
        <w:rStyle w:val="PageNumber"/>
        <w:sz w:val="18"/>
        <w:szCs w:val="18"/>
      </w:rPr>
      <w:instrText xml:space="preserve"> PAGE </w:instrText>
    </w:r>
    <w:r w:rsidRPr="004B0622">
      <w:rPr>
        <w:rStyle w:val="PageNumber"/>
        <w:sz w:val="18"/>
        <w:szCs w:val="18"/>
      </w:rPr>
      <w:fldChar w:fldCharType="separate"/>
    </w:r>
    <w:r w:rsidR="009C45ED">
      <w:rPr>
        <w:rStyle w:val="PageNumber"/>
        <w:noProof/>
        <w:sz w:val="18"/>
        <w:szCs w:val="18"/>
      </w:rPr>
      <w:t>xv</w:t>
    </w:r>
    <w:r w:rsidRPr="004B0622">
      <w:rPr>
        <w:rStyle w:val="PageNumber"/>
        <w:sz w:val="18"/>
        <w:szCs w:val="18"/>
      </w:rPr>
      <w:fldChar w:fldCharType="end"/>
    </w:r>
  </w:p>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4B0622" w:rsidRDefault="00F9111F">
    <w:pPr>
      <w:pStyle w:val="Footer"/>
      <w:rPr>
        <w:sz w:val="18"/>
        <w:szCs w:val="18"/>
      </w:rPr>
    </w:pPr>
    <w:r w:rsidRPr="004B0622">
      <w:rPr>
        <w:rStyle w:val="PageNumber"/>
        <w:sz w:val="18"/>
        <w:szCs w:val="18"/>
      </w:rPr>
      <w:fldChar w:fldCharType="begin"/>
    </w:r>
    <w:r w:rsidR="00A70C56" w:rsidRPr="004B0622">
      <w:rPr>
        <w:rStyle w:val="PageNumber"/>
        <w:sz w:val="18"/>
        <w:szCs w:val="18"/>
      </w:rPr>
      <w:instrText xml:space="preserve"> PAGE </w:instrText>
    </w:r>
    <w:r w:rsidRPr="004B0622">
      <w:rPr>
        <w:rStyle w:val="PageNumber"/>
        <w:sz w:val="18"/>
        <w:szCs w:val="18"/>
      </w:rPr>
      <w:fldChar w:fldCharType="separate"/>
    </w:r>
    <w:r w:rsidR="009C45ED">
      <w:rPr>
        <w:rStyle w:val="PageNumber"/>
        <w:noProof/>
        <w:sz w:val="18"/>
        <w:szCs w:val="18"/>
      </w:rPr>
      <w:t>75</w:t>
    </w:r>
    <w:r w:rsidRPr="004B0622">
      <w:rPr>
        <w:rStyle w:val="PageNumber"/>
        <w:sz w:val="18"/>
        <w:szCs w:val="18"/>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A70C56" w:rsidRDefault="00A70C56" w:rsidP="00A00BA3">
      <w:r>
        <w:separator/>
      </w:r>
    </w:p>
  </w:footnote>
  <w:footnote w:type="continuationSeparator" w:id="0">
    <w:p w:rsidR="00A70C56" w:rsidRDefault="00A70C56" w:rsidP="00A00BA3">
      <w:r>
        <w:continuationSeparator/>
      </w:r>
    </w:p>
  </w:footnote>
  <w:footnote w:id="1">
    <w:p w:rsidR="00A70C56" w:rsidRDefault="00A70C56" w:rsidP="00C43193">
      <w:pPr>
        <w:pStyle w:val="FootnoteText"/>
      </w:pPr>
      <w:r>
        <w:rPr>
          <w:rStyle w:val="FootnoteReference"/>
        </w:rPr>
        <w:footnoteRef/>
      </w:r>
      <w:r>
        <w:t xml:space="preserve"> </w:t>
      </w:r>
      <w:r w:rsidRPr="00154921">
        <w:rPr>
          <w:noProof/>
        </w:rPr>
        <w:t>Noller BN, Currey NA, Ayers GP &amp; Gillett RW 1990. Chemical composition and acidity of rainfall in the Alligator Rivers Region, Northern Territory, Australia. Science of the Total Environment 91, 23-48.</w:t>
      </w:r>
    </w:p>
  </w:footnote>
  <w:footnote w:id="2">
    <w:p w:rsidR="00A70C56" w:rsidRDefault="00A70C56">
      <w:pPr>
        <w:pStyle w:val="FootnoteText"/>
      </w:pPr>
      <w:r>
        <w:rPr>
          <w:rStyle w:val="FootnoteReference"/>
        </w:rPr>
        <w:footnoteRef/>
      </w:r>
      <w:r>
        <w:t xml:space="preserve"> Humphrey CL, Hanley J, Chandler L &amp; Camilleri C 2014. </w:t>
      </w:r>
      <w:proofErr w:type="gramStart"/>
      <w:r>
        <w:t>Monitoring using macroinvertebrate community structure.</w:t>
      </w:r>
      <w:proofErr w:type="gramEnd"/>
      <w:r>
        <w:t xml:space="preserve"> </w:t>
      </w:r>
      <w:proofErr w:type="gramStart"/>
      <w:r>
        <w:t xml:space="preserve">In </w:t>
      </w:r>
      <w:r w:rsidRPr="00F51C30">
        <w:rPr>
          <w:b/>
          <w:i/>
          <w:sz w:val="20"/>
        </w:rPr>
        <w:t>eriss</w:t>
      </w:r>
      <w:r w:rsidRPr="00F51C30">
        <w:rPr>
          <w:sz w:val="20"/>
        </w:rPr>
        <w:t xml:space="preserve"> </w:t>
      </w:r>
      <w:r>
        <w:t>research summary 2012–2013.</w:t>
      </w:r>
      <w:proofErr w:type="gramEnd"/>
      <w:r>
        <w:t xml:space="preserve"> </w:t>
      </w:r>
      <w:proofErr w:type="gramStart"/>
      <w:r>
        <w:t>Supervising Scientist report 205, Supervising Scientist, Darwin NT, pp 72–75.</w:t>
      </w:r>
      <w:proofErr w:type="gramEnd"/>
    </w:p>
  </w:footnote>
  <w:footnote w:id="3">
    <w:p w:rsidR="00A70C56" w:rsidRDefault="00A70C56" w:rsidP="0037011F">
      <w:pPr>
        <w:pStyle w:val="FootnoteText"/>
      </w:pPr>
      <w:r>
        <w:rPr>
          <w:rStyle w:val="FootnoteReference"/>
        </w:rPr>
        <w:footnoteRef/>
      </w:r>
      <w:r>
        <w:t xml:space="preserve"> Cusbert P, Klessa D, leGras C, Moliere D &amp; Rusten K 1998. Baseline values for physical and chemical indicators in streams of the Jabiluka lease area. </w:t>
      </w:r>
      <w:proofErr w:type="gramStart"/>
      <w:r>
        <w:t>Part 1.</w:t>
      </w:r>
      <w:proofErr w:type="gramEnd"/>
      <w:r>
        <w:t xml:space="preserve"> </w:t>
      </w:r>
      <w:proofErr w:type="gramStart"/>
      <w:r>
        <w:t>Interim findings.</w:t>
      </w:r>
      <w:proofErr w:type="gramEnd"/>
      <w:r>
        <w:t xml:space="preserve"> </w:t>
      </w:r>
      <w:proofErr w:type="gramStart"/>
      <w:r>
        <w:t>Internal Report 300.</w:t>
      </w:r>
      <w:proofErr w:type="gramEnd"/>
      <w:r>
        <w:t xml:space="preserve"> </w:t>
      </w:r>
      <w:proofErr w:type="gramStart"/>
      <w:r>
        <w:t>September, Supervising Scientist, Darwin.</w:t>
      </w:r>
      <w:proofErr w:type="gramEnd"/>
    </w:p>
  </w:footnote>
  <w:footnote w:id="4">
    <w:p w:rsidR="00A70C56" w:rsidRDefault="00A70C56" w:rsidP="00494E77">
      <w:pPr>
        <w:pStyle w:val="FootnoteText"/>
      </w:pPr>
      <w:r>
        <w:rPr>
          <w:rStyle w:val="FootnoteReference"/>
        </w:rPr>
        <w:footnoteRef/>
      </w:r>
      <w:r>
        <w:t xml:space="preserve"> </w:t>
      </w:r>
      <w:proofErr w:type="gramStart"/>
      <w:r w:rsidRPr="00494E77">
        <w:t>ARPANSA (2005) Radiation Protection and Radioactive Waste Management in Mining and Mineral Processing.</w:t>
      </w:r>
      <w:proofErr w:type="gramEnd"/>
      <w:r w:rsidRPr="00494E77">
        <w:t xml:space="preserve"> </w:t>
      </w:r>
      <w:proofErr w:type="gramStart"/>
      <w:r w:rsidRPr="00494E77">
        <w:t>Radiation Protection Series No. 9, Australian Radiation Protection and Nuclear Safety Agency, Yallambie.</w:t>
      </w:r>
      <w:proofErr w:type="gramEnd"/>
      <w:r w:rsidRPr="00494E77">
        <w:t xml:space="preserve"> </w:t>
      </w:r>
    </w:p>
  </w:footnote>
  <w:footnote w:id="5">
    <w:p w:rsidR="00A70C56" w:rsidRDefault="00A70C56" w:rsidP="00E07966">
      <w:pPr>
        <w:pStyle w:val="FootnoteText"/>
      </w:pPr>
      <w:r>
        <w:rPr>
          <w:rStyle w:val="FootnoteReference"/>
        </w:rPr>
        <w:footnoteRef/>
      </w:r>
      <w:r>
        <w:t xml:space="preserve"> </w:t>
      </w:r>
      <w:proofErr w:type="gramStart"/>
      <w:r w:rsidRPr="00A067FC">
        <w:t>ICRP 2006.</w:t>
      </w:r>
      <w:proofErr w:type="gramEnd"/>
      <w:r w:rsidRPr="00A067FC">
        <w:t xml:space="preserve"> Assessing dose of the representative person for the purpose of radiation protection of the public and the optimisation of radiological protection: broadening the process. ICRP Publication 101, Elsevier Ltd.</w:t>
      </w:r>
    </w:p>
  </w:footnote>
  <w:footnote w:id="6">
    <w:p w:rsidR="00A70C56" w:rsidRDefault="00A70C56" w:rsidP="00E07966">
      <w:pPr>
        <w:pStyle w:val="FootnoteText"/>
      </w:pPr>
      <w:r>
        <w:rPr>
          <w:rStyle w:val="FootnoteReference"/>
        </w:rPr>
        <w:footnoteRef/>
      </w:r>
      <w:r>
        <w:t xml:space="preserve"> </w:t>
      </w:r>
      <w:r w:rsidRPr="005D750E">
        <w:t>The 2007 recommendations of the International Commission on Radiological Protection, ICRP Publication 103, Elsevier Ltd</w:t>
      </w:r>
    </w:p>
  </w:footnote>
  <w:footnote w:id="7">
    <w:p w:rsidR="00A70C56" w:rsidRPr="007464A1" w:rsidRDefault="00A70C56">
      <w:pPr>
        <w:pStyle w:val="FootnoteText"/>
        <w:rPr>
          <w:sz w:val="16"/>
          <w:szCs w:val="16"/>
        </w:rPr>
      </w:pPr>
      <w:r w:rsidRPr="007464A1">
        <w:rPr>
          <w:rStyle w:val="FootnoteReference"/>
          <w:sz w:val="16"/>
          <w:szCs w:val="16"/>
        </w:rPr>
        <w:footnoteRef/>
      </w:r>
      <w:r>
        <w:rPr>
          <w:sz w:val="16"/>
          <w:szCs w:val="16"/>
        </w:rPr>
        <w:t xml:space="preserve"> </w:t>
      </w:r>
      <w:proofErr w:type="gramStart"/>
      <w:r>
        <w:rPr>
          <w:sz w:val="16"/>
          <w:szCs w:val="16"/>
        </w:rPr>
        <w:t>Turner K &amp;</w:t>
      </w:r>
      <w:r w:rsidRPr="007464A1">
        <w:rPr>
          <w:sz w:val="16"/>
          <w:szCs w:val="16"/>
        </w:rPr>
        <w:t xml:space="preserve"> Jones D. 2010.</w:t>
      </w:r>
      <w:proofErr w:type="gramEnd"/>
      <w:r w:rsidRPr="007464A1">
        <w:rPr>
          <w:sz w:val="16"/>
          <w:szCs w:val="16"/>
        </w:rPr>
        <w:t xml:space="preserve"> </w:t>
      </w:r>
      <w:proofErr w:type="gramStart"/>
      <w:r w:rsidRPr="007464A1">
        <w:rPr>
          <w:sz w:val="16"/>
          <w:szCs w:val="16"/>
        </w:rPr>
        <w:t>Surface water transport of mine-related solutes in the Magela Creek catchment using continuous monitoring techniques.</w:t>
      </w:r>
      <w:proofErr w:type="gramEnd"/>
      <w:r w:rsidRPr="007464A1">
        <w:rPr>
          <w:sz w:val="16"/>
          <w:szCs w:val="16"/>
        </w:rPr>
        <w:t xml:space="preserve"> In: Jones D, Webb A (</w:t>
      </w:r>
      <w:proofErr w:type="gramStart"/>
      <w:r w:rsidRPr="007464A1">
        <w:rPr>
          <w:sz w:val="16"/>
          <w:szCs w:val="16"/>
        </w:rPr>
        <w:t>eds</w:t>
      </w:r>
      <w:proofErr w:type="gramEnd"/>
      <w:r w:rsidRPr="007464A1">
        <w:rPr>
          <w:sz w:val="16"/>
          <w:szCs w:val="16"/>
        </w:rPr>
        <w:t xml:space="preserve">.). </w:t>
      </w:r>
      <w:proofErr w:type="gramStart"/>
      <w:r w:rsidRPr="00354324">
        <w:rPr>
          <w:b/>
          <w:i/>
          <w:iCs/>
          <w:sz w:val="19"/>
          <w:szCs w:val="19"/>
        </w:rPr>
        <w:t>eriss</w:t>
      </w:r>
      <w:proofErr w:type="gramEnd"/>
      <w:r w:rsidRPr="007464A1">
        <w:rPr>
          <w:i/>
          <w:iCs/>
          <w:sz w:val="16"/>
          <w:szCs w:val="16"/>
        </w:rPr>
        <w:t xml:space="preserve"> research summary 2008–2009. </w:t>
      </w:r>
      <w:proofErr w:type="gramStart"/>
      <w:r w:rsidRPr="007464A1">
        <w:rPr>
          <w:sz w:val="16"/>
          <w:szCs w:val="16"/>
        </w:rPr>
        <w:t>Supervising Scientist, Commonwealth of Australia, Canberra.</w:t>
      </w:r>
      <w:proofErr w:type="gramEnd"/>
    </w:p>
  </w:footnote>
  <w:footnote w:id="8">
    <w:p w:rsidR="00A70C56" w:rsidRDefault="00A70C56" w:rsidP="00A87328">
      <w:pPr>
        <w:pStyle w:val="FootnoteText"/>
      </w:pPr>
      <w:r>
        <w:rPr>
          <w:rStyle w:val="FootnoteReference"/>
        </w:rPr>
        <w:footnoteRef/>
      </w:r>
      <w:r>
        <w:t xml:space="preserve"> </w:t>
      </w:r>
      <w:proofErr w:type="gramStart"/>
      <w:r w:rsidRPr="00E0057B">
        <w:rPr>
          <w:sz w:val="16"/>
          <w:szCs w:val="16"/>
        </w:rPr>
        <w:t>van</w:t>
      </w:r>
      <w:proofErr w:type="gramEnd"/>
      <w:r w:rsidRPr="00E0057B">
        <w:rPr>
          <w:sz w:val="16"/>
          <w:szCs w:val="16"/>
        </w:rPr>
        <w:t xml:space="preserve"> Dam RA, Hogan AC, McCullough</w:t>
      </w:r>
      <w:r>
        <w:rPr>
          <w:sz w:val="16"/>
          <w:szCs w:val="16"/>
        </w:rPr>
        <w:t xml:space="preserve"> CD, Houston MA, Humphrey CL &amp;</w:t>
      </w:r>
      <w:r w:rsidRPr="00E0057B">
        <w:rPr>
          <w:sz w:val="16"/>
          <w:szCs w:val="16"/>
        </w:rPr>
        <w:t xml:space="preserve"> Harford AJ. 2010. Aquatic toxicity of magnesium sulfate, and the influence of calcium, in very low ionic concentration water. </w:t>
      </w:r>
      <w:r w:rsidRPr="00E0057B">
        <w:rPr>
          <w:i/>
          <w:iCs/>
          <w:sz w:val="16"/>
          <w:szCs w:val="16"/>
        </w:rPr>
        <w:t>Environ</w:t>
      </w:r>
      <w:r>
        <w:rPr>
          <w:i/>
          <w:iCs/>
          <w:sz w:val="16"/>
          <w:szCs w:val="16"/>
        </w:rPr>
        <w:t>mental</w:t>
      </w:r>
      <w:r w:rsidRPr="00E0057B">
        <w:rPr>
          <w:i/>
          <w:iCs/>
          <w:sz w:val="16"/>
          <w:szCs w:val="16"/>
        </w:rPr>
        <w:t xml:space="preserve"> Toxicol</w:t>
      </w:r>
      <w:r>
        <w:rPr>
          <w:i/>
          <w:iCs/>
          <w:sz w:val="16"/>
          <w:szCs w:val="16"/>
        </w:rPr>
        <w:t>ogy &amp;</w:t>
      </w:r>
      <w:r w:rsidRPr="00E0057B">
        <w:rPr>
          <w:i/>
          <w:iCs/>
          <w:sz w:val="16"/>
          <w:szCs w:val="16"/>
        </w:rPr>
        <w:t xml:space="preserve"> Chem</w:t>
      </w:r>
      <w:r>
        <w:rPr>
          <w:i/>
          <w:iCs/>
          <w:sz w:val="16"/>
          <w:szCs w:val="16"/>
        </w:rPr>
        <w:t>istry</w:t>
      </w:r>
      <w:r w:rsidRPr="00E0057B">
        <w:rPr>
          <w:i/>
          <w:iCs/>
          <w:sz w:val="16"/>
          <w:szCs w:val="16"/>
        </w:rPr>
        <w:t xml:space="preserve"> </w:t>
      </w:r>
      <w:r w:rsidRPr="00E0057B">
        <w:rPr>
          <w:sz w:val="16"/>
          <w:szCs w:val="16"/>
        </w:rPr>
        <w:t>29</w:t>
      </w:r>
      <w:r w:rsidRPr="00E0057B">
        <w:rPr>
          <w:bCs/>
          <w:sz w:val="16"/>
          <w:szCs w:val="16"/>
        </w:rPr>
        <w:t>:</w:t>
      </w:r>
      <w:r>
        <w:rPr>
          <w:sz w:val="16"/>
          <w:szCs w:val="16"/>
        </w:rPr>
        <w:t xml:space="preserve"> 410–</w:t>
      </w:r>
      <w:r w:rsidRPr="00E0057B">
        <w:rPr>
          <w:sz w:val="16"/>
          <w:szCs w:val="16"/>
        </w:rPr>
        <w:t>421.</w:t>
      </w:r>
    </w:p>
  </w:footnote>
  <w:footnote w:id="9">
    <w:p w:rsidR="00A70C56" w:rsidRDefault="00A70C56" w:rsidP="004B01F6">
      <w:pPr>
        <w:pStyle w:val="FootnoteText"/>
      </w:pPr>
      <w:r>
        <w:rPr>
          <w:rStyle w:val="FootnoteReference"/>
        </w:rPr>
        <w:footnoteRef/>
      </w:r>
      <w:r>
        <w:t xml:space="preserve"> </w:t>
      </w:r>
      <w:proofErr w:type="gramStart"/>
      <w:r w:rsidRPr="00E0057B">
        <w:rPr>
          <w:sz w:val="16"/>
          <w:szCs w:val="16"/>
        </w:rPr>
        <w:t>Hoga</w:t>
      </w:r>
      <w:r>
        <w:rPr>
          <w:sz w:val="16"/>
          <w:szCs w:val="16"/>
        </w:rPr>
        <w:t xml:space="preserve">n AC, Trenfield MA, Harford AJ &amp; </w:t>
      </w:r>
      <w:r w:rsidRPr="00E0057B">
        <w:rPr>
          <w:sz w:val="16"/>
          <w:szCs w:val="16"/>
        </w:rPr>
        <w:t>van Dam, RA.</w:t>
      </w:r>
      <w:proofErr w:type="gramEnd"/>
      <w:r w:rsidRPr="00E0057B">
        <w:rPr>
          <w:sz w:val="16"/>
          <w:szCs w:val="16"/>
        </w:rPr>
        <w:t xml:space="preserve"> 2013. Toxicity of magnesium pulses to tropical freshwater species and the development of a duration-based water quality guideline. </w:t>
      </w:r>
      <w:r w:rsidRPr="00E0057B">
        <w:rPr>
          <w:i/>
          <w:iCs/>
          <w:sz w:val="16"/>
          <w:szCs w:val="16"/>
        </w:rPr>
        <w:t>Environ</w:t>
      </w:r>
      <w:r>
        <w:rPr>
          <w:i/>
          <w:iCs/>
          <w:sz w:val="16"/>
          <w:szCs w:val="16"/>
        </w:rPr>
        <w:t>mental</w:t>
      </w:r>
      <w:r w:rsidRPr="00E0057B">
        <w:rPr>
          <w:i/>
          <w:iCs/>
          <w:sz w:val="16"/>
          <w:szCs w:val="16"/>
        </w:rPr>
        <w:t xml:space="preserve"> Toxicol</w:t>
      </w:r>
      <w:r>
        <w:rPr>
          <w:i/>
          <w:iCs/>
          <w:sz w:val="16"/>
          <w:szCs w:val="16"/>
        </w:rPr>
        <w:t>ogy &amp;</w:t>
      </w:r>
      <w:r w:rsidRPr="00E0057B">
        <w:rPr>
          <w:i/>
          <w:iCs/>
          <w:sz w:val="16"/>
          <w:szCs w:val="16"/>
        </w:rPr>
        <w:t xml:space="preserve"> Chem</w:t>
      </w:r>
      <w:r>
        <w:rPr>
          <w:i/>
          <w:iCs/>
          <w:sz w:val="16"/>
          <w:szCs w:val="16"/>
        </w:rPr>
        <w:t>istry</w:t>
      </w:r>
      <w:r w:rsidRPr="00E0057B">
        <w:rPr>
          <w:i/>
          <w:iCs/>
          <w:sz w:val="16"/>
          <w:szCs w:val="16"/>
        </w:rPr>
        <w:t xml:space="preserve"> </w:t>
      </w:r>
      <w:r>
        <w:rPr>
          <w:sz w:val="16"/>
          <w:szCs w:val="16"/>
        </w:rPr>
        <w:t>32, 1969–</w:t>
      </w:r>
      <w:r w:rsidRPr="00E0057B">
        <w:rPr>
          <w:sz w:val="16"/>
          <w:szCs w:val="16"/>
        </w:rPr>
        <w:t>1980.</w:t>
      </w:r>
    </w:p>
  </w:footnote>
  <w:footnote w:id="10">
    <w:p w:rsidR="00A70C56" w:rsidRDefault="00A70C56" w:rsidP="004B01F6">
      <w:pPr>
        <w:pStyle w:val="FootnoteText"/>
      </w:pPr>
      <w:r>
        <w:rPr>
          <w:rStyle w:val="FootnoteReference"/>
        </w:rPr>
        <w:footnoteRef/>
      </w:r>
      <w:r>
        <w:t xml:space="preserve"> </w:t>
      </w:r>
      <w:r w:rsidRPr="00E0057B">
        <w:rPr>
          <w:sz w:val="16"/>
          <w:szCs w:val="16"/>
        </w:rPr>
        <w:t xml:space="preserve">Sinclair A, Tayler K, van Dam R, Hogan A. 2013. Site-specific water quality guidelines: 2. development of a water quality regulation framework for pulse exposures of mine water discharges at </w:t>
      </w:r>
      <w:proofErr w:type="gramStart"/>
      <w:r w:rsidRPr="00E0057B">
        <w:rPr>
          <w:sz w:val="16"/>
          <w:szCs w:val="16"/>
        </w:rPr>
        <w:t>a uranium</w:t>
      </w:r>
      <w:proofErr w:type="gramEnd"/>
      <w:r w:rsidRPr="00E0057B">
        <w:rPr>
          <w:sz w:val="16"/>
          <w:szCs w:val="16"/>
        </w:rPr>
        <w:t xml:space="preserve"> mine in northern Australia. </w:t>
      </w:r>
      <w:r w:rsidRPr="00E0057B">
        <w:rPr>
          <w:i/>
          <w:iCs/>
          <w:sz w:val="16"/>
          <w:szCs w:val="16"/>
        </w:rPr>
        <w:t>Environ</w:t>
      </w:r>
      <w:r>
        <w:rPr>
          <w:i/>
          <w:iCs/>
          <w:sz w:val="16"/>
          <w:szCs w:val="16"/>
        </w:rPr>
        <w:t>mental</w:t>
      </w:r>
      <w:r w:rsidRPr="00E0057B">
        <w:rPr>
          <w:i/>
          <w:iCs/>
          <w:sz w:val="16"/>
          <w:szCs w:val="16"/>
        </w:rPr>
        <w:t xml:space="preserve"> Sci</w:t>
      </w:r>
      <w:r>
        <w:rPr>
          <w:i/>
          <w:iCs/>
          <w:sz w:val="16"/>
          <w:szCs w:val="16"/>
        </w:rPr>
        <w:t>ence &amp;</w:t>
      </w:r>
      <w:r w:rsidRPr="00E0057B">
        <w:rPr>
          <w:i/>
          <w:iCs/>
          <w:sz w:val="16"/>
          <w:szCs w:val="16"/>
        </w:rPr>
        <w:t xml:space="preserve"> Pollut</w:t>
      </w:r>
      <w:r>
        <w:rPr>
          <w:i/>
          <w:iCs/>
          <w:sz w:val="16"/>
          <w:szCs w:val="16"/>
        </w:rPr>
        <w:t>ion</w:t>
      </w:r>
      <w:r w:rsidRPr="00E0057B">
        <w:rPr>
          <w:i/>
          <w:iCs/>
          <w:sz w:val="16"/>
          <w:szCs w:val="16"/>
        </w:rPr>
        <w:t xml:space="preserve"> R</w:t>
      </w:r>
      <w:r>
        <w:rPr>
          <w:i/>
          <w:iCs/>
          <w:sz w:val="16"/>
          <w:szCs w:val="16"/>
        </w:rPr>
        <w:t>esearch</w:t>
      </w:r>
      <w:r>
        <w:rPr>
          <w:sz w:val="16"/>
          <w:szCs w:val="16"/>
        </w:rPr>
        <w:t xml:space="preserve"> 21,</w:t>
      </w:r>
      <w:r w:rsidRPr="00E0057B">
        <w:rPr>
          <w:sz w:val="16"/>
          <w:szCs w:val="16"/>
        </w:rPr>
        <w:t xml:space="preserve"> </w:t>
      </w:r>
      <w:r>
        <w:rPr>
          <w:sz w:val="16"/>
          <w:szCs w:val="16"/>
        </w:rPr>
        <w:t>131–</w:t>
      </w:r>
      <w:r w:rsidRPr="00E0057B">
        <w:rPr>
          <w:sz w:val="16"/>
          <w:szCs w:val="16"/>
        </w:rPr>
        <w:t>140.</w:t>
      </w:r>
    </w:p>
  </w:footnote>
  <w:footnote w:id="11">
    <w:p w:rsidR="00A70C56" w:rsidRPr="008D58BD" w:rsidRDefault="00A70C56" w:rsidP="00140070">
      <w:pPr>
        <w:pStyle w:val="FootnoteText"/>
        <w:rPr>
          <w:sz w:val="16"/>
          <w:szCs w:val="16"/>
        </w:rPr>
      </w:pPr>
      <w:r w:rsidRPr="008D58BD">
        <w:rPr>
          <w:rStyle w:val="FootnoteReference"/>
        </w:rPr>
        <w:footnoteRef/>
      </w:r>
      <w:r w:rsidRPr="008D58BD">
        <w:t xml:space="preserve"> </w:t>
      </w:r>
      <w:proofErr w:type="gramStart"/>
      <w:r w:rsidRPr="008D58BD">
        <w:rPr>
          <w:sz w:val="16"/>
          <w:szCs w:val="16"/>
        </w:rPr>
        <w:t>Supervising Scientist 2014.</w:t>
      </w:r>
      <w:proofErr w:type="gramEnd"/>
      <w:r w:rsidRPr="008D58BD">
        <w:rPr>
          <w:sz w:val="16"/>
          <w:szCs w:val="16"/>
        </w:rPr>
        <w:t xml:space="preserve"> </w:t>
      </w:r>
      <w:r w:rsidRPr="00D01DBC">
        <w:rPr>
          <w:i/>
          <w:sz w:val="16"/>
          <w:szCs w:val="16"/>
        </w:rPr>
        <w:t>Annual Report 2012–2013</w:t>
      </w:r>
      <w:r w:rsidRPr="008D58BD">
        <w:rPr>
          <w:sz w:val="16"/>
          <w:szCs w:val="16"/>
        </w:rPr>
        <w:t>. Canberra.</w:t>
      </w:r>
    </w:p>
  </w:footnote>
  <w:footnote w:id="12">
    <w:p w:rsidR="00A70C56" w:rsidRPr="00B43B0C" w:rsidRDefault="00A70C56" w:rsidP="00140070">
      <w:pPr>
        <w:pStyle w:val="FootnoteText"/>
        <w:rPr>
          <w:sz w:val="16"/>
          <w:szCs w:val="16"/>
        </w:rPr>
      </w:pPr>
      <w:r w:rsidRPr="008D58BD">
        <w:rPr>
          <w:rStyle w:val="FootnoteReference"/>
        </w:rPr>
        <w:footnoteRef/>
      </w:r>
      <w:r w:rsidRPr="008D58BD">
        <w:t xml:space="preserve"> </w:t>
      </w:r>
      <w:proofErr w:type="gramStart"/>
      <w:r w:rsidRPr="008D58BD">
        <w:rPr>
          <w:sz w:val="16"/>
          <w:szCs w:val="16"/>
        </w:rPr>
        <w:t>Peters A, Lofts S, Merrington G, Brown B, Stubblefield W &amp; Harlow K 2011.</w:t>
      </w:r>
      <w:proofErr w:type="gramEnd"/>
      <w:r w:rsidRPr="008D58BD">
        <w:rPr>
          <w:sz w:val="16"/>
          <w:szCs w:val="16"/>
        </w:rPr>
        <w:t xml:space="preserve"> Development of biotic ligand models for chronic manganese toxicity to fish, invertebrates, and algae. </w:t>
      </w:r>
      <w:r w:rsidRPr="00D01DBC">
        <w:rPr>
          <w:i/>
          <w:sz w:val="16"/>
          <w:szCs w:val="16"/>
        </w:rPr>
        <w:t>Environmental Toxicology and Chemistry</w:t>
      </w:r>
      <w:r>
        <w:rPr>
          <w:sz w:val="16"/>
          <w:szCs w:val="16"/>
        </w:rPr>
        <w:t xml:space="preserve"> 30, 11</w:t>
      </w:r>
      <w:r w:rsidRPr="008D58BD">
        <w:rPr>
          <w:sz w:val="16"/>
          <w:szCs w:val="16"/>
        </w:rPr>
        <w:t xml:space="preserve"> 240</w:t>
      </w:r>
      <w:r>
        <w:rPr>
          <w:sz w:val="16"/>
          <w:szCs w:val="16"/>
        </w:rPr>
        <w:t>7–</w:t>
      </w:r>
      <w:r w:rsidRPr="008D58BD">
        <w:rPr>
          <w:sz w:val="16"/>
          <w:szCs w:val="16"/>
        </w:rPr>
        <w:t>2415.</w:t>
      </w:r>
    </w:p>
  </w:footnote>
  <w:footnote w:id="13">
    <w:p w:rsidR="00A70C56" w:rsidRPr="00AB22FA" w:rsidRDefault="00A70C56" w:rsidP="00002411">
      <w:pPr>
        <w:pStyle w:val="FootnoteText"/>
        <w:rPr>
          <w:sz w:val="16"/>
          <w:szCs w:val="16"/>
        </w:rPr>
      </w:pPr>
      <w:r>
        <w:rPr>
          <w:rStyle w:val="FootnoteReference"/>
        </w:rPr>
        <w:footnoteRef/>
      </w:r>
      <w:r>
        <w:t xml:space="preserve"> </w:t>
      </w:r>
      <w:proofErr w:type="gramStart"/>
      <w:r w:rsidRPr="00AB22FA">
        <w:rPr>
          <w:sz w:val="16"/>
          <w:szCs w:val="16"/>
        </w:rPr>
        <w:t>European Comission 2011.</w:t>
      </w:r>
      <w:proofErr w:type="gramEnd"/>
      <w:r w:rsidRPr="00AB22FA">
        <w:rPr>
          <w:sz w:val="16"/>
          <w:szCs w:val="16"/>
        </w:rPr>
        <w:t xml:space="preserve"> </w:t>
      </w:r>
      <w:proofErr w:type="gramStart"/>
      <w:r w:rsidRPr="00AB22FA">
        <w:rPr>
          <w:sz w:val="16"/>
          <w:szCs w:val="16"/>
        </w:rPr>
        <w:t>Technical guidance for deriving environmental quality standards.</w:t>
      </w:r>
      <w:proofErr w:type="gramEnd"/>
      <w:r w:rsidRPr="00AB22FA">
        <w:rPr>
          <w:sz w:val="16"/>
          <w:szCs w:val="16"/>
        </w:rPr>
        <w:t xml:space="preserve"> Guidance Document No 27, Common Implementation Strategy for the Water Framework Directive, European Commission, Brussels.</w:t>
      </w:r>
    </w:p>
  </w:footnote>
  <w:footnote w:id="14">
    <w:p w:rsidR="00A70C56" w:rsidRDefault="00A70C56" w:rsidP="00002411">
      <w:pPr>
        <w:pStyle w:val="FootnoteText"/>
      </w:pPr>
      <w:r>
        <w:rPr>
          <w:rStyle w:val="FootnoteReference"/>
        </w:rPr>
        <w:footnoteRef/>
      </w:r>
      <w:r>
        <w:t xml:space="preserve"> </w:t>
      </w:r>
      <w:r w:rsidRPr="00C97D34">
        <w:rPr>
          <w:sz w:val="16"/>
          <w:szCs w:val="16"/>
        </w:rPr>
        <w:t>Batley GE, Chapman JC, Fox DR, Hickey CW, Stauber JL, van Dam RA &amp; Warne M.St.J. (2014) Revision of the method for deriving water quality guideline trigger values for toxicants. Prepared for the Council of Australian Governments Standing Council on Environment and Water (SCEW), Canberra.</w:t>
      </w:r>
    </w:p>
  </w:footnote>
  <w:footnote w:id="15">
    <w:p w:rsidR="00A70C56" w:rsidRDefault="00A70C56" w:rsidP="00A00BA3">
      <w:pPr>
        <w:pStyle w:val="FootnoteText"/>
      </w:pPr>
      <w:r w:rsidRPr="00DC084F">
        <w:rPr>
          <w:vertAlign w:val="superscript"/>
        </w:rPr>
        <w:footnoteRef/>
      </w:r>
      <w:r w:rsidRPr="00DC084F">
        <w:rPr>
          <w:vertAlign w:val="superscript"/>
        </w:rPr>
        <w:t xml:space="preserve"> </w:t>
      </w:r>
      <w:r>
        <w:tab/>
        <w:t xml:space="preserve">Presentations to conferences and symposia that have been externally published in 2012–13 are included in Appendix 2, Published. </w:t>
      </w:r>
    </w:p>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45ED" w:rsidRDefault="009C45ED">
    <w:pPr>
      <w:pStyle w:val="Header"/>
    </w:pP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A00BA3"/>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5106D7">
    <w:pPr>
      <w:pStyle w:val="header-oddpage"/>
    </w:pPr>
    <w:r>
      <w:t>Supervising Scientist Annual Report 2013–14</w:t>
    </w: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90101A">
    <w:pPr>
      <w:pStyle w:val="header-oddpage"/>
    </w:pPr>
    <w:r>
      <w:t xml:space="preserve">Supervising Scientist’s overview </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447F3B" w:rsidRDefault="00A70C56" w:rsidP="00A00BA3">
    <w:pPr>
      <w:pStyle w:val="Header"/>
    </w:pPr>
  </w:p>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5106D7">
    <w:pPr>
      <w:pStyle w:val="header-evenpage"/>
    </w:pPr>
    <w:r>
      <w:t>Supervising Scientist Annual Report 2013–2014</w:t>
    </w:r>
  </w:p>
  <w:p w:rsidR="00A70C56" w:rsidRPr="00DC54F1" w:rsidRDefault="00A70C56" w:rsidP="00DC54F1">
    <w:pPr>
      <w:pStyle w:val="Header"/>
    </w:pP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204EBB" w:rsidRDefault="00A70C56" w:rsidP="0090101A">
    <w:pPr>
      <w:pStyle w:val="header-evenpage"/>
    </w:pPr>
    <w:r>
      <w:t>Supervising Scientist Annual Report 2013–14</w:t>
    </w: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90101A">
    <w:pPr>
      <w:pStyle w:val="header-oddpage"/>
    </w:pPr>
    <w:r>
      <w:t>Supervising Scientist Annual Report 2013–14</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90101A">
    <w:pPr>
      <w:pStyle w:val="header-oddpage"/>
    </w:pPr>
    <w:r>
      <w:t>Supervising Scientist Annual Report 2008–2009</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90101A" w:rsidRDefault="00A70C56" w:rsidP="0090101A">
    <w:pPr>
      <w:pStyle w:val="header-evenpage"/>
    </w:pPr>
    <w:r w:rsidRPr="0090101A">
      <w:t>1 Introduction</w:t>
    </w:r>
  </w:p>
</w:hdr>
</file>

<file path=word/header1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90101A" w:rsidRDefault="00A70C56" w:rsidP="0090101A">
    <w:pPr>
      <w:pStyle w:val="header-oddpage"/>
    </w:pPr>
    <w:r w:rsidRPr="0090101A">
      <w:t>Supervising Scientist Annual Report 2013–14</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45ED" w:rsidRDefault="009C45ED">
    <w:pPr>
      <w:pStyle w:val="Header"/>
    </w:pPr>
  </w:p>
</w:hdr>
</file>

<file path=word/header2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2A70CD" w:rsidRDefault="00A70C56" w:rsidP="002A70CD">
    <w:pPr>
      <w:pStyle w:val="Header"/>
    </w:pPr>
  </w:p>
</w:hdr>
</file>

<file path=word/header2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C935D2" w:rsidRDefault="00A70C56" w:rsidP="0090101A">
    <w:pPr>
      <w:pStyle w:val="header-evenpage"/>
    </w:pPr>
    <w:proofErr w:type="gramStart"/>
    <w:r>
      <w:t>2  Statutory</w:t>
    </w:r>
    <w:proofErr w:type="gramEnd"/>
    <w:r>
      <w:t xml:space="preserve"> Committees</w:t>
    </w:r>
  </w:p>
</w:hdr>
</file>

<file path=word/header2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90101A">
    <w:pPr>
      <w:pStyle w:val="header-evenpage"/>
    </w:pPr>
    <w:r>
      <w:t>Supervising Scientist Annual Report 2013–14</w:t>
    </w:r>
  </w:p>
</w:hdr>
</file>

<file path=word/header2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90101A" w:rsidRDefault="00A70C56" w:rsidP="0090101A">
    <w:pPr>
      <w:pStyle w:val="Header"/>
    </w:pPr>
  </w:p>
</w:hdr>
</file>

<file path=word/header2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3722B3" w:rsidRDefault="00A70C56" w:rsidP="0090101A">
    <w:pPr>
      <w:pStyle w:val="header-evenpage"/>
    </w:pPr>
    <w:proofErr w:type="gramStart"/>
    <w:r>
      <w:t>3  Environmental</w:t>
    </w:r>
    <w:proofErr w:type="gramEnd"/>
    <w:r>
      <w:t xml:space="preserve"> Assessments of Uranium Mines</w:t>
    </w:r>
  </w:p>
</w:hdr>
</file>

<file path=word/header2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90101A">
    <w:pPr>
      <w:pStyle w:val="header-oddpage"/>
    </w:pPr>
    <w:r>
      <w:t>Supervising Scientist Annual Report 2013–14</w:t>
    </w:r>
  </w:p>
</w:hdr>
</file>

<file path=word/header2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5A58F2" w:rsidRDefault="00A70C56" w:rsidP="005A58F2">
    <w:pPr>
      <w:pStyle w:val="header-evenpage"/>
    </w:pPr>
    <w:r w:rsidRPr="005A58F2">
      <w:t>4 Enviro</w:t>
    </w:r>
    <w:r w:rsidR="0084158F">
      <w:t>nmental R</w:t>
    </w:r>
    <w:r w:rsidRPr="005A58F2">
      <w:t>esearch</w:t>
    </w:r>
  </w:p>
</w:hdr>
</file>

<file path=word/header2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5A58F2">
    <w:pPr>
      <w:pStyle w:val="header-oddpage"/>
    </w:pPr>
    <w:r>
      <w:t>Supervising Scientist Annual Report 2013–14</w:t>
    </w:r>
  </w:p>
  <w:p w:rsidR="00A70C56" w:rsidRPr="0089787F" w:rsidRDefault="00A70C56" w:rsidP="0090101A">
    <w:pPr>
      <w:pStyle w:val="header-oddpage"/>
    </w:pPr>
  </w:p>
</w:hdr>
</file>

<file path=word/header2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A4422E" w:rsidRDefault="00A70C56" w:rsidP="005A58F2">
    <w:pPr>
      <w:pStyle w:val="header-evenpage"/>
    </w:pPr>
    <w:r>
      <w:t>5 Other science and technical activities</w:t>
    </w:r>
  </w:p>
</w:hdr>
</file>

<file path=word/header2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5A58F2">
    <w:pPr>
      <w:pStyle w:val="header-oddpage"/>
    </w:pPr>
    <w:r>
      <w:t>Supervising Scientist Annual Report 2013–14</w:t>
    </w:r>
  </w:p>
  <w:p w:rsidR="00A70C56" w:rsidRDefault="00A70C56" w:rsidP="0090101A">
    <w:pPr>
      <w:pStyle w:val="header-oddpage"/>
    </w:pP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9C45ED" w:rsidRDefault="009C45ED">
    <w:pPr>
      <w:pStyle w:val="Header"/>
    </w:pPr>
  </w:p>
</w:hdr>
</file>

<file path=word/header3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A00BA3"/>
</w:hdr>
</file>

<file path=word/header3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194956">
    <w:pPr>
      <w:pStyle w:val="header-evenpage"/>
    </w:pPr>
    <w:r>
      <w:t xml:space="preserve">6 Communication activities </w:t>
    </w:r>
  </w:p>
  <w:p w:rsidR="00A70C56" w:rsidRPr="00A4422E" w:rsidRDefault="00A70C56" w:rsidP="00A4422E">
    <w:pPr>
      <w:pStyle w:val="Header"/>
    </w:pPr>
  </w:p>
</w:hdr>
</file>

<file path=word/header3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194956">
    <w:pPr>
      <w:pStyle w:val="header-oddpage"/>
    </w:pPr>
    <w:r>
      <w:t>Supervising Scientist Annual Report 2013–14</w:t>
    </w:r>
  </w:p>
  <w:p w:rsidR="00A70C56" w:rsidRPr="0089787F" w:rsidRDefault="00A70C56" w:rsidP="0089787F">
    <w:pPr>
      <w:pStyle w:val="Header"/>
    </w:pPr>
  </w:p>
</w:hdr>
</file>

<file path=word/header3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5807FF" w:rsidRDefault="00A70C56" w:rsidP="00A00BA3">
    <w:pPr>
      <w:pStyle w:val="Header"/>
    </w:pPr>
  </w:p>
</w:hdr>
</file>

<file path=word/header3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194956">
    <w:pPr>
      <w:pStyle w:val="header-evenpage"/>
    </w:pPr>
    <w:r>
      <w:t xml:space="preserve">6 Communication activities </w:t>
    </w:r>
  </w:p>
  <w:p w:rsidR="00A70C56" w:rsidRPr="00194956" w:rsidRDefault="00A70C56" w:rsidP="00194956">
    <w:pPr>
      <w:pStyle w:val="Header"/>
    </w:pPr>
  </w:p>
</w:hdr>
</file>

<file path=word/header3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447F3B" w:rsidRDefault="00A70C56" w:rsidP="00885193">
    <w:pPr>
      <w:pStyle w:val="header-evenpage"/>
    </w:pPr>
    <w:proofErr w:type="gramStart"/>
    <w:r>
      <w:t>7  Administrative</w:t>
    </w:r>
    <w:proofErr w:type="gramEnd"/>
    <w:r>
      <w:t xml:space="preserve"> arrangements</w:t>
    </w:r>
  </w:p>
</w:hdr>
</file>

<file path=word/header3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447F3B" w:rsidRDefault="00A70C56" w:rsidP="00885193">
    <w:pPr>
      <w:pStyle w:val="header-oddpage"/>
    </w:pPr>
    <w:r>
      <w:t>Supervising Scientist Annual Report 2013–14</w:t>
    </w:r>
  </w:p>
  <w:p w:rsidR="00A70C56" w:rsidRPr="00885193" w:rsidRDefault="00A70C56" w:rsidP="00885193">
    <w:pPr>
      <w:pStyle w:val="Header"/>
    </w:pPr>
  </w:p>
</w:hdr>
</file>

<file path=word/header3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5807FF" w:rsidRDefault="00A70C56" w:rsidP="00A00BA3">
    <w:pPr>
      <w:pStyle w:val="Header"/>
    </w:pPr>
  </w:p>
</w:hdr>
</file>

<file path=word/header3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447F3B" w:rsidRDefault="00A70C56" w:rsidP="0090101A">
    <w:pPr>
      <w:pStyle w:val="header-evenpage"/>
    </w:pPr>
    <w:r>
      <w:t>Supervising Scientist Annual Report 2013–14</w:t>
    </w:r>
  </w:p>
  <w:p w:rsidR="00A70C56" w:rsidRPr="00DD152C" w:rsidRDefault="00A70C56" w:rsidP="00DD152C">
    <w:pPr>
      <w:pStyle w:val="Header"/>
    </w:pPr>
  </w:p>
</w:hdr>
</file>

<file path=word/header3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447F3B" w:rsidRDefault="00A70C56" w:rsidP="0090101A">
    <w:pPr>
      <w:pStyle w:val="header-oddpage"/>
    </w:pPr>
    <w:r>
      <w:t xml:space="preserve">Appendix </w:t>
    </w:r>
    <w:proofErr w:type="gramStart"/>
    <w:r>
      <w:t>1  ARRTC</w:t>
    </w:r>
    <w:proofErr w:type="gramEnd"/>
    <w:r>
      <w:t xml:space="preserve"> Key Knowledge Needs</w:t>
    </w:r>
  </w:p>
  <w:p w:rsidR="00A70C56" w:rsidRPr="00795877" w:rsidRDefault="00A70C56" w:rsidP="00795877">
    <w:pPr>
      <w:pStyle w:val="Header"/>
    </w:pP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A00BA3"/>
</w:hdr>
</file>

<file path=word/header4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5807FF" w:rsidRDefault="00A70C56" w:rsidP="00A00BA3">
    <w:pPr>
      <w:pStyle w:val="Header"/>
    </w:pPr>
  </w:p>
</w:hdr>
</file>

<file path=word/header4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447F3B" w:rsidRDefault="00A70C56" w:rsidP="0090101A">
    <w:pPr>
      <w:pStyle w:val="header-evenpage"/>
    </w:pPr>
    <w:r>
      <w:t>Supervising Scientist Annual Report 2013–14</w:t>
    </w:r>
  </w:p>
  <w:p w:rsidR="00A70C56" w:rsidRPr="00447F3B" w:rsidRDefault="00A70C56" w:rsidP="0090101A">
    <w:pPr>
      <w:pStyle w:val="header-oddpage"/>
    </w:pPr>
    <w:r>
      <w:tab/>
    </w:r>
    <w:r>
      <w:tab/>
    </w:r>
  </w:p>
</w:hdr>
</file>

<file path=word/header4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447F3B" w:rsidRDefault="00A70C56" w:rsidP="0090101A">
    <w:pPr>
      <w:pStyle w:val="header-oddpage"/>
    </w:pPr>
    <w:r>
      <w:t xml:space="preserve">Appendix </w:t>
    </w:r>
    <w:proofErr w:type="gramStart"/>
    <w:r>
      <w:t>2  Publications</w:t>
    </w:r>
    <w:proofErr w:type="gramEnd"/>
    <w:r>
      <w:t xml:space="preserve"> for 2013–14</w:t>
    </w:r>
  </w:p>
  <w:p w:rsidR="00A70C56" w:rsidRPr="00795877" w:rsidRDefault="00A70C56" w:rsidP="00795877">
    <w:pPr>
      <w:pStyle w:val="Header"/>
    </w:pPr>
  </w:p>
</w:hdr>
</file>

<file path=word/header4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882B06" w:rsidRDefault="00A70C56" w:rsidP="00A00BA3">
    <w:pPr>
      <w:pStyle w:val="Header"/>
    </w:pPr>
  </w:p>
</w:hdr>
</file>

<file path=word/header4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5807FF" w:rsidRDefault="00A70C56" w:rsidP="0090101A">
    <w:pPr>
      <w:pStyle w:val="header-evenpage"/>
    </w:pPr>
    <w:r>
      <w:t xml:space="preserve">Appendix </w:t>
    </w:r>
    <w:proofErr w:type="gramStart"/>
    <w:r>
      <w:t>3  Presentations</w:t>
    </w:r>
    <w:proofErr w:type="gramEnd"/>
    <w:r>
      <w:t xml:space="preserve"> to conferences and symposia, 2013–14</w:t>
    </w:r>
  </w:p>
</w:hdr>
</file>

<file path=word/header4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882B06" w:rsidRDefault="00A70C56" w:rsidP="00A00BA3">
    <w:pPr>
      <w:pStyle w:val="Header"/>
    </w:pPr>
  </w:p>
</w:hdr>
</file>

<file path=word/header4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447F3B" w:rsidRDefault="00A70C56" w:rsidP="00F25C50">
    <w:pPr>
      <w:pStyle w:val="header-evenpage"/>
    </w:pPr>
    <w:r>
      <w:t xml:space="preserve">Appendix </w:t>
    </w:r>
    <w:proofErr w:type="gramStart"/>
    <w:r>
      <w:t>4  List</w:t>
    </w:r>
    <w:proofErr w:type="gramEnd"/>
    <w:r>
      <w:t xml:space="preserve"> of </w:t>
    </w:r>
    <w:r w:rsidRPr="00DC084F">
      <w:rPr>
        <w:b/>
        <w:i/>
        <w:sz w:val="17"/>
        <w:szCs w:val="17"/>
      </w:rPr>
      <w:t>eriss</w:t>
    </w:r>
    <w:r>
      <w:t xml:space="preserve"> research projects, 2013–14</w:t>
    </w:r>
  </w:p>
  <w:p w:rsidR="00A70C56" w:rsidRPr="005807FF" w:rsidRDefault="00A70C56" w:rsidP="0090101A">
    <w:pPr>
      <w:pStyle w:val="header-oddpage"/>
    </w:pPr>
  </w:p>
</w:hdr>
</file>

<file path=word/header4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F25C50">
    <w:pPr>
      <w:pStyle w:val="header-oddpage"/>
    </w:pPr>
    <w:r>
      <w:t>Supervising Scientist Annual Report 2013–14</w:t>
    </w:r>
  </w:p>
  <w:p w:rsidR="00A70C56" w:rsidRPr="00795877" w:rsidRDefault="00A70C56" w:rsidP="00795877">
    <w:pPr>
      <w:pStyle w:val="Header"/>
    </w:pPr>
  </w:p>
</w:hdr>
</file>

<file path=word/header4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DD152C" w:rsidRDefault="00A70C56" w:rsidP="00DD152C">
    <w:pPr>
      <w:pStyle w:val="Header"/>
    </w:pPr>
  </w:p>
</w:hdr>
</file>

<file path=word/header4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447F3B" w:rsidRDefault="00A70C56" w:rsidP="0090101A">
    <w:pPr>
      <w:pStyle w:val="header-evenpage"/>
    </w:pPr>
    <w:r>
      <w:t>Supervising Scientist Annual Report 2013–14</w:t>
    </w: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A00BA3"/>
</w:hdr>
</file>

<file path=word/header5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5807FF" w:rsidRDefault="00A70C56" w:rsidP="0090101A">
    <w:pPr>
      <w:pStyle w:val="header-oddpage"/>
    </w:pPr>
    <w:r>
      <w:t>Glossary of terms, abbreviations and acronyms</w:t>
    </w:r>
  </w:p>
  <w:p w:rsidR="00A70C56" w:rsidRPr="00795877" w:rsidRDefault="00A70C56" w:rsidP="00795877">
    <w:pPr>
      <w:pStyle w:val="Header"/>
    </w:pPr>
  </w:p>
</w:hdr>
</file>

<file path=word/header5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28716A" w:rsidRDefault="00A70C56" w:rsidP="0028716A">
    <w:pPr>
      <w:pStyle w:val="Header"/>
    </w:pPr>
  </w:p>
</w:hdr>
</file>

<file path=word/header5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274835">
    <w:pPr>
      <w:pStyle w:val="header-evenpage"/>
    </w:pPr>
    <w:r>
      <w:t>Supervising Scientist Annual Report 2013–2014</w:t>
    </w:r>
  </w:p>
  <w:p w:rsidR="00A70C56" w:rsidRPr="005F377A" w:rsidRDefault="00A70C56" w:rsidP="00274835">
    <w:pPr>
      <w:pStyle w:val="header-evenpage"/>
    </w:pPr>
  </w:p>
</w:hdr>
</file>

<file path=word/header5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274835">
    <w:pPr>
      <w:pStyle w:val="header-oddpage"/>
    </w:pPr>
    <w:r>
      <w:t>Index</w:t>
    </w:r>
  </w:p>
</w:hdr>
</file>

<file path=word/header5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5F377A">
    <w:pPr>
      <w:pStyle w:val="Heading1"/>
    </w:pPr>
  </w:p>
  <w:p w:rsidR="00A70C56" w:rsidRDefault="00A70C56" w:rsidP="005F377A">
    <w:pPr>
      <w:pStyle w:val="Heading1"/>
    </w:pPr>
    <w:r>
      <w:t>Index</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Pr="00F47F19" w:rsidRDefault="00A70C56" w:rsidP="00A00BA3">
    <w:r w:rsidRPr="003E6E9C">
      <w:rPr>
        <w:noProof/>
        <w:lang w:eastAsia="en-AU"/>
      </w:rPr>
      <w:drawing>
        <wp:anchor distT="0" distB="0" distL="114300" distR="114300" simplePos="0" relativeHeight="251657216" behindDoc="0" locked="0" layoutInCell="1" allowOverlap="1">
          <wp:simplePos x="0" y="0"/>
          <wp:positionH relativeFrom="column">
            <wp:posOffset>1438275</wp:posOffset>
          </wp:positionH>
          <wp:positionV relativeFrom="paragraph">
            <wp:posOffset>-142875</wp:posOffset>
          </wp:positionV>
          <wp:extent cx="1986280" cy="1476375"/>
          <wp:effectExtent l="19050" t="0" r="0" b="0"/>
          <wp:wrapTopAndBottom/>
          <wp:docPr id="23" name="Picture 1" descr="SSD logo stacke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SD logo stacked.jpg"/>
                  <pic:cNvPicPr/>
                </pic:nvPicPr>
                <pic:blipFill>
                  <a:blip r:embed="rId1"/>
                  <a:stretch>
                    <a:fillRect/>
                  </a:stretch>
                </pic:blipFill>
                <pic:spPr>
                  <a:xfrm>
                    <a:off x="0" y="0"/>
                    <a:ext cx="1986280" cy="1476375"/>
                  </a:xfrm>
                  <a:prstGeom prst="rect">
                    <a:avLst/>
                  </a:prstGeom>
                </pic:spPr>
              </pic:pic>
            </a:graphicData>
          </a:graphic>
        </wp:anchor>
      </w:drawing>
    </w:r>
  </w:p>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A00BA3"/>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5106D7">
    <w:pPr>
      <w:pStyle w:val="header-oddpage"/>
    </w:pPr>
    <w:r>
      <w:t>Supervising Scientist Annual Report 2013–14</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A70C56" w:rsidRDefault="00A70C56" w:rsidP="005106D7">
    <w:pPr>
      <w:pStyle w:val="header-evenpage"/>
    </w:pPr>
    <w:r>
      <w:t>Contents</w:t>
    </w:r>
  </w:p>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FFFFFF7C"/>
    <w:multiLevelType w:val="singleLevel"/>
    <w:tmpl w:val="3E92F942"/>
    <w:lvl w:ilvl="0">
      <w:start w:val="1"/>
      <w:numFmt w:val="decimal"/>
      <w:lvlText w:val="%1."/>
      <w:lvlJc w:val="left"/>
      <w:pPr>
        <w:tabs>
          <w:tab w:val="num" w:pos="1492"/>
        </w:tabs>
        <w:ind w:left="1492" w:hanging="360"/>
      </w:pPr>
    </w:lvl>
  </w:abstractNum>
  <w:abstractNum w:abstractNumId="1">
    <w:nsid w:val="FFFFFF7D"/>
    <w:multiLevelType w:val="singleLevel"/>
    <w:tmpl w:val="A300BA72"/>
    <w:lvl w:ilvl="0">
      <w:start w:val="1"/>
      <w:numFmt w:val="decimal"/>
      <w:lvlText w:val="%1."/>
      <w:lvlJc w:val="left"/>
      <w:pPr>
        <w:tabs>
          <w:tab w:val="num" w:pos="1209"/>
        </w:tabs>
        <w:ind w:left="1209" w:hanging="360"/>
      </w:pPr>
    </w:lvl>
  </w:abstractNum>
  <w:abstractNum w:abstractNumId="2">
    <w:nsid w:val="FFFFFF7E"/>
    <w:multiLevelType w:val="singleLevel"/>
    <w:tmpl w:val="8AF211B4"/>
    <w:lvl w:ilvl="0">
      <w:start w:val="1"/>
      <w:numFmt w:val="decimal"/>
      <w:lvlText w:val="%1."/>
      <w:lvlJc w:val="left"/>
      <w:pPr>
        <w:tabs>
          <w:tab w:val="num" w:pos="926"/>
        </w:tabs>
        <w:ind w:left="926" w:hanging="360"/>
      </w:pPr>
    </w:lvl>
  </w:abstractNum>
  <w:abstractNum w:abstractNumId="3">
    <w:nsid w:val="FFFFFF7F"/>
    <w:multiLevelType w:val="singleLevel"/>
    <w:tmpl w:val="8CF4166C"/>
    <w:lvl w:ilvl="0">
      <w:start w:val="1"/>
      <w:numFmt w:val="decimal"/>
      <w:lvlText w:val="%1."/>
      <w:lvlJc w:val="left"/>
      <w:pPr>
        <w:tabs>
          <w:tab w:val="num" w:pos="643"/>
        </w:tabs>
        <w:ind w:left="643" w:hanging="360"/>
      </w:pPr>
    </w:lvl>
  </w:abstractNum>
  <w:abstractNum w:abstractNumId="4">
    <w:nsid w:val="FFFFFF80"/>
    <w:multiLevelType w:val="singleLevel"/>
    <w:tmpl w:val="9B58010A"/>
    <w:lvl w:ilvl="0">
      <w:start w:val="1"/>
      <w:numFmt w:val="bullet"/>
      <w:lvlText w:val=""/>
      <w:lvlJc w:val="left"/>
      <w:pPr>
        <w:tabs>
          <w:tab w:val="num" w:pos="1492"/>
        </w:tabs>
        <w:ind w:left="1492" w:hanging="360"/>
      </w:pPr>
      <w:rPr>
        <w:rFonts w:ascii="Symbol" w:hAnsi="Symbol" w:hint="default"/>
      </w:rPr>
    </w:lvl>
  </w:abstractNum>
  <w:abstractNum w:abstractNumId="5">
    <w:nsid w:val="FFFFFF81"/>
    <w:multiLevelType w:val="singleLevel"/>
    <w:tmpl w:val="FF68CA68"/>
    <w:lvl w:ilvl="0">
      <w:start w:val="1"/>
      <w:numFmt w:val="bullet"/>
      <w:lvlText w:val=""/>
      <w:lvlJc w:val="left"/>
      <w:pPr>
        <w:tabs>
          <w:tab w:val="num" w:pos="1209"/>
        </w:tabs>
        <w:ind w:left="1209" w:hanging="360"/>
      </w:pPr>
      <w:rPr>
        <w:rFonts w:ascii="Symbol" w:hAnsi="Symbol" w:hint="default"/>
      </w:rPr>
    </w:lvl>
  </w:abstractNum>
  <w:abstractNum w:abstractNumId="6">
    <w:nsid w:val="FFFFFF82"/>
    <w:multiLevelType w:val="singleLevel"/>
    <w:tmpl w:val="D2A480A6"/>
    <w:lvl w:ilvl="0">
      <w:start w:val="1"/>
      <w:numFmt w:val="bullet"/>
      <w:lvlText w:val=""/>
      <w:lvlJc w:val="left"/>
      <w:pPr>
        <w:tabs>
          <w:tab w:val="num" w:pos="926"/>
        </w:tabs>
        <w:ind w:left="926" w:hanging="360"/>
      </w:pPr>
      <w:rPr>
        <w:rFonts w:ascii="Symbol" w:hAnsi="Symbol" w:hint="default"/>
      </w:rPr>
    </w:lvl>
  </w:abstractNum>
  <w:abstractNum w:abstractNumId="7">
    <w:nsid w:val="FFFFFF88"/>
    <w:multiLevelType w:val="singleLevel"/>
    <w:tmpl w:val="5E2E8AA0"/>
    <w:lvl w:ilvl="0">
      <w:start w:val="1"/>
      <w:numFmt w:val="decimal"/>
      <w:lvlText w:val="%1."/>
      <w:lvlJc w:val="left"/>
      <w:pPr>
        <w:tabs>
          <w:tab w:val="num" w:pos="360"/>
        </w:tabs>
        <w:ind w:left="360" w:hanging="360"/>
      </w:pPr>
    </w:lvl>
  </w:abstractNum>
  <w:abstractNum w:abstractNumId="8">
    <w:nsid w:val="FFFFFF89"/>
    <w:multiLevelType w:val="singleLevel"/>
    <w:tmpl w:val="0A3AC1A8"/>
    <w:lvl w:ilvl="0">
      <w:start w:val="1"/>
      <w:numFmt w:val="bullet"/>
      <w:lvlText w:val=""/>
      <w:lvlJc w:val="left"/>
      <w:pPr>
        <w:tabs>
          <w:tab w:val="num" w:pos="360"/>
        </w:tabs>
        <w:ind w:left="360" w:hanging="360"/>
      </w:pPr>
      <w:rPr>
        <w:rFonts w:ascii="Symbol" w:hAnsi="Symbol" w:hint="default"/>
      </w:rPr>
    </w:lvl>
  </w:abstractNum>
  <w:abstractNum w:abstractNumId="9">
    <w:nsid w:val="03034B69"/>
    <w:multiLevelType w:val="hybridMultilevel"/>
    <w:tmpl w:val="71D20FC4"/>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0">
    <w:nsid w:val="04F85A6F"/>
    <w:multiLevelType w:val="hybridMultilevel"/>
    <w:tmpl w:val="FF32EC28"/>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1">
    <w:nsid w:val="093144C5"/>
    <w:multiLevelType w:val="hybridMultilevel"/>
    <w:tmpl w:val="FA02C278"/>
    <w:lvl w:ilvl="0" w:tplc="DA98A1D8">
      <w:numFmt w:val="bullet"/>
      <w:lvlText w:val="•"/>
      <w:lvlJc w:val="left"/>
      <w:pPr>
        <w:ind w:left="720" w:hanging="360"/>
      </w:pPr>
      <w:rPr>
        <w:rFonts w:ascii="Times New Roman" w:eastAsia="Times New Roman" w:hAnsi="Times New Roman"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2">
    <w:nsid w:val="09646C6C"/>
    <w:multiLevelType w:val="hybridMultilevel"/>
    <w:tmpl w:val="7662F8FE"/>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3">
    <w:nsid w:val="0B9E50CF"/>
    <w:multiLevelType w:val="hybridMultilevel"/>
    <w:tmpl w:val="21B0D200"/>
    <w:lvl w:ilvl="0" w:tplc="0C09000F">
      <w:start w:val="1"/>
      <w:numFmt w:val="decimal"/>
      <w:lvlText w:val="%1."/>
      <w:lvlJc w:val="left"/>
      <w:pPr>
        <w:ind w:left="720" w:hanging="360"/>
      </w:pPr>
      <w:rPr>
        <w:rFonts w:hint="default"/>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4">
    <w:nsid w:val="0E2E2A04"/>
    <w:multiLevelType w:val="hybridMultilevel"/>
    <w:tmpl w:val="44B2BB8C"/>
    <w:lvl w:ilvl="0" w:tplc="0C090003">
      <w:start w:val="1"/>
      <w:numFmt w:val="bullet"/>
      <w:lvlText w:val="o"/>
      <w:lvlJc w:val="left"/>
      <w:pPr>
        <w:ind w:left="1365" w:hanging="360"/>
      </w:pPr>
      <w:rPr>
        <w:rFonts w:ascii="Courier New" w:hAnsi="Courier New" w:cs="Courier New" w:hint="default"/>
      </w:rPr>
    </w:lvl>
    <w:lvl w:ilvl="1" w:tplc="0C090003" w:tentative="1">
      <w:start w:val="1"/>
      <w:numFmt w:val="bullet"/>
      <w:lvlText w:val="o"/>
      <w:lvlJc w:val="left"/>
      <w:pPr>
        <w:ind w:left="2085" w:hanging="360"/>
      </w:pPr>
      <w:rPr>
        <w:rFonts w:ascii="Courier New" w:hAnsi="Courier New" w:cs="Courier New" w:hint="default"/>
      </w:rPr>
    </w:lvl>
    <w:lvl w:ilvl="2" w:tplc="0C090005" w:tentative="1">
      <w:start w:val="1"/>
      <w:numFmt w:val="bullet"/>
      <w:lvlText w:val=""/>
      <w:lvlJc w:val="left"/>
      <w:pPr>
        <w:ind w:left="2805" w:hanging="360"/>
      </w:pPr>
      <w:rPr>
        <w:rFonts w:ascii="Wingdings" w:hAnsi="Wingdings" w:hint="default"/>
      </w:rPr>
    </w:lvl>
    <w:lvl w:ilvl="3" w:tplc="0C090001" w:tentative="1">
      <w:start w:val="1"/>
      <w:numFmt w:val="bullet"/>
      <w:lvlText w:val=""/>
      <w:lvlJc w:val="left"/>
      <w:pPr>
        <w:ind w:left="3525" w:hanging="360"/>
      </w:pPr>
      <w:rPr>
        <w:rFonts w:ascii="Symbol" w:hAnsi="Symbol" w:hint="default"/>
      </w:rPr>
    </w:lvl>
    <w:lvl w:ilvl="4" w:tplc="0C090003" w:tentative="1">
      <w:start w:val="1"/>
      <w:numFmt w:val="bullet"/>
      <w:lvlText w:val="o"/>
      <w:lvlJc w:val="left"/>
      <w:pPr>
        <w:ind w:left="4245" w:hanging="360"/>
      </w:pPr>
      <w:rPr>
        <w:rFonts w:ascii="Courier New" w:hAnsi="Courier New" w:cs="Courier New" w:hint="default"/>
      </w:rPr>
    </w:lvl>
    <w:lvl w:ilvl="5" w:tplc="0C090005" w:tentative="1">
      <w:start w:val="1"/>
      <w:numFmt w:val="bullet"/>
      <w:lvlText w:val=""/>
      <w:lvlJc w:val="left"/>
      <w:pPr>
        <w:ind w:left="4965" w:hanging="360"/>
      </w:pPr>
      <w:rPr>
        <w:rFonts w:ascii="Wingdings" w:hAnsi="Wingdings" w:hint="default"/>
      </w:rPr>
    </w:lvl>
    <w:lvl w:ilvl="6" w:tplc="0C090001" w:tentative="1">
      <w:start w:val="1"/>
      <w:numFmt w:val="bullet"/>
      <w:lvlText w:val=""/>
      <w:lvlJc w:val="left"/>
      <w:pPr>
        <w:ind w:left="5685" w:hanging="360"/>
      </w:pPr>
      <w:rPr>
        <w:rFonts w:ascii="Symbol" w:hAnsi="Symbol" w:hint="default"/>
      </w:rPr>
    </w:lvl>
    <w:lvl w:ilvl="7" w:tplc="0C090003" w:tentative="1">
      <w:start w:val="1"/>
      <w:numFmt w:val="bullet"/>
      <w:lvlText w:val="o"/>
      <w:lvlJc w:val="left"/>
      <w:pPr>
        <w:ind w:left="6405" w:hanging="360"/>
      </w:pPr>
      <w:rPr>
        <w:rFonts w:ascii="Courier New" w:hAnsi="Courier New" w:cs="Courier New" w:hint="default"/>
      </w:rPr>
    </w:lvl>
    <w:lvl w:ilvl="8" w:tplc="0C090005" w:tentative="1">
      <w:start w:val="1"/>
      <w:numFmt w:val="bullet"/>
      <w:lvlText w:val=""/>
      <w:lvlJc w:val="left"/>
      <w:pPr>
        <w:ind w:left="7125" w:hanging="360"/>
      </w:pPr>
      <w:rPr>
        <w:rFonts w:ascii="Wingdings" w:hAnsi="Wingdings" w:hint="default"/>
      </w:rPr>
    </w:lvl>
  </w:abstractNum>
  <w:abstractNum w:abstractNumId="15">
    <w:nsid w:val="0F5D19EC"/>
    <w:multiLevelType w:val="hybridMultilevel"/>
    <w:tmpl w:val="604E290A"/>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6">
    <w:nsid w:val="0FED3D20"/>
    <w:multiLevelType w:val="hybridMultilevel"/>
    <w:tmpl w:val="D6FE7E0C"/>
    <w:lvl w:ilvl="0" w:tplc="E5548482">
      <w:numFmt w:val="decimal"/>
      <w:lvlText w:val="%1."/>
      <w:lvlJc w:val="left"/>
      <w:pPr>
        <w:ind w:left="720" w:hanging="360"/>
      </w:pPr>
      <w:rPr>
        <w:rFonts w:ascii="Arial" w:hAnsi="Arial" w:cs="Arial" w:hint="default"/>
        <w:sz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17">
    <w:nsid w:val="129635B0"/>
    <w:multiLevelType w:val="hybridMultilevel"/>
    <w:tmpl w:val="31588AA0"/>
    <w:lvl w:ilvl="0" w:tplc="8C983F48">
      <w:numFmt w:val="bullet"/>
      <w:lvlText w:val=""/>
      <w:lvlJc w:val="left"/>
      <w:pPr>
        <w:tabs>
          <w:tab w:val="num" w:pos="405"/>
        </w:tabs>
        <w:ind w:left="405" w:hanging="360"/>
      </w:pPr>
      <w:rPr>
        <w:rFonts w:ascii="Symbol" w:eastAsia="Times New Roman" w:hAnsi="Symbol" w:cs="Times New Roman" w:hint="default"/>
      </w:rPr>
    </w:lvl>
    <w:lvl w:ilvl="1" w:tplc="0C090003" w:tentative="1">
      <w:start w:val="1"/>
      <w:numFmt w:val="bullet"/>
      <w:lvlText w:val="o"/>
      <w:lvlJc w:val="left"/>
      <w:pPr>
        <w:tabs>
          <w:tab w:val="num" w:pos="1125"/>
        </w:tabs>
        <w:ind w:left="1125" w:hanging="360"/>
      </w:pPr>
      <w:rPr>
        <w:rFonts w:ascii="Courier New" w:hAnsi="Courier New" w:cs="Courier New" w:hint="default"/>
      </w:rPr>
    </w:lvl>
    <w:lvl w:ilvl="2" w:tplc="0C090005" w:tentative="1">
      <w:start w:val="1"/>
      <w:numFmt w:val="bullet"/>
      <w:lvlText w:val=""/>
      <w:lvlJc w:val="left"/>
      <w:pPr>
        <w:tabs>
          <w:tab w:val="num" w:pos="1845"/>
        </w:tabs>
        <w:ind w:left="1845" w:hanging="360"/>
      </w:pPr>
      <w:rPr>
        <w:rFonts w:ascii="Wingdings" w:hAnsi="Wingdings" w:hint="default"/>
      </w:rPr>
    </w:lvl>
    <w:lvl w:ilvl="3" w:tplc="0C090001" w:tentative="1">
      <w:start w:val="1"/>
      <w:numFmt w:val="bullet"/>
      <w:lvlText w:val=""/>
      <w:lvlJc w:val="left"/>
      <w:pPr>
        <w:tabs>
          <w:tab w:val="num" w:pos="2565"/>
        </w:tabs>
        <w:ind w:left="2565" w:hanging="360"/>
      </w:pPr>
      <w:rPr>
        <w:rFonts w:ascii="Symbol" w:hAnsi="Symbol" w:hint="default"/>
      </w:rPr>
    </w:lvl>
    <w:lvl w:ilvl="4" w:tplc="0C090003" w:tentative="1">
      <w:start w:val="1"/>
      <w:numFmt w:val="bullet"/>
      <w:lvlText w:val="o"/>
      <w:lvlJc w:val="left"/>
      <w:pPr>
        <w:tabs>
          <w:tab w:val="num" w:pos="3285"/>
        </w:tabs>
        <w:ind w:left="3285" w:hanging="360"/>
      </w:pPr>
      <w:rPr>
        <w:rFonts w:ascii="Courier New" w:hAnsi="Courier New" w:cs="Courier New" w:hint="default"/>
      </w:rPr>
    </w:lvl>
    <w:lvl w:ilvl="5" w:tplc="0C090005" w:tentative="1">
      <w:start w:val="1"/>
      <w:numFmt w:val="bullet"/>
      <w:lvlText w:val=""/>
      <w:lvlJc w:val="left"/>
      <w:pPr>
        <w:tabs>
          <w:tab w:val="num" w:pos="4005"/>
        </w:tabs>
        <w:ind w:left="4005" w:hanging="360"/>
      </w:pPr>
      <w:rPr>
        <w:rFonts w:ascii="Wingdings" w:hAnsi="Wingdings" w:hint="default"/>
      </w:rPr>
    </w:lvl>
    <w:lvl w:ilvl="6" w:tplc="0C090001" w:tentative="1">
      <w:start w:val="1"/>
      <w:numFmt w:val="bullet"/>
      <w:lvlText w:val=""/>
      <w:lvlJc w:val="left"/>
      <w:pPr>
        <w:tabs>
          <w:tab w:val="num" w:pos="4725"/>
        </w:tabs>
        <w:ind w:left="4725" w:hanging="360"/>
      </w:pPr>
      <w:rPr>
        <w:rFonts w:ascii="Symbol" w:hAnsi="Symbol" w:hint="default"/>
      </w:rPr>
    </w:lvl>
    <w:lvl w:ilvl="7" w:tplc="0C090003" w:tentative="1">
      <w:start w:val="1"/>
      <w:numFmt w:val="bullet"/>
      <w:lvlText w:val="o"/>
      <w:lvlJc w:val="left"/>
      <w:pPr>
        <w:tabs>
          <w:tab w:val="num" w:pos="5445"/>
        </w:tabs>
        <w:ind w:left="5445" w:hanging="360"/>
      </w:pPr>
      <w:rPr>
        <w:rFonts w:ascii="Courier New" w:hAnsi="Courier New" w:cs="Courier New" w:hint="default"/>
      </w:rPr>
    </w:lvl>
    <w:lvl w:ilvl="8" w:tplc="0C090005" w:tentative="1">
      <w:start w:val="1"/>
      <w:numFmt w:val="bullet"/>
      <w:lvlText w:val=""/>
      <w:lvlJc w:val="left"/>
      <w:pPr>
        <w:tabs>
          <w:tab w:val="num" w:pos="6165"/>
        </w:tabs>
        <w:ind w:left="6165" w:hanging="360"/>
      </w:pPr>
      <w:rPr>
        <w:rFonts w:ascii="Wingdings" w:hAnsi="Wingdings" w:hint="default"/>
      </w:rPr>
    </w:lvl>
  </w:abstractNum>
  <w:abstractNum w:abstractNumId="18">
    <w:nsid w:val="18F70021"/>
    <w:multiLevelType w:val="hybridMultilevel"/>
    <w:tmpl w:val="94E8EC32"/>
    <w:lvl w:ilvl="0" w:tplc="DA98A1D8">
      <w:numFmt w:val="bullet"/>
      <w:lvlText w:val="•"/>
      <w:lvlJc w:val="left"/>
      <w:pPr>
        <w:ind w:left="720" w:hanging="360"/>
      </w:pPr>
      <w:rPr>
        <w:rFonts w:ascii="Times New Roman" w:eastAsia="Times New Roman" w:hAnsi="Times New Roman" w:cs="Times New Roman"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19">
    <w:nsid w:val="19BE4E2A"/>
    <w:multiLevelType w:val="hybridMultilevel"/>
    <w:tmpl w:val="FD6E1502"/>
    <w:lvl w:ilvl="0" w:tplc="E30E36CE">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0">
    <w:nsid w:val="1BA96439"/>
    <w:multiLevelType w:val="hybridMultilevel"/>
    <w:tmpl w:val="4A703D0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21">
    <w:nsid w:val="23E96D5C"/>
    <w:multiLevelType w:val="hybridMultilevel"/>
    <w:tmpl w:val="9F9CCA0A"/>
    <w:lvl w:ilvl="0" w:tplc="0C090003">
      <w:start w:val="1"/>
      <w:numFmt w:val="bullet"/>
      <w:lvlText w:val="o"/>
      <w:lvlJc w:val="left"/>
      <w:pPr>
        <w:ind w:left="1298" w:hanging="360"/>
      </w:pPr>
      <w:rPr>
        <w:rFonts w:ascii="Courier New" w:hAnsi="Courier New" w:cs="Courier New" w:hint="default"/>
      </w:rPr>
    </w:lvl>
    <w:lvl w:ilvl="1" w:tplc="0C090003" w:tentative="1">
      <w:start w:val="1"/>
      <w:numFmt w:val="bullet"/>
      <w:lvlText w:val="o"/>
      <w:lvlJc w:val="left"/>
      <w:pPr>
        <w:ind w:left="2018" w:hanging="360"/>
      </w:pPr>
      <w:rPr>
        <w:rFonts w:ascii="Courier New" w:hAnsi="Courier New" w:cs="Courier New" w:hint="default"/>
      </w:rPr>
    </w:lvl>
    <w:lvl w:ilvl="2" w:tplc="0C090005" w:tentative="1">
      <w:start w:val="1"/>
      <w:numFmt w:val="bullet"/>
      <w:lvlText w:val=""/>
      <w:lvlJc w:val="left"/>
      <w:pPr>
        <w:ind w:left="2738" w:hanging="360"/>
      </w:pPr>
      <w:rPr>
        <w:rFonts w:ascii="Wingdings" w:hAnsi="Wingdings" w:hint="default"/>
      </w:rPr>
    </w:lvl>
    <w:lvl w:ilvl="3" w:tplc="0C090001" w:tentative="1">
      <w:start w:val="1"/>
      <w:numFmt w:val="bullet"/>
      <w:lvlText w:val=""/>
      <w:lvlJc w:val="left"/>
      <w:pPr>
        <w:ind w:left="3458" w:hanging="360"/>
      </w:pPr>
      <w:rPr>
        <w:rFonts w:ascii="Symbol" w:hAnsi="Symbol" w:hint="default"/>
      </w:rPr>
    </w:lvl>
    <w:lvl w:ilvl="4" w:tplc="0C090003" w:tentative="1">
      <w:start w:val="1"/>
      <w:numFmt w:val="bullet"/>
      <w:lvlText w:val="o"/>
      <w:lvlJc w:val="left"/>
      <w:pPr>
        <w:ind w:left="4178" w:hanging="360"/>
      </w:pPr>
      <w:rPr>
        <w:rFonts w:ascii="Courier New" w:hAnsi="Courier New" w:cs="Courier New" w:hint="default"/>
      </w:rPr>
    </w:lvl>
    <w:lvl w:ilvl="5" w:tplc="0C090005" w:tentative="1">
      <w:start w:val="1"/>
      <w:numFmt w:val="bullet"/>
      <w:lvlText w:val=""/>
      <w:lvlJc w:val="left"/>
      <w:pPr>
        <w:ind w:left="4898" w:hanging="360"/>
      </w:pPr>
      <w:rPr>
        <w:rFonts w:ascii="Wingdings" w:hAnsi="Wingdings" w:hint="default"/>
      </w:rPr>
    </w:lvl>
    <w:lvl w:ilvl="6" w:tplc="0C090001" w:tentative="1">
      <w:start w:val="1"/>
      <w:numFmt w:val="bullet"/>
      <w:lvlText w:val=""/>
      <w:lvlJc w:val="left"/>
      <w:pPr>
        <w:ind w:left="5618" w:hanging="360"/>
      </w:pPr>
      <w:rPr>
        <w:rFonts w:ascii="Symbol" w:hAnsi="Symbol" w:hint="default"/>
      </w:rPr>
    </w:lvl>
    <w:lvl w:ilvl="7" w:tplc="0C090003" w:tentative="1">
      <w:start w:val="1"/>
      <w:numFmt w:val="bullet"/>
      <w:lvlText w:val="o"/>
      <w:lvlJc w:val="left"/>
      <w:pPr>
        <w:ind w:left="6338" w:hanging="360"/>
      </w:pPr>
      <w:rPr>
        <w:rFonts w:ascii="Courier New" w:hAnsi="Courier New" w:cs="Courier New" w:hint="default"/>
      </w:rPr>
    </w:lvl>
    <w:lvl w:ilvl="8" w:tplc="0C090005" w:tentative="1">
      <w:start w:val="1"/>
      <w:numFmt w:val="bullet"/>
      <w:lvlText w:val=""/>
      <w:lvlJc w:val="left"/>
      <w:pPr>
        <w:ind w:left="7058" w:hanging="360"/>
      </w:pPr>
      <w:rPr>
        <w:rFonts w:ascii="Wingdings" w:hAnsi="Wingdings" w:hint="default"/>
      </w:rPr>
    </w:lvl>
  </w:abstractNum>
  <w:abstractNum w:abstractNumId="22">
    <w:nsid w:val="25156151"/>
    <w:multiLevelType w:val="hybridMultilevel"/>
    <w:tmpl w:val="13DC3DBA"/>
    <w:lvl w:ilvl="0" w:tplc="0C09000F">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3">
    <w:nsid w:val="253943C4"/>
    <w:multiLevelType w:val="hybridMultilevel"/>
    <w:tmpl w:val="0F907FE4"/>
    <w:lvl w:ilvl="0" w:tplc="5EB6FFF0">
      <w:start w:val="1"/>
      <w:numFmt w:val="bullet"/>
      <w:lvlText w:val=""/>
      <w:lvlJc w:val="left"/>
      <w:pPr>
        <w:tabs>
          <w:tab w:val="num" w:pos="720"/>
        </w:tabs>
        <w:ind w:left="720" w:hanging="363"/>
      </w:pPr>
      <w:rPr>
        <w:rFonts w:ascii="Symbol" w:hAnsi="Symbol" w:hint="default"/>
        <w:color w:val="auto"/>
      </w:rPr>
    </w:lvl>
    <w:lvl w:ilvl="1" w:tplc="0C090003" w:tentative="1">
      <w:start w:val="1"/>
      <w:numFmt w:val="bullet"/>
      <w:lvlText w:val="o"/>
      <w:lvlJc w:val="left"/>
      <w:pPr>
        <w:tabs>
          <w:tab w:val="num" w:pos="1440"/>
        </w:tabs>
        <w:ind w:left="1440" w:hanging="360"/>
      </w:pPr>
      <w:rPr>
        <w:rFonts w:ascii="Courier New" w:hAnsi="Courier New" w:cs="Courier New" w:hint="default"/>
      </w:rPr>
    </w:lvl>
    <w:lvl w:ilvl="2" w:tplc="0C090005" w:tentative="1">
      <w:start w:val="1"/>
      <w:numFmt w:val="bullet"/>
      <w:lvlText w:val=""/>
      <w:lvlJc w:val="left"/>
      <w:pPr>
        <w:tabs>
          <w:tab w:val="num" w:pos="2160"/>
        </w:tabs>
        <w:ind w:left="2160" w:hanging="360"/>
      </w:pPr>
      <w:rPr>
        <w:rFonts w:ascii="Wingdings" w:hAnsi="Wingdings" w:hint="default"/>
      </w:rPr>
    </w:lvl>
    <w:lvl w:ilvl="3" w:tplc="0C090001" w:tentative="1">
      <w:start w:val="1"/>
      <w:numFmt w:val="bullet"/>
      <w:lvlText w:val=""/>
      <w:lvlJc w:val="left"/>
      <w:pPr>
        <w:tabs>
          <w:tab w:val="num" w:pos="2880"/>
        </w:tabs>
        <w:ind w:left="2880" w:hanging="360"/>
      </w:pPr>
      <w:rPr>
        <w:rFonts w:ascii="Symbol" w:hAnsi="Symbol" w:hint="default"/>
      </w:rPr>
    </w:lvl>
    <w:lvl w:ilvl="4" w:tplc="0C090003" w:tentative="1">
      <w:start w:val="1"/>
      <w:numFmt w:val="bullet"/>
      <w:lvlText w:val="o"/>
      <w:lvlJc w:val="left"/>
      <w:pPr>
        <w:tabs>
          <w:tab w:val="num" w:pos="3600"/>
        </w:tabs>
        <w:ind w:left="3600" w:hanging="360"/>
      </w:pPr>
      <w:rPr>
        <w:rFonts w:ascii="Courier New" w:hAnsi="Courier New" w:cs="Courier New" w:hint="default"/>
      </w:rPr>
    </w:lvl>
    <w:lvl w:ilvl="5" w:tplc="0C090005" w:tentative="1">
      <w:start w:val="1"/>
      <w:numFmt w:val="bullet"/>
      <w:lvlText w:val=""/>
      <w:lvlJc w:val="left"/>
      <w:pPr>
        <w:tabs>
          <w:tab w:val="num" w:pos="4320"/>
        </w:tabs>
        <w:ind w:left="4320" w:hanging="360"/>
      </w:pPr>
      <w:rPr>
        <w:rFonts w:ascii="Wingdings" w:hAnsi="Wingdings" w:hint="default"/>
      </w:rPr>
    </w:lvl>
    <w:lvl w:ilvl="6" w:tplc="0C090001" w:tentative="1">
      <w:start w:val="1"/>
      <w:numFmt w:val="bullet"/>
      <w:lvlText w:val=""/>
      <w:lvlJc w:val="left"/>
      <w:pPr>
        <w:tabs>
          <w:tab w:val="num" w:pos="5040"/>
        </w:tabs>
        <w:ind w:left="5040" w:hanging="360"/>
      </w:pPr>
      <w:rPr>
        <w:rFonts w:ascii="Symbol" w:hAnsi="Symbol" w:hint="default"/>
      </w:rPr>
    </w:lvl>
    <w:lvl w:ilvl="7" w:tplc="0C090003" w:tentative="1">
      <w:start w:val="1"/>
      <w:numFmt w:val="bullet"/>
      <w:lvlText w:val="o"/>
      <w:lvlJc w:val="left"/>
      <w:pPr>
        <w:tabs>
          <w:tab w:val="num" w:pos="5760"/>
        </w:tabs>
        <w:ind w:left="5760" w:hanging="360"/>
      </w:pPr>
      <w:rPr>
        <w:rFonts w:ascii="Courier New" w:hAnsi="Courier New" w:cs="Courier New" w:hint="default"/>
      </w:rPr>
    </w:lvl>
    <w:lvl w:ilvl="8" w:tplc="0C090005" w:tentative="1">
      <w:start w:val="1"/>
      <w:numFmt w:val="bullet"/>
      <w:lvlText w:val=""/>
      <w:lvlJc w:val="left"/>
      <w:pPr>
        <w:tabs>
          <w:tab w:val="num" w:pos="6480"/>
        </w:tabs>
        <w:ind w:left="6480" w:hanging="360"/>
      </w:pPr>
      <w:rPr>
        <w:rFonts w:ascii="Wingdings" w:hAnsi="Wingdings" w:hint="default"/>
      </w:rPr>
    </w:lvl>
  </w:abstractNum>
  <w:abstractNum w:abstractNumId="24">
    <w:nsid w:val="2EE008E6"/>
    <w:multiLevelType w:val="hybridMultilevel"/>
    <w:tmpl w:val="248A42AA"/>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25">
    <w:nsid w:val="33A4455F"/>
    <w:multiLevelType w:val="hybridMultilevel"/>
    <w:tmpl w:val="3AC4C22C"/>
    <w:lvl w:ilvl="0" w:tplc="34CCBC90">
      <w:start w:val="1"/>
      <w:numFmt w:val="decimal"/>
      <w:lvlText w:val="%1."/>
      <w:lvlJc w:val="left"/>
      <w:pPr>
        <w:ind w:left="360" w:hanging="360"/>
      </w:pPr>
      <w:rPr>
        <w:rFonts w:hint="default"/>
      </w:rPr>
    </w:lvl>
    <w:lvl w:ilvl="1" w:tplc="0C090019" w:tentative="1">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26">
    <w:nsid w:val="35082EB8"/>
    <w:multiLevelType w:val="hybridMultilevel"/>
    <w:tmpl w:val="F496B756"/>
    <w:lvl w:ilvl="0" w:tplc="D65635E8">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27">
    <w:nsid w:val="3D2A3151"/>
    <w:multiLevelType w:val="hybridMultilevel"/>
    <w:tmpl w:val="F6E0B884"/>
    <w:lvl w:ilvl="0" w:tplc="0C090001">
      <w:numFmt w:val="decimal"/>
      <w:lvlText w:val="%1."/>
      <w:lvlJc w:val="left"/>
      <w:pPr>
        <w:ind w:left="649" w:hanging="360"/>
      </w:pPr>
      <w:rPr>
        <w:rFonts w:ascii="Arial" w:hAnsi="Arial" w:cs="Arial" w:hint="default"/>
        <w:sz w:val="16"/>
      </w:rPr>
    </w:lvl>
    <w:lvl w:ilvl="1" w:tplc="0C090003" w:tentative="1">
      <w:start w:val="1"/>
      <w:numFmt w:val="lowerLetter"/>
      <w:lvlText w:val="%2."/>
      <w:lvlJc w:val="left"/>
      <w:pPr>
        <w:ind w:left="1369" w:hanging="360"/>
      </w:pPr>
    </w:lvl>
    <w:lvl w:ilvl="2" w:tplc="0C090005" w:tentative="1">
      <w:start w:val="1"/>
      <w:numFmt w:val="lowerRoman"/>
      <w:lvlText w:val="%3."/>
      <w:lvlJc w:val="right"/>
      <w:pPr>
        <w:ind w:left="2089" w:hanging="180"/>
      </w:pPr>
    </w:lvl>
    <w:lvl w:ilvl="3" w:tplc="0C090001" w:tentative="1">
      <w:start w:val="1"/>
      <w:numFmt w:val="decimal"/>
      <w:lvlText w:val="%4."/>
      <w:lvlJc w:val="left"/>
      <w:pPr>
        <w:ind w:left="2809" w:hanging="360"/>
      </w:pPr>
    </w:lvl>
    <w:lvl w:ilvl="4" w:tplc="0C090003" w:tentative="1">
      <w:start w:val="1"/>
      <w:numFmt w:val="lowerLetter"/>
      <w:lvlText w:val="%5."/>
      <w:lvlJc w:val="left"/>
      <w:pPr>
        <w:ind w:left="3529" w:hanging="360"/>
      </w:pPr>
    </w:lvl>
    <w:lvl w:ilvl="5" w:tplc="0C090005" w:tentative="1">
      <w:start w:val="1"/>
      <w:numFmt w:val="lowerRoman"/>
      <w:lvlText w:val="%6."/>
      <w:lvlJc w:val="right"/>
      <w:pPr>
        <w:ind w:left="4249" w:hanging="180"/>
      </w:pPr>
    </w:lvl>
    <w:lvl w:ilvl="6" w:tplc="0C090001" w:tentative="1">
      <w:start w:val="1"/>
      <w:numFmt w:val="decimal"/>
      <w:lvlText w:val="%7."/>
      <w:lvlJc w:val="left"/>
      <w:pPr>
        <w:ind w:left="4969" w:hanging="360"/>
      </w:pPr>
    </w:lvl>
    <w:lvl w:ilvl="7" w:tplc="0C090003" w:tentative="1">
      <w:start w:val="1"/>
      <w:numFmt w:val="lowerLetter"/>
      <w:lvlText w:val="%8."/>
      <w:lvlJc w:val="left"/>
      <w:pPr>
        <w:ind w:left="5689" w:hanging="360"/>
      </w:pPr>
    </w:lvl>
    <w:lvl w:ilvl="8" w:tplc="0C090005" w:tentative="1">
      <w:start w:val="1"/>
      <w:numFmt w:val="lowerRoman"/>
      <w:lvlText w:val="%9."/>
      <w:lvlJc w:val="right"/>
      <w:pPr>
        <w:ind w:left="6409" w:hanging="180"/>
      </w:pPr>
    </w:lvl>
  </w:abstractNum>
  <w:abstractNum w:abstractNumId="28">
    <w:nsid w:val="3D965438"/>
    <w:multiLevelType w:val="hybridMultilevel"/>
    <w:tmpl w:val="72E651CA"/>
    <w:lvl w:ilvl="0" w:tplc="0C090001">
      <w:start w:val="1"/>
      <w:numFmt w:val="bullet"/>
      <w:lvlText w:val=""/>
      <w:lvlJc w:val="left"/>
      <w:pPr>
        <w:ind w:left="720" w:hanging="360"/>
      </w:pPr>
      <w:rPr>
        <w:rFonts w:ascii="Symbol" w:hAnsi="Symbol" w:hint="default"/>
      </w:rPr>
    </w:lvl>
    <w:lvl w:ilvl="1" w:tplc="0C090003">
      <w:start w:val="1"/>
      <w:numFmt w:val="decimal"/>
      <w:lvlText w:val="%2."/>
      <w:lvlJc w:val="left"/>
      <w:pPr>
        <w:tabs>
          <w:tab w:val="num" w:pos="1440"/>
        </w:tabs>
        <w:ind w:left="1440" w:hanging="360"/>
      </w:pPr>
    </w:lvl>
    <w:lvl w:ilvl="2" w:tplc="0C090005">
      <w:start w:val="1"/>
      <w:numFmt w:val="decimal"/>
      <w:lvlText w:val="%3."/>
      <w:lvlJc w:val="left"/>
      <w:pPr>
        <w:tabs>
          <w:tab w:val="num" w:pos="2160"/>
        </w:tabs>
        <w:ind w:left="2160" w:hanging="360"/>
      </w:pPr>
    </w:lvl>
    <w:lvl w:ilvl="3" w:tplc="0C090001">
      <w:start w:val="1"/>
      <w:numFmt w:val="decimal"/>
      <w:lvlText w:val="%4."/>
      <w:lvlJc w:val="left"/>
      <w:pPr>
        <w:tabs>
          <w:tab w:val="num" w:pos="2880"/>
        </w:tabs>
        <w:ind w:left="2880" w:hanging="360"/>
      </w:pPr>
    </w:lvl>
    <w:lvl w:ilvl="4" w:tplc="0C090003">
      <w:start w:val="1"/>
      <w:numFmt w:val="decimal"/>
      <w:lvlText w:val="%5."/>
      <w:lvlJc w:val="left"/>
      <w:pPr>
        <w:tabs>
          <w:tab w:val="num" w:pos="3600"/>
        </w:tabs>
        <w:ind w:left="3600" w:hanging="360"/>
      </w:pPr>
    </w:lvl>
    <w:lvl w:ilvl="5" w:tplc="0C090005">
      <w:start w:val="1"/>
      <w:numFmt w:val="decimal"/>
      <w:lvlText w:val="%6."/>
      <w:lvlJc w:val="left"/>
      <w:pPr>
        <w:tabs>
          <w:tab w:val="num" w:pos="4320"/>
        </w:tabs>
        <w:ind w:left="4320" w:hanging="360"/>
      </w:pPr>
    </w:lvl>
    <w:lvl w:ilvl="6" w:tplc="0C090001">
      <w:start w:val="1"/>
      <w:numFmt w:val="decimal"/>
      <w:lvlText w:val="%7."/>
      <w:lvlJc w:val="left"/>
      <w:pPr>
        <w:tabs>
          <w:tab w:val="num" w:pos="5040"/>
        </w:tabs>
        <w:ind w:left="5040" w:hanging="360"/>
      </w:pPr>
    </w:lvl>
    <w:lvl w:ilvl="7" w:tplc="0C090003">
      <w:start w:val="1"/>
      <w:numFmt w:val="decimal"/>
      <w:lvlText w:val="%8."/>
      <w:lvlJc w:val="left"/>
      <w:pPr>
        <w:tabs>
          <w:tab w:val="num" w:pos="5760"/>
        </w:tabs>
        <w:ind w:left="5760" w:hanging="360"/>
      </w:pPr>
    </w:lvl>
    <w:lvl w:ilvl="8" w:tplc="0C090005">
      <w:start w:val="1"/>
      <w:numFmt w:val="decimal"/>
      <w:lvlText w:val="%9."/>
      <w:lvlJc w:val="left"/>
      <w:pPr>
        <w:tabs>
          <w:tab w:val="num" w:pos="6480"/>
        </w:tabs>
        <w:ind w:left="6480" w:hanging="360"/>
      </w:pPr>
    </w:lvl>
  </w:abstractNum>
  <w:abstractNum w:abstractNumId="29">
    <w:nsid w:val="45D41D32"/>
    <w:multiLevelType w:val="hybridMultilevel"/>
    <w:tmpl w:val="ED5CA960"/>
    <w:lvl w:ilvl="0" w:tplc="E65E30AE">
      <w:numFmt w:val="decimal"/>
      <w:lvlText w:val="%1."/>
      <w:lvlJc w:val="left"/>
      <w:pPr>
        <w:ind w:left="720" w:hanging="360"/>
      </w:pPr>
      <w:rPr>
        <w:rFonts w:cs="Arial" w:hint="default"/>
        <w:sz w:val="16"/>
      </w:r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0">
    <w:nsid w:val="47D50242"/>
    <w:multiLevelType w:val="hybridMultilevel"/>
    <w:tmpl w:val="B226C9DE"/>
    <w:lvl w:ilvl="0" w:tplc="10A84E2E">
      <w:start w:val="1"/>
      <w:numFmt w:val="bullet"/>
      <w:pStyle w:val="bulletlist2"/>
      <w:lvlText w:val="o"/>
      <w:lvlJc w:val="left"/>
      <w:pPr>
        <w:ind w:left="1440" w:hanging="360"/>
      </w:pPr>
      <w:rPr>
        <w:rFonts w:ascii="Courier New" w:hAnsi="Courier New" w:cs="Courier New" w:hint="default"/>
      </w:rPr>
    </w:lvl>
    <w:lvl w:ilvl="1" w:tplc="0C090003" w:tentative="1">
      <w:start w:val="1"/>
      <w:numFmt w:val="bullet"/>
      <w:lvlText w:val="o"/>
      <w:lvlJc w:val="left"/>
      <w:pPr>
        <w:ind w:left="2160" w:hanging="360"/>
      </w:pPr>
      <w:rPr>
        <w:rFonts w:ascii="Courier New" w:hAnsi="Courier New" w:cs="Courier New" w:hint="default"/>
      </w:rPr>
    </w:lvl>
    <w:lvl w:ilvl="2" w:tplc="0C090005" w:tentative="1">
      <w:start w:val="1"/>
      <w:numFmt w:val="bullet"/>
      <w:lvlText w:val=""/>
      <w:lvlJc w:val="left"/>
      <w:pPr>
        <w:ind w:left="2880" w:hanging="360"/>
      </w:pPr>
      <w:rPr>
        <w:rFonts w:ascii="Wingdings" w:hAnsi="Wingdings" w:hint="default"/>
      </w:rPr>
    </w:lvl>
    <w:lvl w:ilvl="3" w:tplc="0C090001" w:tentative="1">
      <w:start w:val="1"/>
      <w:numFmt w:val="bullet"/>
      <w:lvlText w:val=""/>
      <w:lvlJc w:val="left"/>
      <w:pPr>
        <w:ind w:left="3600" w:hanging="360"/>
      </w:pPr>
      <w:rPr>
        <w:rFonts w:ascii="Symbol" w:hAnsi="Symbol" w:hint="default"/>
      </w:rPr>
    </w:lvl>
    <w:lvl w:ilvl="4" w:tplc="0C090003" w:tentative="1">
      <w:start w:val="1"/>
      <w:numFmt w:val="bullet"/>
      <w:lvlText w:val="o"/>
      <w:lvlJc w:val="left"/>
      <w:pPr>
        <w:ind w:left="4320" w:hanging="360"/>
      </w:pPr>
      <w:rPr>
        <w:rFonts w:ascii="Courier New" w:hAnsi="Courier New" w:cs="Courier New" w:hint="default"/>
      </w:rPr>
    </w:lvl>
    <w:lvl w:ilvl="5" w:tplc="0C090005" w:tentative="1">
      <w:start w:val="1"/>
      <w:numFmt w:val="bullet"/>
      <w:lvlText w:val=""/>
      <w:lvlJc w:val="left"/>
      <w:pPr>
        <w:ind w:left="5040" w:hanging="360"/>
      </w:pPr>
      <w:rPr>
        <w:rFonts w:ascii="Wingdings" w:hAnsi="Wingdings" w:hint="default"/>
      </w:rPr>
    </w:lvl>
    <w:lvl w:ilvl="6" w:tplc="0C090001" w:tentative="1">
      <w:start w:val="1"/>
      <w:numFmt w:val="bullet"/>
      <w:lvlText w:val=""/>
      <w:lvlJc w:val="left"/>
      <w:pPr>
        <w:ind w:left="5760" w:hanging="360"/>
      </w:pPr>
      <w:rPr>
        <w:rFonts w:ascii="Symbol" w:hAnsi="Symbol" w:hint="default"/>
      </w:rPr>
    </w:lvl>
    <w:lvl w:ilvl="7" w:tplc="0C090003" w:tentative="1">
      <w:start w:val="1"/>
      <w:numFmt w:val="bullet"/>
      <w:lvlText w:val="o"/>
      <w:lvlJc w:val="left"/>
      <w:pPr>
        <w:ind w:left="6480" w:hanging="360"/>
      </w:pPr>
      <w:rPr>
        <w:rFonts w:ascii="Courier New" w:hAnsi="Courier New" w:cs="Courier New" w:hint="default"/>
      </w:rPr>
    </w:lvl>
    <w:lvl w:ilvl="8" w:tplc="0C090005" w:tentative="1">
      <w:start w:val="1"/>
      <w:numFmt w:val="bullet"/>
      <w:lvlText w:val=""/>
      <w:lvlJc w:val="left"/>
      <w:pPr>
        <w:ind w:left="7200" w:hanging="360"/>
      </w:pPr>
      <w:rPr>
        <w:rFonts w:ascii="Wingdings" w:hAnsi="Wingdings" w:hint="default"/>
      </w:rPr>
    </w:lvl>
  </w:abstractNum>
  <w:abstractNum w:abstractNumId="31">
    <w:nsid w:val="4CBE5FC7"/>
    <w:multiLevelType w:val="multilevel"/>
    <w:tmpl w:val="47E6B6E2"/>
    <w:lvl w:ilvl="0">
      <w:start w:val="5"/>
      <w:numFmt w:val="decimal"/>
      <w:lvlText w:val="%1"/>
      <w:lvlJc w:val="left"/>
      <w:pPr>
        <w:tabs>
          <w:tab w:val="num" w:pos="645"/>
        </w:tabs>
        <w:ind w:left="645" w:hanging="645"/>
      </w:pPr>
      <w:rPr>
        <w:rFonts w:hint="default"/>
      </w:rPr>
    </w:lvl>
    <w:lvl w:ilvl="1">
      <w:start w:val="3"/>
      <w:numFmt w:val="decimal"/>
      <w:lvlText w:val="%1.%2"/>
      <w:lvlJc w:val="left"/>
      <w:pPr>
        <w:tabs>
          <w:tab w:val="num" w:pos="645"/>
        </w:tabs>
        <w:ind w:left="645" w:hanging="645"/>
      </w:pPr>
      <w:rPr>
        <w:rFonts w:hint="default"/>
      </w:rPr>
    </w:lvl>
    <w:lvl w:ilvl="2">
      <w:start w:val="7"/>
      <w:numFmt w:val="decimal"/>
      <w:lvlText w:val="%1.%2.%3"/>
      <w:lvlJc w:val="left"/>
      <w:pPr>
        <w:tabs>
          <w:tab w:val="num" w:pos="720"/>
        </w:tabs>
        <w:ind w:left="720" w:hanging="720"/>
      </w:pPr>
      <w:rPr>
        <w:rFonts w:hint="default"/>
      </w:rPr>
    </w:lvl>
    <w:lvl w:ilvl="3">
      <w:start w:val="1"/>
      <w:numFmt w:val="decimal"/>
      <w:lvlText w:val="%1.%2.%3.%4"/>
      <w:lvlJc w:val="left"/>
      <w:pPr>
        <w:tabs>
          <w:tab w:val="num" w:pos="720"/>
        </w:tabs>
        <w:ind w:left="720" w:hanging="720"/>
      </w:pPr>
      <w:rPr>
        <w:rFonts w:hint="default"/>
      </w:rPr>
    </w:lvl>
    <w:lvl w:ilvl="4">
      <w:start w:val="1"/>
      <w:numFmt w:val="decimal"/>
      <w:lvlText w:val="%1.%2.%3.%4.%5"/>
      <w:lvlJc w:val="left"/>
      <w:pPr>
        <w:tabs>
          <w:tab w:val="num" w:pos="720"/>
        </w:tabs>
        <w:ind w:left="720" w:hanging="720"/>
      </w:pPr>
      <w:rPr>
        <w:rFonts w:hint="default"/>
      </w:rPr>
    </w:lvl>
    <w:lvl w:ilvl="5">
      <w:start w:val="1"/>
      <w:numFmt w:val="decimal"/>
      <w:lvlText w:val="%1.%2.%3.%4.%5.%6"/>
      <w:lvlJc w:val="left"/>
      <w:pPr>
        <w:tabs>
          <w:tab w:val="num" w:pos="1080"/>
        </w:tabs>
        <w:ind w:left="1080" w:hanging="1080"/>
      </w:pPr>
      <w:rPr>
        <w:rFonts w:hint="default"/>
      </w:rPr>
    </w:lvl>
    <w:lvl w:ilvl="6">
      <w:start w:val="1"/>
      <w:numFmt w:val="decimal"/>
      <w:lvlText w:val="%1.%2.%3.%4.%5.%6.%7"/>
      <w:lvlJc w:val="left"/>
      <w:pPr>
        <w:tabs>
          <w:tab w:val="num" w:pos="1080"/>
        </w:tabs>
        <w:ind w:left="1080" w:hanging="1080"/>
      </w:pPr>
      <w:rPr>
        <w:rFonts w:hint="default"/>
      </w:rPr>
    </w:lvl>
    <w:lvl w:ilvl="7">
      <w:start w:val="1"/>
      <w:numFmt w:val="decimal"/>
      <w:lvlText w:val="%1.%2.%3.%4.%5.%6.%7.%8"/>
      <w:lvlJc w:val="left"/>
      <w:pPr>
        <w:tabs>
          <w:tab w:val="num" w:pos="1440"/>
        </w:tabs>
        <w:ind w:left="1440" w:hanging="1440"/>
      </w:pPr>
      <w:rPr>
        <w:rFonts w:hint="default"/>
      </w:rPr>
    </w:lvl>
    <w:lvl w:ilvl="8">
      <w:start w:val="1"/>
      <w:numFmt w:val="decimal"/>
      <w:lvlText w:val="%1.%2.%3.%4.%5.%6.%7.%8.%9"/>
      <w:lvlJc w:val="left"/>
      <w:pPr>
        <w:tabs>
          <w:tab w:val="num" w:pos="1440"/>
        </w:tabs>
        <w:ind w:left="1440" w:hanging="1440"/>
      </w:pPr>
      <w:rPr>
        <w:rFonts w:hint="default"/>
      </w:rPr>
    </w:lvl>
  </w:abstractNum>
  <w:abstractNum w:abstractNumId="32">
    <w:nsid w:val="50982936"/>
    <w:multiLevelType w:val="hybridMultilevel"/>
    <w:tmpl w:val="890E53E8"/>
    <w:lvl w:ilvl="0" w:tplc="60D8BEC8">
      <w:start w:val="1"/>
      <w:numFmt w:val="bullet"/>
      <w:pStyle w:val="bulletlist1"/>
      <w:lvlText w:val=""/>
      <w:lvlJc w:val="left"/>
      <w:pPr>
        <w:tabs>
          <w:tab w:val="num" w:pos="720"/>
        </w:tabs>
        <w:ind w:left="720" w:hanging="360"/>
      </w:pPr>
      <w:rPr>
        <w:rFonts w:ascii="Symbol" w:hAnsi="Symbol" w:hint="default"/>
      </w:rPr>
    </w:lvl>
    <w:lvl w:ilvl="1" w:tplc="0142B7E6">
      <w:start w:val="1"/>
      <w:numFmt w:val="bullet"/>
      <w:lvlText w:val="-"/>
      <w:lvlJc w:val="left"/>
      <w:pPr>
        <w:tabs>
          <w:tab w:val="num" w:pos="1440"/>
        </w:tabs>
        <w:ind w:left="1440" w:hanging="360"/>
      </w:pPr>
      <w:rPr>
        <w:rFonts w:ascii="Times New Roman" w:hAnsi="Times New Roman" w:cs="Times New Roman" w:hint="default"/>
      </w:rPr>
    </w:lvl>
    <w:lvl w:ilvl="2" w:tplc="688E731E" w:tentative="1">
      <w:start w:val="1"/>
      <w:numFmt w:val="bullet"/>
      <w:lvlText w:val=""/>
      <w:lvlJc w:val="left"/>
      <w:pPr>
        <w:tabs>
          <w:tab w:val="num" w:pos="2160"/>
        </w:tabs>
        <w:ind w:left="2160" w:hanging="360"/>
      </w:pPr>
      <w:rPr>
        <w:rFonts w:ascii="Wingdings" w:hAnsi="Wingdings" w:hint="default"/>
      </w:rPr>
    </w:lvl>
    <w:lvl w:ilvl="3" w:tplc="E32CA54C" w:tentative="1">
      <w:start w:val="1"/>
      <w:numFmt w:val="bullet"/>
      <w:lvlText w:val=""/>
      <w:lvlJc w:val="left"/>
      <w:pPr>
        <w:tabs>
          <w:tab w:val="num" w:pos="2880"/>
        </w:tabs>
        <w:ind w:left="2880" w:hanging="360"/>
      </w:pPr>
      <w:rPr>
        <w:rFonts w:ascii="Symbol" w:hAnsi="Symbol" w:hint="default"/>
      </w:rPr>
    </w:lvl>
    <w:lvl w:ilvl="4" w:tplc="C0BEC694" w:tentative="1">
      <w:start w:val="1"/>
      <w:numFmt w:val="bullet"/>
      <w:lvlText w:val="o"/>
      <w:lvlJc w:val="left"/>
      <w:pPr>
        <w:tabs>
          <w:tab w:val="num" w:pos="3600"/>
        </w:tabs>
        <w:ind w:left="3600" w:hanging="360"/>
      </w:pPr>
      <w:rPr>
        <w:rFonts w:ascii="Courier New" w:hAnsi="Courier New" w:hint="default"/>
      </w:rPr>
    </w:lvl>
    <w:lvl w:ilvl="5" w:tplc="AB009D4C" w:tentative="1">
      <w:start w:val="1"/>
      <w:numFmt w:val="bullet"/>
      <w:lvlText w:val=""/>
      <w:lvlJc w:val="left"/>
      <w:pPr>
        <w:tabs>
          <w:tab w:val="num" w:pos="4320"/>
        </w:tabs>
        <w:ind w:left="4320" w:hanging="360"/>
      </w:pPr>
      <w:rPr>
        <w:rFonts w:ascii="Wingdings" w:hAnsi="Wingdings" w:hint="default"/>
      </w:rPr>
    </w:lvl>
    <w:lvl w:ilvl="6" w:tplc="0AE8AD58" w:tentative="1">
      <w:start w:val="1"/>
      <w:numFmt w:val="bullet"/>
      <w:lvlText w:val=""/>
      <w:lvlJc w:val="left"/>
      <w:pPr>
        <w:tabs>
          <w:tab w:val="num" w:pos="5040"/>
        </w:tabs>
        <w:ind w:left="5040" w:hanging="360"/>
      </w:pPr>
      <w:rPr>
        <w:rFonts w:ascii="Symbol" w:hAnsi="Symbol" w:hint="default"/>
      </w:rPr>
    </w:lvl>
    <w:lvl w:ilvl="7" w:tplc="BC3E2F4C" w:tentative="1">
      <w:start w:val="1"/>
      <w:numFmt w:val="bullet"/>
      <w:lvlText w:val="o"/>
      <w:lvlJc w:val="left"/>
      <w:pPr>
        <w:tabs>
          <w:tab w:val="num" w:pos="5760"/>
        </w:tabs>
        <w:ind w:left="5760" w:hanging="360"/>
      </w:pPr>
      <w:rPr>
        <w:rFonts w:ascii="Courier New" w:hAnsi="Courier New" w:hint="default"/>
      </w:rPr>
    </w:lvl>
    <w:lvl w:ilvl="8" w:tplc="BF98BF9C" w:tentative="1">
      <w:start w:val="1"/>
      <w:numFmt w:val="bullet"/>
      <w:lvlText w:val=""/>
      <w:lvlJc w:val="left"/>
      <w:pPr>
        <w:tabs>
          <w:tab w:val="num" w:pos="6480"/>
        </w:tabs>
        <w:ind w:left="6480" w:hanging="360"/>
      </w:pPr>
      <w:rPr>
        <w:rFonts w:ascii="Wingdings" w:hAnsi="Wingdings" w:hint="default"/>
      </w:rPr>
    </w:lvl>
  </w:abstractNum>
  <w:abstractNum w:abstractNumId="33">
    <w:nsid w:val="58D062FC"/>
    <w:multiLevelType w:val="hybridMultilevel"/>
    <w:tmpl w:val="33C0BEF6"/>
    <w:lvl w:ilvl="0" w:tplc="BB82108C">
      <w:start w:val="1"/>
      <w:numFmt w:val="bullet"/>
      <w:lvlText w:val="-"/>
      <w:lvlJc w:val="left"/>
      <w:pPr>
        <w:ind w:left="720" w:hanging="360"/>
      </w:pPr>
      <w:rPr>
        <w:rFonts w:ascii="Times New Roman" w:eastAsia="Times New Roman" w:hAnsi="Times New Roman" w:cs="Times New Roman" w:hint="default"/>
      </w:rPr>
    </w:lvl>
    <w:lvl w:ilvl="1" w:tplc="4D507E84" w:tentative="1">
      <w:start w:val="1"/>
      <w:numFmt w:val="bullet"/>
      <w:lvlText w:val="o"/>
      <w:lvlJc w:val="left"/>
      <w:pPr>
        <w:ind w:left="1440" w:hanging="360"/>
      </w:pPr>
      <w:rPr>
        <w:rFonts w:ascii="Courier New" w:hAnsi="Courier New" w:cs="Courier New" w:hint="default"/>
      </w:rPr>
    </w:lvl>
    <w:lvl w:ilvl="2" w:tplc="1910B944" w:tentative="1">
      <w:start w:val="1"/>
      <w:numFmt w:val="bullet"/>
      <w:lvlText w:val=""/>
      <w:lvlJc w:val="left"/>
      <w:pPr>
        <w:ind w:left="2160" w:hanging="360"/>
      </w:pPr>
      <w:rPr>
        <w:rFonts w:ascii="Wingdings" w:hAnsi="Wingdings" w:hint="default"/>
      </w:rPr>
    </w:lvl>
    <w:lvl w:ilvl="3" w:tplc="F1B679B4" w:tentative="1">
      <w:start w:val="1"/>
      <w:numFmt w:val="bullet"/>
      <w:lvlText w:val=""/>
      <w:lvlJc w:val="left"/>
      <w:pPr>
        <w:ind w:left="2880" w:hanging="360"/>
      </w:pPr>
      <w:rPr>
        <w:rFonts w:ascii="Symbol" w:hAnsi="Symbol" w:hint="default"/>
      </w:rPr>
    </w:lvl>
    <w:lvl w:ilvl="4" w:tplc="741E0478" w:tentative="1">
      <w:start w:val="1"/>
      <w:numFmt w:val="bullet"/>
      <w:lvlText w:val="o"/>
      <w:lvlJc w:val="left"/>
      <w:pPr>
        <w:ind w:left="3600" w:hanging="360"/>
      </w:pPr>
      <w:rPr>
        <w:rFonts w:ascii="Courier New" w:hAnsi="Courier New" w:cs="Courier New" w:hint="default"/>
      </w:rPr>
    </w:lvl>
    <w:lvl w:ilvl="5" w:tplc="E25A148E" w:tentative="1">
      <w:start w:val="1"/>
      <w:numFmt w:val="bullet"/>
      <w:lvlText w:val=""/>
      <w:lvlJc w:val="left"/>
      <w:pPr>
        <w:ind w:left="4320" w:hanging="360"/>
      </w:pPr>
      <w:rPr>
        <w:rFonts w:ascii="Wingdings" w:hAnsi="Wingdings" w:hint="default"/>
      </w:rPr>
    </w:lvl>
    <w:lvl w:ilvl="6" w:tplc="F1526BFA" w:tentative="1">
      <w:start w:val="1"/>
      <w:numFmt w:val="bullet"/>
      <w:lvlText w:val=""/>
      <w:lvlJc w:val="left"/>
      <w:pPr>
        <w:ind w:left="5040" w:hanging="360"/>
      </w:pPr>
      <w:rPr>
        <w:rFonts w:ascii="Symbol" w:hAnsi="Symbol" w:hint="default"/>
      </w:rPr>
    </w:lvl>
    <w:lvl w:ilvl="7" w:tplc="B8705536" w:tentative="1">
      <w:start w:val="1"/>
      <w:numFmt w:val="bullet"/>
      <w:lvlText w:val="o"/>
      <w:lvlJc w:val="left"/>
      <w:pPr>
        <w:ind w:left="5760" w:hanging="360"/>
      </w:pPr>
      <w:rPr>
        <w:rFonts w:ascii="Courier New" w:hAnsi="Courier New" w:cs="Courier New" w:hint="default"/>
      </w:rPr>
    </w:lvl>
    <w:lvl w:ilvl="8" w:tplc="7F14C1C2" w:tentative="1">
      <w:start w:val="1"/>
      <w:numFmt w:val="bullet"/>
      <w:lvlText w:val=""/>
      <w:lvlJc w:val="left"/>
      <w:pPr>
        <w:ind w:left="6480" w:hanging="360"/>
      </w:pPr>
      <w:rPr>
        <w:rFonts w:ascii="Wingdings" w:hAnsi="Wingdings" w:hint="default"/>
      </w:rPr>
    </w:lvl>
  </w:abstractNum>
  <w:abstractNum w:abstractNumId="34">
    <w:nsid w:val="5FEA705B"/>
    <w:multiLevelType w:val="hybridMultilevel"/>
    <w:tmpl w:val="BAD88E82"/>
    <w:lvl w:ilvl="0" w:tplc="D9DAFDBC">
      <w:start w:val="1"/>
      <w:numFmt w:val="lowerRoman"/>
      <w:lvlText w:val="(%1)"/>
      <w:lvlJc w:val="left"/>
      <w:pPr>
        <w:ind w:left="720" w:hanging="720"/>
      </w:pPr>
      <w:rPr>
        <w:rFonts w:hint="default"/>
      </w:rPr>
    </w:lvl>
    <w:lvl w:ilvl="1" w:tplc="0C090019">
      <w:start w:val="1"/>
      <w:numFmt w:val="lowerLetter"/>
      <w:lvlText w:val="%2."/>
      <w:lvlJc w:val="left"/>
      <w:pPr>
        <w:ind w:left="1080" w:hanging="360"/>
      </w:pPr>
    </w:lvl>
    <w:lvl w:ilvl="2" w:tplc="0C09001B" w:tentative="1">
      <w:start w:val="1"/>
      <w:numFmt w:val="lowerRoman"/>
      <w:lvlText w:val="%3."/>
      <w:lvlJc w:val="right"/>
      <w:pPr>
        <w:ind w:left="1800" w:hanging="180"/>
      </w:pPr>
    </w:lvl>
    <w:lvl w:ilvl="3" w:tplc="0C09000F" w:tentative="1">
      <w:start w:val="1"/>
      <w:numFmt w:val="decimal"/>
      <w:lvlText w:val="%4."/>
      <w:lvlJc w:val="left"/>
      <w:pPr>
        <w:ind w:left="2520" w:hanging="360"/>
      </w:pPr>
    </w:lvl>
    <w:lvl w:ilvl="4" w:tplc="0C090019" w:tentative="1">
      <w:start w:val="1"/>
      <w:numFmt w:val="lowerLetter"/>
      <w:lvlText w:val="%5."/>
      <w:lvlJc w:val="left"/>
      <w:pPr>
        <w:ind w:left="3240" w:hanging="360"/>
      </w:pPr>
    </w:lvl>
    <w:lvl w:ilvl="5" w:tplc="0C09001B" w:tentative="1">
      <w:start w:val="1"/>
      <w:numFmt w:val="lowerRoman"/>
      <w:lvlText w:val="%6."/>
      <w:lvlJc w:val="right"/>
      <w:pPr>
        <w:ind w:left="3960" w:hanging="180"/>
      </w:pPr>
    </w:lvl>
    <w:lvl w:ilvl="6" w:tplc="0C09000F" w:tentative="1">
      <w:start w:val="1"/>
      <w:numFmt w:val="decimal"/>
      <w:lvlText w:val="%7."/>
      <w:lvlJc w:val="left"/>
      <w:pPr>
        <w:ind w:left="4680" w:hanging="360"/>
      </w:pPr>
    </w:lvl>
    <w:lvl w:ilvl="7" w:tplc="0C090019" w:tentative="1">
      <w:start w:val="1"/>
      <w:numFmt w:val="lowerLetter"/>
      <w:lvlText w:val="%8."/>
      <w:lvlJc w:val="left"/>
      <w:pPr>
        <w:ind w:left="5400" w:hanging="360"/>
      </w:pPr>
    </w:lvl>
    <w:lvl w:ilvl="8" w:tplc="0C09001B" w:tentative="1">
      <w:start w:val="1"/>
      <w:numFmt w:val="lowerRoman"/>
      <w:lvlText w:val="%9."/>
      <w:lvlJc w:val="right"/>
      <w:pPr>
        <w:ind w:left="6120" w:hanging="180"/>
      </w:pPr>
    </w:lvl>
  </w:abstractNum>
  <w:abstractNum w:abstractNumId="35">
    <w:nsid w:val="63B73C8A"/>
    <w:multiLevelType w:val="hybridMultilevel"/>
    <w:tmpl w:val="7346B5D6"/>
    <w:lvl w:ilvl="0" w:tplc="805E3A28">
      <w:start w:val="1"/>
      <w:numFmt w:val="bullet"/>
      <w:lvlText w:val=""/>
      <w:lvlJc w:val="left"/>
      <w:pPr>
        <w:tabs>
          <w:tab w:val="num" w:pos="360"/>
        </w:tabs>
        <w:ind w:left="360" w:hanging="360"/>
      </w:pPr>
      <w:rPr>
        <w:rFonts w:ascii="Symbol" w:hAnsi="Symbol" w:hint="default"/>
      </w:rPr>
    </w:lvl>
    <w:lvl w:ilvl="1" w:tplc="A6FCB9A4" w:tentative="1">
      <w:start w:val="1"/>
      <w:numFmt w:val="bullet"/>
      <w:lvlText w:val="o"/>
      <w:lvlJc w:val="left"/>
      <w:pPr>
        <w:tabs>
          <w:tab w:val="num" w:pos="1080"/>
        </w:tabs>
        <w:ind w:left="1080" w:hanging="360"/>
      </w:pPr>
      <w:rPr>
        <w:rFonts w:ascii="Courier New" w:hAnsi="Courier New" w:cs="Courier New" w:hint="default"/>
      </w:rPr>
    </w:lvl>
    <w:lvl w:ilvl="2" w:tplc="04090005" w:tentative="1">
      <w:start w:val="1"/>
      <w:numFmt w:val="bullet"/>
      <w:lvlText w:val=""/>
      <w:lvlJc w:val="left"/>
      <w:pPr>
        <w:tabs>
          <w:tab w:val="num" w:pos="1800"/>
        </w:tabs>
        <w:ind w:left="1800" w:hanging="360"/>
      </w:pPr>
      <w:rPr>
        <w:rFonts w:ascii="Wingdings" w:hAnsi="Wingdings" w:hint="default"/>
      </w:rPr>
    </w:lvl>
    <w:lvl w:ilvl="3" w:tplc="04090001" w:tentative="1">
      <w:start w:val="1"/>
      <w:numFmt w:val="bullet"/>
      <w:lvlText w:val=""/>
      <w:lvlJc w:val="left"/>
      <w:pPr>
        <w:tabs>
          <w:tab w:val="num" w:pos="2520"/>
        </w:tabs>
        <w:ind w:left="2520" w:hanging="360"/>
      </w:pPr>
      <w:rPr>
        <w:rFonts w:ascii="Symbol" w:hAnsi="Symbol" w:hint="default"/>
      </w:rPr>
    </w:lvl>
    <w:lvl w:ilvl="4" w:tplc="04090003" w:tentative="1">
      <w:start w:val="1"/>
      <w:numFmt w:val="bullet"/>
      <w:lvlText w:val="o"/>
      <w:lvlJc w:val="left"/>
      <w:pPr>
        <w:tabs>
          <w:tab w:val="num" w:pos="3240"/>
        </w:tabs>
        <w:ind w:left="3240" w:hanging="360"/>
      </w:pPr>
      <w:rPr>
        <w:rFonts w:ascii="Courier New" w:hAnsi="Courier New" w:cs="Courier New" w:hint="default"/>
      </w:rPr>
    </w:lvl>
    <w:lvl w:ilvl="5" w:tplc="04090005" w:tentative="1">
      <w:start w:val="1"/>
      <w:numFmt w:val="bullet"/>
      <w:lvlText w:val=""/>
      <w:lvlJc w:val="left"/>
      <w:pPr>
        <w:tabs>
          <w:tab w:val="num" w:pos="3960"/>
        </w:tabs>
        <w:ind w:left="3960" w:hanging="360"/>
      </w:pPr>
      <w:rPr>
        <w:rFonts w:ascii="Wingdings" w:hAnsi="Wingdings" w:hint="default"/>
      </w:rPr>
    </w:lvl>
    <w:lvl w:ilvl="6" w:tplc="04090001" w:tentative="1">
      <w:start w:val="1"/>
      <w:numFmt w:val="bullet"/>
      <w:lvlText w:val=""/>
      <w:lvlJc w:val="left"/>
      <w:pPr>
        <w:tabs>
          <w:tab w:val="num" w:pos="4680"/>
        </w:tabs>
        <w:ind w:left="4680" w:hanging="360"/>
      </w:pPr>
      <w:rPr>
        <w:rFonts w:ascii="Symbol" w:hAnsi="Symbol" w:hint="default"/>
      </w:rPr>
    </w:lvl>
    <w:lvl w:ilvl="7" w:tplc="04090003" w:tentative="1">
      <w:start w:val="1"/>
      <w:numFmt w:val="bullet"/>
      <w:lvlText w:val="o"/>
      <w:lvlJc w:val="left"/>
      <w:pPr>
        <w:tabs>
          <w:tab w:val="num" w:pos="5400"/>
        </w:tabs>
        <w:ind w:left="5400" w:hanging="360"/>
      </w:pPr>
      <w:rPr>
        <w:rFonts w:ascii="Courier New" w:hAnsi="Courier New" w:cs="Courier New" w:hint="default"/>
      </w:rPr>
    </w:lvl>
    <w:lvl w:ilvl="8" w:tplc="04090005" w:tentative="1">
      <w:start w:val="1"/>
      <w:numFmt w:val="bullet"/>
      <w:lvlText w:val=""/>
      <w:lvlJc w:val="left"/>
      <w:pPr>
        <w:tabs>
          <w:tab w:val="num" w:pos="6120"/>
        </w:tabs>
        <w:ind w:left="6120" w:hanging="360"/>
      </w:pPr>
      <w:rPr>
        <w:rFonts w:ascii="Wingdings" w:hAnsi="Wingdings" w:hint="default"/>
      </w:rPr>
    </w:lvl>
  </w:abstractNum>
  <w:abstractNum w:abstractNumId="36">
    <w:nsid w:val="66F06506"/>
    <w:multiLevelType w:val="hybridMultilevel"/>
    <w:tmpl w:val="DD280B44"/>
    <w:lvl w:ilvl="0" w:tplc="0C090001">
      <w:start w:val="1"/>
      <w:numFmt w:val="bullet"/>
      <w:lvlText w:val=""/>
      <w:lvlJc w:val="left"/>
      <w:pPr>
        <w:ind w:left="720" w:hanging="360"/>
      </w:pPr>
      <w:rPr>
        <w:rFonts w:ascii="Symbol" w:hAnsi="Symbol" w:hint="default"/>
      </w:rPr>
    </w:lvl>
    <w:lvl w:ilvl="1" w:tplc="0C090003">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abstractNum w:abstractNumId="37">
    <w:nsid w:val="67AE4E7C"/>
    <w:multiLevelType w:val="hybridMultilevel"/>
    <w:tmpl w:val="BC8E052A"/>
    <w:lvl w:ilvl="0" w:tplc="50AC3218">
      <w:numFmt w:val="bullet"/>
      <w:lvlText w:val="-"/>
      <w:lvlJc w:val="left"/>
      <w:pPr>
        <w:ind w:left="570" w:hanging="360"/>
      </w:pPr>
      <w:rPr>
        <w:rFonts w:ascii="Calibri" w:eastAsiaTheme="minorHAnsi" w:hAnsi="Calibri" w:cs="Calibri" w:hint="default"/>
      </w:rPr>
    </w:lvl>
    <w:lvl w:ilvl="1" w:tplc="0C090003" w:tentative="1">
      <w:start w:val="1"/>
      <w:numFmt w:val="bullet"/>
      <w:lvlText w:val="o"/>
      <w:lvlJc w:val="left"/>
      <w:pPr>
        <w:ind w:left="1290" w:hanging="360"/>
      </w:pPr>
      <w:rPr>
        <w:rFonts w:ascii="Courier New" w:hAnsi="Courier New" w:cs="Courier New" w:hint="default"/>
      </w:rPr>
    </w:lvl>
    <w:lvl w:ilvl="2" w:tplc="0C090005" w:tentative="1">
      <w:start w:val="1"/>
      <w:numFmt w:val="bullet"/>
      <w:lvlText w:val=""/>
      <w:lvlJc w:val="left"/>
      <w:pPr>
        <w:ind w:left="2010" w:hanging="360"/>
      </w:pPr>
      <w:rPr>
        <w:rFonts w:ascii="Wingdings" w:hAnsi="Wingdings" w:hint="default"/>
      </w:rPr>
    </w:lvl>
    <w:lvl w:ilvl="3" w:tplc="0C090001" w:tentative="1">
      <w:start w:val="1"/>
      <w:numFmt w:val="bullet"/>
      <w:lvlText w:val=""/>
      <w:lvlJc w:val="left"/>
      <w:pPr>
        <w:ind w:left="2730" w:hanging="360"/>
      </w:pPr>
      <w:rPr>
        <w:rFonts w:ascii="Symbol" w:hAnsi="Symbol" w:hint="default"/>
      </w:rPr>
    </w:lvl>
    <w:lvl w:ilvl="4" w:tplc="0C090003" w:tentative="1">
      <w:start w:val="1"/>
      <w:numFmt w:val="bullet"/>
      <w:lvlText w:val="o"/>
      <w:lvlJc w:val="left"/>
      <w:pPr>
        <w:ind w:left="3450" w:hanging="360"/>
      </w:pPr>
      <w:rPr>
        <w:rFonts w:ascii="Courier New" w:hAnsi="Courier New" w:cs="Courier New" w:hint="default"/>
      </w:rPr>
    </w:lvl>
    <w:lvl w:ilvl="5" w:tplc="0C090005" w:tentative="1">
      <w:start w:val="1"/>
      <w:numFmt w:val="bullet"/>
      <w:lvlText w:val=""/>
      <w:lvlJc w:val="left"/>
      <w:pPr>
        <w:ind w:left="4170" w:hanging="360"/>
      </w:pPr>
      <w:rPr>
        <w:rFonts w:ascii="Wingdings" w:hAnsi="Wingdings" w:hint="default"/>
      </w:rPr>
    </w:lvl>
    <w:lvl w:ilvl="6" w:tplc="0C090001" w:tentative="1">
      <w:start w:val="1"/>
      <w:numFmt w:val="bullet"/>
      <w:lvlText w:val=""/>
      <w:lvlJc w:val="left"/>
      <w:pPr>
        <w:ind w:left="4890" w:hanging="360"/>
      </w:pPr>
      <w:rPr>
        <w:rFonts w:ascii="Symbol" w:hAnsi="Symbol" w:hint="default"/>
      </w:rPr>
    </w:lvl>
    <w:lvl w:ilvl="7" w:tplc="0C090003" w:tentative="1">
      <w:start w:val="1"/>
      <w:numFmt w:val="bullet"/>
      <w:lvlText w:val="o"/>
      <w:lvlJc w:val="left"/>
      <w:pPr>
        <w:ind w:left="5610" w:hanging="360"/>
      </w:pPr>
      <w:rPr>
        <w:rFonts w:ascii="Courier New" w:hAnsi="Courier New" w:cs="Courier New" w:hint="default"/>
      </w:rPr>
    </w:lvl>
    <w:lvl w:ilvl="8" w:tplc="0C090005" w:tentative="1">
      <w:start w:val="1"/>
      <w:numFmt w:val="bullet"/>
      <w:lvlText w:val=""/>
      <w:lvlJc w:val="left"/>
      <w:pPr>
        <w:ind w:left="6330" w:hanging="360"/>
      </w:pPr>
      <w:rPr>
        <w:rFonts w:ascii="Wingdings" w:hAnsi="Wingdings" w:hint="default"/>
      </w:rPr>
    </w:lvl>
  </w:abstractNum>
  <w:abstractNum w:abstractNumId="38">
    <w:nsid w:val="6AA752AA"/>
    <w:multiLevelType w:val="hybridMultilevel"/>
    <w:tmpl w:val="59662C70"/>
    <w:lvl w:ilvl="0" w:tplc="0C09000F">
      <w:start w:val="1"/>
      <w:numFmt w:val="decimal"/>
      <w:lvlText w:val="%1."/>
      <w:lvlJc w:val="left"/>
      <w:pPr>
        <w:ind w:left="720" w:hanging="360"/>
      </w:pPr>
    </w:lvl>
    <w:lvl w:ilvl="1" w:tplc="0C090019" w:tentative="1">
      <w:start w:val="1"/>
      <w:numFmt w:val="lowerLetter"/>
      <w:lvlText w:val="%2."/>
      <w:lvlJc w:val="left"/>
      <w:pPr>
        <w:ind w:left="1440" w:hanging="360"/>
      </w:pPr>
    </w:lvl>
    <w:lvl w:ilvl="2" w:tplc="0C09001B" w:tentative="1">
      <w:start w:val="1"/>
      <w:numFmt w:val="lowerRoman"/>
      <w:lvlText w:val="%3."/>
      <w:lvlJc w:val="right"/>
      <w:pPr>
        <w:ind w:left="2160" w:hanging="180"/>
      </w:pPr>
    </w:lvl>
    <w:lvl w:ilvl="3" w:tplc="0C09000F" w:tentative="1">
      <w:start w:val="1"/>
      <w:numFmt w:val="decimal"/>
      <w:lvlText w:val="%4."/>
      <w:lvlJc w:val="left"/>
      <w:pPr>
        <w:ind w:left="2880" w:hanging="360"/>
      </w:pPr>
    </w:lvl>
    <w:lvl w:ilvl="4" w:tplc="0C090019" w:tentative="1">
      <w:start w:val="1"/>
      <w:numFmt w:val="lowerLetter"/>
      <w:lvlText w:val="%5."/>
      <w:lvlJc w:val="left"/>
      <w:pPr>
        <w:ind w:left="3600" w:hanging="360"/>
      </w:pPr>
    </w:lvl>
    <w:lvl w:ilvl="5" w:tplc="0C09001B" w:tentative="1">
      <w:start w:val="1"/>
      <w:numFmt w:val="lowerRoman"/>
      <w:lvlText w:val="%6."/>
      <w:lvlJc w:val="right"/>
      <w:pPr>
        <w:ind w:left="4320" w:hanging="180"/>
      </w:pPr>
    </w:lvl>
    <w:lvl w:ilvl="6" w:tplc="0C09000F" w:tentative="1">
      <w:start w:val="1"/>
      <w:numFmt w:val="decimal"/>
      <w:lvlText w:val="%7."/>
      <w:lvlJc w:val="left"/>
      <w:pPr>
        <w:ind w:left="5040" w:hanging="360"/>
      </w:pPr>
    </w:lvl>
    <w:lvl w:ilvl="7" w:tplc="0C090019" w:tentative="1">
      <w:start w:val="1"/>
      <w:numFmt w:val="lowerLetter"/>
      <w:lvlText w:val="%8."/>
      <w:lvlJc w:val="left"/>
      <w:pPr>
        <w:ind w:left="5760" w:hanging="360"/>
      </w:pPr>
    </w:lvl>
    <w:lvl w:ilvl="8" w:tplc="0C09001B" w:tentative="1">
      <w:start w:val="1"/>
      <w:numFmt w:val="lowerRoman"/>
      <w:lvlText w:val="%9."/>
      <w:lvlJc w:val="right"/>
      <w:pPr>
        <w:ind w:left="6480" w:hanging="180"/>
      </w:pPr>
    </w:lvl>
  </w:abstractNum>
  <w:abstractNum w:abstractNumId="39">
    <w:nsid w:val="6ABA3A05"/>
    <w:multiLevelType w:val="hybridMultilevel"/>
    <w:tmpl w:val="B8DEA2B8"/>
    <w:lvl w:ilvl="0" w:tplc="0C09000F">
      <w:start w:val="1"/>
      <w:numFmt w:val="decimal"/>
      <w:lvlText w:val="%1."/>
      <w:lvlJc w:val="left"/>
      <w:pPr>
        <w:ind w:left="649" w:hanging="360"/>
      </w:pPr>
      <w:rPr>
        <w:rFonts w:hint="default"/>
      </w:rPr>
    </w:lvl>
    <w:lvl w:ilvl="1" w:tplc="0C090019" w:tentative="1">
      <w:start w:val="1"/>
      <w:numFmt w:val="lowerLetter"/>
      <w:lvlText w:val="%2."/>
      <w:lvlJc w:val="left"/>
      <w:pPr>
        <w:ind w:left="1369" w:hanging="360"/>
      </w:pPr>
    </w:lvl>
    <w:lvl w:ilvl="2" w:tplc="0C09001B" w:tentative="1">
      <w:start w:val="1"/>
      <w:numFmt w:val="lowerRoman"/>
      <w:lvlText w:val="%3."/>
      <w:lvlJc w:val="right"/>
      <w:pPr>
        <w:ind w:left="2089" w:hanging="180"/>
      </w:pPr>
    </w:lvl>
    <w:lvl w:ilvl="3" w:tplc="0C09000F" w:tentative="1">
      <w:start w:val="1"/>
      <w:numFmt w:val="decimal"/>
      <w:lvlText w:val="%4."/>
      <w:lvlJc w:val="left"/>
      <w:pPr>
        <w:ind w:left="2809" w:hanging="360"/>
      </w:pPr>
    </w:lvl>
    <w:lvl w:ilvl="4" w:tplc="0C090019" w:tentative="1">
      <w:start w:val="1"/>
      <w:numFmt w:val="lowerLetter"/>
      <w:lvlText w:val="%5."/>
      <w:lvlJc w:val="left"/>
      <w:pPr>
        <w:ind w:left="3529" w:hanging="360"/>
      </w:pPr>
    </w:lvl>
    <w:lvl w:ilvl="5" w:tplc="0C09001B" w:tentative="1">
      <w:start w:val="1"/>
      <w:numFmt w:val="lowerRoman"/>
      <w:lvlText w:val="%6."/>
      <w:lvlJc w:val="right"/>
      <w:pPr>
        <w:ind w:left="4249" w:hanging="180"/>
      </w:pPr>
    </w:lvl>
    <w:lvl w:ilvl="6" w:tplc="0C09000F" w:tentative="1">
      <w:start w:val="1"/>
      <w:numFmt w:val="decimal"/>
      <w:lvlText w:val="%7."/>
      <w:lvlJc w:val="left"/>
      <w:pPr>
        <w:ind w:left="4969" w:hanging="360"/>
      </w:pPr>
    </w:lvl>
    <w:lvl w:ilvl="7" w:tplc="0C090019" w:tentative="1">
      <w:start w:val="1"/>
      <w:numFmt w:val="lowerLetter"/>
      <w:lvlText w:val="%8."/>
      <w:lvlJc w:val="left"/>
      <w:pPr>
        <w:ind w:left="5689" w:hanging="360"/>
      </w:pPr>
    </w:lvl>
    <w:lvl w:ilvl="8" w:tplc="0C09001B" w:tentative="1">
      <w:start w:val="1"/>
      <w:numFmt w:val="lowerRoman"/>
      <w:lvlText w:val="%9."/>
      <w:lvlJc w:val="right"/>
      <w:pPr>
        <w:ind w:left="6409" w:hanging="180"/>
      </w:pPr>
    </w:lvl>
  </w:abstractNum>
  <w:abstractNum w:abstractNumId="40">
    <w:nsid w:val="764B5B03"/>
    <w:multiLevelType w:val="hybridMultilevel"/>
    <w:tmpl w:val="EA161008"/>
    <w:lvl w:ilvl="0" w:tplc="805E3A28">
      <w:start w:val="1"/>
      <w:numFmt w:val="decimal"/>
      <w:lvlText w:val="%1)"/>
      <w:lvlJc w:val="left"/>
      <w:pPr>
        <w:tabs>
          <w:tab w:val="num" w:pos="720"/>
        </w:tabs>
        <w:ind w:left="720" w:hanging="360"/>
      </w:pPr>
    </w:lvl>
    <w:lvl w:ilvl="1" w:tplc="A6FCB9A4" w:tentative="1">
      <w:start w:val="1"/>
      <w:numFmt w:val="lowerLetter"/>
      <w:lvlText w:val="%2."/>
      <w:lvlJc w:val="left"/>
      <w:pPr>
        <w:tabs>
          <w:tab w:val="num" w:pos="1440"/>
        </w:tabs>
        <w:ind w:left="1440" w:hanging="360"/>
      </w:pPr>
    </w:lvl>
    <w:lvl w:ilvl="2" w:tplc="04090005" w:tentative="1">
      <w:start w:val="1"/>
      <w:numFmt w:val="lowerRoman"/>
      <w:lvlText w:val="%3."/>
      <w:lvlJc w:val="right"/>
      <w:pPr>
        <w:tabs>
          <w:tab w:val="num" w:pos="2160"/>
        </w:tabs>
        <w:ind w:left="2160" w:hanging="180"/>
      </w:pPr>
    </w:lvl>
    <w:lvl w:ilvl="3" w:tplc="04090001" w:tentative="1">
      <w:start w:val="1"/>
      <w:numFmt w:val="decimal"/>
      <w:lvlText w:val="%4."/>
      <w:lvlJc w:val="left"/>
      <w:pPr>
        <w:tabs>
          <w:tab w:val="num" w:pos="2880"/>
        </w:tabs>
        <w:ind w:left="2880" w:hanging="360"/>
      </w:pPr>
    </w:lvl>
    <w:lvl w:ilvl="4" w:tplc="04090003" w:tentative="1">
      <w:start w:val="1"/>
      <w:numFmt w:val="lowerLetter"/>
      <w:lvlText w:val="%5."/>
      <w:lvlJc w:val="left"/>
      <w:pPr>
        <w:tabs>
          <w:tab w:val="num" w:pos="3600"/>
        </w:tabs>
        <w:ind w:left="3600" w:hanging="360"/>
      </w:pPr>
    </w:lvl>
    <w:lvl w:ilvl="5" w:tplc="04090005" w:tentative="1">
      <w:start w:val="1"/>
      <w:numFmt w:val="lowerRoman"/>
      <w:lvlText w:val="%6."/>
      <w:lvlJc w:val="right"/>
      <w:pPr>
        <w:tabs>
          <w:tab w:val="num" w:pos="4320"/>
        </w:tabs>
        <w:ind w:left="4320" w:hanging="180"/>
      </w:pPr>
    </w:lvl>
    <w:lvl w:ilvl="6" w:tplc="04090001" w:tentative="1">
      <w:start w:val="1"/>
      <w:numFmt w:val="decimal"/>
      <w:lvlText w:val="%7."/>
      <w:lvlJc w:val="left"/>
      <w:pPr>
        <w:tabs>
          <w:tab w:val="num" w:pos="5040"/>
        </w:tabs>
        <w:ind w:left="5040" w:hanging="360"/>
      </w:pPr>
    </w:lvl>
    <w:lvl w:ilvl="7" w:tplc="04090003" w:tentative="1">
      <w:start w:val="1"/>
      <w:numFmt w:val="lowerLetter"/>
      <w:lvlText w:val="%8."/>
      <w:lvlJc w:val="left"/>
      <w:pPr>
        <w:tabs>
          <w:tab w:val="num" w:pos="5760"/>
        </w:tabs>
        <w:ind w:left="5760" w:hanging="360"/>
      </w:pPr>
    </w:lvl>
    <w:lvl w:ilvl="8" w:tplc="04090005" w:tentative="1">
      <w:start w:val="1"/>
      <w:numFmt w:val="lowerRoman"/>
      <w:lvlText w:val="%9."/>
      <w:lvlJc w:val="right"/>
      <w:pPr>
        <w:tabs>
          <w:tab w:val="num" w:pos="6480"/>
        </w:tabs>
        <w:ind w:left="6480" w:hanging="180"/>
      </w:pPr>
    </w:lvl>
  </w:abstractNum>
  <w:abstractNum w:abstractNumId="41">
    <w:nsid w:val="787B65D1"/>
    <w:multiLevelType w:val="hybridMultilevel"/>
    <w:tmpl w:val="7D2465F0"/>
    <w:lvl w:ilvl="0" w:tplc="0C090001">
      <w:start w:val="1"/>
      <w:numFmt w:val="bullet"/>
      <w:lvlText w:val=""/>
      <w:lvlJc w:val="left"/>
      <w:pPr>
        <w:ind w:left="720" w:hanging="360"/>
      </w:pPr>
      <w:rPr>
        <w:rFonts w:ascii="Symbol" w:hAnsi="Symbol" w:hint="default"/>
      </w:rPr>
    </w:lvl>
    <w:lvl w:ilvl="1" w:tplc="0C090003" w:tentative="1">
      <w:start w:val="1"/>
      <w:numFmt w:val="bullet"/>
      <w:lvlText w:val="o"/>
      <w:lvlJc w:val="left"/>
      <w:pPr>
        <w:ind w:left="1440" w:hanging="360"/>
      </w:pPr>
      <w:rPr>
        <w:rFonts w:ascii="Courier New" w:hAnsi="Courier New" w:cs="Courier New" w:hint="default"/>
      </w:rPr>
    </w:lvl>
    <w:lvl w:ilvl="2" w:tplc="0C090005" w:tentative="1">
      <w:start w:val="1"/>
      <w:numFmt w:val="bullet"/>
      <w:lvlText w:val=""/>
      <w:lvlJc w:val="left"/>
      <w:pPr>
        <w:ind w:left="2160" w:hanging="360"/>
      </w:pPr>
      <w:rPr>
        <w:rFonts w:ascii="Wingdings" w:hAnsi="Wingdings" w:hint="default"/>
      </w:rPr>
    </w:lvl>
    <w:lvl w:ilvl="3" w:tplc="0C090001" w:tentative="1">
      <w:start w:val="1"/>
      <w:numFmt w:val="bullet"/>
      <w:lvlText w:val=""/>
      <w:lvlJc w:val="left"/>
      <w:pPr>
        <w:ind w:left="2880" w:hanging="360"/>
      </w:pPr>
      <w:rPr>
        <w:rFonts w:ascii="Symbol" w:hAnsi="Symbol" w:hint="default"/>
      </w:rPr>
    </w:lvl>
    <w:lvl w:ilvl="4" w:tplc="0C090003" w:tentative="1">
      <w:start w:val="1"/>
      <w:numFmt w:val="bullet"/>
      <w:lvlText w:val="o"/>
      <w:lvlJc w:val="left"/>
      <w:pPr>
        <w:ind w:left="3600" w:hanging="360"/>
      </w:pPr>
      <w:rPr>
        <w:rFonts w:ascii="Courier New" w:hAnsi="Courier New" w:cs="Courier New" w:hint="default"/>
      </w:rPr>
    </w:lvl>
    <w:lvl w:ilvl="5" w:tplc="0C090005" w:tentative="1">
      <w:start w:val="1"/>
      <w:numFmt w:val="bullet"/>
      <w:lvlText w:val=""/>
      <w:lvlJc w:val="left"/>
      <w:pPr>
        <w:ind w:left="4320" w:hanging="360"/>
      </w:pPr>
      <w:rPr>
        <w:rFonts w:ascii="Wingdings" w:hAnsi="Wingdings" w:hint="default"/>
      </w:rPr>
    </w:lvl>
    <w:lvl w:ilvl="6" w:tplc="0C090001" w:tentative="1">
      <w:start w:val="1"/>
      <w:numFmt w:val="bullet"/>
      <w:lvlText w:val=""/>
      <w:lvlJc w:val="left"/>
      <w:pPr>
        <w:ind w:left="5040" w:hanging="360"/>
      </w:pPr>
      <w:rPr>
        <w:rFonts w:ascii="Symbol" w:hAnsi="Symbol" w:hint="default"/>
      </w:rPr>
    </w:lvl>
    <w:lvl w:ilvl="7" w:tplc="0C090003" w:tentative="1">
      <w:start w:val="1"/>
      <w:numFmt w:val="bullet"/>
      <w:lvlText w:val="o"/>
      <w:lvlJc w:val="left"/>
      <w:pPr>
        <w:ind w:left="5760" w:hanging="360"/>
      </w:pPr>
      <w:rPr>
        <w:rFonts w:ascii="Courier New" w:hAnsi="Courier New" w:cs="Courier New" w:hint="default"/>
      </w:rPr>
    </w:lvl>
    <w:lvl w:ilvl="8" w:tplc="0C090005" w:tentative="1">
      <w:start w:val="1"/>
      <w:numFmt w:val="bullet"/>
      <w:lvlText w:val=""/>
      <w:lvlJc w:val="left"/>
      <w:pPr>
        <w:ind w:left="6480" w:hanging="360"/>
      </w:pPr>
      <w:rPr>
        <w:rFonts w:ascii="Wingdings" w:hAnsi="Wingdings" w:hint="default"/>
      </w:rPr>
    </w:lvl>
  </w:abstractNum>
  <w:num w:numId="1">
    <w:abstractNumId w:val="8"/>
  </w:num>
  <w:num w:numId="2">
    <w:abstractNumId w:val="32"/>
  </w:num>
  <w:num w:numId="3">
    <w:abstractNumId w:val="40"/>
  </w:num>
  <w:num w:numId="4">
    <w:abstractNumId w:val="35"/>
  </w:num>
  <w:num w:numId="5">
    <w:abstractNumId w:val="17"/>
  </w:num>
  <w:num w:numId="6">
    <w:abstractNumId w:val="23"/>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7">
    <w:abstractNumId w:val="31"/>
  </w:num>
  <w:num w:numId="8">
    <w:abstractNumId w:val="37"/>
  </w:num>
  <w:num w:numId="9">
    <w:abstractNumId w:val="6"/>
  </w:num>
  <w:num w:numId="10">
    <w:abstractNumId w:val="5"/>
  </w:num>
  <w:num w:numId="11">
    <w:abstractNumId w:val="4"/>
  </w:num>
  <w:num w:numId="12">
    <w:abstractNumId w:val="7"/>
  </w:num>
  <w:num w:numId="13">
    <w:abstractNumId w:val="3"/>
  </w:num>
  <w:num w:numId="14">
    <w:abstractNumId w:val="2"/>
  </w:num>
  <w:num w:numId="15">
    <w:abstractNumId w:val="1"/>
  </w:num>
  <w:num w:numId="16">
    <w:abstractNumId w:val="0"/>
  </w:num>
  <w:num w:numId="17">
    <w:abstractNumId w:val="26"/>
  </w:num>
  <w:num w:numId="18">
    <w:abstractNumId w:val="33"/>
  </w:num>
  <w:num w:numId="19">
    <w:abstractNumId w:val="29"/>
  </w:num>
  <w:num w:numId="20">
    <w:abstractNumId w:val="27"/>
  </w:num>
  <w:num w:numId="21">
    <w:abstractNumId w:val="16"/>
  </w:num>
  <w:num w:numId="22">
    <w:abstractNumId w:val="15"/>
  </w:num>
  <w:num w:numId="23">
    <w:abstractNumId w:val="13"/>
  </w:num>
  <w:num w:numId="24">
    <w:abstractNumId w:val="19"/>
  </w:num>
  <w:num w:numId="25">
    <w:abstractNumId w:val="39"/>
  </w:num>
  <w:num w:numId="26">
    <w:abstractNumId w:val="22"/>
  </w:num>
  <w:num w:numId="27">
    <w:abstractNumId w:val="28"/>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8">
    <w:abstractNumId w:val="10"/>
  </w:num>
  <w:num w:numId="29">
    <w:abstractNumId w:val="17"/>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0">
    <w:abstractNumId w:val="32"/>
    <w:lvlOverride w:ilvl="0"/>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1">
    <w:abstractNumId w:val="11"/>
  </w:num>
  <w:num w:numId="32">
    <w:abstractNumId w:val="21"/>
  </w:num>
  <w:num w:numId="33">
    <w:abstractNumId w:val="30"/>
  </w:num>
  <w:num w:numId="34">
    <w:abstractNumId w:val="18"/>
  </w:num>
  <w:num w:numId="35">
    <w:abstractNumId w:val="14"/>
  </w:num>
  <w:num w:numId="36">
    <w:abstractNumId w:val="20"/>
  </w:num>
  <w:num w:numId="37">
    <w:abstractNumId w:val="9"/>
  </w:num>
  <w:num w:numId="38">
    <w:abstractNumId w:val="34"/>
  </w:num>
  <w:num w:numId="39">
    <w:abstractNumId w:val="38"/>
  </w:num>
  <w:num w:numId="40">
    <w:abstractNumId w:val="25"/>
  </w:num>
  <w:num w:numId="41">
    <w:abstractNumId w:val="36"/>
  </w:num>
  <w:num w:numId="42">
    <w:abstractNumId w:val="24"/>
  </w:num>
  <w:num w:numId="43">
    <w:abstractNumId w:val="41"/>
  </w:num>
  <w:num w:numId="44">
    <w:abstractNumId w:val="12"/>
  </w:num>
  <w:numIdMacAtCleanup w:val="7"/>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150"/>
  <w:removePersonalInformation/>
  <w:removeDateAndTime/>
  <w:printFractionalCharacterWidth/>
  <w:embedTrueTypeFonts/>
  <w:hideGrammaticalErrors/>
  <w:activeWritingStyle w:appName="MSWord" w:lang="en-AU" w:vendorID="64" w:dllVersion="131077" w:nlCheck="1" w:checkStyle="1"/>
  <w:activeWritingStyle w:appName="MSWord" w:lang="en-US" w:vendorID="64" w:dllVersion="131077" w:nlCheck="1" w:checkStyle="1"/>
  <w:activeWritingStyle w:appName="MSWord" w:lang="en-GB" w:vendorID="64" w:dllVersion="131077" w:nlCheck="1" w:checkStyle="1"/>
  <w:activeWritingStyle w:appName="MSWord" w:lang="en-AU" w:vendorID="64" w:dllVersion="131078" w:nlCheck="1" w:checkStyle="1"/>
  <w:activeWritingStyle w:appName="MSWord" w:lang="en-US" w:vendorID="64" w:dllVersion="131078" w:nlCheck="1" w:checkStyle="1"/>
  <w:activeWritingStyle w:appName="MSWord" w:lang="fr-FR" w:vendorID="64" w:dllVersion="131078" w:nlCheck="1" w:checkStyle="1"/>
  <w:activeWritingStyle w:appName="MSWord" w:lang="en-GB" w:vendorID="64" w:dllVersion="131078" w:nlCheck="1" w:checkStyle="1"/>
  <w:activeWritingStyle w:appName="MSWord" w:lang="en-NZ" w:vendorID="64" w:dllVersion="131078" w:nlCheck="1" w:checkStyle="1"/>
  <w:activeWritingStyle w:appName="MSWord" w:lang="es-ES" w:vendorID="64" w:dllVersion="131078" w:nlCheck="1" w:checkStyle="1"/>
  <w:activeWritingStyle w:appName="MSWord" w:lang="es-ES_tradnl" w:vendorID="64" w:dllVersion="131078" w:nlCheck="1" w:checkStyle="1"/>
  <w:activeWritingStyle w:appName="MSWord" w:lang="en-US" w:vendorID="8" w:dllVersion="513" w:checkStyle="1"/>
  <w:activeWritingStyle w:appName="MSWord" w:lang="en-AU" w:vendorID="8" w:dllVersion="513" w:checkStyle="1"/>
  <w:proofState w:grammar="clean"/>
  <w:stylePaneFormatFilter w:val="3001"/>
  <w:defaultTabStop w:val="289"/>
  <w:doNotHyphenateCaps/>
  <w:evenAndOddHeaders/>
  <w:drawingGridHorizontalSpacing w:val="100"/>
  <w:displayHorizontalDrawingGridEvery w:val="0"/>
  <w:displayVerticalDrawingGridEvery w:val="0"/>
  <w:doNotShadeFormData/>
  <w:noPunctuationKerning/>
  <w:characterSpacingControl w:val="doNotCompress"/>
  <w:hdrShapeDefaults>
    <o:shapedefaults v:ext="edit" spidmax="199681">
      <o:colormenu v:ext="edit" fillcolor="none [3212]" strokecolor="none" shadowcolor="none"/>
    </o:shapedefaults>
  </w:hdrShapeDefaults>
  <w:footnotePr>
    <w:footnote w:id="-1"/>
    <w:footnote w:id="0"/>
  </w:footnotePr>
  <w:endnotePr>
    <w:endnote w:id="-1"/>
    <w:endnote w:id="0"/>
  </w:endnotePr>
  <w:compat/>
  <w:rsids>
    <w:rsidRoot w:val="00197EC9"/>
    <w:rsid w:val="00002411"/>
    <w:rsid w:val="00003A06"/>
    <w:rsid w:val="00003A5D"/>
    <w:rsid w:val="00003A9C"/>
    <w:rsid w:val="00005A45"/>
    <w:rsid w:val="00005D0C"/>
    <w:rsid w:val="00007204"/>
    <w:rsid w:val="00010832"/>
    <w:rsid w:val="00010901"/>
    <w:rsid w:val="00010E44"/>
    <w:rsid w:val="00010FA6"/>
    <w:rsid w:val="00011081"/>
    <w:rsid w:val="000126ED"/>
    <w:rsid w:val="000128FD"/>
    <w:rsid w:val="00012AA7"/>
    <w:rsid w:val="00013FEB"/>
    <w:rsid w:val="00014F6A"/>
    <w:rsid w:val="0001670E"/>
    <w:rsid w:val="00016BB1"/>
    <w:rsid w:val="00016EB4"/>
    <w:rsid w:val="000177A3"/>
    <w:rsid w:val="00017A85"/>
    <w:rsid w:val="000203F1"/>
    <w:rsid w:val="00020A75"/>
    <w:rsid w:val="000213A8"/>
    <w:rsid w:val="0002170E"/>
    <w:rsid w:val="0002223A"/>
    <w:rsid w:val="00022DF2"/>
    <w:rsid w:val="00023CF2"/>
    <w:rsid w:val="0002522D"/>
    <w:rsid w:val="00025BDB"/>
    <w:rsid w:val="00025EE8"/>
    <w:rsid w:val="00025FFA"/>
    <w:rsid w:val="00026B19"/>
    <w:rsid w:val="00027111"/>
    <w:rsid w:val="000279F5"/>
    <w:rsid w:val="00027F86"/>
    <w:rsid w:val="000305AB"/>
    <w:rsid w:val="000305D5"/>
    <w:rsid w:val="0003268A"/>
    <w:rsid w:val="00032961"/>
    <w:rsid w:val="00033356"/>
    <w:rsid w:val="000336FF"/>
    <w:rsid w:val="0003370C"/>
    <w:rsid w:val="000339E6"/>
    <w:rsid w:val="00033E69"/>
    <w:rsid w:val="00035325"/>
    <w:rsid w:val="000356C3"/>
    <w:rsid w:val="0004125D"/>
    <w:rsid w:val="00041968"/>
    <w:rsid w:val="00042215"/>
    <w:rsid w:val="00043E89"/>
    <w:rsid w:val="00043EA4"/>
    <w:rsid w:val="00043EAD"/>
    <w:rsid w:val="000445CA"/>
    <w:rsid w:val="000448EB"/>
    <w:rsid w:val="00044D8D"/>
    <w:rsid w:val="000461CB"/>
    <w:rsid w:val="00046F0D"/>
    <w:rsid w:val="00047076"/>
    <w:rsid w:val="00050475"/>
    <w:rsid w:val="00052442"/>
    <w:rsid w:val="00053895"/>
    <w:rsid w:val="00053C2C"/>
    <w:rsid w:val="00054380"/>
    <w:rsid w:val="0005452D"/>
    <w:rsid w:val="0005484D"/>
    <w:rsid w:val="000548B6"/>
    <w:rsid w:val="00056175"/>
    <w:rsid w:val="00056C73"/>
    <w:rsid w:val="000575E2"/>
    <w:rsid w:val="000602FB"/>
    <w:rsid w:val="00061A71"/>
    <w:rsid w:val="00064B07"/>
    <w:rsid w:val="000669F2"/>
    <w:rsid w:val="00070337"/>
    <w:rsid w:val="000704E3"/>
    <w:rsid w:val="00070899"/>
    <w:rsid w:val="00070D02"/>
    <w:rsid w:val="000714D3"/>
    <w:rsid w:val="00072EE1"/>
    <w:rsid w:val="00073842"/>
    <w:rsid w:val="00074002"/>
    <w:rsid w:val="000773C0"/>
    <w:rsid w:val="000820C1"/>
    <w:rsid w:val="000820EB"/>
    <w:rsid w:val="00082724"/>
    <w:rsid w:val="00082B98"/>
    <w:rsid w:val="00082BFC"/>
    <w:rsid w:val="000841F7"/>
    <w:rsid w:val="00084CDF"/>
    <w:rsid w:val="0008663F"/>
    <w:rsid w:val="00086DBA"/>
    <w:rsid w:val="00091142"/>
    <w:rsid w:val="0009156E"/>
    <w:rsid w:val="00091FEB"/>
    <w:rsid w:val="000938E4"/>
    <w:rsid w:val="00093C77"/>
    <w:rsid w:val="0009407C"/>
    <w:rsid w:val="00095141"/>
    <w:rsid w:val="000956B5"/>
    <w:rsid w:val="00095A80"/>
    <w:rsid w:val="00096BEC"/>
    <w:rsid w:val="000976A2"/>
    <w:rsid w:val="000A021B"/>
    <w:rsid w:val="000A08E4"/>
    <w:rsid w:val="000A1199"/>
    <w:rsid w:val="000A1AFF"/>
    <w:rsid w:val="000A218C"/>
    <w:rsid w:val="000A2D37"/>
    <w:rsid w:val="000A399D"/>
    <w:rsid w:val="000A4737"/>
    <w:rsid w:val="000A4F40"/>
    <w:rsid w:val="000A5514"/>
    <w:rsid w:val="000A71AD"/>
    <w:rsid w:val="000A722D"/>
    <w:rsid w:val="000A771B"/>
    <w:rsid w:val="000A7936"/>
    <w:rsid w:val="000A7FA5"/>
    <w:rsid w:val="000B223F"/>
    <w:rsid w:val="000B23A2"/>
    <w:rsid w:val="000B2593"/>
    <w:rsid w:val="000B2AA9"/>
    <w:rsid w:val="000B3587"/>
    <w:rsid w:val="000B4D45"/>
    <w:rsid w:val="000B60BA"/>
    <w:rsid w:val="000B73CE"/>
    <w:rsid w:val="000B7C36"/>
    <w:rsid w:val="000C0172"/>
    <w:rsid w:val="000C0520"/>
    <w:rsid w:val="000C1584"/>
    <w:rsid w:val="000C5426"/>
    <w:rsid w:val="000C544D"/>
    <w:rsid w:val="000C5B3A"/>
    <w:rsid w:val="000C5D03"/>
    <w:rsid w:val="000C6703"/>
    <w:rsid w:val="000C6B31"/>
    <w:rsid w:val="000D0116"/>
    <w:rsid w:val="000D0856"/>
    <w:rsid w:val="000D0FA0"/>
    <w:rsid w:val="000D1306"/>
    <w:rsid w:val="000D1397"/>
    <w:rsid w:val="000D1BFC"/>
    <w:rsid w:val="000D2928"/>
    <w:rsid w:val="000D4037"/>
    <w:rsid w:val="000D648D"/>
    <w:rsid w:val="000D77DD"/>
    <w:rsid w:val="000D7A14"/>
    <w:rsid w:val="000D7A2E"/>
    <w:rsid w:val="000E01AE"/>
    <w:rsid w:val="000E0E00"/>
    <w:rsid w:val="000E23C0"/>
    <w:rsid w:val="000E2D51"/>
    <w:rsid w:val="000E2DC4"/>
    <w:rsid w:val="000E30B4"/>
    <w:rsid w:val="000E59C7"/>
    <w:rsid w:val="000E5FF1"/>
    <w:rsid w:val="000E6B2B"/>
    <w:rsid w:val="000E739E"/>
    <w:rsid w:val="000F2071"/>
    <w:rsid w:val="000F2F18"/>
    <w:rsid w:val="000F7522"/>
    <w:rsid w:val="00100318"/>
    <w:rsid w:val="001003C9"/>
    <w:rsid w:val="00101AAF"/>
    <w:rsid w:val="00102DC2"/>
    <w:rsid w:val="00103F12"/>
    <w:rsid w:val="00105E58"/>
    <w:rsid w:val="00112258"/>
    <w:rsid w:val="00113222"/>
    <w:rsid w:val="00113651"/>
    <w:rsid w:val="00114A4E"/>
    <w:rsid w:val="00114FF8"/>
    <w:rsid w:val="0011594C"/>
    <w:rsid w:val="00116315"/>
    <w:rsid w:val="0011735E"/>
    <w:rsid w:val="00120B26"/>
    <w:rsid w:val="00123767"/>
    <w:rsid w:val="00123F1A"/>
    <w:rsid w:val="00125DEB"/>
    <w:rsid w:val="0012674A"/>
    <w:rsid w:val="00130619"/>
    <w:rsid w:val="0013064D"/>
    <w:rsid w:val="00132EF3"/>
    <w:rsid w:val="00134B2D"/>
    <w:rsid w:val="001364AC"/>
    <w:rsid w:val="001368D0"/>
    <w:rsid w:val="001368EE"/>
    <w:rsid w:val="00140070"/>
    <w:rsid w:val="00141E11"/>
    <w:rsid w:val="00142CDA"/>
    <w:rsid w:val="00144C47"/>
    <w:rsid w:val="00144C7B"/>
    <w:rsid w:val="00144F34"/>
    <w:rsid w:val="00145B7B"/>
    <w:rsid w:val="00145E69"/>
    <w:rsid w:val="00146627"/>
    <w:rsid w:val="001471F1"/>
    <w:rsid w:val="00147698"/>
    <w:rsid w:val="00150270"/>
    <w:rsid w:val="00151248"/>
    <w:rsid w:val="00151ED5"/>
    <w:rsid w:val="0015313F"/>
    <w:rsid w:val="0015363F"/>
    <w:rsid w:val="00153B3B"/>
    <w:rsid w:val="00153F01"/>
    <w:rsid w:val="00154A02"/>
    <w:rsid w:val="00154B02"/>
    <w:rsid w:val="001553F8"/>
    <w:rsid w:val="00156AEE"/>
    <w:rsid w:val="00160591"/>
    <w:rsid w:val="001619E2"/>
    <w:rsid w:val="0016259D"/>
    <w:rsid w:val="00162B3C"/>
    <w:rsid w:val="001652D5"/>
    <w:rsid w:val="00166B90"/>
    <w:rsid w:val="0016742D"/>
    <w:rsid w:val="00171470"/>
    <w:rsid w:val="0017191D"/>
    <w:rsid w:val="00172056"/>
    <w:rsid w:val="001723B5"/>
    <w:rsid w:val="0017264B"/>
    <w:rsid w:val="00172B39"/>
    <w:rsid w:val="00172C77"/>
    <w:rsid w:val="00173FE6"/>
    <w:rsid w:val="00174336"/>
    <w:rsid w:val="00175422"/>
    <w:rsid w:val="00175A89"/>
    <w:rsid w:val="00175B00"/>
    <w:rsid w:val="00176622"/>
    <w:rsid w:val="00176700"/>
    <w:rsid w:val="00176AD7"/>
    <w:rsid w:val="00176E2D"/>
    <w:rsid w:val="00180657"/>
    <w:rsid w:val="00181246"/>
    <w:rsid w:val="00181655"/>
    <w:rsid w:val="001822F1"/>
    <w:rsid w:val="001829A5"/>
    <w:rsid w:val="001833EE"/>
    <w:rsid w:val="00184F30"/>
    <w:rsid w:val="001852FF"/>
    <w:rsid w:val="0018540F"/>
    <w:rsid w:val="001854C2"/>
    <w:rsid w:val="001858BC"/>
    <w:rsid w:val="00186029"/>
    <w:rsid w:val="00187442"/>
    <w:rsid w:val="00191B4D"/>
    <w:rsid w:val="00191FE5"/>
    <w:rsid w:val="00192BE0"/>
    <w:rsid w:val="00192EDB"/>
    <w:rsid w:val="001936FC"/>
    <w:rsid w:val="00194956"/>
    <w:rsid w:val="00195E4B"/>
    <w:rsid w:val="00196971"/>
    <w:rsid w:val="00197591"/>
    <w:rsid w:val="00197EC9"/>
    <w:rsid w:val="001A1387"/>
    <w:rsid w:val="001A2862"/>
    <w:rsid w:val="001A4392"/>
    <w:rsid w:val="001A5831"/>
    <w:rsid w:val="001A7325"/>
    <w:rsid w:val="001A755C"/>
    <w:rsid w:val="001A7D07"/>
    <w:rsid w:val="001A7D9D"/>
    <w:rsid w:val="001B076C"/>
    <w:rsid w:val="001B288D"/>
    <w:rsid w:val="001B2FD5"/>
    <w:rsid w:val="001B33B6"/>
    <w:rsid w:val="001B41E0"/>
    <w:rsid w:val="001B4840"/>
    <w:rsid w:val="001B5C5B"/>
    <w:rsid w:val="001B6822"/>
    <w:rsid w:val="001B6B18"/>
    <w:rsid w:val="001B70F3"/>
    <w:rsid w:val="001B7DD7"/>
    <w:rsid w:val="001C04E5"/>
    <w:rsid w:val="001C2EAE"/>
    <w:rsid w:val="001C30B8"/>
    <w:rsid w:val="001C5DFE"/>
    <w:rsid w:val="001C60DE"/>
    <w:rsid w:val="001C7A1D"/>
    <w:rsid w:val="001D08A1"/>
    <w:rsid w:val="001D0C99"/>
    <w:rsid w:val="001D0D1E"/>
    <w:rsid w:val="001D23C9"/>
    <w:rsid w:val="001D2831"/>
    <w:rsid w:val="001D5558"/>
    <w:rsid w:val="001D62F1"/>
    <w:rsid w:val="001E2632"/>
    <w:rsid w:val="001E2A81"/>
    <w:rsid w:val="001E2E86"/>
    <w:rsid w:val="001E4FC2"/>
    <w:rsid w:val="001E598A"/>
    <w:rsid w:val="001E6087"/>
    <w:rsid w:val="001E703C"/>
    <w:rsid w:val="001F0D77"/>
    <w:rsid w:val="001F1CF8"/>
    <w:rsid w:val="001F1DCE"/>
    <w:rsid w:val="001F2415"/>
    <w:rsid w:val="001F253C"/>
    <w:rsid w:val="001F4045"/>
    <w:rsid w:val="001F55E9"/>
    <w:rsid w:val="001F5D28"/>
    <w:rsid w:val="001F7FC3"/>
    <w:rsid w:val="00200719"/>
    <w:rsid w:val="00201266"/>
    <w:rsid w:val="002018A7"/>
    <w:rsid w:val="002019B8"/>
    <w:rsid w:val="00202511"/>
    <w:rsid w:val="00202DC2"/>
    <w:rsid w:val="002041D1"/>
    <w:rsid w:val="00204715"/>
    <w:rsid w:val="00204DA0"/>
    <w:rsid w:val="00204EBB"/>
    <w:rsid w:val="0020525E"/>
    <w:rsid w:val="00205D03"/>
    <w:rsid w:val="00210B65"/>
    <w:rsid w:val="00210F8E"/>
    <w:rsid w:val="00211B05"/>
    <w:rsid w:val="002123CA"/>
    <w:rsid w:val="002125CA"/>
    <w:rsid w:val="00213447"/>
    <w:rsid w:val="0022063B"/>
    <w:rsid w:val="002211DE"/>
    <w:rsid w:val="002220A2"/>
    <w:rsid w:val="00222D22"/>
    <w:rsid w:val="002244FA"/>
    <w:rsid w:val="00224806"/>
    <w:rsid w:val="00224BE7"/>
    <w:rsid w:val="00226416"/>
    <w:rsid w:val="002275F1"/>
    <w:rsid w:val="002301AD"/>
    <w:rsid w:val="002303AE"/>
    <w:rsid w:val="00231D44"/>
    <w:rsid w:val="00232EF8"/>
    <w:rsid w:val="00233EEE"/>
    <w:rsid w:val="00234127"/>
    <w:rsid w:val="00234D9E"/>
    <w:rsid w:val="00236E83"/>
    <w:rsid w:val="00240234"/>
    <w:rsid w:val="002404C6"/>
    <w:rsid w:val="00240C73"/>
    <w:rsid w:val="0024124F"/>
    <w:rsid w:val="00241B9A"/>
    <w:rsid w:val="0024249F"/>
    <w:rsid w:val="002428B4"/>
    <w:rsid w:val="002432A1"/>
    <w:rsid w:val="002456FA"/>
    <w:rsid w:val="00245881"/>
    <w:rsid w:val="00247113"/>
    <w:rsid w:val="002477A4"/>
    <w:rsid w:val="00251416"/>
    <w:rsid w:val="002530A0"/>
    <w:rsid w:val="002530FB"/>
    <w:rsid w:val="00254EC0"/>
    <w:rsid w:val="00255B91"/>
    <w:rsid w:val="002562D5"/>
    <w:rsid w:val="00256EB6"/>
    <w:rsid w:val="0026147B"/>
    <w:rsid w:val="00261675"/>
    <w:rsid w:val="00262778"/>
    <w:rsid w:val="0026346F"/>
    <w:rsid w:val="002646F2"/>
    <w:rsid w:val="00264718"/>
    <w:rsid w:val="00264815"/>
    <w:rsid w:val="00265181"/>
    <w:rsid w:val="00265403"/>
    <w:rsid w:val="00265650"/>
    <w:rsid w:val="00267460"/>
    <w:rsid w:val="00267871"/>
    <w:rsid w:val="0027285B"/>
    <w:rsid w:val="00272B62"/>
    <w:rsid w:val="0027302B"/>
    <w:rsid w:val="00273911"/>
    <w:rsid w:val="002742E4"/>
    <w:rsid w:val="00274835"/>
    <w:rsid w:val="00275615"/>
    <w:rsid w:val="00276553"/>
    <w:rsid w:val="0027693D"/>
    <w:rsid w:val="00277489"/>
    <w:rsid w:val="002811C0"/>
    <w:rsid w:val="0028176D"/>
    <w:rsid w:val="00281A6B"/>
    <w:rsid w:val="00282780"/>
    <w:rsid w:val="002847E0"/>
    <w:rsid w:val="00286478"/>
    <w:rsid w:val="00286CB9"/>
    <w:rsid w:val="00287157"/>
    <w:rsid w:val="0028716A"/>
    <w:rsid w:val="00287406"/>
    <w:rsid w:val="00287CB7"/>
    <w:rsid w:val="00287CEC"/>
    <w:rsid w:val="002907A5"/>
    <w:rsid w:val="00290FBD"/>
    <w:rsid w:val="00291464"/>
    <w:rsid w:val="00291525"/>
    <w:rsid w:val="00291FE2"/>
    <w:rsid w:val="002941C9"/>
    <w:rsid w:val="00294C92"/>
    <w:rsid w:val="00294DB5"/>
    <w:rsid w:val="00296A60"/>
    <w:rsid w:val="00297033"/>
    <w:rsid w:val="002A0025"/>
    <w:rsid w:val="002A48D4"/>
    <w:rsid w:val="002A5CF8"/>
    <w:rsid w:val="002A6C22"/>
    <w:rsid w:val="002A70CD"/>
    <w:rsid w:val="002A7409"/>
    <w:rsid w:val="002B0907"/>
    <w:rsid w:val="002B0D62"/>
    <w:rsid w:val="002B1746"/>
    <w:rsid w:val="002B289A"/>
    <w:rsid w:val="002B3ECD"/>
    <w:rsid w:val="002B46B7"/>
    <w:rsid w:val="002B4858"/>
    <w:rsid w:val="002B4DB7"/>
    <w:rsid w:val="002B502C"/>
    <w:rsid w:val="002B51C1"/>
    <w:rsid w:val="002B5BAA"/>
    <w:rsid w:val="002B7370"/>
    <w:rsid w:val="002C1607"/>
    <w:rsid w:val="002C2590"/>
    <w:rsid w:val="002C3C32"/>
    <w:rsid w:val="002D07F8"/>
    <w:rsid w:val="002D0CAB"/>
    <w:rsid w:val="002D4E77"/>
    <w:rsid w:val="002D5A75"/>
    <w:rsid w:val="002D5BC7"/>
    <w:rsid w:val="002D632F"/>
    <w:rsid w:val="002D6477"/>
    <w:rsid w:val="002D6E27"/>
    <w:rsid w:val="002D7534"/>
    <w:rsid w:val="002E07D2"/>
    <w:rsid w:val="002E08C0"/>
    <w:rsid w:val="002E1779"/>
    <w:rsid w:val="002E2266"/>
    <w:rsid w:val="002E25D0"/>
    <w:rsid w:val="002E2A10"/>
    <w:rsid w:val="002E2C8B"/>
    <w:rsid w:val="002E3030"/>
    <w:rsid w:val="002E7524"/>
    <w:rsid w:val="002E788D"/>
    <w:rsid w:val="002E7CFC"/>
    <w:rsid w:val="002F0156"/>
    <w:rsid w:val="002F0233"/>
    <w:rsid w:val="002F03DE"/>
    <w:rsid w:val="002F0D6D"/>
    <w:rsid w:val="002F2A2F"/>
    <w:rsid w:val="002F329F"/>
    <w:rsid w:val="002F3741"/>
    <w:rsid w:val="002F39D1"/>
    <w:rsid w:val="002F3FC3"/>
    <w:rsid w:val="002F577D"/>
    <w:rsid w:val="002F598F"/>
    <w:rsid w:val="002F6ACD"/>
    <w:rsid w:val="002F728A"/>
    <w:rsid w:val="002F7CCD"/>
    <w:rsid w:val="00300E72"/>
    <w:rsid w:val="003021D0"/>
    <w:rsid w:val="0030625A"/>
    <w:rsid w:val="00307692"/>
    <w:rsid w:val="00310135"/>
    <w:rsid w:val="003113CF"/>
    <w:rsid w:val="00311617"/>
    <w:rsid w:val="00311DD7"/>
    <w:rsid w:val="00313F0B"/>
    <w:rsid w:val="00313F75"/>
    <w:rsid w:val="00315776"/>
    <w:rsid w:val="0031655E"/>
    <w:rsid w:val="00316748"/>
    <w:rsid w:val="00317E08"/>
    <w:rsid w:val="003212EE"/>
    <w:rsid w:val="00323D92"/>
    <w:rsid w:val="0032408F"/>
    <w:rsid w:val="00330032"/>
    <w:rsid w:val="003312DC"/>
    <w:rsid w:val="00331FC5"/>
    <w:rsid w:val="003338A8"/>
    <w:rsid w:val="003341CA"/>
    <w:rsid w:val="00334DF7"/>
    <w:rsid w:val="003351F6"/>
    <w:rsid w:val="00337A08"/>
    <w:rsid w:val="00337CB2"/>
    <w:rsid w:val="00337DBC"/>
    <w:rsid w:val="00340DE1"/>
    <w:rsid w:val="003434D8"/>
    <w:rsid w:val="003442AE"/>
    <w:rsid w:val="003445A5"/>
    <w:rsid w:val="00345392"/>
    <w:rsid w:val="0034555D"/>
    <w:rsid w:val="00345B28"/>
    <w:rsid w:val="0034678F"/>
    <w:rsid w:val="00351580"/>
    <w:rsid w:val="00351614"/>
    <w:rsid w:val="00353069"/>
    <w:rsid w:val="00353C7D"/>
    <w:rsid w:val="00354324"/>
    <w:rsid w:val="00355269"/>
    <w:rsid w:val="00355F13"/>
    <w:rsid w:val="00356EFC"/>
    <w:rsid w:val="0035765C"/>
    <w:rsid w:val="00360EF0"/>
    <w:rsid w:val="00361AC7"/>
    <w:rsid w:val="00362B84"/>
    <w:rsid w:val="0036381C"/>
    <w:rsid w:val="0036486F"/>
    <w:rsid w:val="00364BBD"/>
    <w:rsid w:val="00365217"/>
    <w:rsid w:val="00367608"/>
    <w:rsid w:val="0037011F"/>
    <w:rsid w:val="003722B3"/>
    <w:rsid w:val="00372EA2"/>
    <w:rsid w:val="00375214"/>
    <w:rsid w:val="00377BF3"/>
    <w:rsid w:val="00377CD0"/>
    <w:rsid w:val="00377D08"/>
    <w:rsid w:val="00380C98"/>
    <w:rsid w:val="00381B27"/>
    <w:rsid w:val="00381B31"/>
    <w:rsid w:val="00381F76"/>
    <w:rsid w:val="00382174"/>
    <w:rsid w:val="00382870"/>
    <w:rsid w:val="00382914"/>
    <w:rsid w:val="00382922"/>
    <w:rsid w:val="00382F56"/>
    <w:rsid w:val="00383D34"/>
    <w:rsid w:val="0038533A"/>
    <w:rsid w:val="00386D44"/>
    <w:rsid w:val="00387A2E"/>
    <w:rsid w:val="003915AF"/>
    <w:rsid w:val="00391857"/>
    <w:rsid w:val="003918A7"/>
    <w:rsid w:val="00393117"/>
    <w:rsid w:val="00394CCF"/>
    <w:rsid w:val="00395051"/>
    <w:rsid w:val="00395345"/>
    <w:rsid w:val="00396335"/>
    <w:rsid w:val="00396657"/>
    <w:rsid w:val="003975F7"/>
    <w:rsid w:val="00397822"/>
    <w:rsid w:val="003A0662"/>
    <w:rsid w:val="003A24D3"/>
    <w:rsid w:val="003A3077"/>
    <w:rsid w:val="003A35B7"/>
    <w:rsid w:val="003A3F81"/>
    <w:rsid w:val="003A4336"/>
    <w:rsid w:val="003A457F"/>
    <w:rsid w:val="003A48A5"/>
    <w:rsid w:val="003A646F"/>
    <w:rsid w:val="003A7179"/>
    <w:rsid w:val="003A79E1"/>
    <w:rsid w:val="003B0489"/>
    <w:rsid w:val="003B096A"/>
    <w:rsid w:val="003B117D"/>
    <w:rsid w:val="003B12F1"/>
    <w:rsid w:val="003B1FD1"/>
    <w:rsid w:val="003B3861"/>
    <w:rsid w:val="003B3F3F"/>
    <w:rsid w:val="003B4A54"/>
    <w:rsid w:val="003B50AF"/>
    <w:rsid w:val="003B5C82"/>
    <w:rsid w:val="003B7863"/>
    <w:rsid w:val="003B7B30"/>
    <w:rsid w:val="003C1DEB"/>
    <w:rsid w:val="003C2075"/>
    <w:rsid w:val="003C2110"/>
    <w:rsid w:val="003C2A06"/>
    <w:rsid w:val="003C31C8"/>
    <w:rsid w:val="003C35C6"/>
    <w:rsid w:val="003C476D"/>
    <w:rsid w:val="003C4B2D"/>
    <w:rsid w:val="003C6B50"/>
    <w:rsid w:val="003D14A0"/>
    <w:rsid w:val="003D2D5F"/>
    <w:rsid w:val="003D4D98"/>
    <w:rsid w:val="003D5C06"/>
    <w:rsid w:val="003D607E"/>
    <w:rsid w:val="003D645F"/>
    <w:rsid w:val="003D6BA2"/>
    <w:rsid w:val="003D6D6E"/>
    <w:rsid w:val="003E03AA"/>
    <w:rsid w:val="003E1B35"/>
    <w:rsid w:val="003E1D83"/>
    <w:rsid w:val="003E1E44"/>
    <w:rsid w:val="003E2455"/>
    <w:rsid w:val="003E2712"/>
    <w:rsid w:val="003E2995"/>
    <w:rsid w:val="003E4424"/>
    <w:rsid w:val="003E4F58"/>
    <w:rsid w:val="003E5CD4"/>
    <w:rsid w:val="003E67BB"/>
    <w:rsid w:val="003E6ABE"/>
    <w:rsid w:val="003E6E9C"/>
    <w:rsid w:val="003E7033"/>
    <w:rsid w:val="003E74CC"/>
    <w:rsid w:val="003E7E6F"/>
    <w:rsid w:val="003F0555"/>
    <w:rsid w:val="003F1C37"/>
    <w:rsid w:val="003F2143"/>
    <w:rsid w:val="003F2E62"/>
    <w:rsid w:val="003F3390"/>
    <w:rsid w:val="003F4928"/>
    <w:rsid w:val="003F4ABF"/>
    <w:rsid w:val="003F4F99"/>
    <w:rsid w:val="003F7ADB"/>
    <w:rsid w:val="003F7E08"/>
    <w:rsid w:val="004015F5"/>
    <w:rsid w:val="0040247F"/>
    <w:rsid w:val="00405604"/>
    <w:rsid w:val="00405EC2"/>
    <w:rsid w:val="00407001"/>
    <w:rsid w:val="00407537"/>
    <w:rsid w:val="00407A8D"/>
    <w:rsid w:val="00407C7D"/>
    <w:rsid w:val="004105DE"/>
    <w:rsid w:val="004113D4"/>
    <w:rsid w:val="00412A29"/>
    <w:rsid w:val="00413152"/>
    <w:rsid w:val="004135C7"/>
    <w:rsid w:val="00415281"/>
    <w:rsid w:val="00416EA7"/>
    <w:rsid w:val="00417C9E"/>
    <w:rsid w:val="00422FB5"/>
    <w:rsid w:val="00424B3B"/>
    <w:rsid w:val="00424F50"/>
    <w:rsid w:val="00425954"/>
    <w:rsid w:val="004300D7"/>
    <w:rsid w:val="0043016D"/>
    <w:rsid w:val="00430BEE"/>
    <w:rsid w:val="00430FEA"/>
    <w:rsid w:val="00431120"/>
    <w:rsid w:val="0043249D"/>
    <w:rsid w:val="004360DF"/>
    <w:rsid w:val="00437A20"/>
    <w:rsid w:val="00437AAE"/>
    <w:rsid w:val="0044040E"/>
    <w:rsid w:val="00441267"/>
    <w:rsid w:val="0044259D"/>
    <w:rsid w:val="0044486E"/>
    <w:rsid w:val="00444A7D"/>
    <w:rsid w:val="004451A6"/>
    <w:rsid w:val="0044592A"/>
    <w:rsid w:val="00445F9E"/>
    <w:rsid w:val="004471FC"/>
    <w:rsid w:val="00447554"/>
    <w:rsid w:val="00447F3B"/>
    <w:rsid w:val="00451C22"/>
    <w:rsid w:val="00453A3C"/>
    <w:rsid w:val="00453C1E"/>
    <w:rsid w:val="0045458D"/>
    <w:rsid w:val="00454866"/>
    <w:rsid w:val="00455A37"/>
    <w:rsid w:val="0045602E"/>
    <w:rsid w:val="0045698A"/>
    <w:rsid w:val="00456A34"/>
    <w:rsid w:val="00456E22"/>
    <w:rsid w:val="0046219D"/>
    <w:rsid w:val="00462477"/>
    <w:rsid w:val="004624E1"/>
    <w:rsid w:val="00462C16"/>
    <w:rsid w:val="00464A00"/>
    <w:rsid w:val="00465A88"/>
    <w:rsid w:val="00465FB0"/>
    <w:rsid w:val="00466654"/>
    <w:rsid w:val="00470C04"/>
    <w:rsid w:val="00471F43"/>
    <w:rsid w:val="00472EA7"/>
    <w:rsid w:val="0047378C"/>
    <w:rsid w:val="00473DA2"/>
    <w:rsid w:val="00474BFE"/>
    <w:rsid w:val="00475057"/>
    <w:rsid w:val="00476216"/>
    <w:rsid w:val="004763AB"/>
    <w:rsid w:val="004767CF"/>
    <w:rsid w:val="00476C8E"/>
    <w:rsid w:val="00476E36"/>
    <w:rsid w:val="0047708F"/>
    <w:rsid w:val="00477422"/>
    <w:rsid w:val="00477DD5"/>
    <w:rsid w:val="00480DDA"/>
    <w:rsid w:val="00481018"/>
    <w:rsid w:val="004819F1"/>
    <w:rsid w:val="00483632"/>
    <w:rsid w:val="0048372E"/>
    <w:rsid w:val="00486289"/>
    <w:rsid w:val="0049114E"/>
    <w:rsid w:val="0049225F"/>
    <w:rsid w:val="00493F23"/>
    <w:rsid w:val="00494AA2"/>
    <w:rsid w:val="00494E77"/>
    <w:rsid w:val="00495154"/>
    <w:rsid w:val="004953E5"/>
    <w:rsid w:val="004A128D"/>
    <w:rsid w:val="004A19A9"/>
    <w:rsid w:val="004A1D00"/>
    <w:rsid w:val="004A3032"/>
    <w:rsid w:val="004A3741"/>
    <w:rsid w:val="004A3B12"/>
    <w:rsid w:val="004A575C"/>
    <w:rsid w:val="004A75D3"/>
    <w:rsid w:val="004B01F6"/>
    <w:rsid w:val="004B0622"/>
    <w:rsid w:val="004B1635"/>
    <w:rsid w:val="004B2FC2"/>
    <w:rsid w:val="004B3AC7"/>
    <w:rsid w:val="004B68E0"/>
    <w:rsid w:val="004B6CDB"/>
    <w:rsid w:val="004C104A"/>
    <w:rsid w:val="004C2B4E"/>
    <w:rsid w:val="004C39C5"/>
    <w:rsid w:val="004C4609"/>
    <w:rsid w:val="004C48BD"/>
    <w:rsid w:val="004C6033"/>
    <w:rsid w:val="004C64CF"/>
    <w:rsid w:val="004C74E9"/>
    <w:rsid w:val="004D153D"/>
    <w:rsid w:val="004D160B"/>
    <w:rsid w:val="004D2064"/>
    <w:rsid w:val="004D2E84"/>
    <w:rsid w:val="004D3E81"/>
    <w:rsid w:val="004D5962"/>
    <w:rsid w:val="004D5B9B"/>
    <w:rsid w:val="004D7A41"/>
    <w:rsid w:val="004E0117"/>
    <w:rsid w:val="004E0278"/>
    <w:rsid w:val="004E12A2"/>
    <w:rsid w:val="004E16A5"/>
    <w:rsid w:val="004E3653"/>
    <w:rsid w:val="004E3EDA"/>
    <w:rsid w:val="004E4432"/>
    <w:rsid w:val="004E556C"/>
    <w:rsid w:val="004E78E3"/>
    <w:rsid w:val="004E7E35"/>
    <w:rsid w:val="004F0F57"/>
    <w:rsid w:val="004F1132"/>
    <w:rsid w:val="004F257F"/>
    <w:rsid w:val="004F370D"/>
    <w:rsid w:val="004F3E91"/>
    <w:rsid w:val="004F4213"/>
    <w:rsid w:val="004F4656"/>
    <w:rsid w:val="004F4E4B"/>
    <w:rsid w:val="004F5578"/>
    <w:rsid w:val="004F5B83"/>
    <w:rsid w:val="004F6DF7"/>
    <w:rsid w:val="004F7265"/>
    <w:rsid w:val="00501FFF"/>
    <w:rsid w:val="005023D8"/>
    <w:rsid w:val="00502E9C"/>
    <w:rsid w:val="00504EED"/>
    <w:rsid w:val="00506213"/>
    <w:rsid w:val="005064B5"/>
    <w:rsid w:val="005104EE"/>
    <w:rsid w:val="005106D7"/>
    <w:rsid w:val="00510EAE"/>
    <w:rsid w:val="0051252B"/>
    <w:rsid w:val="00513F43"/>
    <w:rsid w:val="00514AC1"/>
    <w:rsid w:val="005158EE"/>
    <w:rsid w:val="0051696A"/>
    <w:rsid w:val="00516C1D"/>
    <w:rsid w:val="00520CAB"/>
    <w:rsid w:val="00521C01"/>
    <w:rsid w:val="00522173"/>
    <w:rsid w:val="00523994"/>
    <w:rsid w:val="005244BB"/>
    <w:rsid w:val="005259B3"/>
    <w:rsid w:val="00526764"/>
    <w:rsid w:val="00530E68"/>
    <w:rsid w:val="0053167B"/>
    <w:rsid w:val="0053238E"/>
    <w:rsid w:val="0053401B"/>
    <w:rsid w:val="005353E3"/>
    <w:rsid w:val="005367F0"/>
    <w:rsid w:val="00536971"/>
    <w:rsid w:val="00536F9A"/>
    <w:rsid w:val="00540538"/>
    <w:rsid w:val="0054272E"/>
    <w:rsid w:val="00543F8A"/>
    <w:rsid w:val="005445F9"/>
    <w:rsid w:val="00545B17"/>
    <w:rsid w:val="005475F7"/>
    <w:rsid w:val="005500B2"/>
    <w:rsid w:val="0055054F"/>
    <w:rsid w:val="00550826"/>
    <w:rsid w:val="005509EA"/>
    <w:rsid w:val="00550CCF"/>
    <w:rsid w:val="00550D62"/>
    <w:rsid w:val="00551137"/>
    <w:rsid w:val="005516ED"/>
    <w:rsid w:val="00552391"/>
    <w:rsid w:val="00552621"/>
    <w:rsid w:val="00552DCB"/>
    <w:rsid w:val="00552EE0"/>
    <w:rsid w:val="005532A5"/>
    <w:rsid w:val="005558E1"/>
    <w:rsid w:val="00555AED"/>
    <w:rsid w:val="00555BFF"/>
    <w:rsid w:val="00556A4A"/>
    <w:rsid w:val="00556FCA"/>
    <w:rsid w:val="00557FD0"/>
    <w:rsid w:val="00560549"/>
    <w:rsid w:val="0056187A"/>
    <w:rsid w:val="00561AAF"/>
    <w:rsid w:val="00561B6C"/>
    <w:rsid w:val="00562C9B"/>
    <w:rsid w:val="00563CD6"/>
    <w:rsid w:val="00564ED4"/>
    <w:rsid w:val="00565023"/>
    <w:rsid w:val="005661BE"/>
    <w:rsid w:val="00572DD6"/>
    <w:rsid w:val="00573C10"/>
    <w:rsid w:val="00573E4E"/>
    <w:rsid w:val="00573F10"/>
    <w:rsid w:val="005754CC"/>
    <w:rsid w:val="00575523"/>
    <w:rsid w:val="0057574A"/>
    <w:rsid w:val="00575E8E"/>
    <w:rsid w:val="00575FA9"/>
    <w:rsid w:val="005760EE"/>
    <w:rsid w:val="005767A3"/>
    <w:rsid w:val="00576B81"/>
    <w:rsid w:val="005807FF"/>
    <w:rsid w:val="00580B73"/>
    <w:rsid w:val="00580FA2"/>
    <w:rsid w:val="00582E37"/>
    <w:rsid w:val="005844A6"/>
    <w:rsid w:val="005854D0"/>
    <w:rsid w:val="00585D92"/>
    <w:rsid w:val="00587A84"/>
    <w:rsid w:val="005900BF"/>
    <w:rsid w:val="005901FF"/>
    <w:rsid w:val="00591246"/>
    <w:rsid w:val="005912CB"/>
    <w:rsid w:val="00591390"/>
    <w:rsid w:val="00592034"/>
    <w:rsid w:val="00593857"/>
    <w:rsid w:val="00594919"/>
    <w:rsid w:val="00594B5E"/>
    <w:rsid w:val="00594CA7"/>
    <w:rsid w:val="005A06E4"/>
    <w:rsid w:val="005A08AE"/>
    <w:rsid w:val="005A0BDE"/>
    <w:rsid w:val="005A0BE1"/>
    <w:rsid w:val="005A34A7"/>
    <w:rsid w:val="005A3A25"/>
    <w:rsid w:val="005A4032"/>
    <w:rsid w:val="005A4D4C"/>
    <w:rsid w:val="005A58F2"/>
    <w:rsid w:val="005A689D"/>
    <w:rsid w:val="005A74F8"/>
    <w:rsid w:val="005B11AB"/>
    <w:rsid w:val="005B3482"/>
    <w:rsid w:val="005B463B"/>
    <w:rsid w:val="005B50B9"/>
    <w:rsid w:val="005B5A3C"/>
    <w:rsid w:val="005B5AA8"/>
    <w:rsid w:val="005C01EE"/>
    <w:rsid w:val="005C17C2"/>
    <w:rsid w:val="005C3A06"/>
    <w:rsid w:val="005C4056"/>
    <w:rsid w:val="005C69AC"/>
    <w:rsid w:val="005C72D3"/>
    <w:rsid w:val="005D07BE"/>
    <w:rsid w:val="005D1ADA"/>
    <w:rsid w:val="005D1BC0"/>
    <w:rsid w:val="005D24B6"/>
    <w:rsid w:val="005D394C"/>
    <w:rsid w:val="005D3CB0"/>
    <w:rsid w:val="005D45FC"/>
    <w:rsid w:val="005D64D7"/>
    <w:rsid w:val="005D65F1"/>
    <w:rsid w:val="005D7EC1"/>
    <w:rsid w:val="005E2C2E"/>
    <w:rsid w:val="005E2DE1"/>
    <w:rsid w:val="005E2DFC"/>
    <w:rsid w:val="005E34FD"/>
    <w:rsid w:val="005E369F"/>
    <w:rsid w:val="005E37A6"/>
    <w:rsid w:val="005E7A13"/>
    <w:rsid w:val="005F06F8"/>
    <w:rsid w:val="005F279C"/>
    <w:rsid w:val="005F2C25"/>
    <w:rsid w:val="005F377A"/>
    <w:rsid w:val="005F418D"/>
    <w:rsid w:val="005F5043"/>
    <w:rsid w:val="005F58D4"/>
    <w:rsid w:val="005F77CE"/>
    <w:rsid w:val="005F77E9"/>
    <w:rsid w:val="0060169D"/>
    <w:rsid w:val="00602CB6"/>
    <w:rsid w:val="00602E5F"/>
    <w:rsid w:val="00604DEC"/>
    <w:rsid w:val="00604FDB"/>
    <w:rsid w:val="00605208"/>
    <w:rsid w:val="00605797"/>
    <w:rsid w:val="0060682E"/>
    <w:rsid w:val="00610FFB"/>
    <w:rsid w:val="0061108B"/>
    <w:rsid w:val="006110C2"/>
    <w:rsid w:val="00611876"/>
    <w:rsid w:val="0061567C"/>
    <w:rsid w:val="00615B18"/>
    <w:rsid w:val="0061746D"/>
    <w:rsid w:val="00620E79"/>
    <w:rsid w:val="006215E0"/>
    <w:rsid w:val="00621D61"/>
    <w:rsid w:val="006226E3"/>
    <w:rsid w:val="0062280C"/>
    <w:rsid w:val="00622C2F"/>
    <w:rsid w:val="00622EFF"/>
    <w:rsid w:val="00622F8C"/>
    <w:rsid w:val="00623751"/>
    <w:rsid w:val="00623A18"/>
    <w:rsid w:val="00624A12"/>
    <w:rsid w:val="00625406"/>
    <w:rsid w:val="006254FF"/>
    <w:rsid w:val="00625A43"/>
    <w:rsid w:val="00625D00"/>
    <w:rsid w:val="006263CE"/>
    <w:rsid w:val="00626412"/>
    <w:rsid w:val="00626F2A"/>
    <w:rsid w:val="00627158"/>
    <w:rsid w:val="006271EC"/>
    <w:rsid w:val="00630309"/>
    <w:rsid w:val="00630856"/>
    <w:rsid w:val="00631B37"/>
    <w:rsid w:val="00632756"/>
    <w:rsid w:val="00635525"/>
    <w:rsid w:val="006359C3"/>
    <w:rsid w:val="00635F15"/>
    <w:rsid w:val="006361DA"/>
    <w:rsid w:val="00636B4C"/>
    <w:rsid w:val="006370AE"/>
    <w:rsid w:val="00637527"/>
    <w:rsid w:val="006377A7"/>
    <w:rsid w:val="006403E7"/>
    <w:rsid w:val="006414E7"/>
    <w:rsid w:val="00641D0D"/>
    <w:rsid w:val="00642744"/>
    <w:rsid w:val="00644F0B"/>
    <w:rsid w:val="006452CF"/>
    <w:rsid w:val="006453A3"/>
    <w:rsid w:val="00646FD3"/>
    <w:rsid w:val="006472BF"/>
    <w:rsid w:val="00647D0D"/>
    <w:rsid w:val="00647D25"/>
    <w:rsid w:val="006514FF"/>
    <w:rsid w:val="00652541"/>
    <w:rsid w:val="00653332"/>
    <w:rsid w:val="006545F0"/>
    <w:rsid w:val="00654EDF"/>
    <w:rsid w:val="00655A12"/>
    <w:rsid w:val="00655C21"/>
    <w:rsid w:val="00657532"/>
    <w:rsid w:val="006578E2"/>
    <w:rsid w:val="006606F0"/>
    <w:rsid w:val="00660947"/>
    <w:rsid w:val="00660A1C"/>
    <w:rsid w:val="00661485"/>
    <w:rsid w:val="00661F18"/>
    <w:rsid w:val="00662B07"/>
    <w:rsid w:val="00662CB7"/>
    <w:rsid w:val="00663400"/>
    <w:rsid w:val="006638DA"/>
    <w:rsid w:val="006652C8"/>
    <w:rsid w:val="00666C16"/>
    <w:rsid w:val="00667510"/>
    <w:rsid w:val="00670969"/>
    <w:rsid w:val="00670A80"/>
    <w:rsid w:val="006712D4"/>
    <w:rsid w:val="00671570"/>
    <w:rsid w:val="00671FD6"/>
    <w:rsid w:val="006749DA"/>
    <w:rsid w:val="006768AA"/>
    <w:rsid w:val="00676AF6"/>
    <w:rsid w:val="00677CCD"/>
    <w:rsid w:val="0068178B"/>
    <w:rsid w:val="00681992"/>
    <w:rsid w:val="006823F3"/>
    <w:rsid w:val="00683EB7"/>
    <w:rsid w:val="00685932"/>
    <w:rsid w:val="00685FE6"/>
    <w:rsid w:val="00687617"/>
    <w:rsid w:val="006903AD"/>
    <w:rsid w:val="00690ED6"/>
    <w:rsid w:val="00692AB8"/>
    <w:rsid w:val="00692CCC"/>
    <w:rsid w:val="006A20C3"/>
    <w:rsid w:val="006A54C5"/>
    <w:rsid w:val="006A6B1F"/>
    <w:rsid w:val="006A6B40"/>
    <w:rsid w:val="006A6B42"/>
    <w:rsid w:val="006A7A95"/>
    <w:rsid w:val="006A7E14"/>
    <w:rsid w:val="006B0785"/>
    <w:rsid w:val="006B156A"/>
    <w:rsid w:val="006B2E03"/>
    <w:rsid w:val="006B5680"/>
    <w:rsid w:val="006B5ACD"/>
    <w:rsid w:val="006B650F"/>
    <w:rsid w:val="006B7E4F"/>
    <w:rsid w:val="006C15A7"/>
    <w:rsid w:val="006C1C53"/>
    <w:rsid w:val="006C37B4"/>
    <w:rsid w:val="006C4F74"/>
    <w:rsid w:val="006C5681"/>
    <w:rsid w:val="006C5CB9"/>
    <w:rsid w:val="006C6462"/>
    <w:rsid w:val="006C6713"/>
    <w:rsid w:val="006C6F88"/>
    <w:rsid w:val="006C7F55"/>
    <w:rsid w:val="006D1673"/>
    <w:rsid w:val="006D1CC6"/>
    <w:rsid w:val="006D1E29"/>
    <w:rsid w:val="006D45E2"/>
    <w:rsid w:val="006D4BFE"/>
    <w:rsid w:val="006D5347"/>
    <w:rsid w:val="006D5D30"/>
    <w:rsid w:val="006D6F1A"/>
    <w:rsid w:val="006E0051"/>
    <w:rsid w:val="006E0109"/>
    <w:rsid w:val="006E11BF"/>
    <w:rsid w:val="006E2436"/>
    <w:rsid w:val="006E2531"/>
    <w:rsid w:val="006E27D5"/>
    <w:rsid w:val="006E50E3"/>
    <w:rsid w:val="006E5F0A"/>
    <w:rsid w:val="006E61C4"/>
    <w:rsid w:val="006E7878"/>
    <w:rsid w:val="006F0979"/>
    <w:rsid w:val="006F17E8"/>
    <w:rsid w:val="006F36EE"/>
    <w:rsid w:val="006F475F"/>
    <w:rsid w:val="006F5F04"/>
    <w:rsid w:val="006F747C"/>
    <w:rsid w:val="006F7792"/>
    <w:rsid w:val="00701C33"/>
    <w:rsid w:val="007027FC"/>
    <w:rsid w:val="00703274"/>
    <w:rsid w:val="00704348"/>
    <w:rsid w:val="00704D58"/>
    <w:rsid w:val="0070794B"/>
    <w:rsid w:val="00711A35"/>
    <w:rsid w:val="007133D1"/>
    <w:rsid w:val="00713C88"/>
    <w:rsid w:val="00714351"/>
    <w:rsid w:val="007146D1"/>
    <w:rsid w:val="0071597A"/>
    <w:rsid w:val="0071764C"/>
    <w:rsid w:val="00717E94"/>
    <w:rsid w:val="00720CB0"/>
    <w:rsid w:val="0072133D"/>
    <w:rsid w:val="00722400"/>
    <w:rsid w:val="00725E58"/>
    <w:rsid w:val="00726AEE"/>
    <w:rsid w:val="00732B63"/>
    <w:rsid w:val="00732D94"/>
    <w:rsid w:val="00733FFF"/>
    <w:rsid w:val="00734367"/>
    <w:rsid w:val="00735363"/>
    <w:rsid w:val="00736936"/>
    <w:rsid w:val="00736ABA"/>
    <w:rsid w:val="00736ADD"/>
    <w:rsid w:val="00736FB7"/>
    <w:rsid w:val="007375AD"/>
    <w:rsid w:val="00740FC1"/>
    <w:rsid w:val="007417A2"/>
    <w:rsid w:val="00741AE7"/>
    <w:rsid w:val="00741DE6"/>
    <w:rsid w:val="00742B55"/>
    <w:rsid w:val="00742C36"/>
    <w:rsid w:val="007430EC"/>
    <w:rsid w:val="0074336E"/>
    <w:rsid w:val="00743B83"/>
    <w:rsid w:val="0074407E"/>
    <w:rsid w:val="0074444F"/>
    <w:rsid w:val="0074556F"/>
    <w:rsid w:val="00745D3C"/>
    <w:rsid w:val="00745FE4"/>
    <w:rsid w:val="00746152"/>
    <w:rsid w:val="007464A1"/>
    <w:rsid w:val="00747035"/>
    <w:rsid w:val="007476A7"/>
    <w:rsid w:val="00747B10"/>
    <w:rsid w:val="0075008C"/>
    <w:rsid w:val="007511EF"/>
    <w:rsid w:val="0075173D"/>
    <w:rsid w:val="0075254A"/>
    <w:rsid w:val="00753449"/>
    <w:rsid w:val="007538A3"/>
    <w:rsid w:val="00753C13"/>
    <w:rsid w:val="00754BBD"/>
    <w:rsid w:val="00755942"/>
    <w:rsid w:val="00755BCF"/>
    <w:rsid w:val="00757163"/>
    <w:rsid w:val="007608B9"/>
    <w:rsid w:val="00760D31"/>
    <w:rsid w:val="00761256"/>
    <w:rsid w:val="00762991"/>
    <w:rsid w:val="007660BB"/>
    <w:rsid w:val="00766D5E"/>
    <w:rsid w:val="00766FEC"/>
    <w:rsid w:val="007673B4"/>
    <w:rsid w:val="00771E62"/>
    <w:rsid w:val="00771F62"/>
    <w:rsid w:val="00772B02"/>
    <w:rsid w:val="00774415"/>
    <w:rsid w:val="00775262"/>
    <w:rsid w:val="00775C36"/>
    <w:rsid w:val="007762E1"/>
    <w:rsid w:val="007764EC"/>
    <w:rsid w:val="00776B5B"/>
    <w:rsid w:val="007775E8"/>
    <w:rsid w:val="00777842"/>
    <w:rsid w:val="00777F67"/>
    <w:rsid w:val="007811BF"/>
    <w:rsid w:val="007867AA"/>
    <w:rsid w:val="00786EA4"/>
    <w:rsid w:val="0078713F"/>
    <w:rsid w:val="00787868"/>
    <w:rsid w:val="00787A2D"/>
    <w:rsid w:val="00792418"/>
    <w:rsid w:val="007924DD"/>
    <w:rsid w:val="00792811"/>
    <w:rsid w:val="007931E6"/>
    <w:rsid w:val="0079327B"/>
    <w:rsid w:val="00795877"/>
    <w:rsid w:val="007958A5"/>
    <w:rsid w:val="0079625B"/>
    <w:rsid w:val="00797353"/>
    <w:rsid w:val="007A073D"/>
    <w:rsid w:val="007A154E"/>
    <w:rsid w:val="007A35E1"/>
    <w:rsid w:val="007A4828"/>
    <w:rsid w:val="007A4E35"/>
    <w:rsid w:val="007A5B1C"/>
    <w:rsid w:val="007A70CE"/>
    <w:rsid w:val="007A7473"/>
    <w:rsid w:val="007B07CE"/>
    <w:rsid w:val="007B1DD4"/>
    <w:rsid w:val="007B42BC"/>
    <w:rsid w:val="007B43C7"/>
    <w:rsid w:val="007B4881"/>
    <w:rsid w:val="007B6955"/>
    <w:rsid w:val="007B6A38"/>
    <w:rsid w:val="007C0042"/>
    <w:rsid w:val="007C016D"/>
    <w:rsid w:val="007C080A"/>
    <w:rsid w:val="007C1930"/>
    <w:rsid w:val="007C1988"/>
    <w:rsid w:val="007C1C80"/>
    <w:rsid w:val="007C1D83"/>
    <w:rsid w:val="007C34BA"/>
    <w:rsid w:val="007C4B5A"/>
    <w:rsid w:val="007C5058"/>
    <w:rsid w:val="007C513E"/>
    <w:rsid w:val="007C6B9C"/>
    <w:rsid w:val="007D0689"/>
    <w:rsid w:val="007D2940"/>
    <w:rsid w:val="007D3DFE"/>
    <w:rsid w:val="007D439B"/>
    <w:rsid w:val="007D4B35"/>
    <w:rsid w:val="007D657E"/>
    <w:rsid w:val="007E026F"/>
    <w:rsid w:val="007E1922"/>
    <w:rsid w:val="007E1A85"/>
    <w:rsid w:val="007E1DF2"/>
    <w:rsid w:val="007E2C98"/>
    <w:rsid w:val="007E34CD"/>
    <w:rsid w:val="007E37C9"/>
    <w:rsid w:val="007E3A06"/>
    <w:rsid w:val="007E3A6C"/>
    <w:rsid w:val="007E3BAA"/>
    <w:rsid w:val="007E50E4"/>
    <w:rsid w:val="007E530B"/>
    <w:rsid w:val="007F0C86"/>
    <w:rsid w:val="007F0D1D"/>
    <w:rsid w:val="007F10F7"/>
    <w:rsid w:val="007F1937"/>
    <w:rsid w:val="007F2593"/>
    <w:rsid w:val="007F2E48"/>
    <w:rsid w:val="007F5F79"/>
    <w:rsid w:val="007F7C86"/>
    <w:rsid w:val="008005D9"/>
    <w:rsid w:val="00801B0C"/>
    <w:rsid w:val="00802019"/>
    <w:rsid w:val="00803774"/>
    <w:rsid w:val="00804139"/>
    <w:rsid w:val="008042D9"/>
    <w:rsid w:val="0080534D"/>
    <w:rsid w:val="00805747"/>
    <w:rsid w:val="00806D01"/>
    <w:rsid w:val="00810134"/>
    <w:rsid w:val="00811B6E"/>
    <w:rsid w:val="00812890"/>
    <w:rsid w:val="008128FE"/>
    <w:rsid w:val="00812C1A"/>
    <w:rsid w:val="008169D5"/>
    <w:rsid w:val="00817318"/>
    <w:rsid w:val="008174FE"/>
    <w:rsid w:val="00817B08"/>
    <w:rsid w:val="00820CF1"/>
    <w:rsid w:val="008232FE"/>
    <w:rsid w:val="008242DF"/>
    <w:rsid w:val="008257AE"/>
    <w:rsid w:val="008259C1"/>
    <w:rsid w:val="00825CF5"/>
    <w:rsid w:val="00826904"/>
    <w:rsid w:val="00827A85"/>
    <w:rsid w:val="0083144A"/>
    <w:rsid w:val="008328AD"/>
    <w:rsid w:val="00832A44"/>
    <w:rsid w:val="00832DBE"/>
    <w:rsid w:val="0083343A"/>
    <w:rsid w:val="008334DB"/>
    <w:rsid w:val="00833906"/>
    <w:rsid w:val="00833D0E"/>
    <w:rsid w:val="00833D54"/>
    <w:rsid w:val="00834F6B"/>
    <w:rsid w:val="0083599B"/>
    <w:rsid w:val="00836C2A"/>
    <w:rsid w:val="00836C6E"/>
    <w:rsid w:val="00836E5E"/>
    <w:rsid w:val="0083745E"/>
    <w:rsid w:val="00840C70"/>
    <w:rsid w:val="0084121B"/>
    <w:rsid w:val="0084158F"/>
    <w:rsid w:val="008420BE"/>
    <w:rsid w:val="00845AC9"/>
    <w:rsid w:val="00845E72"/>
    <w:rsid w:val="008463BA"/>
    <w:rsid w:val="00846E3F"/>
    <w:rsid w:val="00847664"/>
    <w:rsid w:val="00850804"/>
    <w:rsid w:val="00854679"/>
    <w:rsid w:val="00854AE9"/>
    <w:rsid w:val="008566CC"/>
    <w:rsid w:val="00857B13"/>
    <w:rsid w:val="00862D2B"/>
    <w:rsid w:val="0086365A"/>
    <w:rsid w:val="008638C5"/>
    <w:rsid w:val="008639D6"/>
    <w:rsid w:val="008639E6"/>
    <w:rsid w:val="00863A77"/>
    <w:rsid w:val="00863CEB"/>
    <w:rsid w:val="00863FF7"/>
    <w:rsid w:val="00864A57"/>
    <w:rsid w:val="00864CC9"/>
    <w:rsid w:val="00865BD0"/>
    <w:rsid w:val="00866219"/>
    <w:rsid w:val="008669CC"/>
    <w:rsid w:val="00867EB4"/>
    <w:rsid w:val="0087057D"/>
    <w:rsid w:val="00870FCC"/>
    <w:rsid w:val="00873048"/>
    <w:rsid w:val="00873F81"/>
    <w:rsid w:val="0087413E"/>
    <w:rsid w:val="00874D23"/>
    <w:rsid w:val="00875094"/>
    <w:rsid w:val="008766CE"/>
    <w:rsid w:val="00880078"/>
    <w:rsid w:val="0088174A"/>
    <w:rsid w:val="00881A7C"/>
    <w:rsid w:val="00881D49"/>
    <w:rsid w:val="00882B06"/>
    <w:rsid w:val="00884C18"/>
    <w:rsid w:val="00885193"/>
    <w:rsid w:val="00885AA9"/>
    <w:rsid w:val="00887DFD"/>
    <w:rsid w:val="0089019D"/>
    <w:rsid w:val="00890EFC"/>
    <w:rsid w:val="008923E4"/>
    <w:rsid w:val="00893286"/>
    <w:rsid w:val="00896835"/>
    <w:rsid w:val="0089781F"/>
    <w:rsid w:val="0089787F"/>
    <w:rsid w:val="008978C2"/>
    <w:rsid w:val="00897973"/>
    <w:rsid w:val="00897A81"/>
    <w:rsid w:val="008A0F24"/>
    <w:rsid w:val="008A3E33"/>
    <w:rsid w:val="008A4FDA"/>
    <w:rsid w:val="008A5B3A"/>
    <w:rsid w:val="008B1F67"/>
    <w:rsid w:val="008B359B"/>
    <w:rsid w:val="008B5136"/>
    <w:rsid w:val="008B5EE4"/>
    <w:rsid w:val="008C11F3"/>
    <w:rsid w:val="008C1324"/>
    <w:rsid w:val="008C1D52"/>
    <w:rsid w:val="008C2128"/>
    <w:rsid w:val="008C25AE"/>
    <w:rsid w:val="008C4E0B"/>
    <w:rsid w:val="008C4FE4"/>
    <w:rsid w:val="008C5C25"/>
    <w:rsid w:val="008D08E9"/>
    <w:rsid w:val="008D1050"/>
    <w:rsid w:val="008D1151"/>
    <w:rsid w:val="008D2011"/>
    <w:rsid w:val="008D3489"/>
    <w:rsid w:val="008D58BD"/>
    <w:rsid w:val="008D65C0"/>
    <w:rsid w:val="008E1B18"/>
    <w:rsid w:val="008E421A"/>
    <w:rsid w:val="008E569C"/>
    <w:rsid w:val="008E5BFB"/>
    <w:rsid w:val="008E63EA"/>
    <w:rsid w:val="008E732D"/>
    <w:rsid w:val="008F05AD"/>
    <w:rsid w:val="008F0906"/>
    <w:rsid w:val="008F0CAA"/>
    <w:rsid w:val="008F3012"/>
    <w:rsid w:val="008F36C9"/>
    <w:rsid w:val="008F3B4D"/>
    <w:rsid w:val="008F3E9C"/>
    <w:rsid w:val="008F4F9F"/>
    <w:rsid w:val="008F5E63"/>
    <w:rsid w:val="008F6181"/>
    <w:rsid w:val="008F6366"/>
    <w:rsid w:val="008F6EEC"/>
    <w:rsid w:val="0090101A"/>
    <w:rsid w:val="00901399"/>
    <w:rsid w:val="009018A0"/>
    <w:rsid w:val="00903AF1"/>
    <w:rsid w:val="00903EA7"/>
    <w:rsid w:val="00904338"/>
    <w:rsid w:val="009046A5"/>
    <w:rsid w:val="00906094"/>
    <w:rsid w:val="0090639A"/>
    <w:rsid w:val="00907680"/>
    <w:rsid w:val="00910BD7"/>
    <w:rsid w:val="00910C16"/>
    <w:rsid w:val="00910F47"/>
    <w:rsid w:val="0091134D"/>
    <w:rsid w:val="0091162C"/>
    <w:rsid w:val="00911828"/>
    <w:rsid w:val="00912F82"/>
    <w:rsid w:val="009142A2"/>
    <w:rsid w:val="0091481A"/>
    <w:rsid w:val="00914DBF"/>
    <w:rsid w:val="0091668F"/>
    <w:rsid w:val="00917446"/>
    <w:rsid w:val="009179F2"/>
    <w:rsid w:val="009210F0"/>
    <w:rsid w:val="009212F6"/>
    <w:rsid w:val="009219F0"/>
    <w:rsid w:val="00921A3C"/>
    <w:rsid w:val="009229EF"/>
    <w:rsid w:val="009230DA"/>
    <w:rsid w:val="00923A8A"/>
    <w:rsid w:val="00924A32"/>
    <w:rsid w:val="00925FB1"/>
    <w:rsid w:val="00926038"/>
    <w:rsid w:val="009309C6"/>
    <w:rsid w:val="00931820"/>
    <w:rsid w:val="00931B5B"/>
    <w:rsid w:val="009324A9"/>
    <w:rsid w:val="0093288C"/>
    <w:rsid w:val="00934D32"/>
    <w:rsid w:val="00934FE4"/>
    <w:rsid w:val="00936D05"/>
    <w:rsid w:val="00937257"/>
    <w:rsid w:val="00937777"/>
    <w:rsid w:val="0094036E"/>
    <w:rsid w:val="00940553"/>
    <w:rsid w:val="00942561"/>
    <w:rsid w:val="0094266F"/>
    <w:rsid w:val="00945C1E"/>
    <w:rsid w:val="009460B0"/>
    <w:rsid w:val="00951D35"/>
    <w:rsid w:val="0095296D"/>
    <w:rsid w:val="00952F7F"/>
    <w:rsid w:val="0095425A"/>
    <w:rsid w:val="00954A6B"/>
    <w:rsid w:val="0095511F"/>
    <w:rsid w:val="00957043"/>
    <w:rsid w:val="00957891"/>
    <w:rsid w:val="00960A20"/>
    <w:rsid w:val="00960F7B"/>
    <w:rsid w:val="00963332"/>
    <w:rsid w:val="0096358F"/>
    <w:rsid w:val="00964C0F"/>
    <w:rsid w:val="00966D5A"/>
    <w:rsid w:val="009713A6"/>
    <w:rsid w:val="009713D2"/>
    <w:rsid w:val="00972061"/>
    <w:rsid w:val="0097214A"/>
    <w:rsid w:val="0097386E"/>
    <w:rsid w:val="00973BCB"/>
    <w:rsid w:val="00974542"/>
    <w:rsid w:val="009745A8"/>
    <w:rsid w:val="00974CD0"/>
    <w:rsid w:val="00974DC5"/>
    <w:rsid w:val="00975746"/>
    <w:rsid w:val="009758AE"/>
    <w:rsid w:val="00980A08"/>
    <w:rsid w:val="00980DEF"/>
    <w:rsid w:val="009816B5"/>
    <w:rsid w:val="00981D55"/>
    <w:rsid w:val="00982F65"/>
    <w:rsid w:val="00983379"/>
    <w:rsid w:val="00984A15"/>
    <w:rsid w:val="00985072"/>
    <w:rsid w:val="00985919"/>
    <w:rsid w:val="00985C81"/>
    <w:rsid w:val="00986D94"/>
    <w:rsid w:val="009903C9"/>
    <w:rsid w:val="00990CD6"/>
    <w:rsid w:val="00992339"/>
    <w:rsid w:val="009929EC"/>
    <w:rsid w:val="009934B3"/>
    <w:rsid w:val="009939EC"/>
    <w:rsid w:val="00995C67"/>
    <w:rsid w:val="00996201"/>
    <w:rsid w:val="009964D7"/>
    <w:rsid w:val="009A12D5"/>
    <w:rsid w:val="009A24E6"/>
    <w:rsid w:val="009A289C"/>
    <w:rsid w:val="009A2A84"/>
    <w:rsid w:val="009A5A24"/>
    <w:rsid w:val="009A5D1C"/>
    <w:rsid w:val="009B003A"/>
    <w:rsid w:val="009B1222"/>
    <w:rsid w:val="009B2273"/>
    <w:rsid w:val="009B24C3"/>
    <w:rsid w:val="009B2C37"/>
    <w:rsid w:val="009B371D"/>
    <w:rsid w:val="009B4BD7"/>
    <w:rsid w:val="009B5117"/>
    <w:rsid w:val="009B5A58"/>
    <w:rsid w:val="009B6899"/>
    <w:rsid w:val="009B6A98"/>
    <w:rsid w:val="009B7A07"/>
    <w:rsid w:val="009B7CB6"/>
    <w:rsid w:val="009C032A"/>
    <w:rsid w:val="009C0C7C"/>
    <w:rsid w:val="009C13C1"/>
    <w:rsid w:val="009C1887"/>
    <w:rsid w:val="009C34EA"/>
    <w:rsid w:val="009C40EE"/>
    <w:rsid w:val="009C449B"/>
    <w:rsid w:val="009C45ED"/>
    <w:rsid w:val="009C487C"/>
    <w:rsid w:val="009C63B5"/>
    <w:rsid w:val="009C7A55"/>
    <w:rsid w:val="009C7B55"/>
    <w:rsid w:val="009C7C2D"/>
    <w:rsid w:val="009D04E3"/>
    <w:rsid w:val="009D093E"/>
    <w:rsid w:val="009D17BD"/>
    <w:rsid w:val="009D3490"/>
    <w:rsid w:val="009D365C"/>
    <w:rsid w:val="009D3849"/>
    <w:rsid w:val="009D3AF1"/>
    <w:rsid w:val="009D577B"/>
    <w:rsid w:val="009D6355"/>
    <w:rsid w:val="009E41DE"/>
    <w:rsid w:val="009E4B5F"/>
    <w:rsid w:val="009E4BB1"/>
    <w:rsid w:val="009E5821"/>
    <w:rsid w:val="009E6339"/>
    <w:rsid w:val="009E7FBE"/>
    <w:rsid w:val="009F143B"/>
    <w:rsid w:val="009F2402"/>
    <w:rsid w:val="009F2496"/>
    <w:rsid w:val="009F4E93"/>
    <w:rsid w:val="009F55E1"/>
    <w:rsid w:val="009F731B"/>
    <w:rsid w:val="00A0055D"/>
    <w:rsid w:val="00A00BA3"/>
    <w:rsid w:val="00A018E9"/>
    <w:rsid w:val="00A03694"/>
    <w:rsid w:val="00A03F6E"/>
    <w:rsid w:val="00A04D04"/>
    <w:rsid w:val="00A06432"/>
    <w:rsid w:val="00A070FA"/>
    <w:rsid w:val="00A07283"/>
    <w:rsid w:val="00A10056"/>
    <w:rsid w:val="00A12347"/>
    <w:rsid w:val="00A13B92"/>
    <w:rsid w:val="00A13E99"/>
    <w:rsid w:val="00A140A2"/>
    <w:rsid w:val="00A1547F"/>
    <w:rsid w:val="00A156F4"/>
    <w:rsid w:val="00A15E62"/>
    <w:rsid w:val="00A16341"/>
    <w:rsid w:val="00A175E1"/>
    <w:rsid w:val="00A17FF0"/>
    <w:rsid w:val="00A231EB"/>
    <w:rsid w:val="00A25707"/>
    <w:rsid w:val="00A260C0"/>
    <w:rsid w:val="00A2639B"/>
    <w:rsid w:val="00A303E5"/>
    <w:rsid w:val="00A306E2"/>
    <w:rsid w:val="00A3250E"/>
    <w:rsid w:val="00A32B24"/>
    <w:rsid w:val="00A32C13"/>
    <w:rsid w:val="00A32DBF"/>
    <w:rsid w:val="00A34497"/>
    <w:rsid w:val="00A36590"/>
    <w:rsid w:val="00A36D96"/>
    <w:rsid w:val="00A37033"/>
    <w:rsid w:val="00A41B53"/>
    <w:rsid w:val="00A424F4"/>
    <w:rsid w:val="00A42DA7"/>
    <w:rsid w:val="00A4422E"/>
    <w:rsid w:val="00A44A37"/>
    <w:rsid w:val="00A4537F"/>
    <w:rsid w:val="00A45892"/>
    <w:rsid w:val="00A51167"/>
    <w:rsid w:val="00A51B02"/>
    <w:rsid w:val="00A51EBB"/>
    <w:rsid w:val="00A52923"/>
    <w:rsid w:val="00A5352C"/>
    <w:rsid w:val="00A538DB"/>
    <w:rsid w:val="00A53D6D"/>
    <w:rsid w:val="00A55931"/>
    <w:rsid w:val="00A55B83"/>
    <w:rsid w:val="00A57862"/>
    <w:rsid w:val="00A57D4D"/>
    <w:rsid w:val="00A608EB"/>
    <w:rsid w:val="00A60923"/>
    <w:rsid w:val="00A62DFE"/>
    <w:rsid w:val="00A63D1C"/>
    <w:rsid w:val="00A66E04"/>
    <w:rsid w:val="00A67974"/>
    <w:rsid w:val="00A70C56"/>
    <w:rsid w:val="00A71359"/>
    <w:rsid w:val="00A71BF1"/>
    <w:rsid w:val="00A72EC6"/>
    <w:rsid w:val="00A75777"/>
    <w:rsid w:val="00A75F1C"/>
    <w:rsid w:val="00A76371"/>
    <w:rsid w:val="00A7664F"/>
    <w:rsid w:val="00A77A4E"/>
    <w:rsid w:val="00A77C51"/>
    <w:rsid w:val="00A80A3D"/>
    <w:rsid w:val="00A814BD"/>
    <w:rsid w:val="00A81AA9"/>
    <w:rsid w:val="00A8223F"/>
    <w:rsid w:val="00A82E15"/>
    <w:rsid w:val="00A871D4"/>
    <w:rsid w:val="00A87328"/>
    <w:rsid w:val="00A87FE5"/>
    <w:rsid w:val="00A91A9D"/>
    <w:rsid w:val="00A93104"/>
    <w:rsid w:val="00A93A48"/>
    <w:rsid w:val="00A940DC"/>
    <w:rsid w:val="00A94C62"/>
    <w:rsid w:val="00A95014"/>
    <w:rsid w:val="00A958AC"/>
    <w:rsid w:val="00A9599A"/>
    <w:rsid w:val="00A9614F"/>
    <w:rsid w:val="00A964BE"/>
    <w:rsid w:val="00A96B2D"/>
    <w:rsid w:val="00A974B7"/>
    <w:rsid w:val="00A974BF"/>
    <w:rsid w:val="00A97510"/>
    <w:rsid w:val="00A97594"/>
    <w:rsid w:val="00AA0A99"/>
    <w:rsid w:val="00AA1140"/>
    <w:rsid w:val="00AA1296"/>
    <w:rsid w:val="00AA19F8"/>
    <w:rsid w:val="00AA2104"/>
    <w:rsid w:val="00AA237B"/>
    <w:rsid w:val="00AA32F9"/>
    <w:rsid w:val="00AA370F"/>
    <w:rsid w:val="00AA3C08"/>
    <w:rsid w:val="00AA3F5B"/>
    <w:rsid w:val="00AA3F71"/>
    <w:rsid w:val="00AA4E01"/>
    <w:rsid w:val="00AA7A1A"/>
    <w:rsid w:val="00AA7CA0"/>
    <w:rsid w:val="00AB0664"/>
    <w:rsid w:val="00AB1071"/>
    <w:rsid w:val="00AB21E7"/>
    <w:rsid w:val="00AB4C06"/>
    <w:rsid w:val="00AB58DA"/>
    <w:rsid w:val="00AB5A0D"/>
    <w:rsid w:val="00AB6D08"/>
    <w:rsid w:val="00AB6F82"/>
    <w:rsid w:val="00AB7BBD"/>
    <w:rsid w:val="00AC3C41"/>
    <w:rsid w:val="00AC4157"/>
    <w:rsid w:val="00AC4DFA"/>
    <w:rsid w:val="00AC5A83"/>
    <w:rsid w:val="00AC6A93"/>
    <w:rsid w:val="00AC6F53"/>
    <w:rsid w:val="00AC75EE"/>
    <w:rsid w:val="00AC7797"/>
    <w:rsid w:val="00AC7BF9"/>
    <w:rsid w:val="00AD09B5"/>
    <w:rsid w:val="00AD2041"/>
    <w:rsid w:val="00AD2446"/>
    <w:rsid w:val="00AD28A7"/>
    <w:rsid w:val="00AD29B5"/>
    <w:rsid w:val="00AD3091"/>
    <w:rsid w:val="00AD30D2"/>
    <w:rsid w:val="00AD4402"/>
    <w:rsid w:val="00AD50EB"/>
    <w:rsid w:val="00AD545B"/>
    <w:rsid w:val="00AD7F9D"/>
    <w:rsid w:val="00AE0276"/>
    <w:rsid w:val="00AE1917"/>
    <w:rsid w:val="00AE1C0F"/>
    <w:rsid w:val="00AE2723"/>
    <w:rsid w:val="00AE349A"/>
    <w:rsid w:val="00AE3AAB"/>
    <w:rsid w:val="00AE3B78"/>
    <w:rsid w:val="00AE3E11"/>
    <w:rsid w:val="00AE6420"/>
    <w:rsid w:val="00AE6874"/>
    <w:rsid w:val="00AF0B08"/>
    <w:rsid w:val="00AF118F"/>
    <w:rsid w:val="00AF1377"/>
    <w:rsid w:val="00AF256B"/>
    <w:rsid w:val="00AF36B8"/>
    <w:rsid w:val="00AF3F72"/>
    <w:rsid w:val="00AF4033"/>
    <w:rsid w:val="00AF57DA"/>
    <w:rsid w:val="00AF66E8"/>
    <w:rsid w:val="00AF7597"/>
    <w:rsid w:val="00AF7845"/>
    <w:rsid w:val="00B0079B"/>
    <w:rsid w:val="00B00A5D"/>
    <w:rsid w:val="00B00DF5"/>
    <w:rsid w:val="00B013B1"/>
    <w:rsid w:val="00B0168D"/>
    <w:rsid w:val="00B016C0"/>
    <w:rsid w:val="00B01CBA"/>
    <w:rsid w:val="00B03CCC"/>
    <w:rsid w:val="00B03EB8"/>
    <w:rsid w:val="00B0451A"/>
    <w:rsid w:val="00B0796C"/>
    <w:rsid w:val="00B07BE5"/>
    <w:rsid w:val="00B07EC1"/>
    <w:rsid w:val="00B101C6"/>
    <w:rsid w:val="00B127C8"/>
    <w:rsid w:val="00B14AE7"/>
    <w:rsid w:val="00B15221"/>
    <w:rsid w:val="00B15BB0"/>
    <w:rsid w:val="00B15DA7"/>
    <w:rsid w:val="00B1625D"/>
    <w:rsid w:val="00B165D0"/>
    <w:rsid w:val="00B1746E"/>
    <w:rsid w:val="00B17BCF"/>
    <w:rsid w:val="00B2146B"/>
    <w:rsid w:val="00B23081"/>
    <w:rsid w:val="00B23487"/>
    <w:rsid w:val="00B24082"/>
    <w:rsid w:val="00B251B7"/>
    <w:rsid w:val="00B25CA3"/>
    <w:rsid w:val="00B25FCC"/>
    <w:rsid w:val="00B260C5"/>
    <w:rsid w:val="00B2789C"/>
    <w:rsid w:val="00B302EC"/>
    <w:rsid w:val="00B31A1D"/>
    <w:rsid w:val="00B33135"/>
    <w:rsid w:val="00B34D55"/>
    <w:rsid w:val="00B35510"/>
    <w:rsid w:val="00B36F1D"/>
    <w:rsid w:val="00B400E1"/>
    <w:rsid w:val="00B40C96"/>
    <w:rsid w:val="00B41300"/>
    <w:rsid w:val="00B41D96"/>
    <w:rsid w:val="00B42BF4"/>
    <w:rsid w:val="00B4350E"/>
    <w:rsid w:val="00B4399B"/>
    <w:rsid w:val="00B43B53"/>
    <w:rsid w:val="00B43F23"/>
    <w:rsid w:val="00B4400A"/>
    <w:rsid w:val="00B45AF3"/>
    <w:rsid w:val="00B45B2C"/>
    <w:rsid w:val="00B51ADA"/>
    <w:rsid w:val="00B56366"/>
    <w:rsid w:val="00B567F0"/>
    <w:rsid w:val="00B576DF"/>
    <w:rsid w:val="00B60A24"/>
    <w:rsid w:val="00B60B80"/>
    <w:rsid w:val="00B61083"/>
    <w:rsid w:val="00B61A63"/>
    <w:rsid w:val="00B61F1F"/>
    <w:rsid w:val="00B622E3"/>
    <w:rsid w:val="00B636C2"/>
    <w:rsid w:val="00B6420A"/>
    <w:rsid w:val="00B65380"/>
    <w:rsid w:val="00B65864"/>
    <w:rsid w:val="00B65F9C"/>
    <w:rsid w:val="00B67D7B"/>
    <w:rsid w:val="00B70148"/>
    <w:rsid w:val="00B72431"/>
    <w:rsid w:val="00B744F0"/>
    <w:rsid w:val="00B75D5E"/>
    <w:rsid w:val="00B81232"/>
    <w:rsid w:val="00B81417"/>
    <w:rsid w:val="00B81BAE"/>
    <w:rsid w:val="00B837B7"/>
    <w:rsid w:val="00B859DE"/>
    <w:rsid w:val="00B85D07"/>
    <w:rsid w:val="00B86106"/>
    <w:rsid w:val="00B90492"/>
    <w:rsid w:val="00B90FFB"/>
    <w:rsid w:val="00B93405"/>
    <w:rsid w:val="00B938ED"/>
    <w:rsid w:val="00B95970"/>
    <w:rsid w:val="00B95D3B"/>
    <w:rsid w:val="00B96642"/>
    <w:rsid w:val="00B9755F"/>
    <w:rsid w:val="00B97AAD"/>
    <w:rsid w:val="00B97BE6"/>
    <w:rsid w:val="00BA08B4"/>
    <w:rsid w:val="00BA1364"/>
    <w:rsid w:val="00BA2FE6"/>
    <w:rsid w:val="00BA351C"/>
    <w:rsid w:val="00BA3B3E"/>
    <w:rsid w:val="00BA4198"/>
    <w:rsid w:val="00BA4ED8"/>
    <w:rsid w:val="00BA535C"/>
    <w:rsid w:val="00BA554B"/>
    <w:rsid w:val="00BA5924"/>
    <w:rsid w:val="00BA62CD"/>
    <w:rsid w:val="00BA72B7"/>
    <w:rsid w:val="00BA75A1"/>
    <w:rsid w:val="00BB00BD"/>
    <w:rsid w:val="00BB04AD"/>
    <w:rsid w:val="00BB0817"/>
    <w:rsid w:val="00BB0C1B"/>
    <w:rsid w:val="00BB25D8"/>
    <w:rsid w:val="00BB3974"/>
    <w:rsid w:val="00BB4CE0"/>
    <w:rsid w:val="00BB65FD"/>
    <w:rsid w:val="00BB6C06"/>
    <w:rsid w:val="00BC0C72"/>
    <w:rsid w:val="00BC0EE3"/>
    <w:rsid w:val="00BC10CB"/>
    <w:rsid w:val="00BC1307"/>
    <w:rsid w:val="00BC1839"/>
    <w:rsid w:val="00BC247F"/>
    <w:rsid w:val="00BC28E0"/>
    <w:rsid w:val="00BC3FC8"/>
    <w:rsid w:val="00BC5B06"/>
    <w:rsid w:val="00BC6112"/>
    <w:rsid w:val="00BD0D9A"/>
    <w:rsid w:val="00BD19AE"/>
    <w:rsid w:val="00BD1CAD"/>
    <w:rsid w:val="00BD1F6E"/>
    <w:rsid w:val="00BD5E0C"/>
    <w:rsid w:val="00BD69E1"/>
    <w:rsid w:val="00BD6B4A"/>
    <w:rsid w:val="00BD6D1D"/>
    <w:rsid w:val="00BD71A2"/>
    <w:rsid w:val="00BD726D"/>
    <w:rsid w:val="00BD742C"/>
    <w:rsid w:val="00BE0712"/>
    <w:rsid w:val="00BE0FF4"/>
    <w:rsid w:val="00BE1FEF"/>
    <w:rsid w:val="00BE286E"/>
    <w:rsid w:val="00BE3481"/>
    <w:rsid w:val="00BE48A7"/>
    <w:rsid w:val="00BE5DBF"/>
    <w:rsid w:val="00BE78FB"/>
    <w:rsid w:val="00BF069F"/>
    <w:rsid w:val="00BF11B8"/>
    <w:rsid w:val="00BF1DE4"/>
    <w:rsid w:val="00BF1F93"/>
    <w:rsid w:val="00BF1FB6"/>
    <w:rsid w:val="00BF2135"/>
    <w:rsid w:val="00BF28B4"/>
    <w:rsid w:val="00BF48BB"/>
    <w:rsid w:val="00BF4D4D"/>
    <w:rsid w:val="00BF5312"/>
    <w:rsid w:val="00BF6496"/>
    <w:rsid w:val="00C00004"/>
    <w:rsid w:val="00C02319"/>
    <w:rsid w:val="00C03097"/>
    <w:rsid w:val="00C03710"/>
    <w:rsid w:val="00C0464D"/>
    <w:rsid w:val="00C05266"/>
    <w:rsid w:val="00C05A5E"/>
    <w:rsid w:val="00C06F63"/>
    <w:rsid w:val="00C07987"/>
    <w:rsid w:val="00C1136A"/>
    <w:rsid w:val="00C12FC5"/>
    <w:rsid w:val="00C146BD"/>
    <w:rsid w:val="00C1677C"/>
    <w:rsid w:val="00C2018B"/>
    <w:rsid w:val="00C20D70"/>
    <w:rsid w:val="00C2229C"/>
    <w:rsid w:val="00C227A0"/>
    <w:rsid w:val="00C2318C"/>
    <w:rsid w:val="00C23B16"/>
    <w:rsid w:val="00C249E5"/>
    <w:rsid w:val="00C24A32"/>
    <w:rsid w:val="00C262F4"/>
    <w:rsid w:val="00C30A16"/>
    <w:rsid w:val="00C325A4"/>
    <w:rsid w:val="00C37106"/>
    <w:rsid w:val="00C3795C"/>
    <w:rsid w:val="00C4049D"/>
    <w:rsid w:val="00C404CE"/>
    <w:rsid w:val="00C41119"/>
    <w:rsid w:val="00C41F75"/>
    <w:rsid w:val="00C424C6"/>
    <w:rsid w:val="00C43193"/>
    <w:rsid w:val="00C43CF0"/>
    <w:rsid w:val="00C43D76"/>
    <w:rsid w:val="00C4423D"/>
    <w:rsid w:val="00C4541B"/>
    <w:rsid w:val="00C467F3"/>
    <w:rsid w:val="00C46C3B"/>
    <w:rsid w:val="00C46D67"/>
    <w:rsid w:val="00C470FE"/>
    <w:rsid w:val="00C473CD"/>
    <w:rsid w:val="00C51011"/>
    <w:rsid w:val="00C51497"/>
    <w:rsid w:val="00C525EC"/>
    <w:rsid w:val="00C534DA"/>
    <w:rsid w:val="00C54599"/>
    <w:rsid w:val="00C55332"/>
    <w:rsid w:val="00C55391"/>
    <w:rsid w:val="00C558AF"/>
    <w:rsid w:val="00C55B03"/>
    <w:rsid w:val="00C56352"/>
    <w:rsid w:val="00C56BCE"/>
    <w:rsid w:val="00C577EB"/>
    <w:rsid w:val="00C61186"/>
    <w:rsid w:val="00C612CC"/>
    <w:rsid w:val="00C62371"/>
    <w:rsid w:val="00C62BB6"/>
    <w:rsid w:val="00C62BDE"/>
    <w:rsid w:val="00C63900"/>
    <w:rsid w:val="00C643FF"/>
    <w:rsid w:val="00C648F0"/>
    <w:rsid w:val="00C64DBB"/>
    <w:rsid w:val="00C65122"/>
    <w:rsid w:val="00C677C9"/>
    <w:rsid w:val="00C71BAF"/>
    <w:rsid w:val="00C7224A"/>
    <w:rsid w:val="00C73D85"/>
    <w:rsid w:val="00C750F3"/>
    <w:rsid w:val="00C75700"/>
    <w:rsid w:val="00C76C7F"/>
    <w:rsid w:val="00C76E2E"/>
    <w:rsid w:val="00C77563"/>
    <w:rsid w:val="00C77B5E"/>
    <w:rsid w:val="00C80C2C"/>
    <w:rsid w:val="00C81ABB"/>
    <w:rsid w:val="00C81F77"/>
    <w:rsid w:val="00C82B2B"/>
    <w:rsid w:val="00C84757"/>
    <w:rsid w:val="00C87370"/>
    <w:rsid w:val="00C87534"/>
    <w:rsid w:val="00C87A58"/>
    <w:rsid w:val="00C87CEE"/>
    <w:rsid w:val="00C925ED"/>
    <w:rsid w:val="00C9342D"/>
    <w:rsid w:val="00C935D2"/>
    <w:rsid w:val="00C94F27"/>
    <w:rsid w:val="00C94F71"/>
    <w:rsid w:val="00C953C6"/>
    <w:rsid w:val="00C9610E"/>
    <w:rsid w:val="00C97C27"/>
    <w:rsid w:val="00C97D34"/>
    <w:rsid w:val="00CA025B"/>
    <w:rsid w:val="00CA17C7"/>
    <w:rsid w:val="00CA1CBF"/>
    <w:rsid w:val="00CA39F2"/>
    <w:rsid w:val="00CA40EB"/>
    <w:rsid w:val="00CA44BF"/>
    <w:rsid w:val="00CA4BEC"/>
    <w:rsid w:val="00CA5C82"/>
    <w:rsid w:val="00CA5E0C"/>
    <w:rsid w:val="00CA6E25"/>
    <w:rsid w:val="00CA6E4B"/>
    <w:rsid w:val="00CA7E3D"/>
    <w:rsid w:val="00CB1219"/>
    <w:rsid w:val="00CB1826"/>
    <w:rsid w:val="00CB301F"/>
    <w:rsid w:val="00CB354D"/>
    <w:rsid w:val="00CB3A6B"/>
    <w:rsid w:val="00CB3BF4"/>
    <w:rsid w:val="00CB3E0E"/>
    <w:rsid w:val="00CB40E6"/>
    <w:rsid w:val="00CB7315"/>
    <w:rsid w:val="00CB74D0"/>
    <w:rsid w:val="00CC0056"/>
    <w:rsid w:val="00CC0C72"/>
    <w:rsid w:val="00CC44AB"/>
    <w:rsid w:val="00CC4574"/>
    <w:rsid w:val="00CC63F0"/>
    <w:rsid w:val="00CC67A5"/>
    <w:rsid w:val="00CC6F04"/>
    <w:rsid w:val="00CC7D6D"/>
    <w:rsid w:val="00CC7F91"/>
    <w:rsid w:val="00CD0555"/>
    <w:rsid w:val="00CD08B7"/>
    <w:rsid w:val="00CD24A2"/>
    <w:rsid w:val="00CD3092"/>
    <w:rsid w:val="00CD5508"/>
    <w:rsid w:val="00CD5DAB"/>
    <w:rsid w:val="00CE022D"/>
    <w:rsid w:val="00CE0B2F"/>
    <w:rsid w:val="00CE14D3"/>
    <w:rsid w:val="00CE2F59"/>
    <w:rsid w:val="00CE310E"/>
    <w:rsid w:val="00CE378B"/>
    <w:rsid w:val="00CE3CD8"/>
    <w:rsid w:val="00CF1314"/>
    <w:rsid w:val="00CF16E9"/>
    <w:rsid w:val="00CF1C89"/>
    <w:rsid w:val="00CF1F6A"/>
    <w:rsid w:val="00CF228C"/>
    <w:rsid w:val="00CF3BDE"/>
    <w:rsid w:val="00CF4799"/>
    <w:rsid w:val="00CF4C97"/>
    <w:rsid w:val="00CF613A"/>
    <w:rsid w:val="00CF7D5D"/>
    <w:rsid w:val="00CF7EEB"/>
    <w:rsid w:val="00D01DBC"/>
    <w:rsid w:val="00D05CFE"/>
    <w:rsid w:val="00D062C3"/>
    <w:rsid w:val="00D07B07"/>
    <w:rsid w:val="00D07B11"/>
    <w:rsid w:val="00D12D94"/>
    <w:rsid w:val="00D130D3"/>
    <w:rsid w:val="00D132B0"/>
    <w:rsid w:val="00D14039"/>
    <w:rsid w:val="00D1517D"/>
    <w:rsid w:val="00D1552F"/>
    <w:rsid w:val="00D15C1D"/>
    <w:rsid w:val="00D15F96"/>
    <w:rsid w:val="00D216B2"/>
    <w:rsid w:val="00D23A1C"/>
    <w:rsid w:val="00D24914"/>
    <w:rsid w:val="00D24FAA"/>
    <w:rsid w:val="00D25707"/>
    <w:rsid w:val="00D31C44"/>
    <w:rsid w:val="00D31D90"/>
    <w:rsid w:val="00D3227A"/>
    <w:rsid w:val="00D32595"/>
    <w:rsid w:val="00D3628B"/>
    <w:rsid w:val="00D37FC6"/>
    <w:rsid w:val="00D412A7"/>
    <w:rsid w:val="00D4326D"/>
    <w:rsid w:val="00D44E3F"/>
    <w:rsid w:val="00D45483"/>
    <w:rsid w:val="00D47412"/>
    <w:rsid w:val="00D50341"/>
    <w:rsid w:val="00D51105"/>
    <w:rsid w:val="00D54978"/>
    <w:rsid w:val="00D55FF5"/>
    <w:rsid w:val="00D6019D"/>
    <w:rsid w:val="00D60D36"/>
    <w:rsid w:val="00D621C9"/>
    <w:rsid w:val="00D64D1B"/>
    <w:rsid w:val="00D65290"/>
    <w:rsid w:val="00D666C1"/>
    <w:rsid w:val="00D710B6"/>
    <w:rsid w:val="00D71D46"/>
    <w:rsid w:val="00D71F76"/>
    <w:rsid w:val="00D72E9C"/>
    <w:rsid w:val="00D73496"/>
    <w:rsid w:val="00D762D6"/>
    <w:rsid w:val="00D7649B"/>
    <w:rsid w:val="00D7656C"/>
    <w:rsid w:val="00D7759F"/>
    <w:rsid w:val="00D807B2"/>
    <w:rsid w:val="00D80D26"/>
    <w:rsid w:val="00D81430"/>
    <w:rsid w:val="00D84201"/>
    <w:rsid w:val="00D8677F"/>
    <w:rsid w:val="00D87A8F"/>
    <w:rsid w:val="00D87EF1"/>
    <w:rsid w:val="00D900FF"/>
    <w:rsid w:val="00D90248"/>
    <w:rsid w:val="00D90B72"/>
    <w:rsid w:val="00D9152A"/>
    <w:rsid w:val="00D91B51"/>
    <w:rsid w:val="00D922E6"/>
    <w:rsid w:val="00D92A1B"/>
    <w:rsid w:val="00D94ACC"/>
    <w:rsid w:val="00D95D45"/>
    <w:rsid w:val="00D96BD0"/>
    <w:rsid w:val="00D96E4E"/>
    <w:rsid w:val="00D978BB"/>
    <w:rsid w:val="00DA093C"/>
    <w:rsid w:val="00DA1312"/>
    <w:rsid w:val="00DA1734"/>
    <w:rsid w:val="00DA1E3C"/>
    <w:rsid w:val="00DA27D5"/>
    <w:rsid w:val="00DA2B85"/>
    <w:rsid w:val="00DA3063"/>
    <w:rsid w:val="00DA3B2A"/>
    <w:rsid w:val="00DA3B8B"/>
    <w:rsid w:val="00DA4174"/>
    <w:rsid w:val="00DA5123"/>
    <w:rsid w:val="00DA6395"/>
    <w:rsid w:val="00DA6542"/>
    <w:rsid w:val="00DA7A32"/>
    <w:rsid w:val="00DB18F9"/>
    <w:rsid w:val="00DB363C"/>
    <w:rsid w:val="00DB3DB6"/>
    <w:rsid w:val="00DB4274"/>
    <w:rsid w:val="00DB4673"/>
    <w:rsid w:val="00DB5106"/>
    <w:rsid w:val="00DB5AD9"/>
    <w:rsid w:val="00DB5D66"/>
    <w:rsid w:val="00DB62E1"/>
    <w:rsid w:val="00DB653C"/>
    <w:rsid w:val="00DC084F"/>
    <w:rsid w:val="00DC14D8"/>
    <w:rsid w:val="00DC1D47"/>
    <w:rsid w:val="00DC22BC"/>
    <w:rsid w:val="00DC241D"/>
    <w:rsid w:val="00DC3839"/>
    <w:rsid w:val="00DC3CB5"/>
    <w:rsid w:val="00DC4909"/>
    <w:rsid w:val="00DC54F1"/>
    <w:rsid w:val="00DC5B40"/>
    <w:rsid w:val="00DC6ED8"/>
    <w:rsid w:val="00DD0EF9"/>
    <w:rsid w:val="00DD139E"/>
    <w:rsid w:val="00DD152C"/>
    <w:rsid w:val="00DD2792"/>
    <w:rsid w:val="00DD36AA"/>
    <w:rsid w:val="00DD5C36"/>
    <w:rsid w:val="00DD6D97"/>
    <w:rsid w:val="00DE2649"/>
    <w:rsid w:val="00DE29CE"/>
    <w:rsid w:val="00DE5AE1"/>
    <w:rsid w:val="00DE73C9"/>
    <w:rsid w:val="00DE799E"/>
    <w:rsid w:val="00DF13B7"/>
    <w:rsid w:val="00DF296E"/>
    <w:rsid w:val="00DF35A8"/>
    <w:rsid w:val="00DF3690"/>
    <w:rsid w:val="00DF3DBB"/>
    <w:rsid w:val="00DF4DC7"/>
    <w:rsid w:val="00DF521E"/>
    <w:rsid w:val="00DF6442"/>
    <w:rsid w:val="00DF715A"/>
    <w:rsid w:val="00DF7309"/>
    <w:rsid w:val="00DF73EC"/>
    <w:rsid w:val="00E0064C"/>
    <w:rsid w:val="00E00772"/>
    <w:rsid w:val="00E0239E"/>
    <w:rsid w:val="00E0380F"/>
    <w:rsid w:val="00E04FD5"/>
    <w:rsid w:val="00E07406"/>
    <w:rsid w:val="00E07826"/>
    <w:rsid w:val="00E07966"/>
    <w:rsid w:val="00E07E8A"/>
    <w:rsid w:val="00E1142C"/>
    <w:rsid w:val="00E11684"/>
    <w:rsid w:val="00E11864"/>
    <w:rsid w:val="00E12A26"/>
    <w:rsid w:val="00E14B77"/>
    <w:rsid w:val="00E14CBC"/>
    <w:rsid w:val="00E15CE6"/>
    <w:rsid w:val="00E16FA2"/>
    <w:rsid w:val="00E17EDD"/>
    <w:rsid w:val="00E206EA"/>
    <w:rsid w:val="00E2118D"/>
    <w:rsid w:val="00E23E9B"/>
    <w:rsid w:val="00E2667F"/>
    <w:rsid w:val="00E26E09"/>
    <w:rsid w:val="00E30048"/>
    <w:rsid w:val="00E30949"/>
    <w:rsid w:val="00E30DD7"/>
    <w:rsid w:val="00E3158B"/>
    <w:rsid w:val="00E322D2"/>
    <w:rsid w:val="00E32FBD"/>
    <w:rsid w:val="00E3458C"/>
    <w:rsid w:val="00E35F3E"/>
    <w:rsid w:val="00E377F0"/>
    <w:rsid w:val="00E37F97"/>
    <w:rsid w:val="00E420CD"/>
    <w:rsid w:val="00E43836"/>
    <w:rsid w:val="00E44DB2"/>
    <w:rsid w:val="00E4590D"/>
    <w:rsid w:val="00E45A18"/>
    <w:rsid w:val="00E47028"/>
    <w:rsid w:val="00E47BD0"/>
    <w:rsid w:val="00E50FBD"/>
    <w:rsid w:val="00E529F8"/>
    <w:rsid w:val="00E54727"/>
    <w:rsid w:val="00E61DD7"/>
    <w:rsid w:val="00E6280B"/>
    <w:rsid w:val="00E6297E"/>
    <w:rsid w:val="00E6456A"/>
    <w:rsid w:val="00E645F0"/>
    <w:rsid w:val="00E6461C"/>
    <w:rsid w:val="00E652EF"/>
    <w:rsid w:val="00E6708C"/>
    <w:rsid w:val="00E67090"/>
    <w:rsid w:val="00E67719"/>
    <w:rsid w:val="00E67AA3"/>
    <w:rsid w:val="00E704F2"/>
    <w:rsid w:val="00E70FDC"/>
    <w:rsid w:val="00E72381"/>
    <w:rsid w:val="00E73CE5"/>
    <w:rsid w:val="00E741E5"/>
    <w:rsid w:val="00E75BC5"/>
    <w:rsid w:val="00E75CB4"/>
    <w:rsid w:val="00E766BA"/>
    <w:rsid w:val="00E76C9D"/>
    <w:rsid w:val="00E80368"/>
    <w:rsid w:val="00E81AC4"/>
    <w:rsid w:val="00E8228B"/>
    <w:rsid w:val="00E82FAC"/>
    <w:rsid w:val="00E8316E"/>
    <w:rsid w:val="00E87966"/>
    <w:rsid w:val="00E87DED"/>
    <w:rsid w:val="00E914EE"/>
    <w:rsid w:val="00E91E82"/>
    <w:rsid w:val="00E93B54"/>
    <w:rsid w:val="00E93C60"/>
    <w:rsid w:val="00E942FE"/>
    <w:rsid w:val="00E953A0"/>
    <w:rsid w:val="00EA02F8"/>
    <w:rsid w:val="00EA1890"/>
    <w:rsid w:val="00EA19D8"/>
    <w:rsid w:val="00EA30C7"/>
    <w:rsid w:val="00EA5AC1"/>
    <w:rsid w:val="00EA63E4"/>
    <w:rsid w:val="00EA6437"/>
    <w:rsid w:val="00EA703F"/>
    <w:rsid w:val="00EA76A8"/>
    <w:rsid w:val="00EA77A9"/>
    <w:rsid w:val="00EB082F"/>
    <w:rsid w:val="00EB1A90"/>
    <w:rsid w:val="00EB29D8"/>
    <w:rsid w:val="00EB3C2F"/>
    <w:rsid w:val="00EB4738"/>
    <w:rsid w:val="00EB6393"/>
    <w:rsid w:val="00EB6B2F"/>
    <w:rsid w:val="00EB7143"/>
    <w:rsid w:val="00EC060E"/>
    <w:rsid w:val="00EC2DCB"/>
    <w:rsid w:val="00EC2E18"/>
    <w:rsid w:val="00EC63B0"/>
    <w:rsid w:val="00EC7431"/>
    <w:rsid w:val="00EC7AD7"/>
    <w:rsid w:val="00ED04A2"/>
    <w:rsid w:val="00ED06D5"/>
    <w:rsid w:val="00ED0736"/>
    <w:rsid w:val="00ED3DED"/>
    <w:rsid w:val="00ED6769"/>
    <w:rsid w:val="00ED6B9E"/>
    <w:rsid w:val="00ED73E0"/>
    <w:rsid w:val="00ED79D4"/>
    <w:rsid w:val="00EE0907"/>
    <w:rsid w:val="00EE29AD"/>
    <w:rsid w:val="00EE2F75"/>
    <w:rsid w:val="00EE52A7"/>
    <w:rsid w:val="00EE6247"/>
    <w:rsid w:val="00EE7C3D"/>
    <w:rsid w:val="00EF0BD9"/>
    <w:rsid w:val="00EF18BE"/>
    <w:rsid w:val="00EF27C7"/>
    <w:rsid w:val="00EF2DA2"/>
    <w:rsid w:val="00EF306A"/>
    <w:rsid w:val="00EF3753"/>
    <w:rsid w:val="00EF4A91"/>
    <w:rsid w:val="00EF553F"/>
    <w:rsid w:val="00EF5B48"/>
    <w:rsid w:val="00EF5E41"/>
    <w:rsid w:val="00EF698E"/>
    <w:rsid w:val="00EF7F68"/>
    <w:rsid w:val="00EF7FDC"/>
    <w:rsid w:val="00F016FD"/>
    <w:rsid w:val="00F0194A"/>
    <w:rsid w:val="00F020C4"/>
    <w:rsid w:val="00F0267E"/>
    <w:rsid w:val="00F039EE"/>
    <w:rsid w:val="00F04211"/>
    <w:rsid w:val="00F04C64"/>
    <w:rsid w:val="00F05BAF"/>
    <w:rsid w:val="00F06AEB"/>
    <w:rsid w:val="00F071EB"/>
    <w:rsid w:val="00F077D0"/>
    <w:rsid w:val="00F07EA6"/>
    <w:rsid w:val="00F100D6"/>
    <w:rsid w:val="00F1042F"/>
    <w:rsid w:val="00F121BA"/>
    <w:rsid w:val="00F1241C"/>
    <w:rsid w:val="00F129D7"/>
    <w:rsid w:val="00F1365C"/>
    <w:rsid w:val="00F137AE"/>
    <w:rsid w:val="00F162B2"/>
    <w:rsid w:val="00F16C3A"/>
    <w:rsid w:val="00F17E3C"/>
    <w:rsid w:val="00F21767"/>
    <w:rsid w:val="00F21B81"/>
    <w:rsid w:val="00F21D34"/>
    <w:rsid w:val="00F21DE6"/>
    <w:rsid w:val="00F23275"/>
    <w:rsid w:val="00F23933"/>
    <w:rsid w:val="00F23F60"/>
    <w:rsid w:val="00F25C50"/>
    <w:rsid w:val="00F26257"/>
    <w:rsid w:val="00F279B6"/>
    <w:rsid w:val="00F3022C"/>
    <w:rsid w:val="00F30668"/>
    <w:rsid w:val="00F30A51"/>
    <w:rsid w:val="00F3118C"/>
    <w:rsid w:val="00F31626"/>
    <w:rsid w:val="00F31E92"/>
    <w:rsid w:val="00F323F4"/>
    <w:rsid w:val="00F32632"/>
    <w:rsid w:val="00F33517"/>
    <w:rsid w:val="00F33F80"/>
    <w:rsid w:val="00F3493A"/>
    <w:rsid w:val="00F34FAA"/>
    <w:rsid w:val="00F35F80"/>
    <w:rsid w:val="00F41B05"/>
    <w:rsid w:val="00F42D70"/>
    <w:rsid w:val="00F45A50"/>
    <w:rsid w:val="00F47F19"/>
    <w:rsid w:val="00F50687"/>
    <w:rsid w:val="00F50A7D"/>
    <w:rsid w:val="00F515D5"/>
    <w:rsid w:val="00F52ABA"/>
    <w:rsid w:val="00F55638"/>
    <w:rsid w:val="00F55A2B"/>
    <w:rsid w:val="00F618A3"/>
    <w:rsid w:val="00F6448B"/>
    <w:rsid w:val="00F64605"/>
    <w:rsid w:val="00F64C0A"/>
    <w:rsid w:val="00F64F14"/>
    <w:rsid w:val="00F66BBA"/>
    <w:rsid w:val="00F66C28"/>
    <w:rsid w:val="00F70BB3"/>
    <w:rsid w:val="00F73493"/>
    <w:rsid w:val="00F73A91"/>
    <w:rsid w:val="00F740AE"/>
    <w:rsid w:val="00F74810"/>
    <w:rsid w:val="00F74DC1"/>
    <w:rsid w:val="00F77520"/>
    <w:rsid w:val="00F8080C"/>
    <w:rsid w:val="00F84007"/>
    <w:rsid w:val="00F84668"/>
    <w:rsid w:val="00F85259"/>
    <w:rsid w:val="00F87667"/>
    <w:rsid w:val="00F87F9A"/>
    <w:rsid w:val="00F902E5"/>
    <w:rsid w:val="00F9111F"/>
    <w:rsid w:val="00F92B15"/>
    <w:rsid w:val="00F92CA9"/>
    <w:rsid w:val="00F935C8"/>
    <w:rsid w:val="00F93CFA"/>
    <w:rsid w:val="00F948F3"/>
    <w:rsid w:val="00F94B02"/>
    <w:rsid w:val="00F95A61"/>
    <w:rsid w:val="00F97641"/>
    <w:rsid w:val="00FA01AE"/>
    <w:rsid w:val="00FA0DE6"/>
    <w:rsid w:val="00FA1C8F"/>
    <w:rsid w:val="00FA3311"/>
    <w:rsid w:val="00FA3A74"/>
    <w:rsid w:val="00FA3AD3"/>
    <w:rsid w:val="00FA5994"/>
    <w:rsid w:val="00FA5FFA"/>
    <w:rsid w:val="00FA66D4"/>
    <w:rsid w:val="00FA704F"/>
    <w:rsid w:val="00FA7C28"/>
    <w:rsid w:val="00FA7E20"/>
    <w:rsid w:val="00FB0552"/>
    <w:rsid w:val="00FB0AAD"/>
    <w:rsid w:val="00FB0E97"/>
    <w:rsid w:val="00FB2137"/>
    <w:rsid w:val="00FB2B50"/>
    <w:rsid w:val="00FB37E9"/>
    <w:rsid w:val="00FB5959"/>
    <w:rsid w:val="00FB6A20"/>
    <w:rsid w:val="00FC1C71"/>
    <w:rsid w:val="00FC1E67"/>
    <w:rsid w:val="00FC4821"/>
    <w:rsid w:val="00FC7110"/>
    <w:rsid w:val="00FC77E3"/>
    <w:rsid w:val="00FD0F0B"/>
    <w:rsid w:val="00FD1986"/>
    <w:rsid w:val="00FD1D8D"/>
    <w:rsid w:val="00FD22AC"/>
    <w:rsid w:val="00FD5996"/>
    <w:rsid w:val="00FE10B6"/>
    <w:rsid w:val="00FE1BDA"/>
    <w:rsid w:val="00FE46CF"/>
    <w:rsid w:val="00FE6D57"/>
    <w:rsid w:val="00FE74B1"/>
    <w:rsid w:val="00FF0856"/>
    <w:rsid w:val="00FF2230"/>
    <w:rsid w:val="00FF377F"/>
    <w:rsid w:val="00FF4283"/>
    <w:rsid w:val="00FF6113"/>
    <w:rsid w:val="00FF61D4"/>
    <w:rsid w:val="00FF681D"/>
    <w:rsid w:val="00FF7393"/>
    <w:rsid w:val="00FF7FDC"/>
  </w:rsids>
  <m:mathPr>
    <m:mathFont m:val="Cambria Math"/>
    <m:brkBin m:val="before"/>
    <m:brkBinSub m:val="--"/>
    <m:smallFrac m:val="off"/>
    <m:dispDef/>
    <m:lMargin m:val="0"/>
    <m:rMargin m:val="0"/>
    <m:defJc m:val="centerGroup"/>
    <m:wrapIndent m:val="1440"/>
    <m:intLim m:val="subSup"/>
    <m:naryLim m:val="undOvr"/>
  </m:mathPr>
  <w:themeFontLang w:val="en-AU"/>
  <w:clrSchemeMapping w:bg1="light1" w:t1="dark1" w:bg2="light2" w:t2="dark2" w:accent1="accent1" w:accent2="accent2" w:accent3="accent3" w:accent4="accent4" w:accent5="accent5" w:accent6="accent6" w:hyperlink="hyperlink" w:followedHyperlink="followedHyperlink"/>
  <w:doNotIncludeSubdocsInStats/>
  <w:doNotAutoCompressPictures/>
  <w:smartTagType w:namespaceuri="urn:schemas-microsoft-com:office:smarttags" w:name="PlaceType"/>
  <w:smartTagType w:namespaceuri="urn:schemas-microsoft-com:office:smarttags" w:name="PlaceName"/>
  <w:smartTagType w:namespaceuri="urn:schemas-microsoft-com:office:smarttags" w:name="place"/>
  <w:smartTagType w:namespaceuri="urn:schemas-microsoft-com:office:smarttags" w:name="country-region"/>
  <w:smartTagType w:namespaceuri="urn:schemas-microsoft-com:office:smarttags" w:name="State"/>
  <w:smartTagType w:namespaceuri="urn:schemas-microsoft-com:office:smarttags" w:name="City"/>
  <w:smartTagType w:namespaceuri="urn:schemas-microsoft-com:office:smarttags" w:name="Street"/>
  <w:smartTagType w:namespaceuri="urn:schemas-microsoft-com:office:smarttags" w:name="address"/>
  <w:shapeDefaults>
    <o:shapedefaults v:ext="edit" spidmax="199681">
      <o:colormenu v:ext="edit" fillcolor="none [3212]" strokecolor="none" shadowcolor="none"/>
    </o:shapedefaults>
    <o:shapelayout v:ext="edit">
      <o:idmap v:ext="edit" data="1"/>
      <o:regrouptable v:ext="edit">
        <o:entry new="1" old="0"/>
        <o:entry new="2" old="0"/>
        <o:entry new="3" old="0"/>
        <o:entry new="4" old="0"/>
        <o:entry new="5" old="0"/>
        <o:entry new="6" old="5"/>
        <o:entry new="7" old="0"/>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itle" w:qFormat="1"/>
    <w:lsdException w:name="Subtitle" w:qFormat="1"/>
    <w:lsdException w:name="Hyperlink" w:uiPriority="99"/>
    <w:lsdException w:name="Strong" w:qFormat="1"/>
    <w:lsdException w:name="Emphasis" w:uiPriority="20"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atentStyles>
  <w:style w:type="paragraph" w:default="1" w:styleId="Normal">
    <w:name w:val="Normal"/>
    <w:qFormat/>
    <w:rsid w:val="00EB6393"/>
    <w:pPr>
      <w:spacing w:after="100" w:line="260" w:lineRule="exact"/>
    </w:pPr>
    <w:rPr>
      <w:lang w:eastAsia="en-US"/>
    </w:rPr>
  </w:style>
  <w:style w:type="paragraph" w:styleId="Heading1">
    <w:name w:val="heading 1"/>
    <w:basedOn w:val="Normal"/>
    <w:next w:val="Normal"/>
    <w:link w:val="Heading1Char"/>
    <w:qFormat/>
    <w:rsid w:val="0017191D"/>
    <w:pPr>
      <w:pBdr>
        <w:bottom w:val="single" w:sz="4" w:space="1" w:color="auto"/>
      </w:pBdr>
      <w:tabs>
        <w:tab w:val="left" w:pos="505"/>
      </w:tabs>
      <w:spacing w:after="240" w:line="470" w:lineRule="exact"/>
      <w:ind w:left="505" w:hanging="505"/>
      <w:outlineLvl w:val="0"/>
    </w:pPr>
    <w:rPr>
      <w:rFonts w:ascii="Arial Bold" w:hAnsi="Arial Bold"/>
      <w:b/>
      <w:smallCaps/>
      <w:sz w:val="36"/>
    </w:rPr>
  </w:style>
  <w:style w:type="paragraph" w:styleId="Heading2">
    <w:name w:val="heading 2"/>
    <w:next w:val="Normal"/>
    <w:link w:val="Heading2Char"/>
    <w:qFormat/>
    <w:rsid w:val="000305D5"/>
    <w:pPr>
      <w:keepNext/>
      <w:tabs>
        <w:tab w:val="left" w:pos="505"/>
      </w:tabs>
      <w:spacing w:before="240" w:after="140" w:line="350" w:lineRule="exact"/>
      <w:ind w:left="505" w:hanging="505"/>
      <w:outlineLvl w:val="1"/>
    </w:pPr>
    <w:rPr>
      <w:b/>
      <w:noProof/>
      <w:sz w:val="28"/>
      <w:lang w:eastAsia="en-US"/>
    </w:rPr>
  </w:style>
  <w:style w:type="paragraph" w:styleId="Heading3">
    <w:name w:val="heading 3"/>
    <w:basedOn w:val="Heading2"/>
    <w:next w:val="Normal"/>
    <w:link w:val="Heading3Char"/>
    <w:qFormat/>
    <w:rsid w:val="00CE378B"/>
    <w:pPr>
      <w:tabs>
        <w:tab w:val="clear" w:pos="505"/>
        <w:tab w:val="left" w:pos="641"/>
      </w:tabs>
      <w:spacing w:before="180" w:after="100" w:line="300" w:lineRule="exact"/>
      <w:outlineLvl w:val="2"/>
    </w:pPr>
    <w:rPr>
      <w:sz w:val="24"/>
    </w:rPr>
  </w:style>
  <w:style w:type="paragraph" w:styleId="Heading4">
    <w:name w:val="heading 4"/>
    <w:basedOn w:val="Heading3"/>
    <w:next w:val="Normal"/>
    <w:link w:val="Heading4Char"/>
    <w:qFormat/>
    <w:rsid w:val="000305D5"/>
    <w:pPr>
      <w:spacing w:before="100" w:after="40" w:line="250" w:lineRule="exact"/>
      <w:ind w:left="0" w:firstLine="0"/>
      <w:outlineLvl w:val="3"/>
    </w:pPr>
    <w:rPr>
      <w:color w:val="0D0D0D" w:themeColor="text1" w:themeTint="F2"/>
      <w:sz w:val="20"/>
    </w:rPr>
  </w:style>
  <w:style w:type="paragraph" w:styleId="Heading5">
    <w:name w:val="heading 5"/>
    <w:next w:val="Normal"/>
    <w:link w:val="Heading5Char"/>
    <w:qFormat/>
    <w:rsid w:val="000305D5"/>
    <w:pPr>
      <w:keepNext/>
      <w:spacing w:before="80" w:after="40" w:line="270" w:lineRule="exact"/>
      <w:outlineLvl w:val="4"/>
    </w:pPr>
    <w:rPr>
      <w:i/>
      <w:lang w:eastAsia="en-US"/>
    </w:rPr>
  </w:style>
  <w:style w:type="paragraph" w:styleId="Heading6">
    <w:name w:val="heading 6"/>
    <w:basedOn w:val="Normal"/>
    <w:next w:val="Normal"/>
    <w:link w:val="Heading6Char"/>
    <w:qFormat/>
    <w:rsid w:val="00DE799E"/>
    <w:pPr>
      <w:keepNext/>
      <w:spacing w:before="60" w:after="60" w:line="250" w:lineRule="atLeast"/>
      <w:outlineLvl w:val="5"/>
    </w:pPr>
    <w:rPr>
      <w:rFonts w:ascii="Arial" w:hAnsi="Arial" w:cs="Arial"/>
      <w:sz w:val="17"/>
      <w:szCs w:val="17"/>
    </w:rPr>
  </w:style>
  <w:style w:type="paragraph" w:styleId="Heading7">
    <w:name w:val="heading 7"/>
    <w:basedOn w:val="Normal"/>
    <w:next w:val="Normal"/>
    <w:link w:val="Heading7Char"/>
    <w:qFormat/>
    <w:rsid w:val="000305D5"/>
    <w:pPr>
      <w:keepNext/>
      <w:outlineLvl w:val="6"/>
    </w:pPr>
    <w:rPr>
      <w:b/>
    </w:rPr>
  </w:style>
  <w:style w:type="paragraph" w:styleId="Heading8">
    <w:name w:val="heading 8"/>
    <w:link w:val="Heading8Char"/>
    <w:qFormat/>
    <w:rsid w:val="00F50A7D"/>
    <w:pPr>
      <w:spacing w:after="240" w:line="260" w:lineRule="atLeast"/>
      <w:jc w:val="center"/>
      <w:outlineLvl w:val="7"/>
    </w:pPr>
    <w:rPr>
      <w:rFonts w:ascii="Arial" w:hAnsi="Arial"/>
      <w:lang w:eastAsia="en-US"/>
    </w:rPr>
  </w:style>
  <w:style w:type="paragraph" w:styleId="Heading9">
    <w:name w:val="heading 9"/>
    <w:link w:val="Heading9Char"/>
    <w:qFormat/>
    <w:rsid w:val="00F50A7D"/>
    <w:pPr>
      <w:keepNext/>
      <w:spacing w:before="120" w:after="120" w:line="260" w:lineRule="atLeast"/>
      <w:outlineLvl w:val="8"/>
    </w:pPr>
    <w:rPr>
      <w:rFonts w:ascii="Arial" w:hAnsi="Arial"/>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qFormat/>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uiPriority w:val="39"/>
    <w:rsid w:val="00F50A7D"/>
    <w:pPr>
      <w:tabs>
        <w:tab w:val="left" w:pos="360"/>
        <w:tab w:val="left" w:pos="840"/>
        <w:tab w:val="right" w:pos="7470"/>
      </w:tabs>
      <w:spacing w:before="240" w:line="300" w:lineRule="atLeast"/>
      <w:ind w:left="360" w:right="1080" w:hanging="360"/>
    </w:pPr>
    <w:rPr>
      <w:rFonts w:ascii="Arial" w:hAnsi="Arial"/>
      <w:b/>
      <w:caps/>
      <w:noProof/>
      <w:lang w:eastAsia="en-US"/>
    </w:rPr>
  </w:style>
  <w:style w:type="paragraph" w:styleId="TOC4">
    <w:name w:val="toc 4"/>
    <w:basedOn w:val="TOC1"/>
    <w:uiPriority w:val="39"/>
    <w:rsid w:val="00F50A7D"/>
    <w:pPr>
      <w:spacing w:before="60" w:line="260" w:lineRule="atLeast"/>
      <w:ind w:left="1440" w:firstLine="0"/>
    </w:pPr>
    <w:rPr>
      <w:b w:val="0"/>
      <w:i/>
    </w:rPr>
  </w:style>
  <w:style w:type="paragraph" w:styleId="TOC3">
    <w:name w:val="toc 3"/>
    <w:basedOn w:val="TOC1"/>
    <w:uiPriority w:val="39"/>
    <w:rsid w:val="00F50A7D"/>
    <w:pPr>
      <w:tabs>
        <w:tab w:val="left" w:pos="1500"/>
      </w:tabs>
      <w:spacing w:before="20" w:after="20" w:line="240" w:lineRule="exact"/>
      <w:ind w:left="1497" w:hanging="662"/>
    </w:pPr>
    <w:rPr>
      <w:rFonts w:ascii="Times New Roman" w:hAnsi="Times New Roman"/>
      <w:b w:val="0"/>
      <w:caps w:val="0"/>
    </w:rPr>
  </w:style>
  <w:style w:type="paragraph" w:styleId="TOC2">
    <w:name w:val="toc 2"/>
    <w:basedOn w:val="TOC1"/>
    <w:uiPriority w:val="39"/>
    <w:rsid w:val="00A32DBF"/>
    <w:pPr>
      <w:spacing w:before="40" w:after="40" w:line="250" w:lineRule="exact"/>
      <w:ind w:left="835" w:hanging="475"/>
    </w:pPr>
    <w:rPr>
      <w:rFonts w:ascii="Garamond" w:hAnsi="Garamond"/>
      <w:b w:val="0"/>
      <w:caps w:val="0"/>
      <w:sz w:val="22"/>
    </w:rPr>
  </w:style>
  <w:style w:type="paragraph" w:styleId="Footer">
    <w:name w:val="footer"/>
    <w:link w:val="FooterChar"/>
    <w:uiPriority w:val="99"/>
    <w:rsid w:val="00F50A7D"/>
    <w:pPr>
      <w:jc w:val="center"/>
    </w:pPr>
    <w:rPr>
      <w:rFonts w:ascii="Arial" w:hAnsi="Arial"/>
      <w:lang w:eastAsia="en-US"/>
    </w:rPr>
  </w:style>
  <w:style w:type="paragraph" w:customStyle="1" w:styleId="figurecaption">
    <w:name w:val="figure caption"/>
    <w:next w:val="Normal"/>
    <w:link w:val="figurecaptionChar"/>
    <w:qFormat/>
    <w:rsid w:val="00F50A7D"/>
    <w:pPr>
      <w:spacing w:after="240" w:line="220" w:lineRule="atLeast"/>
      <w:jc w:val="center"/>
    </w:pPr>
    <w:rPr>
      <w:rFonts w:ascii="Arial" w:hAnsi="Arial"/>
      <w:bCs/>
      <w:noProof/>
      <w:sz w:val="16"/>
      <w:lang w:val="en-US" w:eastAsia="en-US"/>
    </w:rPr>
  </w:style>
  <w:style w:type="character" w:customStyle="1" w:styleId="figurecaptionChar">
    <w:name w:val="figure caption Char"/>
    <w:basedOn w:val="DefaultParagraphFont"/>
    <w:link w:val="figurecaption"/>
    <w:rsid w:val="00F50A7D"/>
    <w:rPr>
      <w:rFonts w:ascii="Arial" w:hAnsi="Arial"/>
      <w:bCs/>
      <w:noProof/>
      <w:sz w:val="16"/>
      <w:lang w:val="en-US" w:eastAsia="en-US" w:bidi="ar-SA"/>
    </w:rPr>
  </w:style>
  <w:style w:type="paragraph" w:customStyle="1" w:styleId="tablecaption">
    <w:name w:val="table caption"/>
    <w:basedOn w:val="Normal"/>
    <w:next w:val="Normal"/>
    <w:link w:val="tablecaptionChar"/>
    <w:qFormat/>
    <w:rsid w:val="00F50A7D"/>
    <w:pPr>
      <w:keepNext/>
      <w:spacing w:before="120" w:after="120" w:line="240" w:lineRule="atLeast"/>
      <w:jc w:val="center"/>
    </w:pPr>
    <w:rPr>
      <w:rFonts w:cs="Arial"/>
      <w:b/>
      <w:caps/>
      <w:sz w:val="18"/>
    </w:rPr>
  </w:style>
  <w:style w:type="character" w:customStyle="1" w:styleId="tablecaptionChar">
    <w:name w:val="table caption Char"/>
    <w:basedOn w:val="DefaultParagraphFont"/>
    <w:link w:val="tablecaption"/>
    <w:rsid w:val="00F50A7D"/>
    <w:rPr>
      <w:rFonts w:cs="Arial"/>
      <w:b/>
      <w:caps/>
      <w:sz w:val="18"/>
      <w:lang w:val="en-AU" w:eastAsia="en-US" w:bidi="ar-SA"/>
    </w:rPr>
  </w:style>
  <w:style w:type="paragraph" w:customStyle="1" w:styleId="table1">
    <w:name w:val="table 1"/>
    <w:link w:val="table1Char"/>
    <w:qFormat/>
    <w:rsid w:val="00F50A7D"/>
    <w:pPr>
      <w:spacing w:before="100" w:after="100" w:line="220" w:lineRule="atLeast"/>
    </w:pPr>
    <w:rPr>
      <w:rFonts w:ascii="Arial" w:hAnsi="Arial"/>
      <w:sz w:val="16"/>
      <w:lang w:eastAsia="en-US"/>
    </w:rPr>
  </w:style>
  <w:style w:type="character" w:customStyle="1" w:styleId="table1Char">
    <w:name w:val="table 1 Char"/>
    <w:basedOn w:val="DefaultParagraphFont"/>
    <w:link w:val="table1"/>
    <w:rsid w:val="00F50A7D"/>
    <w:rPr>
      <w:rFonts w:ascii="Arial" w:hAnsi="Arial"/>
      <w:sz w:val="16"/>
      <w:lang w:val="en-AU" w:eastAsia="en-US" w:bidi="ar-SA"/>
    </w:rPr>
  </w:style>
  <w:style w:type="paragraph" w:customStyle="1" w:styleId="table1list">
    <w:name w:val="table 1 list"/>
    <w:basedOn w:val="table1"/>
    <w:rsid w:val="00F50A7D"/>
    <w:pPr>
      <w:ind w:left="240" w:hanging="240"/>
    </w:pPr>
  </w:style>
  <w:style w:type="paragraph" w:customStyle="1" w:styleId="tablenote">
    <w:name w:val="table note"/>
    <w:basedOn w:val="table1"/>
    <w:link w:val="tablenoteChar"/>
    <w:qFormat/>
    <w:rsid w:val="00F50A7D"/>
    <w:pPr>
      <w:tabs>
        <w:tab w:val="left" w:pos="240"/>
      </w:tabs>
      <w:spacing w:after="180" w:line="180" w:lineRule="atLeast"/>
      <w:ind w:left="238" w:hanging="238"/>
    </w:pPr>
    <w:rPr>
      <w:sz w:val="14"/>
    </w:rPr>
  </w:style>
  <w:style w:type="paragraph" w:customStyle="1" w:styleId="4point">
    <w:name w:val="4 point #"/>
    <w:link w:val="4pointChar"/>
    <w:rsid w:val="00F50A7D"/>
    <w:rPr>
      <w:sz w:val="8"/>
      <w:lang w:eastAsia="en-US"/>
    </w:rPr>
  </w:style>
  <w:style w:type="character" w:customStyle="1" w:styleId="4pointChar">
    <w:name w:val="4 point # Char"/>
    <w:basedOn w:val="DefaultParagraphFont"/>
    <w:link w:val="4point"/>
    <w:rsid w:val="00F50A7D"/>
    <w:rPr>
      <w:sz w:val="8"/>
      <w:lang w:val="en-AU" w:eastAsia="en-US" w:bidi="ar-SA"/>
    </w:rPr>
  </w:style>
  <w:style w:type="paragraph" w:customStyle="1" w:styleId="table2">
    <w:name w:val="table 2"/>
    <w:basedOn w:val="table1"/>
    <w:rsid w:val="00F50A7D"/>
    <w:pPr>
      <w:spacing w:before="20" w:after="20"/>
    </w:pPr>
  </w:style>
  <w:style w:type="paragraph" w:customStyle="1" w:styleId="equation1">
    <w:name w:val="equation 1"/>
    <w:basedOn w:val="Normal"/>
    <w:rsid w:val="00F50A7D"/>
    <w:pPr>
      <w:tabs>
        <w:tab w:val="right" w:pos="5280"/>
      </w:tabs>
      <w:spacing w:before="40" w:after="140"/>
      <w:ind w:left="360"/>
    </w:pPr>
    <w:rPr>
      <w:rFonts w:ascii="Arial" w:hAnsi="Arial"/>
    </w:rPr>
  </w:style>
  <w:style w:type="paragraph" w:customStyle="1" w:styleId="verso1">
    <w:name w:val="verso 1"/>
    <w:rsid w:val="00F50A7D"/>
    <w:pPr>
      <w:spacing w:after="80" w:line="220" w:lineRule="atLeast"/>
      <w:ind w:left="240" w:right="720"/>
    </w:pPr>
    <w:rPr>
      <w:rFonts w:ascii="Arial" w:hAnsi="Arial"/>
      <w:sz w:val="18"/>
      <w:lang w:eastAsia="en-US"/>
    </w:rPr>
  </w:style>
  <w:style w:type="paragraph" w:styleId="FootnoteText">
    <w:name w:val="footnote text"/>
    <w:basedOn w:val="Normal"/>
    <w:link w:val="FootnoteTextChar"/>
    <w:semiHidden/>
    <w:rsid w:val="00F50A7D"/>
    <w:pPr>
      <w:tabs>
        <w:tab w:val="left" w:pos="240"/>
      </w:tabs>
      <w:spacing w:after="80" w:line="240" w:lineRule="atLeast"/>
      <w:ind w:left="240" w:hanging="240"/>
    </w:pPr>
    <w:rPr>
      <w:sz w:val="18"/>
    </w:rPr>
  </w:style>
  <w:style w:type="paragraph" w:customStyle="1" w:styleId="Quote1">
    <w:name w:val="Quote1"/>
    <w:basedOn w:val="Normal"/>
    <w:qFormat/>
    <w:rsid w:val="00F50A7D"/>
    <w:pPr>
      <w:spacing w:line="240" w:lineRule="atLeast"/>
      <w:ind w:left="360"/>
    </w:pPr>
    <w:rPr>
      <w:sz w:val="18"/>
    </w:rPr>
  </w:style>
  <w:style w:type="paragraph" w:customStyle="1" w:styleId="landscape">
    <w:name w:val="landscape#"/>
    <w:basedOn w:val="Normal"/>
    <w:rsid w:val="00F50A7D"/>
    <w:pPr>
      <w:framePr w:w="567" w:h="1134" w:hSpace="181" w:wrap="around" w:vAnchor="page" w:hAnchor="page" w:x="568" w:yAlign="center"/>
      <w:shd w:val="solid" w:color="FFFFFF" w:fill="FFFFFF"/>
      <w:jc w:val="center"/>
      <w:textDirection w:val="tbRl"/>
    </w:pPr>
    <w:rPr>
      <w:rFonts w:ascii="Arial" w:hAnsi="Arial"/>
    </w:rPr>
  </w:style>
  <w:style w:type="paragraph" w:styleId="Title">
    <w:name w:val="Title"/>
    <w:basedOn w:val="Normal"/>
    <w:link w:val="TitleChar"/>
    <w:qFormat/>
    <w:rsid w:val="00F50A7D"/>
    <w:pPr>
      <w:pBdr>
        <w:top w:val="single" w:sz="12" w:space="1" w:color="auto"/>
        <w:bottom w:val="single" w:sz="12" w:space="1" w:color="auto"/>
      </w:pBdr>
      <w:spacing w:before="240" w:after="240"/>
      <w:jc w:val="center"/>
    </w:pPr>
    <w:rPr>
      <w:rFonts w:ascii="Arial" w:hAnsi="Arial"/>
      <w:b/>
      <w:sz w:val="30"/>
    </w:rPr>
  </w:style>
  <w:style w:type="paragraph" w:customStyle="1" w:styleId="platecaption">
    <w:name w:val="plate caption"/>
    <w:basedOn w:val="figurecaption"/>
    <w:link w:val="platecaptionChar"/>
    <w:rsid w:val="00F50A7D"/>
  </w:style>
  <w:style w:type="character" w:customStyle="1" w:styleId="platecaptionChar">
    <w:name w:val="plate caption Char"/>
    <w:basedOn w:val="figurecaptionChar"/>
    <w:link w:val="platecaption"/>
    <w:rsid w:val="00F50A7D"/>
    <w:rPr>
      <w:rFonts w:ascii="Arial" w:hAnsi="Arial"/>
      <w:bCs/>
      <w:noProof/>
      <w:sz w:val="16"/>
      <w:lang w:val="en-US" w:eastAsia="en-US" w:bidi="ar-SA"/>
    </w:rPr>
  </w:style>
  <w:style w:type="character" w:styleId="FootnoteReference">
    <w:name w:val="footnote reference"/>
    <w:basedOn w:val="DefaultParagraphFont"/>
    <w:rsid w:val="00F50A7D"/>
    <w:rPr>
      <w:vertAlign w:val="superscript"/>
    </w:rPr>
  </w:style>
  <w:style w:type="paragraph" w:styleId="TOC5">
    <w:name w:val="toc 5"/>
    <w:basedOn w:val="Normal"/>
    <w:next w:val="Normal"/>
    <w:autoRedefine/>
    <w:uiPriority w:val="39"/>
    <w:rsid w:val="00F50A7D"/>
    <w:pPr>
      <w:ind w:left="880"/>
    </w:pPr>
  </w:style>
  <w:style w:type="paragraph" w:styleId="TOC6">
    <w:name w:val="toc 6"/>
    <w:basedOn w:val="Normal"/>
    <w:next w:val="Normal"/>
    <w:autoRedefine/>
    <w:uiPriority w:val="39"/>
    <w:rsid w:val="00F50A7D"/>
    <w:pPr>
      <w:ind w:left="1100"/>
    </w:pPr>
  </w:style>
  <w:style w:type="paragraph" w:styleId="TOC7">
    <w:name w:val="toc 7"/>
    <w:basedOn w:val="Normal"/>
    <w:next w:val="Normal"/>
    <w:autoRedefine/>
    <w:uiPriority w:val="39"/>
    <w:rsid w:val="00F50A7D"/>
    <w:pPr>
      <w:ind w:left="1320"/>
    </w:pPr>
  </w:style>
  <w:style w:type="paragraph" w:styleId="TOC8">
    <w:name w:val="toc 8"/>
    <w:basedOn w:val="Normal"/>
    <w:next w:val="Normal"/>
    <w:autoRedefine/>
    <w:uiPriority w:val="39"/>
    <w:rsid w:val="00F50A7D"/>
    <w:pPr>
      <w:ind w:left="1540"/>
    </w:pPr>
  </w:style>
  <w:style w:type="paragraph" w:styleId="TOC9">
    <w:name w:val="toc 9"/>
    <w:basedOn w:val="Normal"/>
    <w:next w:val="Normal"/>
    <w:autoRedefine/>
    <w:uiPriority w:val="39"/>
    <w:rsid w:val="00F50A7D"/>
    <w:pPr>
      <w:ind w:left="1760"/>
    </w:pPr>
  </w:style>
  <w:style w:type="paragraph" w:styleId="EndnoteText">
    <w:name w:val="endnote text"/>
    <w:basedOn w:val="Normal"/>
    <w:link w:val="EndnoteTextChar"/>
    <w:semiHidden/>
    <w:rsid w:val="00F50A7D"/>
  </w:style>
  <w:style w:type="paragraph" w:styleId="IndexHeading">
    <w:name w:val="index heading"/>
    <w:basedOn w:val="Normal"/>
    <w:next w:val="Normal"/>
    <w:semiHidden/>
    <w:rsid w:val="00F50A7D"/>
    <w:rPr>
      <w:rFonts w:ascii="Arial" w:hAnsi="Arial" w:cs="Arial"/>
      <w:b/>
      <w:bCs/>
    </w:rPr>
  </w:style>
  <w:style w:type="paragraph" w:styleId="TOAHeading">
    <w:name w:val="toa heading"/>
    <w:basedOn w:val="Normal"/>
    <w:next w:val="Normal"/>
    <w:semiHidden/>
    <w:rsid w:val="00F50A7D"/>
    <w:pPr>
      <w:tabs>
        <w:tab w:val="num" w:pos="643"/>
      </w:tabs>
      <w:spacing w:before="120"/>
      <w:ind w:left="643" w:hanging="360"/>
    </w:pPr>
    <w:rPr>
      <w:rFonts w:ascii="Arial" w:hAnsi="Arial" w:cs="Arial"/>
      <w:b/>
      <w:bCs/>
      <w:sz w:val="24"/>
      <w:szCs w:val="24"/>
    </w:rPr>
  </w:style>
  <w:style w:type="paragraph" w:customStyle="1" w:styleId="indexAR">
    <w:name w:val="index_AR"/>
    <w:basedOn w:val="Normal"/>
    <w:rsid w:val="00F50A7D"/>
    <w:pPr>
      <w:keepLines/>
      <w:widowControl w:val="0"/>
      <w:autoSpaceDE w:val="0"/>
      <w:autoSpaceDN w:val="0"/>
      <w:adjustRightInd w:val="0"/>
      <w:spacing w:after="60" w:line="240" w:lineRule="auto"/>
      <w:ind w:left="144" w:hanging="144"/>
    </w:pPr>
    <w:rPr>
      <w:spacing w:val="-2"/>
      <w:sz w:val="18"/>
      <w:szCs w:val="18"/>
    </w:rPr>
  </w:style>
  <w:style w:type="paragraph" w:customStyle="1" w:styleId="index2AR">
    <w:name w:val="index2_AR"/>
    <w:basedOn w:val="indexAR"/>
    <w:qFormat/>
    <w:rsid w:val="00F50A7D"/>
    <w:pPr>
      <w:ind w:left="288"/>
    </w:pPr>
    <w:rPr>
      <w:rFonts w:cs="Arial"/>
    </w:rPr>
  </w:style>
  <w:style w:type="paragraph" w:customStyle="1" w:styleId="header-evenpage">
    <w:name w:val="header-evenpage"/>
    <w:basedOn w:val="header-oddpage"/>
    <w:rsid w:val="0090101A"/>
    <w:pPr>
      <w:jc w:val="right"/>
    </w:pPr>
  </w:style>
  <w:style w:type="paragraph" w:customStyle="1" w:styleId="header-oddpage">
    <w:name w:val="header-oddpage"/>
    <w:basedOn w:val="Normal"/>
    <w:rsid w:val="0090101A"/>
    <w:pPr>
      <w:ind w:left="-720" w:right="-720"/>
    </w:pPr>
    <w:rPr>
      <w:sz w:val="16"/>
    </w:rPr>
  </w:style>
  <w:style w:type="paragraph" w:customStyle="1" w:styleId="Normallist2">
    <w:name w:val="Normal list 2"/>
    <w:basedOn w:val="Normal"/>
    <w:link w:val="Normallist2Char"/>
    <w:rsid w:val="00F50A7D"/>
    <w:pPr>
      <w:ind w:left="720" w:hanging="360"/>
    </w:pPr>
  </w:style>
  <w:style w:type="character" w:customStyle="1" w:styleId="Normallist2Char">
    <w:name w:val="Normal list 2 Char"/>
    <w:basedOn w:val="DefaultParagraphFont"/>
    <w:link w:val="Normallist2"/>
    <w:rsid w:val="00F50A7D"/>
    <w:rPr>
      <w:lang w:val="en-AU" w:eastAsia="en-US" w:bidi="ar-SA"/>
    </w:rPr>
  </w:style>
  <w:style w:type="paragraph" w:styleId="CommentText">
    <w:name w:val="annotation text"/>
    <w:basedOn w:val="Normal"/>
    <w:link w:val="CommentTextChar"/>
    <w:rsid w:val="00F50A7D"/>
  </w:style>
  <w:style w:type="paragraph" w:customStyle="1" w:styleId="Normallist1">
    <w:name w:val="Normal list 1"/>
    <w:basedOn w:val="Normal"/>
    <w:rsid w:val="00F50A7D"/>
    <w:pPr>
      <w:ind w:left="360" w:hanging="360"/>
    </w:pPr>
  </w:style>
  <w:style w:type="character" w:styleId="CommentReference">
    <w:name w:val="annotation reference"/>
    <w:basedOn w:val="DefaultParagraphFont"/>
    <w:rsid w:val="00F50A7D"/>
    <w:rPr>
      <w:sz w:val="16"/>
    </w:rPr>
  </w:style>
  <w:style w:type="paragraph" w:customStyle="1" w:styleId="bulletlist1">
    <w:name w:val="bullet list 1"/>
    <w:basedOn w:val="Normal"/>
    <w:link w:val="bulletlist1Char"/>
    <w:autoRedefine/>
    <w:qFormat/>
    <w:rsid w:val="005558E1"/>
    <w:pPr>
      <w:numPr>
        <w:numId w:val="30"/>
      </w:numPr>
      <w:tabs>
        <w:tab w:val="clear" w:pos="720"/>
        <w:tab w:val="num" w:pos="-1985"/>
      </w:tabs>
      <w:spacing w:line="260" w:lineRule="atLeast"/>
      <w:ind w:left="284" w:hanging="284"/>
    </w:pPr>
  </w:style>
  <w:style w:type="character" w:customStyle="1" w:styleId="bulletlist1Char">
    <w:name w:val="bullet list 1 Char"/>
    <w:basedOn w:val="DefaultParagraphFont"/>
    <w:link w:val="bulletlist1"/>
    <w:rsid w:val="005558E1"/>
    <w:rPr>
      <w:rFonts w:ascii="Garamond" w:hAnsi="Garamond"/>
      <w:sz w:val="22"/>
      <w:lang w:eastAsia="en-US"/>
    </w:rPr>
  </w:style>
  <w:style w:type="paragraph" w:customStyle="1" w:styleId="bulletlist2">
    <w:name w:val="bullet list 2"/>
    <w:basedOn w:val="Normal"/>
    <w:rsid w:val="00CE14D3"/>
    <w:pPr>
      <w:numPr>
        <w:numId w:val="33"/>
      </w:numPr>
      <w:tabs>
        <w:tab w:val="left" w:pos="57"/>
      </w:tabs>
      <w:ind w:left="924" w:hanging="357"/>
    </w:pPr>
  </w:style>
  <w:style w:type="paragraph" w:styleId="TableofAuthorities">
    <w:name w:val="table of authorities"/>
    <w:basedOn w:val="Normal"/>
    <w:next w:val="Normal"/>
    <w:semiHidden/>
    <w:rsid w:val="00F50A7D"/>
    <w:pPr>
      <w:ind w:left="200" w:hanging="200"/>
    </w:pPr>
  </w:style>
  <w:style w:type="paragraph" w:styleId="TableofFigures">
    <w:name w:val="table of figures"/>
    <w:basedOn w:val="Normal"/>
    <w:next w:val="Normal"/>
    <w:semiHidden/>
    <w:rsid w:val="00F50A7D"/>
    <w:pPr>
      <w:ind w:left="400" w:hanging="400"/>
    </w:pPr>
  </w:style>
  <w:style w:type="character" w:styleId="PageNumber">
    <w:name w:val="page number"/>
    <w:basedOn w:val="DefaultParagraphFont"/>
    <w:rsid w:val="00FC1C71"/>
    <w:rPr>
      <w:rFonts w:ascii="Arial" w:hAnsi="Arial"/>
      <w:sz w:val="16"/>
    </w:rPr>
  </w:style>
  <w:style w:type="paragraph" w:customStyle="1" w:styleId="division">
    <w:name w:val="division"/>
    <w:basedOn w:val="Normal"/>
    <w:rsid w:val="00F50A7D"/>
    <w:pPr>
      <w:spacing w:after="480" w:line="240" w:lineRule="auto"/>
      <w:ind w:left="1886"/>
    </w:pPr>
    <w:rPr>
      <w:sz w:val="30"/>
    </w:rPr>
  </w:style>
  <w:style w:type="paragraph" w:styleId="CommentSubject">
    <w:name w:val="annotation subject"/>
    <w:basedOn w:val="CommentText"/>
    <w:next w:val="CommentText"/>
    <w:link w:val="CommentSubjectChar"/>
    <w:rsid w:val="00F50A7D"/>
    <w:rPr>
      <w:b/>
      <w:bCs/>
    </w:rPr>
  </w:style>
  <w:style w:type="paragraph" w:styleId="BalloonText">
    <w:name w:val="Balloon Text"/>
    <w:basedOn w:val="Normal"/>
    <w:link w:val="BalloonTextChar"/>
    <w:rsid w:val="00F50A7D"/>
    <w:rPr>
      <w:rFonts w:ascii="Tahoma" w:hAnsi="Tahoma" w:cs="Tahoma"/>
      <w:sz w:val="16"/>
      <w:szCs w:val="16"/>
    </w:rPr>
  </w:style>
  <w:style w:type="paragraph" w:styleId="Header">
    <w:name w:val="header"/>
    <w:basedOn w:val="Normal"/>
    <w:link w:val="HeaderChar"/>
    <w:rsid w:val="00F50A7D"/>
    <w:pPr>
      <w:tabs>
        <w:tab w:val="center" w:pos="4153"/>
        <w:tab w:val="right" w:pos="8306"/>
      </w:tabs>
    </w:pPr>
  </w:style>
  <w:style w:type="paragraph" w:customStyle="1" w:styleId="referencelist1">
    <w:name w:val="reference list 1"/>
    <w:link w:val="referencelist1Char"/>
    <w:uiPriority w:val="2"/>
    <w:qFormat/>
    <w:rsid w:val="002530FB"/>
    <w:pPr>
      <w:keepLines/>
      <w:spacing w:after="80" w:line="260" w:lineRule="atLeast"/>
      <w:ind w:left="360" w:hanging="360"/>
    </w:pPr>
    <w:rPr>
      <w:lang w:eastAsia="en-US"/>
    </w:rPr>
  </w:style>
  <w:style w:type="character" w:customStyle="1" w:styleId="referencelist1Char">
    <w:name w:val="reference list 1 Char"/>
    <w:basedOn w:val="DefaultParagraphFont"/>
    <w:link w:val="referencelist1"/>
    <w:uiPriority w:val="2"/>
    <w:rsid w:val="002530FB"/>
    <w:rPr>
      <w:lang w:eastAsia="en-US"/>
    </w:rPr>
  </w:style>
  <w:style w:type="paragraph" w:styleId="Bibliography">
    <w:name w:val="Bibliography"/>
    <w:basedOn w:val="referencelist1"/>
    <w:rsid w:val="00F50A7D"/>
  </w:style>
  <w:style w:type="paragraph" w:customStyle="1" w:styleId="address">
    <w:name w:val="address"/>
    <w:basedOn w:val="Heading4"/>
    <w:rsid w:val="00F50A7D"/>
    <w:pPr>
      <w:spacing w:after="800"/>
      <w:jc w:val="center"/>
    </w:pPr>
  </w:style>
  <w:style w:type="paragraph" w:customStyle="1" w:styleId="authors">
    <w:name w:val="authors"/>
    <w:basedOn w:val="Heading3"/>
    <w:rsid w:val="00F50A7D"/>
    <w:pPr>
      <w:jc w:val="center"/>
    </w:pPr>
  </w:style>
  <w:style w:type="paragraph" w:styleId="ListBullet">
    <w:name w:val="List Bullet"/>
    <w:basedOn w:val="Normal"/>
    <w:rsid w:val="00F50A7D"/>
    <w:pPr>
      <w:tabs>
        <w:tab w:val="num" w:pos="360"/>
      </w:tabs>
      <w:ind w:left="360" w:hanging="360"/>
    </w:pPr>
  </w:style>
  <w:style w:type="paragraph" w:customStyle="1" w:styleId="indexAR-alpha">
    <w:name w:val="index_AR-alpha"/>
    <w:basedOn w:val="indexAR"/>
    <w:rsid w:val="00F50A7D"/>
    <w:pPr>
      <w:keepNext/>
      <w:spacing w:before="140" w:after="80"/>
    </w:pPr>
    <w:rPr>
      <w:sz w:val="22"/>
    </w:rPr>
  </w:style>
  <w:style w:type="paragraph" w:styleId="ListBullet2">
    <w:name w:val="List Bullet 2"/>
    <w:basedOn w:val="Normal"/>
    <w:autoRedefine/>
    <w:rsid w:val="00F50A7D"/>
    <w:pPr>
      <w:tabs>
        <w:tab w:val="num" w:pos="643"/>
      </w:tabs>
      <w:ind w:left="643" w:hanging="360"/>
    </w:pPr>
  </w:style>
  <w:style w:type="paragraph" w:customStyle="1" w:styleId="Normalno">
    <w:name w:val="Normal no #"/>
    <w:basedOn w:val="Normal"/>
    <w:rsid w:val="00F50A7D"/>
    <w:pPr>
      <w:spacing w:after="0"/>
    </w:pPr>
  </w:style>
  <w:style w:type="paragraph" w:styleId="BlockText">
    <w:name w:val="Block Text"/>
    <w:basedOn w:val="Normal"/>
    <w:rsid w:val="00F50A7D"/>
    <w:pPr>
      <w:ind w:left="1440" w:right="1440"/>
    </w:pPr>
  </w:style>
  <w:style w:type="character" w:styleId="Hyperlink">
    <w:name w:val="Hyperlink"/>
    <w:basedOn w:val="DefaultParagraphFont"/>
    <w:uiPriority w:val="99"/>
    <w:rsid w:val="003B7863"/>
    <w:rPr>
      <w:rFonts w:ascii="Times New Roman" w:hAnsi="Times New Roman"/>
      <w:color w:val="0000FF"/>
      <w:sz w:val="20"/>
      <w:u w:val="single"/>
    </w:rPr>
  </w:style>
  <w:style w:type="paragraph" w:styleId="NormalIndent">
    <w:name w:val="Normal Indent"/>
    <w:basedOn w:val="Normal"/>
    <w:rsid w:val="00F50A7D"/>
    <w:pPr>
      <w:spacing w:after="120" w:line="280" w:lineRule="atLeast"/>
      <w:ind w:firstLine="360"/>
      <w:jc w:val="both"/>
    </w:pPr>
  </w:style>
  <w:style w:type="paragraph" w:styleId="Caption">
    <w:name w:val="caption"/>
    <w:basedOn w:val="Normal"/>
    <w:next w:val="Normal"/>
    <w:qFormat/>
    <w:rsid w:val="00F50A7D"/>
    <w:pPr>
      <w:spacing w:before="120" w:after="120"/>
    </w:pPr>
    <w:rPr>
      <w:b/>
      <w:bCs/>
    </w:rPr>
  </w:style>
  <w:style w:type="paragraph" w:styleId="Date">
    <w:name w:val="Date"/>
    <w:basedOn w:val="Normal"/>
    <w:next w:val="Normal"/>
    <w:link w:val="DateChar"/>
    <w:rsid w:val="00F50A7D"/>
  </w:style>
  <w:style w:type="paragraph" w:styleId="ListBullet3">
    <w:name w:val="List Bullet 3"/>
    <w:basedOn w:val="Normal"/>
    <w:autoRedefine/>
    <w:rsid w:val="00F50A7D"/>
    <w:pPr>
      <w:tabs>
        <w:tab w:val="num" w:pos="926"/>
      </w:tabs>
      <w:ind w:left="926" w:hanging="360"/>
    </w:pPr>
  </w:style>
  <w:style w:type="paragraph" w:styleId="ListNumber">
    <w:name w:val="List Number"/>
    <w:basedOn w:val="Normal"/>
    <w:rsid w:val="00F50A7D"/>
    <w:pPr>
      <w:tabs>
        <w:tab w:val="num" w:pos="360"/>
      </w:tabs>
      <w:ind w:left="360" w:hanging="360"/>
    </w:pPr>
  </w:style>
  <w:style w:type="paragraph" w:styleId="PlainText">
    <w:name w:val="Plain Text"/>
    <w:basedOn w:val="Normal"/>
    <w:link w:val="PlainTextChar"/>
    <w:rsid w:val="00F50A7D"/>
    <w:rPr>
      <w:rFonts w:ascii="Courier New" w:hAnsi="Courier New" w:cs="Courier New"/>
    </w:rPr>
  </w:style>
  <w:style w:type="paragraph" w:styleId="Subtitle">
    <w:name w:val="Subtitle"/>
    <w:basedOn w:val="Normal"/>
    <w:link w:val="SubtitleChar"/>
    <w:qFormat/>
    <w:rsid w:val="00D90B72"/>
    <w:pPr>
      <w:spacing w:after="60" w:line="620" w:lineRule="exact"/>
      <w:jc w:val="center"/>
      <w:outlineLvl w:val="1"/>
    </w:pPr>
    <w:rPr>
      <w:rFonts w:ascii="Arial" w:hAnsi="Arial" w:cs="Arial"/>
      <w:b/>
      <w:color w:val="005595"/>
      <w:sz w:val="48"/>
      <w:szCs w:val="24"/>
    </w:rPr>
  </w:style>
  <w:style w:type="paragraph" w:customStyle="1" w:styleId="byline">
    <w:name w:val="byline"/>
    <w:next w:val="Normal"/>
    <w:rsid w:val="00F50A7D"/>
    <w:pPr>
      <w:spacing w:before="240" w:after="60"/>
    </w:pPr>
    <w:rPr>
      <w:rFonts w:ascii="Arial" w:hAnsi="Arial"/>
      <w:b/>
      <w:lang w:eastAsia="en-US"/>
    </w:rPr>
  </w:style>
  <w:style w:type="paragraph" w:customStyle="1" w:styleId="subhead">
    <w:name w:val="subhead"/>
    <w:next w:val="Normal"/>
    <w:rsid w:val="00F50A7D"/>
    <w:pPr>
      <w:spacing w:before="140" w:after="300"/>
      <w:jc w:val="center"/>
    </w:pPr>
    <w:rPr>
      <w:rFonts w:ascii="Arial" w:hAnsi="Arial"/>
      <w:sz w:val="30"/>
      <w:lang w:eastAsia="en-US"/>
    </w:rPr>
  </w:style>
  <w:style w:type="paragraph" w:customStyle="1" w:styleId="table10">
    <w:name w:val="table1"/>
    <w:basedOn w:val="Normal"/>
    <w:rsid w:val="0049114E"/>
  </w:style>
  <w:style w:type="paragraph" w:customStyle="1" w:styleId="numberlist1">
    <w:name w:val="number list 1"/>
    <w:basedOn w:val="Normal"/>
    <w:uiPriority w:val="99"/>
    <w:rsid w:val="00F50A7D"/>
    <w:pPr>
      <w:tabs>
        <w:tab w:val="num" w:pos="360"/>
        <w:tab w:val="num" w:pos="643"/>
      </w:tabs>
      <w:spacing w:after="120" w:line="280" w:lineRule="atLeast"/>
      <w:ind w:left="360" w:hanging="360"/>
      <w:jc w:val="both"/>
    </w:pPr>
    <w:rPr>
      <w:snapToGrid w:val="0"/>
    </w:rPr>
  </w:style>
  <w:style w:type="character" w:styleId="FollowedHyperlink">
    <w:name w:val="FollowedHyperlink"/>
    <w:basedOn w:val="DefaultParagraphFont"/>
    <w:rsid w:val="00F50A7D"/>
    <w:rPr>
      <w:color w:val="800080"/>
      <w:u w:val="single"/>
    </w:rPr>
  </w:style>
  <w:style w:type="table" w:styleId="TableGrid">
    <w:name w:val="Table Grid"/>
    <w:basedOn w:val="TableNormal"/>
    <w:rsid w:val="00F50A7D"/>
    <w:pPr>
      <w:spacing w:after="10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3">
    <w:name w:val="Body Text 3"/>
    <w:basedOn w:val="Normal"/>
    <w:link w:val="BodyText3Char"/>
    <w:rsid w:val="00F50A7D"/>
    <w:pPr>
      <w:spacing w:after="120"/>
    </w:pPr>
    <w:rPr>
      <w:sz w:val="16"/>
      <w:szCs w:val="16"/>
    </w:rPr>
  </w:style>
  <w:style w:type="paragraph" w:styleId="BodyTextFirstIndent">
    <w:name w:val="Body Text First Indent"/>
    <w:basedOn w:val="Normal"/>
    <w:link w:val="BodyTextFirstIndentChar"/>
    <w:rsid w:val="00F50A7D"/>
    <w:pPr>
      <w:spacing w:after="120"/>
      <w:ind w:firstLine="210"/>
    </w:pPr>
  </w:style>
  <w:style w:type="paragraph" w:styleId="BodyTextIndent">
    <w:name w:val="Body Text Indent"/>
    <w:basedOn w:val="Normal"/>
    <w:link w:val="BodyTextIndentChar"/>
    <w:rsid w:val="00F50A7D"/>
    <w:pPr>
      <w:spacing w:after="120"/>
      <w:ind w:left="283"/>
    </w:pPr>
  </w:style>
  <w:style w:type="paragraph" w:styleId="BodyTextFirstIndent2">
    <w:name w:val="Body Text First Indent 2"/>
    <w:basedOn w:val="BodyTextIndent"/>
    <w:link w:val="BodyTextFirstIndent2Char"/>
    <w:rsid w:val="00F50A7D"/>
    <w:pPr>
      <w:ind w:firstLine="210"/>
    </w:pPr>
  </w:style>
  <w:style w:type="paragraph" w:styleId="BodyTextIndent2">
    <w:name w:val="Body Text Indent 2"/>
    <w:basedOn w:val="Normal"/>
    <w:link w:val="BodyTextIndent2Char"/>
    <w:rsid w:val="00F50A7D"/>
    <w:pPr>
      <w:spacing w:after="120" w:line="480" w:lineRule="auto"/>
      <w:ind w:left="283"/>
    </w:pPr>
  </w:style>
  <w:style w:type="paragraph" w:styleId="BodyTextIndent3">
    <w:name w:val="Body Text Indent 3"/>
    <w:basedOn w:val="Normal"/>
    <w:link w:val="BodyTextIndent3Char"/>
    <w:rsid w:val="00F50A7D"/>
    <w:pPr>
      <w:spacing w:after="120"/>
      <w:ind w:left="283"/>
    </w:pPr>
    <w:rPr>
      <w:sz w:val="16"/>
      <w:szCs w:val="16"/>
    </w:rPr>
  </w:style>
  <w:style w:type="paragraph" w:styleId="Closing">
    <w:name w:val="Closing"/>
    <w:basedOn w:val="Normal"/>
    <w:link w:val="ClosingChar"/>
    <w:rsid w:val="00F50A7D"/>
    <w:pPr>
      <w:ind w:left="4252"/>
    </w:pPr>
  </w:style>
  <w:style w:type="paragraph" w:styleId="E-mailSignature">
    <w:name w:val="E-mail Signature"/>
    <w:basedOn w:val="Normal"/>
    <w:link w:val="E-mailSignatureChar"/>
    <w:rsid w:val="00F50A7D"/>
  </w:style>
  <w:style w:type="paragraph" w:styleId="EnvelopeAddress">
    <w:name w:val="envelope address"/>
    <w:basedOn w:val="Normal"/>
    <w:rsid w:val="00F50A7D"/>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F50A7D"/>
    <w:rPr>
      <w:rFonts w:ascii="Arial" w:hAnsi="Arial" w:cs="Arial"/>
    </w:rPr>
  </w:style>
  <w:style w:type="paragraph" w:styleId="HTMLAddress">
    <w:name w:val="HTML Address"/>
    <w:basedOn w:val="Normal"/>
    <w:link w:val="HTMLAddressChar"/>
    <w:rsid w:val="00F50A7D"/>
    <w:rPr>
      <w:i/>
      <w:iCs/>
    </w:rPr>
  </w:style>
  <w:style w:type="paragraph" w:styleId="HTMLPreformatted">
    <w:name w:val="HTML Preformatted"/>
    <w:basedOn w:val="Normal"/>
    <w:link w:val="HTMLPreformattedChar"/>
    <w:rsid w:val="00F50A7D"/>
    <w:rPr>
      <w:rFonts w:ascii="Courier New" w:hAnsi="Courier New" w:cs="Courier New"/>
    </w:rPr>
  </w:style>
  <w:style w:type="paragraph" w:styleId="List">
    <w:name w:val="List"/>
    <w:basedOn w:val="Normal"/>
    <w:rsid w:val="00F50A7D"/>
    <w:pPr>
      <w:ind w:left="283" w:hanging="283"/>
    </w:pPr>
  </w:style>
  <w:style w:type="paragraph" w:styleId="List2">
    <w:name w:val="List 2"/>
    <w:basedOn w:val="Normal"/>
    <w:rsid w:val="00405604"/>
    <w:pPr>
      <w:ind w:left="624" w:hanging="340"/>
    </w:pPr>
  </w:style>
  <w:style w:type="paragraph" w:styleId="List3">
    <w:name w:val="List 3"/>
    <w:basedOn w:val="Normal"/>
    <w:rsid w:val="00F50A7D"/>
    <w:pPr>
      <w:ind w:left="849" w:hanging="283"/>
    </w:pPr>
  </w:style>
  <w:style w:type="paragraph" w:styleId="List4">
    <w:name w:val="List 4"/>
    <w:basedOn w:val="Normal"/>
    <w:rsid w:val="00F50A7D"/>
    <w:pPr>
      <w:ind w:left="1132" w:hanging="283"/>
    </w:pPr>
  </w:style>
  <w:style w:type="paragraph" w:styleId="List5">
    <w:name w:val="List 5"/>
    <w:basedOn w:val="Normal"/>
    <w:rsid w:val="00F50A7D"/>
    <w:pPr>
      <w:ind w:left="1415" w:hanging="283"/>
    </w:pPr>
  </w:style>
  <w:style w:type="paragraph" w:styleId="ListBullet4">
    <w:name w:val="List Bullet 4"/>
    <w:basedOn w:val="Normal"/>
    <w:autoRedefine/>
    <w:rsid w:val="00F50A7D"/>
    <w:pPr>
      <w:tabs>
        <w:tab w:val="num" w:pos="1209"/>
      </w:tabs>
      <w:ind w:left="1209" w:hanging="360"/>
    </w:pPr>
  </w:style>
  <w:style w:type="paragraph" w:styleId="ListBullet5">
    <w:name w:val="List Bullet 5"/>
    <w:basedOn w:val="Normal"/>
    <w:autoRedefine/>
    <w:rsid w:val="00F50A7D"/>
    <w:pPr>
      <w:tabs>
        <w:tab w:val="num" w:pos="1492"/>
      </w:tabs>
      <w:ind w:left="1492" w:hanging="360"/>
    </w:pPr>
  </w:style>
  <w:style w:type="paragraph" w:styleId="ListContinue">
    <w:name w:val="List Continue"/>
    <w:basedOn w:val="Normal"/>
    <w:rsid w:val="00F50A7D"/>
    <w:pPr>
      <w:spacing w:after="120"/>
      <w:ind w:left="283"/>
    </w:pPr>
  </w:style>
  <w:style w:type="paragraph" w:styleId="ListContinue2">
    <w:name w:val="List Continue 2"/>
    <w:basedOn w:val="Normal"/>
    <w:rsid w:val="00F50A7D"/>
    <w:pPr>
      <w:spacing w:after="120"/>
      <w:ind w:left="566"/>
    </w:pPr>
  </w:style>
  <w:style w:type="paragraph" w:styleId="ListContinue3">
    <w:name w:val="List Continue 3"/>
    <w:basedOn w:val="Normal"/>
    <w:rsid w:val="00F50A7D"/>
    <w:pPr>
      <w:spacing w:after="120"/>
      <w:ind w:left="849"/>
    </w:pPr>
  </w:style>
  <w:style w:type="paragraph" w:styleId="ListContinue4">
    <w:name w:val="List Continue 4"/>
    <w:basedOn w:val="Normal"/>
    <w:rsid w:val="00F50A7D"/>
    <w:pPr>
      <w:spacing w:after="120"/>
      <w:ind w:left="1132"/>
    </w:pPr>
  </w:style>
  <w:style w:type="paragraph" w:styleId="ListContinue5">
    <w:name w:val="List Continue 5"/>
    <w:basedOn w:val="Normal"/>
    <w:rsid w:val="00F50A7D"/>
    <w:pPr>
      <w:spacing w:after="120"/>
      <w:ind w:left="1415"/>
    </w:pPr>
  </w:style>
  <w:style w:type="paragraph" w:styleId="ListNumber2">
    <w:name w:val="List Number 2"/>
    <w:basedOn w:val="Normal"/>
    <w:rsid w:val="00F50A7D"/>
    <w:pPr>
      <w:tabs>
        <w:tab w:val="num" w:pos="643"/>
      </w:tabs>
      <w:ind w:left="643" w:hanging="360"/>
    </w:pPr>
  </w:style>
  <w:style w:type="paragraph" w:styleId="ListNumber3">
    <w:name w:val="List Number 3"/>
    <w:basedOn w:val="Normal"/>
    <w:rsid w:val="00F50A7D"/>
    <w:pPr>
      <w:tabs>
        <w:tab w:val="num" w:pos="926"/>
      </w:tabs>
      <w:ind w:left="926" w:hanging="360"/>
    </w:pPr>
  </w:style>
  <w:style w:type="paragraph" w:styleId="ListNumber4">
    <w:name w:val="List Number 4"/>
    <w:basedOn w:val="Normal"/>
    <w:rsid w:val="00F50A7D"/>
    <w:pPr>
      <w:tabs>
        <w:tab w:val="num" w:pos="1209"/>
      </w:tabs>
      <w:ind w:left="1209" w:hanging="360"/>
    </w:pPr>
  </w:style>
  <w:style w:type="paragraph" w:styleId="ListNumber5">
    <w:name w:val="List Number 5"/>
    <w:basedOn w:val="Normal"/>
    <w:rsid w:val="00F50A7D"/>
    <w:pPr>
      <w:tabs>
        <w:tab w:val="num" w:pos="1492"/>
      </w:tabs>
      <w:ind w:left="1492" w:hanging="360"/>
    </w:pPr>
  </w:style>
  <w:style w:type="paragraph" w:styleId="MessageHeader">
    <w:name w:val="Message Header"/>
    <w:basedOn w:val="Normal"/>
    <w:link w:val="MessageHeaderChar"/>
    <w:rsid w:val="00F50A7D"/>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uiPriority w:val="99"/>
    <w:rsid w:val="00F50A7D"/>
    <w:rPr>
      <w:sz w:val="24"/>
      <w:szCs w:val="24"/>
    </w:rPr>
  </w:style>
  <w:style w:type="paragraph" w:styleId="NoteHeading">
    <w:name w:val="Note Heading"/>
    <w:basedOn w:val="Normal"/>
    <w:next w:val="Normal"/>
    <w:link w:val="NoteHeadingChar"/>
    <w:rsid w:val="00F50A7D"/>
  </w:style>
  <w:style w:type="paragraph" w:styleId="Salutation">
    <w:name w:val="Salutation"/>
    <w:basedOn w:val="Normal"/>
    <w:next w:val="Normal"/>
    <w:link w:val="SalutationChar"/>
    <w:rsid w:val="00F50A7D"/>
  </w:style>
  <w:style w:type="paragraph" w:styleId="Signature">
    <w:name w:val="Signature"/>
    <w:basedOn w:val="Normal"/>
    <w:link w:val="SignatureChar"/>
    <w:rsid w:val="00F50A7D"/>
    <w:pPr>
      <w:ind w:left="4252"/>
    </w:pPr>
  </w:style>
  <w:style w:type="character" w:customStyle="1" w:styleId="bodyblue101">
    <w:name w:val="bodyblue_101"/>
    <w:basedOn w:val="DefaultParagraphFont"/>
    <w:rsid w:val="00F50A7D"/>
    <w:rPr>
      <w:rFonts w:ascii="Verdana" w:hAnsi="Verdana" w:hint="default"/>
      <w:i/>
      <w:iCs/>
      <w:color w:val="336699"/>
      <w:spacing w:val="7"/>
      <w:sz w:val="18"/>
      <w:szCs w:val="18"/>
    </w:rPr>
  </w:style>
  <w:style w:type="character" w:styleId="Strong">
    <w:name w:val="Strong"/>
    <w:basedOn w:val="DefaultParagraphFont"/>
    <w:qFormat/>
    <w:rsid w:val="00F50A7D"/>
    <w:rPr>
      <w:b/>
      <w:bCs/>
    </w:rPr>
  </w:style>
  <w:style w:type="paragraph" w:styleId="BodyText">
    <w:name w:val="Body Text"/>
    <w:basedOn w:val="Normal"/>
    <w:link w:val="BodyTextChar"/>
    <w:rsid w:val="00F50A7D"/>
    <w:pPr>
      <w:overflowPunct w:val="0"/>
      <w:autoSpaceDE w:val="0"/>
      <w:autoSpaceDN w:val="0"/>
      <w:adjustRightInd w:val="0"/>
      <w:spacing w:after="240" w:line="240" w:lineRule="auto"/>
      <w:jc w:val="both"/>
      <w:textAlignment w:val="baseline"/>
    </w:pPr>
    <w:rPr>
      <w:noProof/>
      <w:lang w:val="en-GB"/>
    </w:rPr>
  </w:style>
  <w:style w:type="character" w:customStyle="1" w:styleId="BodyTextChar">
    <w:name w:val="Body Text Char"/>
    <w:basedOn w:val="DefaultParagraphFont"/>
    <w:link w:val="BodyText"/>
    <w:rsid w:val="00F50A7D"/>
    <w:rPr>
      <w:noProof/>
      <w:sz w:val="22"/>
      <w:lang w:val="en-GB" w:eastAsia="en-US" w:bidi="ar-SA"/>
    </w:rPr>
  </w:style>
  <w:style w:type="paragraph" w:customStyle="1" w:styleId="IAEAFigureCaption">
    <w:name w:val="IAEA Figure Caption"/>
    <w:basedOn w:val="Normal"/>
    <w:link w:val="IAEAFigureCaptionChar"/>
    <w:rsid w:val="00F50A7D"/>
    <w:pPr>
      <w:spacing w:after="240" w:line="240" w:lineRule="auto"/>
      <w:jc w:val="center"/>
    </w:pPr>
    <w:rPr>
      <w:i/>
      <w:lang w:val="en-GB"/>
    </w:rPr>
  </w:style>
  <w:style w:type="character" w:customStyle="1" w:styleId="IAEAFigureCaptionChar">
    <w:name w:val="IAEA Figure Caption Char"/>
    <w:basedOn w:val="DefaultParagraphFont"/>
    <w:link w:val="IAEAFigureCaption"/>
    <w:rsid w:val="00F50A7D"/>
    <w:rPr>
      <w:i/>
      <w:sz w:val="22"/>
      <w:lang w:val="en-GB" w:eastAsia="en-US" w:bidi="ar-SA"/>
    </w:rPr>
  </w:style>
  <w:style w:type="table" w:styleId="TableSimple1">
    <w:name w:val="Table Simple 1"/>
    <w:basedOn w:val="TableNormal"/>
    <w:rsid w:val="00F50A7D"/>
    <w:pPr>
      <w:spacing w:after="120" w:line="280" w:lineRule="atLeast"/>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BodyText2">
    <w:name w:val="Body Text 2"/>
    <w:basedOn w:val="Normal"/>
    <w:link w:val="BodyText2Char"/>
    <w:rsid w:val="00F50A7D"/>
    <w:pPr>
      <w:spacing w:after="120" w:line="480" w:lineRule="auto"/>
    </w:pPr>
  </w:style>
  <w:style w:type="paragraph" w:styleId="Index1">
    <w:name w:val="index 1"/>
    <w:basedOn w:val="Normal"/>
    <w:next w:val="Normal"/>
    <w:autoRedefine/>
    <w:uiPriority w:val="99"/>
    <w:rsid w:val="00F50A7D"/>
    <w:pPr>
      <w:ind w:left="200" w:hanging="200"/>
    </w:pPr>
  </w:style>
  <w:style w:type="paragraph" w:styleId="DocumentMap">
    <w:name w:val="Document Map"/>
    <w:basedOn w:val="Normal"/>
    <w:link w:val="DocumentMapChar"/>
    <w:rsid w:val="00F50A7D"/>
    <w:pPr>
      <w:shd w:val="clear" w:color="auto" w:fill="000080"/>
    </w:pPr>
    <w:rPr>
      <w:rFonts w:ascii="Tahoma" w:hAnsi="Tahoma" w:cs="Tahoma"/>
    </w:rPr>
  </w:style>
  <w:style w:type="paragraph" w:styleId="Index2">
    <w:name w:val="index 2"/>
    <w:basedOn w:val="Normal"/>
    <w:next w:val="Normal"/>
    <w:autoRedefine/>
    <w:rsid w:val="00F50A7D"/>
    <w:pPr>
      <w:ind w:left="400" w:hanging="200"/>
    </w:pPr>
  </w:style>
  <w:style w:type="paragraph" w:styleId="Index3">
    <w:name w:val="index 3"/>
    <w:basedOn w:val="Normal"/>
    <w:next w:val="Normal"/>
    <w:autoRedefine/>
    <w:rsid w:val="00F50A7D"/>
    <w:pPr>
      <w:ind w:left="600" w:hanging="200"/>
    </w:pPr>
  </w:style>
  <w:style w:type="paragraph" w:styleId="Index4">
    <w:name w:val="index 4"/>
    <w:basedOn w:val="Normal"/>
    <w:next w:val="Normal"/>
    <w:autoRedefine/>
    <w:rsid w:val="00F50A7D"/>
    <w:pPr>
      <w:ind w:left="800" w:hanging="200"/>
    </w:pPr>
  </w:style>
  <w:style w:type="paragraph" w:styleId="Index5">
    <w:name w:val="index 5"/>
    <w:basedOn w:val="Normal"/>
    <w:next w:val="Normal"/>
    <w:autoRedefine/>
    <w:rsid w:val="00F50A7D"/>
    <w:pPr>
      <w:ind w:left="1000" w:hanging="200"/>
    </w:pPr>
  </w:style>
  <w:style w:type="paragraph" w:styleId="Index6">
    <w:name w:val="index 6"/>
    <w:basedOn w:val="Normal"/>
    <w:next w:val="Normal"/>
    <w:autoRedefine/>
    <w:rsid w:val="00F50A7D"/>
    <w:pPr>
      <w:ind w:left="1200" w:hanging="200"/>
    </w:pPr>
  </w:style>
  <w:style w:type="paragraph" w:styleId="Index7">
    <w:name w:val="index 7"/>
    <w:basedOn w:val="Normal"/>
    <w:next w:val="Normal"/>
    <w:autoRedefine/>
    <w:rsid w:val="00F50A7D"/>
    <w:pPr>
      <w:ind w:left="1400" w:hanging="200"/>
    </w:pPr>
  </w:style>
  <w:style w:type="paragraph" w:styleId="Index8">
    <w:name w:val="index 8"/>
    <w:basedOn w:val="Normal"/>
    <w:next w:val="Normal"/>
    <w:autoRedefine/>
    <w:rsid w:val="00F50A7D"/>
    <w:pPr>
      <w:ind w:left="1600" w:hanging="200"/>
    </w:pPr>
  </w:style>
  <w:style w:type="paragraph" w:styleId="Index9">
    <w:name w:val="index 9"/>
    <w:basedOn w:val="Normal"/>
    <w:next w:val="Normal"/>
    <w:autoRedefine/>
    <w:rsid w:val="00F50A7D"/>
    <w:pPr>
      <w:ind w:left="1800" w:hanging="200"/>
    </w:pPr>
  </w:style>
  <w:style w:type="paragraph" w:styleId="MacroText">
    <w:name w:val="macro"/>
    <w:link w:val="MacroTextChar"/>
    <w:rsid w:val="00F50A7D"/>
    <w:pPr>
      <w:tabs>
        <w:tab w:val="left" w:pos="480"/>
        <w:tab w:val="left" w:pos="960"/>
        <w:tab w:val="left" w:pos="1440"/>
        <w:tab w:val="left" w:pos="1920"/>
        <w:tab w:val="left" w:pos="2400"/>
        <w:tab w:val="left" w:pos="2880"/>
        <w:tab w:val="left" w:pos="3360"/>
        <w:tab w:val="left" w:pos="3840"/>
        <w:tab w:val="left" w:pos="4320"/>
      </w:tabs>
      <w:spacing w:after="100" w:line="260" w:lineRule="atLeast"/>
    </w:pPr>
    <w:rPr>
      <w:rFonts w:ascii="Courier New" w:hAnsi="Courier New" w:cs="Courier New"/>
      <w:lang w:eastAsia="en-US"/>
    </w:rPr>
  </w:style>
  <w:style w:type="paragraph" w:customStyle="1" w:styleId="table1Centered">
    <w:name w:val="table 1 + Centered"/>
    <w:aliases w:val="Before:  4 pt,After:  4 pt"/>
    <w:basedOn w:val="Normal"/>
    <w:rsid w:val="00F50A7D"/>
    <w:pPr>
      <w:framePr w:hSpace="180" w:wrap="around" w:vAnchor="text" w:hAnchor="margin" w:y="115"/>
    </w:pPr>
  </w:style>
  <w:style w:type="character" w:styleId="Emphasis">
    <w:name w:val="Emphasis"/>
    <w:basedOn w:val="DefaultParagraphFont"/>
    <w:uiPriority w:val="20"/>
    <w:qFormat/>
    <w:rsid w:val="00F50A7D"/>
    <w:rPr>
      <w:i/>
      <w:iCs/>
    </w:rPr>
  </w:style>
  <w:style w:type="paragraph" w:customStyle="1" w:styleId="Default">
    <w:name w:val="Default"/>
    <w:rsid w:val="00C227A0"/>
    <w:pPr>
      <w:autoSpaceDE w:val="0"/>
      <w:autoSpaceDN w:val="0"/>
      <w:adjustRightInd w:val="0"/>
    </w:pPr>
    <w:rPr>
      <w:rFonts w:ascii="DILDEL+Arial,Bold" w:hAnsi="DILDEL+Arial,Bold" w:cs="DILDEL+Arial,Bold"/>
      <w:color w:val="000000"/>
      <w:sz w:val="24"/>
      <w:szCs w:val="24"/>
    </w:rPr>
  </w:style>
  <w:style w:type="paragraph" w:customStyle="1" w:styleId="figurecaption0">
    <w:name w:val="figurecaption"/>
    <w:basedOn w:val="Normal"/>
    <w:rsid w:val="00056C73"/>
    <w:pPr>
      <w:spacing w:before="100" w:beforeAutospacing="1" w:afterAutospacing="1" w:line="240" w:lineRule="auto"/>
    </w:pPr>
    <w:rPr>
      <w:rFonts w:ascii="Arial" w:hAnsi="Arial"/>
      <w:sz w:val="16"/>
      <w:szCs w:val="24"/>
      <w:lang w:eastAsia="en-AU"/>
    </w:rPr>
  </w:style>
  <w:style w:type="paragraph" w:customStyle="1" w:styleId="Newsbrief-figcap">
    <w:name w:val="Newsbrief-figcap"/>
    <w:basedOn w:val="Normal"/>
    <w:next w:val="Normal"/>
    <w:link w:val="Newsbrief-figcapChar"/>
    <w:rsid w:val="00951D35"/>
    <w:pPr>
      <w:spacing w:after="240" w:line="240" w:lineRule="atLeast"/>
      <w:jc w:val="center"/>
    </w:pPr>
    <w:rPr>
      <w:rFonts w:ascii="Arial" w:hAnsi="Arial"/>
      <w:color w:val="333399"/>
      <w:sz w:val="18"/>
      <w:lang w:val="en-US"/>
    </w:rPr>
  </w:style>
  <w:style w:type="character" w:customStyle="1" w:styleId="Newsbrief-figcapChar">
    <w:name w:val="Newsbrief-figcap Char"/>
    <w:basedOn w:val="DefaultParagraphFont"/>
    <w:link w:val="Newsbrief-figcap"/>
    <w:rsid w:val="00951D35"/>
    <w:rPr>
      <w:rFonts w:ascii="Arial" w:hAnsi="Arial"/>
      <w:color w:val="333399"/>
      <w:sz w:val="18"/>
      <w:lang w:val="en-US" w:eastAsia="en-US" w:bidi="ar-SA"/>
    </w:rPr>
  </w:style>
  <w:style w:type="paragraph" w:styleId="Revision">
    <w:name w:val="Revision"/>
    <w:hidden/>
    <w:uiPriority w:val="99"/>
    <w:semiHidden/>
    <w:rsid w:val="007A4828"/>
    <w:rPr>
      <w:lang w:eastAsia="en-US"/>
    </w:rPr>
  </w:style>
  <w:style w:type="character" w:customStyle="1" w:styleId="Heading1Char">
    <w:name w:val="Heading 1 Char"/>
    <w:basedOn w:val="DefaultParagraphFont"/>
    <w:link w:val="Heading1"/>
    <w:rsid w:val="0017191D"/>
    <w:rPr>
      <w:rFonts w:ascii="Arial Bold" w:hAnsi="Arial Bold"/>
      <w:b/>
      <w:smallCaps/>
      <w:sz w:val="36"/>
      <w:lang w:eastAsia="en-US"/>
    </w:rPr>
  </w:style>
  <w:style w:type="character" w:customStyle="1" w:styleId="Heading2Char">
    <w:name w:val="Heading 2 Char"/>
    <w:basedOn w:val="DefaultParagraphFont"/>
    <w:link w:val="Heading2"/>
    <w:rsid w:val="000305D5"/>
    <w:rPr>
      <w:b/>
      <w:noProof/>
      <w:sz w:val="28"/>
      <w:lang w:eastAsia="en-US"/>
    </w:rPr>
  </w:style>
  <w:style w:type="character" w:customStyle="1" w:styleId="Heading3Char">
    <w:name w:val="Heading 3 Char"/>
    <w:basedOn w:val="DefaultParagraphFont"/>
    <w:link w:val="Heading3"/>
    <w:rsid w:val="00CE378B"/>
    <w:rPr>
      <w:b/>
      <w:noProof/>
      <w:sz w:val="24"/>
      <w:lang w:eastAsia="en-US"/>
    </w:rPr>
  </w:style>
  <w:style w:type="character" w:customStyle="1" w:styleId="Heading4Char">
    <w:name w:val="Heading 4 Char"/>
    <w:basedOn w:val="DefaultParagraphFont"/>
    <w:link w:val="Heading4"/>
    <w:rsid w:val="000305D5"/>
    <w:rPr>
      <w:b/>
      <w:noProof/>
      <w:color w:val="0D0D0D" w:themeColor="text1" w:themeTint="F2"/>
      <w:lang w:eastAsia="en-US"/>
    </w:rPr>
  </w:style>
  <w:style w:type="character" w:customStyle="1" w:styleId="Heading5Char">
    <w:name w:val="Heading 5 Char"/>
    <w:basedOn w:val="DefaultParagraphFont"/>
    <w:link w:val="Heading5"/>
    <w:rsid w:val="000305D5"/>
    <w:rPr>
      <w:i/>
      <w:lang w:eastAsia="en-US"/>
    </w:rPr>
  </w:style>
  <w:style w:type="character" w:customStyle="1" w:styleId="Heading6Char">
    <w:name w:val="Heading 6 Char"/>
    <w:basedOn w:val="DefaultParagraphFont"/>
    <w:link w:val="Heading6"/>
    <w:rsid w:val="00DE799E"/>
    <w:rPr>
      <w:rFonts w:ascii="Arial" w:hAnsi="Arial" w:cs="Arial"/>
      <w:sz w:val="17"/>
      <w:szCs w:val="17"/>
      <w:lang w:eastAsia="en-US"/>
    </w:rPr>
  </w:style>
  <w:style w:type="character" w:customStyle="1" w:styleId="Heading7Char">
    <w:name w:val="Heading 7 Char"/>
    <w:basedOn w:val="DefaultParagraphFont"/>
    <w:link w:val="Heading7"/>
    <w:rsid w:val="000305D5"/>
    <w:rPr>
      <w:b/>
      <w:lang w:eastAsia="en-US"/>
    </w:rPr>
  </w:style>
  <w:style w:type="character" w:customStyle="1" w:styleId="Heading8Char">
    <w:name w:val="Heading 8 Char"/>
    <w:basedOn w:val="DefaultParagraphFont"/>
    <w:link w:val="Heading8"/>
    <w:rsid w:val="00B95D3B"/>
    <w:rPr>
      <w:rFonts w:ascii="Arial" w:hAnsi="Arial"/>
      <w:lang w:eastAsia="en-US"/>
    </w:rPr>
  </w:style>
  <w:style w:type="character" w:customStyle="1" w:styleId="Heading9Char">
    <w:name w:val="Heading 9 Char"/>
    <w:basedOn w:val="DefaultParagraphFont"/>
    <w:link w:val="Heading9"/>
    <w:rsid w:val="00B95D3B"/>
    <w:rPr>
      <w:rFonts w:ascii="Arial" w:hAnsi="Arial"/>
      <w:lang w:eastAsia="en-US"/>
    </w:rPr>
  </w:style>
  <w:style w:type="character" w:customStyle="1" w:styleId="FooterChar">
    <w:name w:val="Footer Char"/>
    <w:basedOn w:val="DefaultParagraphFont"/>
    <w:link w:val="Footer"/>
    <w:uiPriority w:val="99"/>
    <w:rsid w:val="00B95D3B"/>
    <w:rPr>
      <w:rFonts w:ascii="Arial" w:hAnsi="Arial"/>
      <w:lang w:eastAsia="en-US"/>
    </w:rPr>
  </w:style>
  <w:style w:type="character" w:customStyle="1" w:styleId="FootnoteTextChar">
    <w:name w:val="Footnote Text Char"/>
    <w:basedOn w:val="DefaultParagraphFont"/>
    <w:link w:val="FootnoteText"/>
    <w:uiPriority w:val="99"/>
    <w:semiHidden/>
    <w:rsid w:val="00B95D3B"/>
    <w:rPr>
      <w:sz w:val="18"/>
      <w:lang w:eastAsia="en-US"/>
    </w:rPr>
  </w:style>
  <w:style w:type="character" w:customStyle="1" w:styleId="TitleChar">
    <w:name w:val="Title Char"/>
    <w:basedOn w:val="DefaultParagraphFont"/>
    <w:link w:val="Title"/>
    <w:rsid w:val="00B95D3B"/>
    <w:rPr>
      <w:rFonts w:ascii="Arial" w:hAnsi="Arial"/>
      <w:b/>
      <w:sz w:val="30"/>
      <w:lang w:eastAsia="en-US"/>
    </w:rPr>
  </w:style>
  <w:style w:type="character" w:customStyle="1" w:styleId="EndnoteTextChar">
    <w:name w:val="Endnote Text Char"/>
    <w:basedOn w:val="DefaultParagraphFont"/>
    <w:link w:val="EndnoteText"/>
    <w:semiHidden/>
    <w:rsid w:val="00B95D3B"/>
    <w:rPr>
      <w:lang w:eastAsia="en-US"/>
    </w:rPr>
  </w:style>
  <w:style w:type="character" w:customStyle="1" w:styleId="CommentTextChar">
    <w:name w:val="Comment Text Char"/>
    <w:basedOn w:val="DefaultParagraphFont"/>
    <w:link w:val="CommentText"/>
    <w:rsid w:val="00B95D3B"/>
    <w:rPr>
      <w:lang w:eastAsia="en-US"/>
    </w:rPr>
  </w:style>
  <w:style w:type="character" w:customStyle="1" w:styleId="BalloonTextChar">
    <w:name w:val="Balloon Text Char"/>
    <w:basedOn w:val="DefaultParagraphFont"/>
    <w:link w:val="BalloonText"/>
    <w:rsid w:val="00B95D3B"/>
    <w:rPr>
      <w:rFonts w:ascii="Tahoma" w:hAnsi="Tahoma" w:cs="Tahoma"/>
      <w:sz w:val="16"/>
      <w:szCs w:val="16"/>
      <w:lang w:eastAsia="en-US"/>
    </w:rPr>
  </w:style>
  <w:style w:type="character" w:customStyle="1" w:styleId="CommentSubjectChar">
    <w:name w:val="Comment Subject Char"/>
    <w:basedOn w:val="CommentTextChar"/>
    <w:link w:val="CommentSubject"/>
    <w:rsid w:val="00B95D3B"/>
    <w:rPr>
      <w:b/>
      <w:bCs/>
      <w:lang w:eastAsia="en-US"/>
    </w:rPr>
  </w:style>
  <w:style w:type="paragraph" w:customStyle="1" w:styleId="FigureCaption1">
    <w:name w:val="Figure Caption"/>
    <w:basedOn w:val="Caption"/>
    <w:next w:val="Normal"/>
    <w:link w:val="FigureCaptionChar0"/>
    <w:qFormat/>
    <w:rsid w:val="00B95D3B"/>
    <w:pPr>
      <w:keepNext/>
      <w:keepLines/>
      <w:spacing w:before="0" w:after="360" w:line="240" w:lineRule="auto"/>
      <w:ind w:left="1418" w:hanging="1418"/>
    </w:pPr>
    <w:rPr>
      <w:rFonts w:ascii="Arial" w:hAnsi="Arial"/>
      <w:bCs w:val="0"/>
    </w:rPr>
  </w:style>
  <w:style w:type="character" w:customStyle="1" w:styleId="FigureCaptionChar0">
    <w:name w:val="Figure Caption Char"/>
    <w:basedOn w:val="DefaultParagraphFont"/>
    <w:link w:val="FigureCaption1"/>
    <w:rsid w:val="00B95D3B"/>
    <w:rPr>
      <w:rFonts w:ascii="Arial" w:hAnsi="Arial"/>
      <w:b/>
      <w:sz w:val="22"/>
      <w:lang w:eastAsia="en-US"/>
    </w:rPr>
  </w:style>
  <w:style w:type="character" w:customStyle="1" w:styleId="HeaderChar">
    <w:name w:val="Header Char"/>
    <w:basedOn w:val="DefaultParagraphFont"/>
    <w:link w:val="Header"/>
    <w:rsid w:val="00B95D3B"/>
    <w:rPr>
      <w:lang w:eastAsia="en-US"/>
    </w:rPr>
  </w:style>
  <w:style w:type="character" w:customStyle="1" w:styleId="textstyle01">
    <w:name w:val="textstyle01"/>
    <w:basedOn w:val="DefaultParagraphFont"/>
    <w:rsid w:val="00B95D3B"/>
    <w:rPr>
      <w:rFonts w:ascii="Georgia" w:hAnsi="Georgia" w:hint="default"/>
      <w:b w:val="0"/>
      <w:bCs w:val="0"/>
      <w:i w:val="0"/>
      <w:iCs w:val="0"/>
      <w:strike w:val="0"/>
      <w:dstrike w:val="0"/>
      <w:color w:val="31221B"/>
      <w:sz w:val="20"/>
      <w:szCs w:val="20"/>
      <w:u w:val="none"/>
      <w:effect w:val="none"/>
    </w:rPr>
  </w:style>
  <w:style w:type="character" w:customStyle="1" w:styleId="DocumentMapChar">
    <w:name w:val="Document Map Char"/>
    <w:basedOn w:val="DefaultParagraphFont"/>
    <w:link w:val="DocumentMap"/>
    <w:rsid w:val="00B95D3B"/>
    <w:rPr>
      <w:rFonts w:ascii="Tahoma" w:hAnsi="Tahoma" w:cs="Tahoma"/>
      <w:shd w:val="clear" w:color="auto" w:fill="000080"/>
      <w:lang w:eastAsia="en-US"/>
    </w:rPr>
  </w:style>
  <w:style w:type="paragraph" w:styleId="ListParagraph">
    <w:name w:val="List Paragraph"/>
    <w:basedOn w:val="Normal"/>
    <w:uiPriority w:val="34"/>
    <w:qFormat/>
    <w:rsid w:val="00C97D34"/>
    <w:pPr>
      <w:ind w:left="794"/>
      <w:contextualSpacing/>
    </w:pPr>
  </w:style>
  <w:style w:type="character" w:customStyle="1" w:styleId="tablenoteChar">
    <w:name w:val="table note Char"/>
    <w:link w:val="tablenote"/>
    <w:rsid w:val="00093C77"/>
    <w:rPr>
      <w:rFonts w:ascii="Arial" w:hAnsi="Arial"/>
      <w:sz w:val="14"/>
      <w:lang w:eastAsia="en-US"/>
    </w:rPr>
  </w:style>
  <w:style w:type="character" w:customStyle="1" w:styleId="st1">
    <w:name w:val="st1"/>
    <w:basedOn w:val="DefaultParagraphFont"/>
    <w:rsid w:val="000C544D"/>
  </w:style>
  <w:style w:type="character" w:customStyle="1" w:styleId="DateChar">
    <w:name w:val="Date Char"/>
    <w:basedOn w:val="DefaultParagraphFont"/>
    <w:link w:val="Date"/>
    <w:rsid w:val="00AF7597"/>
    <w:rPr>
      <w:lang w:eastAsia="en-US"/>
    </w:rPr>
  </w:style>
  <w:style w:type="character" w:customStyle="1" w:styleId="PlainTextChar">
    <w:name w:val="Plain Text Char"/>
    <w:basedOn w:val="DefaultParagraphFont"/>
    <w:link w:val="PlainText"/>
    <w:rsid w:val="00AF7597"/>
    <w:rPr>
      <w:rFonts w:ascii="Courier New" w:hAnsi="Courier New" w:cs="Courier New"/>
      <w:lang w:eastAsia="en-US"/>
    </w:rPr>
  </w:style>
  <w:style w:type="character" w:customStyle="1" w:styleId="SubtitleChar">
    <w:name w:val="Subtitle Char"/>
    <w:basedOn w:val="DefaultParagraphFont"/>
    <w:link w:val="Subtitle"/>
    <w:rsid w:val="00D90B72"/>
    <w:rPr>
      <w:rFonts w:ascii="Arial" w:hAnsi="Arial" w:cs="Arial"/>
      <w:b/>
      <w:color w:val="005595"/>
      <w:sz w:val="48"/>
      <w:szCs w:val="24"/>
      <w:lang w:eastAsia="en-US"/>
    </w:rPr>
  </w:style>
  <w:style w:type="character" w:customStyle="1" w:styleId="BodyText3Char">
    <w:name w:val="Body Text 3 Char"/>
    <w:basedOn w:val="DefaultParagraphFont"/>
    <w:link w:val="BodyText3"/>
    <w:rsid w:val="00AF7597"/>
    <w:rPr>
      <w:sz w:val="16"/>
      <w:szCs w:val="16"/>
      <w:lang w:eastAsia="en-US"/>
    </w:rPr>
  </w:style>
  <w:style w:type="character" w:customStyle="1" w:styleId="BodyTextFirstIndentChar">
    <w:name w:val="Body Text First Indent Char"/>
    <w:basedOn w:val="BodyTextChar"/>
    <w:link w:val="BodyTextFirstIndent"/>
    <w:rsid w:val="00AF7597"/>
    <w:rPr>
      <w:noProof/>
      <w:sz w:val="22"/>
      <w:lang w:val="en-GB" w:eastAsia="en-US" w:bidi="ar-SA"/>
    </w:rPr>
  </w:style>
  <w:style w:type="character" w:customStyle="1" w:styleId="BodyTextIndentChar">
    <w:name w:val="Body Text Indent Char"/>
    <w:basedOn w:val="DefaultParagraphFont"/>
    <w:link w:val="BodyTextIndent"/>
    <w:rsid w:val="00AF7597"/>
    <w:rPr>
      <w:lang w:eastAsia="en-US"/>
    </w:rPr>
  </w:style>
  <w:style w:type="character" w:customStyle="1" w:styleId="BodyTextFirstIndent2Char">
    <w:name w:val="Body Text First Indent 2 Char"/>
    <w:basedOn w:val="BodyTextIndentChar"/>
    <w:link w:val="BodyTextFirstIndent2"/>
    <w:rsid w:val="00AF7597"/>
    <w:rPr>
      <w:lang w:eastAsia="en-US"/>
    </w:rPr>
  </w:style>
  <w:style w:type="character" w:customStyle="1" w:styleId="BodyTextIndent2Char">
    <w:name w:val="Body Text Indent 2 Char"/>
    <w:basedOn w:val="DefaultParagraphFont"/>
    <w:link w:val="BodyTextIndent2"/>
    <w:rsid w:val="00AF7597"/>
    <w:rPr>
      <w:lang w:eastAsia="en-US"/>
    </w:rPr>
  </w:style>
  <w:style w:type="character" w:customStyle="1" w:styleId="BodyTextIndent3Char">
    <w:name w:val="Body Text Indent 3 Char"/>
    <w:basedOn w:val="DefaultParagraphFont"/>
    <w:link w:val="BodyTextIndent3"/>
    <w:rsid w:val="00AF7597"/>
    <w:rPr>
      <w:sz w:val="16"/>
      <w:szCs w:val="16"/>
      <w:lang w:eastAsia="en-US"/>
    </w:rPr>
  </w:style>
  <w:style w:type="character" w:customStyle="1" w:styleId="ClosingChar">
    <w:name w:val="Closing Char"/>
    <w:basedOn w:val="DefaultParagraphFont"/>
    <w:link w:val="Closing"/>
    <w:rsid w:val="00AF7597"/>
    <w:rPr>
      <w:lang w:eastAsia="en-US"/>
    </w:rPr>
  </w:style>
  <w:style w:type="character" w:customStyle="1" w:styleId="E-mailSignatureChar">
    <w:name w:val="E-mail Signature Char"/>
    <w:basedOn w:val="DefaultParagraphFont"/>
    <w:link w:val="E-mailSignature"/>
    <w:rsid w:val="00AF7597"/>
    <w:rPr>
      <w:lang w:eastAsia="en-US"/>
    </w:rPr>
  </w:style>
  <w:style w:type="character" w:customStyle="1" w:styleId="HTMLAddressChar">
    <w:name w:val="HTML Address Char"/>
    <w:basedOn w:val="DefaultParagraphFont"/>
    <w:link w:val="HTMLAddress"/>
    <w:rsid w:val="00AF7597"/>
    <w:rPr>
      <w:i/>
      <w:iCs/>
      <w:lang w:eastAsia="en-US"/>
    </w:rPr>
  </w:style>
  <w:style w:type="character" w:customStyle="1" w:styleId="HTMLPreformattedChar">
    <w:name w:val="HTML Preformatted Char"/>
    <w:basedOn w:val="DefaultParagraphFont"/>
    <w:link w:val="HTMLPreformatted"/>
    <w:rsid w:val="00AF7597"/>
    <w:rPr>
      <w:rFonts w:ascii="Courier New" w:hAnsi="Courier New" w:cs="Courier New"/>
      <w:lang w:eastAsia="en-US"/>
    </w:rPr>
  </w:style>
  <w:style w:type="character" w:customStyle="1" w:styleId="MessageHeaderChar">
    <w:name w:val="Message Header Char"/>
    <w:basedOn w:val="DefaultParagraphFont"/>
    <w:link w:val="MessageHeader"/>
    <w:rsid w:val="00AF7597"/>
    <w:rPr>
      <w:rFonts w:ascii="Arial" w:hAnsi="Arial" w:cs="Arial"/>
      <w:sz w:val="24"/>
      <w:szCs w:val="24"/>
      <w:shd w:val="pct20" w:color="auto" w:fill="auto"/>
      <w:lang w:eastAsia="en-US"/>
    </w:rPr>
  </w:style>
  <w:style w:type="character" w:customStyle="1" w:styleId="NoteHeadingChar">
    <w:name w:val="Note Heading Char"/>
    <w:basedOn w:val="DefaultParagraphFont"/>
    <w:link w:val="NoteHeading"/>
    <w:rsid w:val="00AF7597"/>
    <w:rPr>
      <w:lang w:eastAsia="en-US"/>
    </w:rPr>
  </w:style>
  <w:style w:type="character" w:customStyle="1" w:styleId="SalutationChar">
    <w:name w:val="Salutation Char"/>
    <w:basedOn w:val="DefaultParagraphFont"/>
    <w:link w:val="Salutation"/>
    <w:rsid w:val="00AF7597"/>
    <w:rPr>
      <w:lang w:eastAsia="en-US"/>
    </w:rPr>
  </w:style>
  <w:style w:type="character" w:customStyle="1" w:styleId="SignatureChar">
    <w:name w:val="Signature Char"/>
    <w:basedOn w:val="DefaultParagraphFont"/>
    <w:link w:val="Signature"/>
    <w:rsid w:val="00AF7597"/>
    <w:rPr>
      <w:lang w:eastAsia="en-US"/>
    </w:rPr>
  </w:style>
  <w:style w:type="character" w:customStyle="1" w:styleId="BodyText2Char">
    <w:name w:val="Body Text 2 Char"/>
    <w:basedOn w:val="DefaultParagraphFont"/>
    <w:link w:val="BodyText2"/>
    <w:rsid w:val="00AF7597"/>
    <w:rPr>
      <w:lang w:eastAsia="en-US"/>
    </w:rPr>
  </w:style>
  <w:style w:type="character" w:customStyle="1" w:styleId="MacroTextChar">
    <w:name w:val="Macro Text Char"/>
    <w:basedOn w:val="DefaultParagraphFont"/>
    <w:link w:val="MacroText"/>
    <w:rsid w:val="00AF7597"/>
    <w:rPr>
      <w:rFonts w:ascii="Courier New" w:hAnsi="Courier New" w:cs="Courier New"/>
      <w:lang w:eastAsia="en-US"/>
    </w:rPr>
  </w:style>
  <w:style w:type="paragraph" w:styleId="TOCHeading">
    <w:name w:val="TOC Heading"/>
    <w:basedOn w:val="Heading1"/>
    <w:next w:val="Normal"/>
    <w:uiPriority w:val="39"/>
    <w:unhideWhenUsed/>
    <w:qFormat/>
    <w:rsid w:val="00AF7597"/>
    <w:pPr>
      <w:keepLines/>
      <w:pBdr>
        <w:bottom w:val="none" w:sz="0" w:space="0" w:color="auto"/>
      </w:pBdr>
      <w:tabs>
        <w:tab w:val="clear" w:pos="505"/>
      </w:tabs>
      <w:spacing w:before="480" w:after="0" w:line="276" w:lineRule="auto"/>
      <w:ind w:left="0" w:firstLine="0"/>
      <w:outlineLvl w:val="9"/>
    </w:pPr>
    <w:rPr>
      <w:rFonts w:asciiTheme="majorHAnsi" w:eastAsiaTheme="majorEastAsia" w:hAnsiTheme="majorHAnsi" w:cstheme="majorBidi"/>
      <w:bCs/>
      <w:smallCaps w:val="0"/>
      <w:color w:val="365F91" w:themeColor="accent1" w:themeShade="BF"/>
      <w:sz w:val="28"/>
      <w:szCs w:val="28"/>
      <w:lang w:val="en-US"/>
    </w:rPr>
  </w:style>
  <w:style w:type="paragraph" w:customStyle="1" w:styleId="Quote10">
    <w:name w:val="Quote1"/>
    <w:basedOn w:val="Normal"/>
    <w:rsid w:val="00931820"/>
    <w:pPr>
      <w:spacing w:line="240" w:lineRule="atLeast"/>
      <w:ind w:left="360"/>
    </w:pPr>
    <w:rPr>
      <w:sz w:val="18"/>
    </w:rPr>
  </w:style>
  <w:style w:type="table" w:styleId="TableClassic1">
    <w:name w:val="Table Classic 1"/>
    <w:basedOn w:val="TableNormal"/>
    <w:rsid w:val="00931820"/>
    <w:pPr>
      <w:spacing w:after="120" w:line="280" w:lineRule="atLeast"/>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ft">
    <w:name w:val="ft"/>
    <w:basedOn w:val="DefaultParagraphFont"/>
    <w:rsid w:val="00931820"/>
  </w:style>
  <w:style w:type="paragraph" w:customStyle="1" w:styleId="IndexAR0">
    <w:name w:val="Index_AR"/>
    <w:uiPriority w:val="99"/>
    <w:rsid w:val="00556A4A"/>
    <w:pPr>
      <w:keepLines/>
      <w:autoSpaceDE w:val="0"/>
      <w:autoSpaceDN w:val="0"/>
      <w:adjustRightInd w:val="0"/>
      <w:spacing w:after="60"/>
      <w:ind w:left="113" w:hanging="113"/>
    </w:pPr>
    <w:rPr>
      <w:rFonts w:eastAsiaTheme="minorEastAsia"/>
      <w:sz w:val="18"/>
    </w:rPr>
  </w:style>
  <w:style w:type="paragraph" w:customStyle="1" w:styleId="Index2AR0">
    <w:name w:val="Index2_AR"/>
    <w:uiPriority w:val="99"/>
    <w:rsid w:val="00556A4A"/>
    <w:pPr>
      <w:widowControl w:val="0"/>
      <w:autoSpaceDE w:val="0"/>
      <w:autoSpaceDN w:val="0"/>
      <w:adjustRightInd w:val="0"/>
      <w:ind w:left="345" w:hanging="116"/>
    </w:pPr>
    <w:rPr>
      <w:rFonts w:eastAsiaTheme="minorEastAsia"/>
      <w:sz w:val="18"/>
    </w:rPr>
  </w:style>
  <w:style w:type="paragraph" w:customStyle="1" w:styleId="Copyright">
    <w:name w:val="Copyright"/>
    <w:basedOn w:val="Normal"/>
    <w:link w:val="CopyrightChar"/>
    <w:qFormat/>
    <w:rsid w:val="00EB6393"/>
    <w:pPr>
      <w:spacing w:line="240" w:lineRule="atLeast"/>
    </w:pPr>
    <w:rPr>
      <w:szCs w:val="18"/>
    </w:rPr>
  </w:style>
  <w:style w:type="character" w:customStyle="1" w:styleId="CopyrightChar">
    <w:name w:val="Copyright Char"/>
    <w:basedOn w:val="DefaultParagraphFont"/>
    <w:link w:val="Copyright"/>
    <w:rsid w:val="00EB6393"/>
    <w:rPr>
      <w:szCs w:val="18"/>
      <w:lang w:eastAsia="en-US"/>
    </w:rPr>
  </w:style>
  <w:style w:type="table" w:customStyle="1" w:styleId="TableGrid1">
    <w:name w:val="Table Grid1"/>
    <w:basedOn w:val="TableNormal"/>
    <w:next w:val="TableGrid"/>
    <w:rsid w:val="00175B00"/>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EndnoteReference">
    <w:name w:val="endnote reference"/>
    <w:basedOn w:val="DefaultParagraphFont"/>
    <w:rsid w:val="007464A1"/>
    <w:rPr>
      <w:vertAlign w:val="superscript"/>
    </w:rPr>
  </w:style>
  <w:style w:type="paragraph" w:customStyle="1" w:styleId="Main">
    <w:name w:val="Main"/>
    <w:uiPriority w:val="99"/>
    <w:rsid w:val="005475F7"/>
    <w:pPr>
      <w:widowControl w:val="0"/>
      <w:tabs>
        <w:tab w:val="right" w:pos="9360"/>
      </w:tabs>
      <w:autoSpaceDE w:val="0"/>
      <w:autoSpaceDN w:val="0"/>
      <w:adjustRightInd w:val="0"/>
      <w:ind w:left="650" w:hanging="650"/>
    </w:pPr>
    <w:rPr>
      <w:rFonts w:ascii="Arial" w:eastAsiaTheme="minorEastAsia" w:hAnsi="Arial" w:cs="Arial"/>
    </w:rPr>
  </w:style>
  <w:style w:type="paragraph" w:customStyle="1" w:styleId="Sub1">
    <w:name w:val="Sub 1"/>
    <w:uiPriority w:val="99"/>
    <w:rsid w:val="007C6B9C"/>
    <w:pPr>
      <w:widowControl w:val="0"/>
      <w:tabs>
        <w:tab w:val="right" w:pos="9360"/>
      </w:tabs>
      <w:autoSpaceDE w:val="0"/>
      <w:autoSpaceDN w:val="0"/>
      <w:adjustRightInd w:val="0"/>
      <w:ind w:left="879" w:hanging="652"/>
    </w:pPr>
    <w:rPr>
      <w:rFonts w:ascii="Arial" w:eastAsiaTheme="minorEastAsia" w:hAnsi="Arial" w:cs="Arial"/>
    </w:rPr>
  </w:style>
  <w:style w:type="paragraph" w:customStyle="1" w:styleId="group">
    <w:name w:val="group"/>
    <w:uiPriority w:val="99"/>
    <w:rsid w:val="005475F7"/>
    <w:pPr>
      <w:widowControl w:val="0"/>
      <w:autoSpaceDE w:val="0"/>
      <w:autoSpaceDN w:val="0"/>
      <w:adjustRightInd w:val="0"/>
      <w:spacing w:line="320" w:lineRule="atLeast"/>
    </w:pPr>
    <w:rPr>
      <w:rFonts w:ascii="Arial" w:eastAsiaTheme="minorEastAsia" w:hAnsi="Arial" w:cs="Arial"/>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AU" w:eastAsia="en-AU" w:bidi="ar-SA"/>
      </w:rPr>
    </w:rPrDefault>
    <w:pPrDefault/>
  </w:docDefaults>
  <w:latentStyles w:defLockedState="0" w:defUIPriority="0" w:defSemiHidden="0" w:defUnhideWhenUsed="0" w:defQFormat="0" w:count="267">
    <w:lsdException w:name="Normal" w:qFormat="1"/>
    <w:lsdException w:name="heading 1" w:qFormat="1"/>
    <w:lsdException w:name="heading 2" w:qFormat="1"/>
    <w:lsdException w:name="heading 3" w:qFormat="1"/>
    <w:lsdException w:name="heading 4" w:qFormat="1"/>
    <w:lsdException w:name="heading 5" w:qFormat="1"/>
    <w:lsdException w:name="heading 6" w:qFormat="1"/>
    <w:lsdException w:name="heading 7" w:qFormat="1"/>
    <w:lsdException w:name="heading 8" w:qFormat="1"/>
    <w:lsdException w:name="heading 9" w:qFormat="1"/>
    <w:lsdException w:name="index 1" w:uiPriority="99"/>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footer" w:uiPriority="99"/>
    <w:lsdException w:name="caption" w:qFormat="1"/>
    <w:lsdException w:name="Title" w:qFormat="1"/>
    <w:lsdException w:name="Subtitle" w:qFormat="1"/>
    <w:lsdException w:name="Hyperlink" w:uiPriority="99"/>
    <w:lsdException w:name="Strong" w:qFormat="1"/>
    <w:lsdException w:name="Emphasis" w:uiPriority="20" w:qFormat="1"/>
    <w:lsdException w:name="Normal (Web)" w:uiPriority="99"/>
    <w:lsdException w:name="No List" w:uiPriority="99"/>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nhideWhenUsed="1"/>
    <w:lsdException w:name="TOC Heading" w:semiHidden="1" w:uiPriority="39" w:unhideWhenUsed="1" w:qFormat="1"/>
  </w:latentStyles>
  <w:style w:type="paragraph" w:default="1" w:styleId="Normal">
    <w:name w:val="Normal"/>
    <w:qFormat/>
    <w:rsid w:val="00EB6393"/>
    <w:pPr>
      <w:spacing w:after="100" w:line="260" w:lineRule="exact"/>
    </w:pPr>
    <w:rPr>
      <w:lang w:eastAsia="en-US"/>
    </w:rPr>
  </w:style>
  <w:style w:type="paragraph" w:styleId="Heading1">
    <w:name w:val="heading 1"/>
    <w:basedOn w:val="Normal"/>
    <w:next w:val="Normal"/>
    <w:link w:val="Heading1Char"/>
    <w:qFormat/>
    <w:rsid w:val="0017191D"/>
    <w:pPr>
      <w:pBdr>
        <w:bottom w:val="single" w:sz="4" w:space="1" w:color="auto"/>
      </w:pBdr>
      <w:tabs>
        <w:tab w:val="left" w:pos="505"/>
      </w:tabs>
      <w:spacing w:after="240" w:line="470" w:lineRule="exact"/>
      <w:ind w:left="505" w:hanging="505"/>
      <w:outlineLvl w:val="0"/>
    </w:pPr>
    <w:rPr>
      <w:rFonts w:ascii="Arial Bold" w:hAnsi="Arial Bold"/>
      <w:b/>
      <w:smallCaps/>
      <w:sz w:val="36"/>
    </w:rPr>
  </w:style>
  <w:style w:type="paragraph" w:styleId="Heading2">
    <w:name w:val="heading 2"/>
    <w:next w:val="Normal"/>
    <w:link w:val="Heading2Char"/>
    <w:qFormat/>
    <w:rsid w:val="000305D5"/>
    <w:pPr>
      <w:keepNext/>
      <w:tabs>
        <w:tab w:val="left" w:pos="505"/>
      </w:tabs>
      <w:spacing w:before="240" w:after="140" w:line="350" w:lineRule="exact"/>
      <w:ind w:left="505" w:hanging="505"/>
      <w:outlineLvl w:val="1"/>
    </w:pPr>
    <w:rPr>
      <w:b/>
      <w:noProof/>
      <w:sz w:val="28"/>
      <w:lang w:eastAsia="en-US"/>
    </w:rPr>
  </w:style>
  <w:style w:type="paragraph" w:styleId="Heading3">
    <w:name w:val="heading 3"/>
    <w:basedOn w:val="Heading2"/>
    <w:next w:val="Normal"/>
    <w:link w:val="Heading3Char"/>
    <w:qFormat/>
    <w:rsid w:val="00CE378B"/>
    <w:pPr>
      <w:tabs>
        <w:tab w:val="clear" w:pos="505"/>
        <w:tab w:val="left" w:pos="641"/>
      </w:tabs>
      <w:spacing w:before="180" w:after="100" w:line="300" w:lineRule="exact"/>
      <w:outlineLvl w:val="2"/>
    </w:pPr>
    <w:rPr>
      <w:sz w:val="24"/>
    </w:rPr>
  </w:style>
  <w:style w:type="paragraph" w:styleId="Heading4">
    <w:name w:val="heading 4"/>
    <w:basedOn w:val="Heading3"/>
    <w:next w:val="Normal"/>
    <w:link w:val="Heading4Char"/>
    <w:qFormat/>
    <w:rsid w:val="000305D5"/>
    <w:pPr>
      <w:spacing w:before="100" w:after="40" w:line="250" w:lineRule="exact"/>
      <w:ind w:left="0" w:firstLine="0"/>
      <w:outlineLvl w:val="3"/>
    </w:pPr>
    <w:rPr>
      <w:color w:val="0D0D0D" w:themeColor="text1" w:themeTint="F2"/>
      <w:sz w:val="20"/>
    </w:rPr>
  </w:style>
  <w:style w:type="paragraph" w:styleId="Heading5">
    <w:name w:val="heading 5"/>
    <w:next w:val="Normal"/>
    <w:link w:val="Heading5Char"/>
    <w:qFormat/>
    <w:rsid w:val="000305D5"/>
    <w:pPr>
      <w:keepNext/>
      <w:spacing w:before="80" w:after="40" w:line="270" w:lineRule="exact"/>
      <w:outlineLvl w:val="4"/>
    </w:pPr>
    <w:rPr>
      <w:i/>
      <w:lang w:eastAsia="en-US"/>
    </w:rPr>
  </w:style>
  <w:style w:type="paragraph" w:styleId="Heading6">
    <w:name w:val="heading 6"/>
    <w:basedOn w:val="Normal"/>
    <w:next w:val="Normal"/>
    <w:link w:val="Heading6Char"/>
    <w:qFormat/>
    <w:rsid w:val="00DE799E"/>
    <w:pPr>
      <w:keepNext/>
      <w:spacing w:before="60" w:after="60" w:line="250" w:lineRule="atLeast"/>
      <w:outlineLvl w:val="5"/>
    </w:pPr>
    <w:rPr>
      <w:rFonts w:ascii="Arial" w:hAnsi="Arial" w:cs="Arial"/>
      <w:sz w:val="17"/>
      <w:szCs w:val="17"/>
    </w:rPr>
  </w:style>
  <w:style w:type="paragraph" w:styleId="Heading7">
    <w:name w:val="heading 7"/>
    <w:basedOn w:val="Normal"/>
    <w:next w:val="Normal"/>
    <w:link w:val="Heading7Char"/>
    <w:qFormat/>
    <w:rsid w:val="000305D5"/>
    <w:pPr>
      <w:keepNext/>
      <w:outlineLvl w:val="6"/>
    </w:pPr>
    <w:rPr>
      <w:b/>
    </w:rPr>
  </w:style>
  <w:style w:type="paragraph" w:styleId="Heading8">
    <w:name w:val="heading 8"/>
    <w:link w:val="Heading8Char"/>
    <w:qFormat/>
    <w:rsid w:val="00F50A7D"/>
    <w:pPr>
      <w:spacing w:after="240" w:line="260" w:lineRule="atLeast"/>
      <w:jc w:val="center"/>
      <w:outlineLvl w:val="7"/>
    </w:pPr>
    <w:rPr>
      <w:rFonts w:ascii="Arial" w:hAnsi="Arial"/>
      <w:lang w:eastAsia="en-US"/>
    </w:rPr>
  </w:style>
  <w:style w:type="paragraph" w:styleId="Heading9">
    <w:name w:val="heading 9"/>
    <w:link w:val="Heading9Char"/>
    <w:qFormat/>
    <w:rsid w:val="00F50A7D"/>
    <w:pPr>
      <w:keepNext/>
      <w:spacing w:before="120" w:after="120" w:line="260" w:lineRule="atLeast"/>
      <w:outlineLvl w:val="8"/>
    </w:pPr>
    <w:rPr>
      <w:rFonts w:ascii="Arial" w:hAnsi="Arial"/>
      <w:lang w:eastAsia="en-US"/>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TOC1">
    <w:name w:val="toc 1"/>
    <w:uiPriority w:val="39"/>
    <w:rsid w:val="00F50A7D"/>
    <w:pPr>
      <w:tabs>
        <w:tab w:val="left" w:pos="360"/>
        <w:tab w:val="left" w:pos="840"/>
        <w:tab w:val="right" w:pos="7470"/>
      </w:tabs>
      <w:spacing w:before="240" w:line="300" w:lineRule="atLeast"/>
      <w:ind w:left="360" w:right="1080" w:hanging="360"/>
    </w:pPr>
    <w:rPr>
      <w:rFonts w:ascii="Arial" w:hAnsi="Arial"/>
      <w:b/>
      <w:caps/>
      <w:noProof/>
      <w:lang w:eastAsia="en-US"/>
    </w:rPr>
  </w:style>
  <w:style w:type="paragraph" w:styleId="TOC4">
    <w:name w:val="toc 4"/>
    <w:basedOn w:val="TOC1"/>
    <w:uiPriority w:val="39"/>
    <w:rsid w:val="00F50A7D"/>
    <w:pPr>
      <w:spacing w:before="60" w:line="260" w:lineRule="atLeast"/>
      <w:ind w:left="1440" w:firstLine="0"/>
    </w:pPr>
    <w:rPr>
      <w:b w:val="0"/>
      <w:i/>
    </w:rPr>
  </w:style>
  <w:style w:type="paragraph" w:styleId="TOC3">
    <w:name w:val="toc 3"/>
    <w:basedOn w:val="TOC1"/>
    <w:uiPriority w:val="39"/>
    <w:rsid w:val="00F50A7D"/>
    <w:pPr>
      <w:tabs>
        <w:tab w:val="left" w:pos="1500"/>
      </w:tabs>
      <w:spacing w:before="20" w:after="20" w:line="240" w:lineRule="exact"/>
      <w:ind w:left="1497" w:hanging="662"/>
    </w:pPr>
    <w:rPr>
      <w:rFonts w:ascii="Times New Roman" w:hAnsi="Times New Roman"/>
      <w:b w:val="0"/>
      <w:caps w:val="0"/>
    </w:rPr>
  </w:style>
  <w:style w:type="paragraph" w:styleId="TOC2">
    <w:name w:val="toc 2"/>
    <w:basedOn w:val="TOC1"/>
    <w:uiPriority w:val="39"/>
    <w:rsid w:val="00A32DBF"/>
    <w:pPr>
      <w:spacing w:before="40" w:after="40" w:line="250" w:lineRule="exact"/>
      <w:ind w:left="835" w:hanging="475"/>
    </w:pPr>
    <w:rPr>
      <w:rFonts w:ascii="Garamond" w:hAnsi="Garamond"/>
      <w:b w:val="0"/>
      <w:caps w:val="0"/>
      <w:sz w:val="22"/>
    </w:rPr>
  </w:style>
  <w:style w:type="paragraph" w:styleId="Footer">
    <w:name w:val="footer"/>
    <w:link w:val="FooterChar"/>
    <w:uiPriority w:val="99"/>
    <w:rsid w:val="00F50A7D"/>
    <w:pPr>
      <w:jc w:val="center"/>
    </w:pPr>
    <w:rPr>
      <w:rFonts w:ascii="Arial" w:hAnsi="Arial"/>
      <w:lang w:eastAsia="en-US"/>
    </w:rPr>
  </w:style>
  <w:style w:type="paragraph" w:customStyle="1" w:styleId="figurecaption">
    <w:name w:val="figure caption"/>
    <w:next w:val="Normal"/>
    <w:link w:val="figurecaptionChar"/>
    <w:qFormat/>
    <w:rsid w:val="00F50A7D"/>
    <w:pPr>
      <w:spacing w:after="240" w:line="220" w:lineRule="atLeast"/>
      <w:jc w:val="center"/>
    </w:pPr>
    <w:rPr>
      <w:rFonts w:ascii="Arial" w:hAnsi="Arial"/>
      <w:bCs/>
      <w:noProof/>
      <w:sz w:val="16"/>
      <w:lang w:val="en-US" w:eastAsia="en-US"/>
    </w:rPr>
  </w:style>
  <w:style w:type="character" w:customStyle="1" w:styleId="figurecaptionChar">
    <w:name w:val="figure caption Char"/>
    <w:basedOn w:val="DefaultParagraphFont"/>
    <w:link w:val="figurecaption"/>
    <w:rsid w:val="00F50A7D"/>
    <w:rPr>
      <w:rFonts w:ascii="Arial" w:hAnsi="Arial"/>
      <w:bCs/>
      <w:noProof/>
      <w:sz w:val="16"/>
      <w:lang w:val="en-US" w:eastAsia="en-US" w:bidi="ar-SA"/>
    </w:rPr>
  </w:style>
  <w:style w:type="paragraph" w:customStyle="1" w:styleId="tablecaption">
    <w:name w:val="table caption"/>
    <w:basedOn w:val="Normal"/>
    <w:next w:val="Normal"/>
    <w:link w:val="tablecaptionChar"/>
    <w:qFormat/>
    <w:rsid w:val="00F50A7D"/>
    <w:pPr>
      <w:keepNext/>
      <w:spacing w:before="120" w:after="120" w:line="240" w:lineRule="atLeast"/>
      <w:jc w:val="center"/>
    </w:pPr>
    <w:rPr>
      <w:rFonts w:cs="Arial"/>
      <w:b/>
      <w:caps/>
      <w:sz w:val="18"/>
    </w:rPr>
  </w:style>
  <w:style w:type="character" w:customStyle="1" w:styleId="tablecaptionChar">
    <w:name w:val="table caption Char"/>
    <w:basedOn w:val="DefaultParagraphFont"/>
    <w:link w:val="tablecaption"/>
    <w:rsid w:val="00F50A7D"/>
    <w:rPr>
      <w:rFonts w:cs="Arial"/>
      <w:b/>
      <w:caps/>
      <w:sz w:val="18"/>
      <w:lang w:val="en-AU" w:eastAsia="en-US" w:bidi="ar-SA"/>
    </w:rPr>
  </w:style>
  <w:style w:type="paragraph" w:customStyle="1" w:styleId="table1">
    <w:name w:val="table 1"/>
    <w:link w:val="table1Char"/>
    <w:qFormat/>
    <w:rsid w:val="00F50A7D"/>
    <w:pPr>
      <w:spacing w:before="100" w:after="100" w:line="220" w:lineRule="atLeast"/>
    </w:pPr>
    <w:rPr>
      <w:rFonts w:ascii="Arial" w:hAnsi="Arial"/>
      <w:sz w:val="16"/>
      <w:lang w:eastAsia="en-US"/>
    </w:rPr>
  </w:style>
  <w:style w:type="character" w:customStyle="1" w:styleId="table1Char">
    <w:name w:val="table 1 Char"/>
    <w:basedOn w:val="DefaultParagraphFont"/>
    <w:link w:val="table1"/>
    <w:rsid w:val="00F50A7D"/>
    <w:rPr>
      <w:rFonts w:ascii="Arial" w:hAnsi="Arial"/>
      <w:sz w:val="16"/>
      <w:lang w:val="en-AU" w:eastAsia="en-US" w:bidi="ar-SA"/>
    </w:rPr>
  </w:style>
  <w:style w:type="paragraph" w:customStyle="1" w:styleId="table1list">
    <w:name w:val="table 1 list"/>
    <w:basedOn w:val="table1"/>
    <w:rsid w:val="00F50A7D"/>
    <w:pPr>
      <w:ind w:left="240" w:hanging="240"/>
    </w:pPr>
  </w:style>
  <w:style w:type="paragraph" w:customStyle="1" w:styleId="tablenote">
    <w:name w:val="table note"/>
    <w:basedOn w:val="table1"/>
    <w:link w:val="tablenoteChar"/>
    <w:qFormat/>
    <w:rsid w:val="00F50A7D"/>
    <w:pPr>
      <w:tabs>
        <w:tab w:val="left" w:pos="240"/>
      </w:tabs>
      <w:spacing w:after="180" w:line="180" w:lineRule="atLeast"/>
      <w:ind w:left="238" w:hanging="238"/>
    </w:pPr>
    <w:rPr>
      <w:sz w:val="14"/>
    </w:rPr>
  </w:style>
  <w:style w:type="paragraph" w:customStyle="1" w:styleId="4point">
    <w:name w:val="4 point #"/>
    <w:link w:val="4pointChar"/>
    <w:rsid w:val="00F50A7D"/>
    <w:rPr>
      <w:sz w:val="8"/>
      <w:lang w:eastAsia="en-US"/>
    </w:rPr>
  </w:style>
  <w:style w:type="character" w:customStyle="1" w:styleId="4pointChar">
    <w:name w:val="4 point # Char"/>
    <w:basedOn w:val="DefaultParagraphFont"/>
    <w:link w:val="4point"/>
    <w:rsid w:val="00F50A7D"/>
    <w:rPr>
      <w:sz w:val="8"/>
      <w:lang w:val="en-AU" w:eastAsia="en-US" w:bidi="ar-SA"/>
    </w:rPr>
  </w:style>
  <w:style w:type="paragraph" w:customStyle="1" w:styleId="table2">
    <w:name w:val="table 2"/>
    <w:basedOn w:val="table1"/>
    <w:rsid w:val="00F50A7D"/>
    <w:pPr>
      <w:spacing w:before="20" w:after="20"/>
    </w:pPr>
  </w:style>
  <w:style w:type="paragraph" w:customStyle="1" w:styleId="equation1">
    <w:name w:val="equation 1"/>
    <w:basedOn w:val="Normal"/>
    <w:rsid w:val="00F50A7D"/>
    <w:pPr>
      <w:tabs>
        <w:tab w:val="right" w:pos="5280"/>
      </w:tabs>
      <w:spacing w:before="40" w:after="140"/>
      <w:ind w:left="360"/>
    </w:pPr>
    <w:rPr>
      <w:rFonts w:ascii="Arial" w:hAnsi="Arial"/>
    </w:rPr>
  </w:style>
  <w:style w:type="paragraph" w:customStyle="1" w:styleId="verso1">
    <w:name w:val="verso 1"/>
    <w:rsid w:val="00F50A7D"/>
    <w:pPr>
      <w:spacing w:after="80" w:line="220" w:lineRule="atLeast"/>
      <w:ind w:left="240" w:right="720"/>
    </w:pPr>
    <w:rPr>
      <w:rFonts w:ascii="Arial" w:hAnsi="Arial"/>
      <w:sz w:val="18"/>
      <w:lang w:eastAsia="en-US"/>
    </w:rPr>
  </w:style>
  <w:style w:type="paragraph" w:styleId="FootnoteText">
    <w:name w:val="footnote text"/>
    <w:basedOn w:val="Normal"/>
    <w:link w:val="FootnoteTextChar"/>
    <w:semiHidden/>
    <w:rsid w:val="00F50A7D"/>
    <w:pPr>
      <w:tabs>
        <w:tab w:val="left" w:pos="240"/>
      </w:tabs>
      <w:spacing w:after="80" w:line="240" w:lineRule="atLeast"/>
      <w:ind w:left="240" w:hanging="240"/>
    </w:pPr>
    <w:rPr>
      <w:sz w:val="18"/>
    </w:rPr>
  </w:style>
  <w:style w:type="paragraph" w:customStyle="1" w:styleId="Quote1">
    <w:name w:val="Quote1"/>
    <w:basedOn w:val="Normal"/>
    <w:qFormat/>
    <w:rsid w:val="00F50A7D"/>
    <w:pPr>
      <w:spacing w:line="240" w:lineRule="atLeast"/>
      <w:ind w:left="360"/>
    </w:pPr>
    <w:rPr>
      <w:sz w:val="18"/>
    </w:rPr>
  </w:style>
  <w:style w:type="paragraph" w:customStyle="1" w:styleId="landscape">
    <w:name w:val="landscape#"/>
    <w:basedOn w:val="Normal"/>
    <w:rsid w:val="00F50A7D"/>
    <w:pPr>
      <w:framePr w:w="567" w:h="1134" w:hSpace="181" w:wrap="around" w:vAnchor="page" w:hAnchor="page" w:x="568" w:yAlign="center"/>
      <w:shd w:val="solid" w:color="FFFFFF" w:fill="FFFFFF"/>
      <w:jc w:val="center"/>
      <w:textDirection w:val="tbRl"/>
    </w:pPr>
    <w:rPr>
      <w:rFonts w:ascii="Arial" w:hAnsi="Arial"/>
    </w:rPr>
  </w:style>
  <w:style w:type="paragraph" w:styleId="Title">
    <w:name w:val="Title"/>
    <w:basedOn w:val="Normal"/>
    <w:link w:val="TitleChar"/>
    <w:qFormat/>
    <w:rsid w:val="00F50A7D"/>
    <w:pPr>
      <w:pBdr>
        <w:top w:val="single" w:sz="12" w:space="1" w:color="auto"/>
        <w:bottom w:val="single" w:sz="12" w:space="1" w:color="auto"/>
      </w:pBdr>
      <w:spacing w:before="240" w:after="240"/>
      <w:jc w:val="center"/>
    </w:pPr>
    <w:rPr>
      <w:rFonts w:ascii="Arial" w:hAnsi="Arial"/>
      <w:b/>
      <w:sz w:val="30"/>
    </w:rPr>
  </w:style>
  <w:style w:type="paragraph" w:customStyle="1" w:styleId="platecaption">
    <w:name w:val="plate caption"/>
    <w:basedOn w:val="figurecaption"/>
    <w:link w:val="platecaptionChar"/>
    <w:rsid w:val="00F50A7D"/>
  </w:style>
  <w:style w:type="character" w:customStyle="1" w:styleId="platecaptionChar">
    <w:name w:val="plate caption Char"/>
    <w:basedOn w:val="figurecaptionChar"/>
    <w:link w:val="platecaption"/>
    <w:rsid w:val="00F50A7D"/>
    <w:rPr>
      <w:rFonts w:ascii="Arial" w:hAnsi="Arial"/>
      <w:bCs/>
      <w:noProof/>
      <w:sz w:val="16"/>
      <w:lang w:val="en-US" w:eastAsia="en-US" w:bidi="ar-SA"/>
    </w:rPr>
  </w:style>
  <w:style w:type="character" w:styleId="FootnoteReference">
    <w:name w:val="footnote reference"/>
    <w:basedOn w:val="DefaultParagraphFont"/>
    <w:rsid w:val="00F50A7D"/>
    <w:rPr>
      <w:vertAlign w:val="superscript"/>
    </w:rPr>
  </w:style>
  <w:style w:type="paragraph" w:styleId="TOC5">
    <w:name w:val="toc 5"/>
    <w:basedOn w:val="Normal"/>
    <w:next w:val="Normal"/>
    <w:autoRedefine/>
    <w:uiPriority w:val="39"/>
    <w:rsid w:val="00F50A7D"/>
    <w:pPr>
      <w:ind w:left="880"/>
    </w:pPr>
  </w:style>
  <w:style w:type="paragraph" w:styleId="TOC6">
    <w:name w:val="toc 6"/>
    <w:basedOn w:val="Normal"/>
    <w:next w:val="Normal"/>
    <w:autoRedefine/>
    <w:uiPriority w:val="39"/>
    <w:rsid w:val="00F50A7D"/>
    <w:pPr>
      <w:ind w:left="1100"/>
    </w:pPr>
  </w:style>
  <w:style w:type="paragraph" w:styleId="TOC7">
    <w:name w:val="toc 7"/>
    <w:basedOn w:val="Normal"/>
    <w:next w:val="Normal"/>
    <w:autoRedefine/>
    <w:uiPriority w:val="39"/>
    <w:rsid w:val="00F50A7D"/>
    <w:pPr>
      <w:ind w:left="1320"/>
    </w:pPr>
  </w:style>
  <w:style w:type="paragraph" w:styleId="TOC8">
    <w:name w:val="toc 8"/>
    <w:basedOn w:val="Normal"/>
    <w:next w:val="Normal"/>
    <w:autoRedefine/>
    <w:uiPriority w:val="39"/>
    <w:rsid w:val="00F50A7D"/>
    <w:pPr>
      <w:ind w:left="1540"/>
    </w:pPr>
  </w:style>
  <w:style w:type="paragraph" w:styleId="TOC9">
    <w:name w:val="toc 9"/>
    <w:basedOn w:val="Normal"/>
    <w:next w:val="Normal"/>
    <w:autoRedefine/>
    <w:uiPriority w:val="39"/>
    <w:rsid w:val="00F50A7D"/>
    <w:pPr>
      <w:ind w:left="1760"/>
    </w:pPr>
  </w:style>
  <w:style w:type="paragraph" w:styleId="EndnoteText">
    <w:name w:val="endnote text"/>
    <w:basedOn w:val="Normal"/>
    <w:link w:val="EndnoteTextChar"/>
    <w:semiHidden/>
    <w:rsid w:val="00F50A7D"/>
  </w:style>
  <w:style w:type="paragraph" w:styleId="IndexHeading">
    <w:name w:val="index heading"/>
    <w:basedOn w:val="Normal"/>
    <w:next w:val="Normal"/>
    <w:semiHidden/>
    <w:rsid w:val="00F50A7D"/>
    <w:rPr>
      <w:rFonts w:ascii="Arial" w:hAnsi="Arial" w:cs="Arial"/>
      <w:b/>
      <w:bCs/>
    </w:rPr>
  </w:style>
  <w:style w:type="paragraph" w:styleId="TOAHeading">
    <w:name w:val="toa heading"/>
    <w:basedOn w:val="Normal"/>
    <w:next w:val="Normal"/>
    <w:semiHidden/>
    <w:rsid w:val="00F50A7D"/>
    <w:pPr>
      <w:tabs>
        <w:tab w:val="num" w:pos="643"/>
      </w:tabs>
      <w:spacing w:before="120"/>
      <w:ind w:left="643" w:hanging="360"/>
    </w:pPr>
    <w:rPr>
      <w:rFonts w:ascii="Arial" w:hAnsi="Arial" w:cs="Arial"/>
      <w:b/>
      <w:bCs/>
      <w:sz w:val="24"/>
      <w:szCs w:val="24"/>
    </w:rPr>
  </w:style>
  <w:style w:type="paragraph" w:customStyle="1" w:styleId="indexAR">
    <w:name w:val="index_AR"/>
    <w:basedOn w:val="Normal"/>
    <w:rsid w:val="00F50A7D"/>
    <w:pPr>
      <w:keepLines/>
      <w:widowControl w:val="0"/>
      <w:autoSpaceDE w:val="0"/>
      <w:autoSpaceDN w:val="0"/>
      <w:adjustRightInd w:val="0"/>
      <w:spacing w:after="60" w:line="240" w:lineRule="auto"/>
      <w:ind w:left="144" w:hanging="144"/>
    </w:pPr>
    <w:rPr>
      <w:spacing w:val="-2"/>
      <w:sz w:val="18"/>
      <w:szCs w:val="18"/>
    </w:rPr>
  </w:style>
  <w:style w:type="paragraph" w:customStyle="1" w:styleId="index2AR">
    <w:name w:val="index2_AR"/>
    <w:basedOn w:val="indexAR"/>
    <w:qFormat/>
    <w:rsid w:val="00F50A7D"/>
    <w:pPr>
      <w:ind w:left="288"/>
    </w:pPr>
    <w:rPr>
      <w:rFonts w:cs="Arial"/>
    </w:rPr>
  </w:style>
  <w:style w:type="paragraph" w:customStyle="1" w:styleId="header-evenpage">
    <w:name w:val="header-evenpage"/>
    <w:basedOn w:val="header-oddpage"/>
    <w:rsid w:val="0090101A"/>
    <w:pPr>
      <w:jc w:val="right"/>
    </w:pPr>
  </w:style>
  <w:style w:type="paragraph" w:customStyle="1" w:styleId="header-oddpage">
    <w:name w:val="header-oddpage"/>
    <w:basedOn w:val="Normal"/>
    <w:rsid w:val="0090101A"/>
    <w:pPr>
      <w:ind w:left="-720" w:right="-720"/>
    </w:pPr>
    <w:rPr>
      <w:sz w:val="16"/>
    </w:rPr>
  </w:style>
  <w:style w:type="paragraph" w:customStyle="1" w:styleId="Normallist2">
    <w:name w:val="Normal list 2"/>
    <w:basedOn w:val="Normal"/>
    <w:link w:val="Normallist2Char"/>
    <w:rsid w:val="00F50A7D"/>
    <w:pPr>
      <w:ind w:left="720" w:hanging="360"/>
    </w:pPr>
  </w:style>
  <w:style w:type="character" w:customStyle="1" w:styleId="Normallist2Char">
    <w:name w:val="Normal list 2 Char"/>
    <w:basedOn w:val="DefaultParagraphFont"/>
    <w:link w:val="Normallist2"/>
    <w:rsid w:val="00F50A7D"/>
    <w:rPr>
      <w:lang w:val="en-AU" w:eastAsia="en-US" w:bidi="ar-SA"/>
    </w:rPr>
  </w:style>
  <w:style w:type="paragraph" w:styleId="CommentText">
    <w:name w:val="annotation text"/>
    <w:basedOn w:val="Normal"/>
    <w:link w:val="CommentTextChar"/>
    <w:rsid w:val="00F50A7D"/>
  </w:style>
  <w:style w:type="paragraph" w:customStyle="1" w:styleId="Normallist1">
    <w:name w:val="Normal list 1"/>
    <w:basedOn w:val="Normal"/>
    <w:rsid w:val="00F50A7D"/>
    <w:pPr>
      <w:ind w:left="360" w:hanging="360"/>
    </w:pPr>
  </w:style>
  <w:style w:type="character" w:styleId="CommentReference">
    <w:name w:val="annotation reference"/>
    <w:basedOn w:val="DefaultParagraphFont"/>
    <w:rsid w:val="00F50A7D"/>
    <w:rPr>
      <w:sz w:val="16"/>
    </w:rPr>
  </w:style>
  <w:style w:type="paragraph" w:customStyle="1" w:styleId="bulletlist1">
    <w:name w:val="bullet list 1"/>
    <w:basedOn w:val="Normal"/>
    <w:link w:val="bulletlist1Char"/>
    <w:autoRedefine/>
    <w:qFormat/>
    <w:rsid w:val="005558E1"/>
    <w:pPr>
      <w:numPr>
        <w:numId w:val="30"/>
      </w:numPr>
      <w:tabs>
        <w:tab w:val="clear" w:pos="720"/>
        <w:tab w:val="num" w:pos="-1985"/>
      </w:tabs>
      <w:spacing w:line="260" w:lineRule="atLeast"/>
      <w:ind w:left="284" w:hanging="284"/>
    </w:pPr>
  </w:style>
  <w:style w:type="character" w:customStyle="1" w:styleId="bulletlist1Char">
    <w:name w:val="bullet list 1 Char"/>
    <w:basedOn w:val="DefaultParagraphFont"/>
    <w:link w:val="bulletlist1"/>
    <w:rsid w:val="005558E1"/>
    <w:rPr>
      <w:rFonts w:ascii="Garamond" w:hAnsi="Garamond"/>
      <w:sz w:val="22"/>
      <w:lang w:eastAsia="en-US"/>
    </w:rPr>
  </w:style>
  <w:style w:type="paragraph" w:customStyle="1" w:styleId="bulletlist2">
    <w:name w:val="bullet list 2"/>
    <w:basedOn w:val="Normal"/>
    <w:rsid w:val="00CE14D3"/>
    <w:pPr>
      <w:numPr>
        <w:numId w:val="33"/>
      </w:numPr>
      <w:tabs>
        <w:tab w:val="left" w:pos="57"/>
      </w:tabs>
      <w:ind w:left="924" w:hanging="357"/>
    </w:pPr>
  </w:style>
  <w:style w:type="paragraph" w:styleId="TableofAuthorities">
    <w:name w:val="table of authorities"/>
    <w:basedOn w:val="Normal"/>
    <w:next w:val="Normal"/>
    <w:semiHidden/>
    <w:rsid w:val="00F50A7D"/>
    <w:pPr>
      <w:ind w:left="200" w:hanging="200"/>
    </w:pPr>
  </w:style>
  <w:style w:type="paragraph" w:styleId="TableofFigures">
    <w:name w:val="table of figures"/>
    <w:basedOn w:val="Normal"/>
    <w:next w:val="Normal"/>
    <w:semiHidden/>
    <w:rsid w:val="00F50A7D"/>
    <w:pPr>
      <w:ind w:left="400" w:hanging="400"/>
    </w:pPr>
  </w:style>
  <w:style w:type="character" w:styleId="PageNumber">
    <w:name w:val="page number"/>
    <w:basedOn w:val="DefaultParagraphFont"/>
    <w:rsid w:val="00FC1C71"/>
    <w:rPr>
      <w:rFonts w:ascii="Arial" w:hAnsi="Arial"/>
      <w:sz w:val="16"/>
    </w:rPr>
  </w:style>
  <w:style w:type="paragraph" w:customStyle="1" w:styleId="division">
    <w:name w:val="division"/>
    <w:basedOn w:val="Normal"/>
    <w:rsid w:val="00F50A7D"/>
    <w:pPr>
      <w:spacing w:after="480" w:line="240" w:lineRule="auto"/>
      <w:ind w:left="1886"/>
    </w:pPr>
    <w:rPr>
      <w:sz w:val="30"/>
    </w:rPr>
  </w:style>
  <w:style w:type="paragraph" w:styleId="CommentSubject">
    <w:name w:val="annotation subject"/>
    <w:basedOn w:val="CommentText"/>
    <w:next w:val="CommentText"/>
    <w:link w:val="CommentSubjectChar"/>
    <w:rsid w:val="00F50A7D"/>
    <w:rPr>
      <w:b/>
      <w:bCs/>
    </w:rPr>
  </w:style>
  <w:style w:type="paragraph" w:styleId="BalloonText">
    <w:name w:val="Balloon Text"/>
    <w:basedOn w:val="Normal"/>
    <w:link w:val="BalloonTextChar"/>
    <w:rsid w:val="00F50A7D"/>
    <w:rPr>
      <w:rFonts w:ascii="Tahoma" w:hAnsi="Tahoma" w:cs="Tahoma"/>
      <w:sz w:val="16"/>
      <w:szCs w:val="16"/>
    </w:rPr>
  </w:style>
  <w:style w:type="paragraph" w:styleId="Header">
    <w:name w:val="header"/>
    <w:basedOn w:val="Normal"/>
    <w:link w:val="HeaderChar"/>
    <w:rsid w:val="00F50A7D"/>
    <w:pPr>
      <w:tabs>
        <w:tab w:val="center" w:pos="4153"/>
        <w:tab w:val="right" w:pos="8306"/>
      </w:tabs>
    </w:pPr>
  </w:style>
  <w:style w:type="paragraph" w:customStyle="1" w:styleId="referencelist1">
    <w:name w:val="reference list 1"/>
    <w:link w:val="referencelist1Char"/>
    <w:uiPriority w:val="2"/>
    <w:qFormat/>
    <w:rsid w:val="002530FB"/>
    <w:pPr>
      <w:keepLines/>
      <w:spacing w:after="80" w:line="260" w:lineRule="atLeast"/>
      <w:ind w:left="360" w:hanging="360"/>
    </w:pPr>
    <w:rPr>
      <w:lang w:eastAsia="en-US"/>
    </w:rPr>
  </w:style>
  <w:style w:type="character" w:customStyle="1" w:styleId="referencelist1Char">
    <w:name w:val="reference list 1 Char"/>
    <w:basedOn w:val="DefaultParagraphFont"/>
    <w:link w:val="referencelist1"/>
    <w:uiPriority w:val="2"/>
    <w:rsid w:val="002530FB"/>
    <w:rPr>
      <w:lang w:eastAsia="en-US"/>
    </w:rPr>
  </w:style>
  <w:style w:type="paragraph" w:styleId="Bibliography">
    <w:name w:val="Bibliography"/>
    <w:basedOn w:val="referencelist1"/>
    <w:rsid w:val="00F50A7D"/>
  </w:style>
  <w:style w:type="paragraph" w:customStyle="1" w:styleId="address">
    <w:name w:val="address"/>
    <w:basedOn w:val="Heading4"/>
    <w:rsid w:val="00F50A7D"/>
    <w:pPr>
      <w:spacing w:after="800"/>
      <w:jc w:val="center"/>
    </w:pPr>
  </w:style>
  <w:style w:type="paragraph" w:customStyle="1" w:styleId="authors">
    <w:name w:val="authors"/>
    <w:basedOn w:val="Heading3"/>
    <w:rsid w:val="00F50A7D"/>
    <w:pPr>
      <w:jc w:val="center"/>
    </w:pPr>
  </w:style>
  <w:style w:type="paragraph" w:styleId="ListBullet">
    <w:name w:val="List Bullet"/>
    <w:basedOn w:val="Normal"/>
    <w:rsid w:val="00F50A7D"/>
    <w:pPr>
      <w:tabs>
        <w:tab w:val="num" w:pos="360"/>
      </w:tabs>
      <w:ind w:left="360" w:hanging="360"/>
    </w:pPr>
  </w:style>
  <w:style w:type="paragraph" w:customStyle="1" w:styleId="indexAR-alpha">
    <w:name w:val="index_AR-alpha"/>
    <w:basedOn w:val="indexAR"/>
    <w:rsid w:val="00F50A7D"/>
    <w:pPr>
      <w:keepNext/>
      <w:spacing w:before="140" w:after="80"/>
    </w:pPr>
    <w:rPr>
      <w:sz w:val="22"/>
    </w:rPr>
  </w:style>
  <w:style w:type="paragraph" w:styleId="ListBullet2">
    <w:name w:val="List Bullet 2"/>
    <w:basedOn w:val="Normal"/>
    <w:autoRedefine/>
    <w:rsid w:val="00F50A7D"/>
    <w:pPr>
      <w:tabs>
        <w:tab w:val="num" w:pos="643"/>
      </w:tabs>
      <w:ind w:left="643" w:hanging="360"/>
    </w:pPr>
  </w:style>
  <w:style w:type="paragraph" w:customStyle="1" w:styleId="Normalno">
    <w:name w:val="Normal no #"/>
    <w:basedOn w:val="Normal"/>
    <w:rsid w:val="00F50A7D"/>
    <w:pPr>
      <w:spacing w:after="0"/>
    </w:pPr>
  </w:style>
  <w:style w:type="paragraph" w:styleId="BlockText">
    <w:name w:val="Block Text"/>
    <w:basedOn w:val="Normal"/>
    <w:rsid w:val="00F50A7D"/>
    <w:pPr>
      <w:ind w:left="1440" w:right="1440"/>
    </w:pPr>
  </w:style>
  <w:style w:type="character" w:styleId="Hyperlink">
    <w:name w:val="Hyperlink"/>
    <w:basedOn w:val="DefaultParagraphFont"/>
    <w:uiPriority w:val="99"/>
    <w:rsid w:val="003B7863"/>
    <w:rPr>
      <w:rFonts w:ascii="Times New Roman" w:hAnsi="Times New Roman"/>
      <w:color w:val="0000FF"/>
      <w:sz w:val="20"/>
      <w:u w:val="single"/>
    </w:rPr>
  </w:style>
  <w:style w:type="paragraph" w:styleId="NormalIndent">
    <w:name w:val="Normal Indent"/>
    <w:basedOn w:val="Normal"/>
    <w:rsid w:val="00F50A7D"/>
    <w:pPr>
      <w:spacing w:after="120" w:line="280" w:lineRule="atLeast"/>
      <w:ind w:firstLine="360"/>
      <w:jc w:val="both"/>
    </w:pPr>
  </w:style>
  <w:style w:type="paragraph" w:styleId="Caption">
    <w:name w:val="caption"/>
    <w:basedOn w:val="Normal"/>
    <w:next w:val="Normal"/>
    <w:qFormat/>
    <w:rsid w:val="00F50A7D"/>
    <w:pPr>
      <w:spacing w:before="120" w:after="120"/>
    </w:pPr>
    <w:rPr>
      <w:b/>
      <w:bCs/>
    </w:rPr>
  </w:style>
  <w:style w:type="paragraph" w:styleId="Date">
    <w:name w:val="Date"/>
    <w:basedOn w:val="Normal"/>
    <w:next w:val="Normal"/>
    <w:link w:val="DateChar"/>
    <w:rsid w:val="00F50A7D"/>
  </w:style>
  <w:style w:type="paragraph" w:styleId="ListBullet3">
    <w:name w:val="List Bullet 3"/>
    <w:basedOn w:val="Normal"/>
    <w:autoRedefine/>
    <w:rsid w:val="00F50A7D"/>
    <w:pPr>
      <w:tabs>
        <w:tab w:val="num" w:pos="926"/>
      </w:tabs>
      <w:ind w:left="926" w:hanging="360"/>
    </w:pPr>
  </w:style>
  <w:style w:type="paragraph" w:styleId="ListNumber">
    <w:name w:val="List Number"/>
    <w:basedOn w:val="Normal"/>
    <w:rsid w:val="00F50A7D"/>
    <w:pPr>
      <w:tabs>
        <w:tab w:val="num" w:pos="360"/>
      </w:tabs>
      <w:ind w:left="360" w:hanging="360"/>
    </w:pPr>
  </w:style>
  <w:style w:type="paragraph" w:styleId="PlainText">
    <w:name w:val="Plain Text"/>
    <w:basedOn w:val="Normal"/>
    <w:link w:val="PlainTextChar"/>
    <w:rsid w:val="00F50A7D"/>
    <w:rPr>
      <w:rFonts w:ascii="Courier New" w:hAnsi="Courier New" w:cs="Courier New"/>
    </w:rPr>
  </w:style>
  <w:style w:type="paragraph" w:styleId="Subtitle">
    <w:name w:val="Subtitle"/>
    <w:basedOn w:val="Normal"/>
    <w:link w:val="SubtitleChar"/>
    <w:qFormat/>
    <w:rsid w:val="00D90B72"/>
    <w:pPr>
      <w:spacing w:after="60" w:line="620" w:lineRule="exact"/>
      <w:jc w:val="center"/>
      <w:outlineLvl w:val="1"/>
    </w:pPr>
    <w:rPr>
      <w:rFonts w:ascii="Arial" w:hAnsi="Arial" w:cs="Arial"/>
      <w:b/>
      <w:color w:val="005595"/>
      <w:sz w:val="48"/>
      <w:szCs w:val="24"/>
    </w:rPr>
  </w:style>
  <w:style w:type="paragraph" w:customStyle="1" w:styleId="byline">
    <w:name w:val="byline"/>
    <w:next w:val="Normal"/>
    <w:rsid w:val="00F50A7D"/>
    <w:pPr>
      <w:spacing w:before="240" w:after="60"/>
    </w:pPr>
    <w:rPr>
      <w:rFonts w:ascii="Arial" w:hAnsi="Arial"/>
      <w:b/>
      <w:lang w:eastAsia="en-US"/>
    </w:rPr>
  </w:style>
  <w:style w:type="paragraph" w:customStyle="1" w:styleId="subhead">
    <w:name w:val="subhead"/>
    <w:next w:val="Normal"/>
    <w:rsid w:val="00F50A7D"/>
    <w:pPr>
      <w:spacing w:before="140" w:after="300"/>
      <w:jc w:val="center"/>
    </w:pPr>
    <w:rPr>
      <w:rFonts w:ascii="Arial" w:hAnsi="Arial"/>
      <w:sz w:val="30"/>
      <w:lang w:eastAsia="en-US"/>
    </w:rPr>
  </w:style>
  <w:style w:type="paragraph" w:customStyle="1" w:styleId="table10">
    <w:name w:val="table1"/>
    <w:basedOn w:val="Normal"/>
    <w:rsid w:val="0049114E"/>
  </w:style>
  <w:style w:type="paragraph" w:customStyle="1" w:styleId="numberlist1">
    <w:name w:val="number list 1"/>
    <w:basedOn w:val="Normal"/>
    <w:uiPriority w:val="99"/>
    <w:rsid w:val="00F50A7D"/>
    <w:pPr>
      <w:tabs>
        <w:tab w:val="num" w:pos="360"/>
        <w:tab w:val="num" w:pos="643"/>
      </w:tabs>
      <w:spacing w:after="120" w:line="280" w:lineRule="atLeast"/>
      <w:ind w:left="360" w:hanging="360"/>
      <w:jc w:val="both"/>
    </w:pPr>
    <w:rPr>
      <w:snapToGrid w:val="0"/>
    </w:rPr>
  </w:style>
  <w:style w:type="character" w:styleId="FollowedHyperlink">
    <w:name w:val="FollowedHyperlink"/>
    <w:basedOn w:val="DefaultParagraphFont"/>
    <w:rsid w:val="00F50A7D"/>
    <w:rPr>
      <w:color w:val="800080"/>
      <w:u w:val="single"/>
    </w:rPr>
  </w:style>
  <w:style w:type="table" w:styleId="TableGrid">
    <w:name w:val="Table Grid"/>
    <w:basedOn w:val="TableNormal"/>
    <w:rsid w:val="00F50A7D"/>
    <w:pPr>
      <w:spacing w:after="100" w:line="260" w:lineRule="atLeast"/>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paragraph" w:styleId="BodyText3">
    <w:name w:val="Body Text 3"/>
    <w:basedOn w:val="Normal"/>
    <w:link w:val="BodyText3Char"/>
    <w:rsid w:val="00F50A7D"/>
    <w:pPr>
      <w:spacing w:after="120"/>
    </w:pPr>
    <w:rPr>
      <w:sz w:val="16"/>
      <w:szCs w:val="16"/>
    </w:rPr>
  </w:style>
  <w:style w:type="paragraph" w:styleId="BodyTextFirstIndent">
    <w:name w:val="Body Text First Indent"/>
    <w:basedOn w:val="Normal"/>
    <w:link w:val="BodyTextFirstIndentChar"/>
    <w:rsid w:val="00F50A7D"/>
    <w:pPr>
      <w:spacing w:after="120"/>
      <w:ind w:firstLine="210"/>
    </w:pPr>
  </w:style>
  <w:style w:type="paragraph" w:styleId="BodyTextIndent">
    <w:name w:val="Body Text Indent"/>
    <w:basedOn w:val="Normal"/>
    <w:link w:val="BodyTextIndentChar"/>
    <w:rsid w:val="00F50A7D"/>
    <w:pPr>
      <w:spacing w:after="120"/>
      <w:ind w:left="283"/>
    </w:pPr>
  </w:style>
  <w:style w:type="paragraph" w:styleId="BodyTextFirstIndent2">
    <w:name w:val="Body Text First Indent 2"/>
    <w:basedOn w:val="BodyTextIndent"/>
    <w:link w:val="BodyTextFirstIndent2Char"/>
    <w:rsid w:val="00F50A7D"/>
    <w:pPr>
      <w:ind w:firstLine="210"/>
    </w:pPr>
  </w:style>
  <w:style w:type="paragraph" w:styleId="BodyTextIndent2">
    <w:name w:val="Body Text Indent 2"/>
    <w:basedOn w:val="Normal"/>
    <w:link w:val="BodyTextIndent2Char"/>
    <w:rsid w:val="00F50A7D"/>
    <w:pPr>
      <w:spacing w:after="120" w:line="480" w:lineRule="auto"/>
      <w:ind w:left="283"/>
    </w:pPr>
  </w:style>
  <w:style w:type="paragraph" w:styleId="BodyTextIndent3">
    <w:name w:val="Body Text Indent 3"/>
    <w:basedOn w:val="Normal"/>
    <w:link w:val="BodyTextIndent3Char"/>
    <w:rsid w:val="00F50A7D"/>
    <w:pPr>
      <w:spacing w:after="120"/>
      <w:ind w:left="283"/>
    </w:pPr>
    <w:rPr>
      <w:sz w:val="16"/>
      <w:szCs w:val="16"/>
    </w:rPr>
  </w:style>
  <w:style w:type="paragraph" w:styleId="Closing">
    <w:name w:val="Closing"/>
    <w:basedOn w:val="Normal"/>
    <w:link w:val="ClosingChar"/>
    <w:rsid w:val="00F50A7D"/>
    <w:pPr>
      <w:ind w:left="4252"/>
    </w:pPr>
  </w:style>
  <w:style w:type="paragraph" w:styleId="E-mailSignature">
    <w:name w:val="E-mail Signature"/>
    <w:basedOn w:val="Normal"/>
    <w:link w:val="E-mailSignatureChar"/>
    <w:rsid w:val="00F50A7D"/>
  </w:style>
  <w:style w:type="paragraph" w:styleId="EnvelopeAddress">
    <w:name w:val="envelope address"/>
    <w:basedOn w:val="Normal"/>
    <w:rsid w:val="00F50A7D"/>
    <w:pPr>
      <w:framePr w:w="7920" w:h="1980" w:hRule="exact" w:hSpace="180" w:wrap="auto" w:hAnchor="page" w:xAlign="center" w:yAlign="bottom"/>
      <w:ind w:left="2880"/>
    </w:pPr>
    <w:rPr>
      <w:rFonts w:ascii="Arial" w:hAnsi="Arial" w:cs="Arial"/>
      <w:sz w:val="24"/>
      <w:szCs w:val="24"/>
    </w:rPr>
  </w:style>
  <w:style w:type="paragraph" w:styleId="EnvelopeReturn">
    <w:name w:val="envelope return"/>
    <w:basedOn w:val="Normal"/>
    <w:rsid w:val="00F50A7D"/>
    <w:rPr>
      <w:rFonts w:ascii="Arial" w:hAnsi="Arial" w:cs="Arial"/>
    </w:rPr>
  </w:style>
  <w:style w:type="paragraph" w:styleId="HTMLAddress">
    <w:name w:val="HTML Address"/>
    <w:basedOn w:val="Normal"/>
    <w:link w:val="HTMLAddressChar"/>
    <w:rsid w:val="00F50A7D"/>
    <w:rPr>
      <w:i/>
      <w:iCs/>
    </w:rPr>
  </w:style>
  <w:style w:type="paragraph" w:styleId="HTMLPreformatted">
    <w:name w:val="HTML Preformatted"/>
    <w:basedOn w:val="Normal"/>
    <w:link w:val="HTMLPreformattedChar"/>
    <w:rsid w:val="00F50A7D"/>
    <w:rPr>
      <w:rFonts w:ascii="Courier New" w:hAnsi="Courier New" w:cs="Courier New"/>
    </w:rPr>
  </w:style>
  <w:style w:type="paragraph" w:styleId="List">
    <w:name w:val="List"/>
    <w:basedOn w:val="Normal"/>
    <w:rsid w:val="00F50A7D"/>
    <w:pPr>
      <w:ind w:left="283" w:hanging="283"/>
    </w:pPr>
  </w:style>
  <w:style w:type="paragraph" w:styleId="List2">
    <w:name w:val="List 2"/>
    <w:basedOn w:val="Normal"/>
    <w:rsid w:val="00405604"/>
    <w:pPr>
      <w:ind w:left="624" w:hanging="340"/>
    </w:pPr>
  </w:style>
  <w:style w:type="paragraph" w:styleId="List3">
    <w:name w:val="List 3"/>
    <w:basedOn w:val="Normal"/>
    <w:rsid w:val="00F50A7D"/>
    <w:pPr>
      <w:ind w:left="849" w:hanging="283"/>
    </w:pPr>
  </w:style>
  <w:style w:type="paragraph" w:styleId="List4">
    <w:name w:val="List 4"/>
    <w:basedOn w:val="Normal"/>
    <w:rsid w:val="00F50A7D"/>
    <w:pPr>
      <w:ind w:left="1132" w:hanging="283"/>
    </w:pPr>
  </w:style>
  <w:style w:type="paragraph" w:styleId="List5">
    <w:name w:val="List 5"/>
    <w:basedOn w:val="Normal"/>
    <w:rsid w:val="00F50A7D"/>
    <w:pPr>
      <w:ind w:left="1415" w:hanging="283"/>
    </w:pPr>
  </w:style>
  <w:style w:type="paragraph" w:styleId="ListBullet4">
    <w:name w:val="List Bullet 4"/>
    <w:basedOn w:val="Normal"/>
    <w:autoRedefine/>
    <w:rsid w:val="00F50A7D"/>
    <w:pPr>
      <w:tabs>
        <w:tab w:val="num" w:pos="1209"/>
      </w:tabs>
      <w:ind w:left="1209" w:hanging="360"/>
    </w:pPr>
  </w:style>
  <w:style w:type="paragraph" w:styleId="ListBullet5">
    <w:name w:val="List Bullet 5"/>
    <w:basedOn w:val="Normal"/>
    <w:autoRedefine/>
    <w:rsid w:val="00F50A7D"/>
    <w:pPr>
      <w:tabs>
        <w:tab w:val="num" w:pos="1492"/>
      </w:tabs>
      <w:ind w:left="1492" w:hanging="360"/>
    </w:pPr>
  </w:style>
  <w:style w:type="paragraph" w:styleId="ListContinue">
    <w:name w:val="List Continue"/>
    <w:basedOn w:val="Normal"/>
    <w:rsid w:val="00F50A7D"/>
    <w:pPr>
      <w:spacing w:after="120"/>
      <w:ind w:left="283"/>
    </w:pPr>
  </w:style>
  <w:style w:type="paragraph" w:styleId="ListContinue2">
    <w:name w:val="List Continue 2"/>
    <w:basedOn w:val="Normal"/>
    <w:rsid w:val="00F50A7D"/>
    <w:pPr>
      <w:spacing w:after="120"/>
      <w:ind w:left="566"/>
    </w:pPr>
  </w:style>
  <w:style w:type="paragraph" w:styleId="ListContinue3">
    <w:name w:val="List Continue 3"/>
    <w:basedOn w:val="Normal"/>
    <w:rsid w:val="00F50A7D"/>
    <w:pPr>
      <w:spacing w:after="120"/>
      <w:ind w:left="849"/>
    </w:pPr>
  </w:style>
  <w:style w:type="paragraph" w:styleId="ListContinue4">
    <w:name w:val="List Continue 4"/>
    <w:basedOn w:val="Normal"/>
    <w:rsid w:val="00F50A7D"/>
    <w:pPr>
      <w:spacing w:after="120"/>
      <w:ind w:left="1132"/>
    </w:pPr>
  </w:style>
  <w:style w:type="paragraph" w:styleId="ListContinue5">
    <w:name w:val="List Continue 5"/>
    <w:basedOn w:val="Normal"/>
    <w:rsid w:val="00F50A7D"/>
    <w:pPr>
      <w:spacing w:after="120"/>
      <w:ind w:left="1415"/>
    </w:pPr>
  </w:style>
  <w:style w:type="paragraph" w:styleId="ListNumber2">
    <w:name w:val="List Number 2"/>
    <w:basedOn w:val="Normal"/>
    <w:rsid w:val="00F50A7D"/>
    <w:pPr>
      <w:tabs>
        <w:tab w:val="num" w:pos="643"/>
      </w:tabs>
      <w:ind w:left="643" w:hanging="360"/>
    </w:pPr>
  </w:style>
  <w:style w:type="paragraph" w:styleId="ListNumber3">
    <w:name w:val="List Number 3"/>
    <w:basedOn w:val="Normal"/>
    <w:rsid w:val="00F50A7D"/>
    <w:pPr>
      <w:tabs>
        <w:tab w:val="num" w:pos="926"/>
      </w:tabs>
      <w:ind w:left="926" w:hanging="360"/>
    </w:pPr>
  </w:style>
  <w:style w:type="paragraph" w:styleId="ListNumber4">
    <w:name w:val="List Number 4"/>
    <w:basedOn w:val="Normal"/>
    <w:rsid w:val="00F50A7D"/>
    <w:pPr>
      <w:tabs>
        <w:tab w:val="num" w:pos="1209"/>
      </w:tabs>
      <w:ind w:left="1209" w:hanging="360"/>
    </w:pPr>
  </w:style>
  <w:style w:type="paragraph" w:styleId="ListNumber5">
    <w:name w:val="List Number 5"/>
    <w:basedOn w:val="Normal"/>
    <w:rsid w:val="00F50A7D"/>
    <w:pPr>
      <w:tabs>
        <w:tab w:val="num" w:pos="1492"/>
      </w:tabs>
      <w:ind w:left="1492" w:hanging="360"/>
    </w:pPr>
  </w:style>
  <w:style w:type="paragraph" w:styleId="MessageHeader">
    <w:name w:val="Message Header"/>
    <w:basedOn w:val="Normal"/>
    <w:link w:val="MessageHeaderChar"/>
    <w:rsid w:val="00F50A7D"/>
    <w:pPr>
      <w:pBdr>
        <w:top w:val="single" w:sz="6" w:space="1" w:color="auto"/>
        <w:left w:val="single" w:sz="6" w:space="1" w:color="auto"/>
        <w:bottom w:val="single" w:sz="6" w:space="1" w:color="auto"/>
        <w:right w:val="single" w:sz="6" w:space="1" w:color="auto"/>
      </w:pBdr>
      <w:shd w:val="pct20" w:color="auto" w:fill="auto"/>
      <w:ind w:left="1134" w:hanging="1134"/>
    </w:pPr>
    <w:rPr>
      <w:rFonts w:ascii="Arial" w:hAnsi="Arial" w:cs="Arial"/>
      <w:sz w:val="24"/>
      <w:szCs w:val="24"/>
    </w:rPr>
  </w:style>
  <w:style w:type="paragraph" w:styleId="NormalWeb">
    <w:name w:val="Normal (Web)"/>
    <w:basedOn w:val="Normal"/>
    <w:uiPriority w:val="99"/>
    <w:rsid w:val="00F50A7D"/>
    <w:rPr>
      <w:sz w:val="24"/>
      <w:szCs w:val="24"/>
    </w:rPr>
  </w:style>
  <w:style w:type="paragraph" w:styleId="NoteHeading">
    <w:name w:val="Note Heading"/>
    <w:basedOn w:val="Normal"/>
    <w:next w:val="Normal"/>
    <w:link w:val="NoteHeadingChar"/>
    <w:rsid w:val="00F50A7D"/>
  </w:style>
  <w:style w:type="paragraph" w:styleId="Salutation">
    <w:name w:val="Salutation"/>
    <w:basedOn w:val="Normal"/>
    <w:next w:val="Normal"/>
    <w:link w:val="SalutationChar"/>
    <w:rsid w:val="00F50A7D"/>
  </w:style>
  <w:style w:type="paragraph" w:styleId="Signature">
    <w:name w:val="Signature"/>
    <w:basedOn w:val="Normal"/>
    <w:link w:val="SignatureChar"/>
    <w:rsid w:val="00F50A7D"/>
    <w:pPr>
      <w:ind w:left="4252"/>
    </w:pPr>
  </w:style>
  <w:style w:type="character" w:customStyle="1" w:styleId="bodyblue101">
    <w:name w:val="bodyblue_101"/>
    <w:basedOn w:val="DefaultParagraphFont"/>
    <w:rsid w:val="00F50A7D"/>
    <w:rPr>
      <w:rFonts w:ascii="Verdana" w:hAnsi="Verdana" w:hint="default"/>
      <w:i/>
      <w:iCs/>
      <w:color w:val="336699"/>
      <w:spacing w:val="7"/>
      <w:sz w:val="18"/>
      <w:szCs w:val="18"/>
    </w:rPr>
  </w:style>
  <w:style w:type="character" w:styleId="Strong">
    <w:name w:val="Strong"/>
    <w:basedOn w:val="DefaultParagraphFont"/>
    <w:qFormat/>
    <w:rsid w:val="00F50A7D"/>
    <w:rPr>
      <w:b/>
      <w:bCs/>
    </w:rPr>
  </w:style>
  <w:style w:type="paragraph" w:styleId="BodyText">
    <w:name w:val="Body Text"/>
    <w:basedOn w:val="Normal"/>
    <w:link w:val="BodyTextChar"/>
    <w:rsid w:val="00F50A7D"/>
    <w:pPr>
      <w:overflowPunct w:val="0"/>
      <w:autoSpaceDE w:val="0"/>
      <w:autoSpaceDN w:val="0"/>
      <w:adjustRightInd w:val="0"/>
      <w:spacing w:after="240" w:line="240" w:lineRule="auto"/>
      <w:jc w:val="both"/>
      <w:textAlignment w:val="baseline"/>
    </w:pPr>
    <w:rPr>
      <w:noProof/>
      <w:lang w:val="en-GB"/>
    </w:rPr>
  </w:style>
  <w:style w:type="character" w:customStyle="1" w:styleId="BodyTextChar">
    <w:name w:val="Body Text Char"/>
    <w:basedOn w:val="DefaultParagraphFont"/>
    <w:link w:val="BodyText"/>
    <w:rsid w:val="00F50A7D"/>
    <w:rPr>
      <w:noProof/>
      <w:sz w:val="22"/>
      <w:lang w:val="en-GB" w:eastAsia="en-US" w:bidi="ar-SA"/>
    </w:rPr>
  </w:style>
  <w:style w:type="paragraph" w:customStyle="1" w:styleId="IAEAFigureCaption">
    <w:name w:val="IAEA Figure Caption"/>
    <w:basedOn w:val="Normal"/>
    <w:link w:val="IAEAFigureCaptionChar"/>
    <w:rsid w:val="00F50A7D"/>
    <w:pPr>
      <w:spacing w:after="240" w:line="240" w:lineRule="auto"/>
      <w:jc w:val="center"/>
    </w:pPr>
    <w:rPr>
      <w:i/>
      <w:lang w:val="en-GB"/>
    </w:rPr>
  </w:style>
  <w:style w:type="character" w:customStyle="1" w:styleId="IAEAFigureCaptionChar">
    <w:name w:val="IAEA Figure Caption Char"/>
    <w:basedOn w:val="DefaultParagraphFont"/>
    <w:link w:val="IAEAFigureCaption"/>
    <w:rsid w:val="00F50A7D"/>
    <w:rPr>
      <w:i/>
      <w:sz w:val="22"/>
      <w:lang w:val="en-GB" w:eastAsia="en-US" w:bidi="ar-SA"/>
    </w:rPr>
  </w:style>
  <w:style w:type="table" w:styleId="TableSimple1">
    <w:name w:val="Table Simple 1"/>
    <w:basedOn w:val="TableNormal"/>
    <w:rsid w:val="00F50A7D"/>
    <w:pPr>
      <w:spacing w:after="120" w:line="280" w:lineRule="atLeast"/>
      <w:jc w:val="both"/>
    </w:pPr>
    <w:tblPr>
      <w:tblInd w:w="0" w:type="dxa"/>
      <w:tblBorders>
        <w:top w:val="single" w:sz="12" w:space="0" w:color="008000"/>
        <w:bottom w:val="single" w:sz="12" w:space="0" w:color="008000"/>
      </w:tblBorders>
      <w:tblCellMar>
        <w:top w:w="0" w:type="dxa"/>
        <w:left w:w="108" w:type="dxa"/>
        <w:bottom w:w="0" w:type="dxa"/>
        <w:right w:w="108" w:type="dxa"/>
      </w:tblCellMar>
    </w:tblPr>
    <w:tcPr>
      <w:shd w:val="clear" w:color="auto" w:fill="auto"/>
    </w:tcPr>
    <w:tblStylePr w:type="firstRow">
      <w:tblPr/>
      <w:tcPr>
        <w:tcBorders>
          <w:bottom w:val="single" w:sz="6" w:space="0" w:color="008000"/>
          <w:tl2br w:val="none" w:sz="0" w:space="0" w:color="auto"/>
          <w:tr2bl w:val="none" w:sz="0" w:space="0" w:color="auto"/>
        </w:tcBorders>
      </w:tcPr>
    </w:tblStylePr>
    <w:tblStylePr w:type="lastRow">
      <w:tblPr/>
      <w:tcPr>
        <w:tcBorders>
          <w:top w:val="single" w:sz="6" w:space="0" w:color="008000"/>
          <w:tl2br w:val="none" w:sz="0" w:space="0" w:color="auto"/>
          <w:tr2bl w:val="none" w:sz="0" w:space="0" w:color="auto"/>
        </w:tcBorders>
      </w:tcPr>
    </w:tblStylePr>
  </w:style>
  <w:style w:type="paragraph" w:styleId="BodyText2">
    <w:name w:val="Body Text 2"/>
    <w:basedOn w:val="Normal"/>
    <w:link w:val="BodyText2Char"/>
    <w:rsid w:val="00F50A7D"/>
    <w:pPr>
      <w:spacing w:after="120" w:line="480" w:lineRule="auto"/>
    </w:pPr>
  </w:style>
  <w:style w:type="paragraph" w:styleId="Index1">
    <w:name w:val="index 1"/>
    <w:basedOn w:val="Normal"/>
    <w:next w:val="Normal"/>
    <w:autoRedefine/>
    <w:uiPriority w:val="99"/>
    <w:rsid w:val="00F50A7D"/>
    <w:pPr>
      <w:ind w:left="200" w:hanging="200"/>
    </w:pPr>
  </w:style>
  <w:style w:type="paragraph" w:styleId="DocumentMap">
    <w:name w:val="Document Map"/>
    <w:basedOn w:val="Normal"/>
    <w:link w:val="DocumentMapChar"/>
    <w:rsid w:val="00F50A7D"/>
    <w:pPr>
      <w:shd w:val="clear" w:color="auto" w:fill="000080"/>
    </w:pPr>
    <w:rPr>
      <w:rFonts w:ascii="Tahoma" w:hAnsi="Tahoma" w:cs="Tahoma"/>
    </w:rPr>
  </w:style>
  <w:style w:type="paragraph" w:styleId="Index2">
    <w:name w:val="index 2"/>
    <w:basedOn w:val="Normal"/>
    <w:next w:val="Normal"/>
    <w:autoRedefine/>
    <w:rsid w:val="00F50A7D"/>
    <w:pPr>
      <w:ind w:left="400" w:hanging="200"/>
    </w:pPr>
  </w:style>
  <w:style w:type="paragraph" w:styleId="Index3">
    <w:name w:val="index 3"/>
    <w:basedOn w:val="Normal"/>
    <w:next w:val="Normal"/>
    <w:autoRedefine/>
    <w:rsid w:val="00F50A7D"/>
    <w:pPr>
      <w:ind w:left="600" w:hanging="200"/>
    </w:pPr>
  </w:style>
  <w:style w:type="paragraph" w:styleId="Index4">
    <w:name w:val="index 4"/>
    <w:basedOn w:val="Normal"/>
    <w:next w:val="Normal"/>
    <w:autoRedefine/>
    <w:rsid w:val="00F50A7D"/>
    <w:pPr>
      <w:ind w:left="800" w:hanging="200"/>
    </w:pPr>
  </w:style>
  <w:style w:type="paragraph" w:styleId="Index5">
    <w:name w:val="index 5"/>
    <w:basedOn w:val="Normal"/>
    <w:next w:val="Normal"/>
    <w:autoRedefine/>
    <w:rsid w:val="00F50A7D"/>
    <w:pPr>
      <w:ind w:left="1000" w:hanging="200"/>
    </w:pPr>
  </w:style>
  <w:style w:type="paragraph" w:styleId="Index6">
    <w:name w:val="index 6"/>
    <w:basedOn w:val="Normal"/>
    <w:next w:val="Normal"/>
    <w:autoRedefine/>
    <w:rsid w:val="00F50A7D"/>
    <w:pPr>
      <w:ind w:left="1200" w:hanging="200"/>
    </w:pPr>
  </w:style>
  <w:style w:type="paragraph" w:styleId="Index7">
    <w:name w:val="index 7"/>
    <w:basedOn w:val="Normal"/>
    <w:next w:val="Normal"/>
    <w:autoRedefine/>
    <w:rsid w:val="00F50A7D"/>
    <w:pPr>
      <w:ind w:left="1400" w:hanging="200"/>
    </w:pPr>
  </w:style>
  <w:style w:type="paragraph" w:styleId="Index8">
    <w:name w:val="index 8"/>
    <w:basedOn w:val="Normal"/>
    <w:next w:val="Normal"/>
    <w:autoRedefine/>
    <w:rsid w:val="00F50A7D"/>
    <w:pPr>
      <w:ind w:left="1600" w:hanging="200"/>
    </w:pPr>
  </w:style>
  <w:style w:type="paragraph" w:styleId="Index9">
    <w:name w:val="index 9"/>
    <w:basedOn w:val="Normal"/>
    <w:next w:val="Normal"/>
    <w:autoRedefine/>
    <w:rsid w:val="00F50A7D"/>
    <w:pPr>
      <w:ind w:left="1800" w:hanging="200"/>
    </w:pPr>
  </w:style>
  <w:style w:type="paragraph" w:styleId="MacroText">
    <w:name w:val="macro"/>
    <w:link w:val="MacroTextChar"/>
    <w:rsid w:val="00F50A7D"/>
    <w:pPr>
      <w:tabs>
        <w:tab w:val="left" w:pos="480"/>
        <w:tab w:val="left" w:pos="960"/>
        <w:tab w:val="left" w:pos="1440"/>
        <w:tab w:val="left" w:pos="1920"/>
        <w:tab w:val="left" w:pos="2400"/>
        <w:tab w:val="left" w:pos="2880"/>
        <w:tab w:val="left" w:pos="3360"/>
        <w:tab w:val="left" w:pos="3840"/>
        <w:tab w:val="left" w:pos="4320"/>
      </w:tabs>
      <w:spacing w:after="100" w:line="260" w:lineRule="atLeast"/>
    </w:pPr>
    <w:rPr>
      <w:rFonts w:ascii="Courier New" w:hAnsi="Courier New" w:cs="Courier New"/>
      <w:lang w:eastAsia="en-US"/>
    </w:rPr>
  </w:style>
  <w:style w:type="paragraph" w:customStyle="1" w:styleId="table1Centered">
    <w:name w:val="table 1 + Centered"/>
    <w:aliases w:val="Before:  4 pt,After:  4 pt"/>
    <w:basedOn w:val="Normal"/>
    <w:rsid w:val="00F50A7D"/>
    <w:pPr>
      <w:framePr w:hSpace="180" w:wrap="around" w:vAnchor="text" w:hAnchor="margin" w:y="115"/>
    </w:pPr>
  </w:style>
  <w:style w:type="character" w:styleId="Emphasis">
    <w:name w:val="Emphasis"/>
    <w:basedOn w:val="DefaultParagraphFont"/>
    <w:uiPriority w:val="20"/>
    <w:qFormat/>
    <w:rsid w:val="00F50A7D"/>
    <w:rPr>
      <w:i/>
      <w:iCs/>
    </w:rPr>
  </w:style>
  <w:style w:type="paragraph" w:customStyle="1" w:styleId="Default">
    <w:name w:val="Default"/>
    <w:rsid w:val="00C227A0"/>
    <w:pPr>
      <w:autoSpaceDE w:val="0"/>
      <w:autoSpaceDN w:val="0"/>
      <w:adjustRightInd w:val="0"/>
    </w:pPr>
    <w:rPr>
      <w:rFonts w:ascii="DILDEL+Arial,Bold" w:hAnsi="DILDEL+Arial,Bold" w:cs="DILDEL+Arial,Bold"/>
      <w:color w:val="000000"/>
      <w:sz w:val="24"/>
      <w:szCs w:val="24"/>
    </w:rPr>
  </w:style>
  <w:style w:type="paragraph" w:customStyle="1" w:styleId="figurecaption0">
    <w:name w:val="figurecaption"/>
    <w:basedOn w:val="Normal"/>
    <w:rsid w:val="00056C73"/>
    <w:pPr>
      <w:spacing w:before="100" w:beforeAutospacing="1" w:afterAutospacing="1" w:line="240" w:lineRule="auto"/>
    </w:pPr>
    <w:rPr>
      <w:rFonts w:ascii="Arial" w:hAnsi="Arial"/>
      <w:sz w:val="16"/>
      <w:szCs w:val="24"/>
      <w:lang w:eastAsia="en-AU"/>
    </w:rPr>
  </w:style>
  <w:style w:type="paragraph" w:customStyle="1" w:styleId="Newsbrief-figcap">
    <w:name w:val="Newsbrief-figcap"/>
    <w:basedOn w:val="Normal"/>
    <w:next w:val="Normal"/>
    <w:link w:val="Newsbrief-figcapChar"/>
    <w:rsid w:val="00951D35"/>
    <w:pPr>
      <w:spacing w:after="240" w:line="240" w:lineRule="atLeast"/>
      <w:jc w:val="center"/>
    </w:pPr>
    <w:rPr>
      <w:rFonts w:ascii="Arial" w:hAnsi="Arial"/>
      <w:color w:val="333399"/>
      <w:sz w:val="18"/>
      <w:lang w:val="en-US"/>
    </w:rPr>
  </w:style>
  <w:style w:type="character" w:customStyle="1" w:styleId="Newsbrief-figcapChar">
    <w:name w:val="Newsbrief-figcap Char"/>
    <w:basedOn w:val="DefaultParagraphFont"/>
    <w:link w:val="Newsbrief-figcap"/>
    <w:rsid w:val="00951D35"/>
    <w:rPr>
      <w:rFonts w:ascii="Arial" w:hAnsi="Arial"/>
      <w:color w:val="333399"/>
      <w:sz w:val="18"/>
      <w:lang w:val="en-US" w:eastAsia="en-US" w:bidi="ar-SA"/>
    </w:rPr>
  </w:style>
  <w:style w:type="paragraph" w:styleId="Revision">
    <w:name w:val="Revision"/>
    <w:hidden/>
    <w:uiPriority w:val="99"/>
    <w:semiHidden/>
    <w:rsid w:val="007A4828"/>
    <w:rPr>
      <w:lang w:eastAsia="en-US"/>
    </w:rPr>
  </w:style>
  <w:style w:type="character" w:customStyle="1" w:styleId="Heading1Char">
    <w:name w:val="Heading 1 Char"/>
    <w:basedOn w:val="DefaultParagraphFont"/>
    <w:link w:val="Heading1"/>
    <w:rsid w:val="0017191D"/>
    <w:rPr>
      <w:rFonts w:ascii="Arial Bold" w:hAnsi="Arial Bold"/>
      <w:b/>
      <w:smallCaps/>
      <w:sz w:val="36"/>
      <w:lang w:eastAsia="en-US"/>
    </w:rPr>
  </w:style>
  <w:style w:type="character" w:customStyle="1" w:styleId="Heading2Char">
    <w:name w:val="Heading 2 Char"/>
    <w:basedOn w:val="DefaultParagraphFont"/>
    <w:link w:val="Heading2"/>
    <w:rsid w:val="000305D5"/>
    <w:rPr>
      <w:b/>
      <w:noProof/>
      <w:sz w:val="28"/>
      <w:lang w:eastAsia="en-US"/>
    </w:rPr>
  </w:style>
  <w:style w:type="character" w:customStyle="1" w:styleId="Heading3Char">
    <w:name w:val="Heading 3 Char"/>
    <w:basedOn w:val="DefaultParagraphFont"/>
    <w:link w:val="Heading3"/>
    <w:rsid w:val="00CE378B"/>
    <w:rPr>
      <w:b/>
      <w:noProof/>
      <w:sz w:val="24"/>
      <w:lang w:eastAsia="en-US"/>
    </w:rPr>
  </w:style>
  <w:style w:type="character" w:customStyle="1" w:styleId="Heading4Char">
    <w:name w:val="Heading 4 Char"/>
    <w:basedOn w:val="DefaultParagraphFont"/>
    <w:link w:val="Heading4"/>
    <w:rsid w:val="000305D5"/>
    <w:rPr>
      <w:b/>
      <w:noProof/>
      <w:color w:val="0D0D0D" w:themeColor="text1" w:themeTint="F2"/>
      <w:lang w:eastAsia="en-US"/>
    </w:rPr>
  </w:style>
  <w:style w:type="character" w:customStyle="1" w:styleId="Heading5Char">
    <w:name w:val="Heading 5 Char"/>
    <w:basedOn w:val="DefaultParagraphFont"/>
    <w:link w:val="Heading5"/>
    <w:rsid w:val="000305D5"/>
    <w:rPr>
      <w:i/>
      <w:lang w:eastAsia="en-US"/>
    </w:rPr>
  </w:style>
  <w:style w:type="character" w:customStyle="1" w:styleId="Heading6Char">
    <w:name w:val="Heading 6 Char"/>
    <w:basedOn w:val="DefaultParagraphFont"/>
    <w:link w:val="Heading6"/>
    <w:rsid w:val="00DE799E"/>
    <w:rPr>
      <w:rFonts w:ascii="Arial" w:hAnsi="Arial" w:cs="Arial"/>
      <w:sz w:val="17"/>
      <w:szCs w:val="17"/>
      <w:lang w:eastAsia="en-US"/>
    </w:rPr>
  </w:style>
  <w:style w:type="character" w:customStyle="1" w:styleId="Heading7Char">
    <w:name w:val="Heading 7 Char"/>
    <w:basedOn w:val="DefaultParagraphFont"/>
    <w:link w:val="Heading7"/>
    <w:rsid w:val="000305D5"/>
    <w:rPr>
      <w:b/>
      <w:lang w:eastAsia="en-US"/>
    </w:rPr>
  </w:style>
  <w:style w:type="character" w:customStyle="1" w:styleId="Heading8Char">
    <w:name w:val="Heading 8 Char"/>
    <w:basedOn w:val="DefaultParagraphFont"/>
    <w:link w:val="Heading8"/>
    <w:rsid w:val="00B95D3B"/>
    <w:rPr>
      <w:rFonts w:ascii="Arial" w:hAnsi="Arial"/>
      <w:lang w:eastAsia="en-US"/>
    </w:rPr>
  </w:style>
  <w:style w:type="character" w:customStyle="1" w:styleId="Heading9Char">
    <w:name w:val="Heading 9 Char"/>
    <w:basedOn w:val="DefaultParagraphFont"/>
    <w:link w:val="Heading9"/>
    <w:rsid w:val="00B95D3B"/>
    <w:rPr>
      <w:rFonts w:ascii="Arial" w:hAnsi="Arial"/>
      <w:lang w:eastAsia="en-US"/>
    </w:rPr>
  </w:style>
  <w:style w:type="character" w:customStyle="1" w:styleId="FooterChar">
    <w:name w:val="Footer Char"/>
    <w:basedOn w:val="DefaultParagraphFont"/>
    <w:link w:val="Footer"/>
    <w:uiPriority w:val="99"/>
    <w:rsid w:val="00B95D3B"/>
    <w:rPr>
      <w:rFonts w:ascii="Arial" w:hAnsi="Arial"/>
      <w:lang w:eastAsia="en-US"/>
    </w:rPr>
  </w:style>
  <w:style w:type="character" w:customStyle="1" w:styleId="FootnoteTextChar">
    <w:name w:val="Footnote Text Char"/>
    <w:basedOn w:val="DefaultParagraphFont"/>
    <w:link w:val="FootnoteText"/>
    <w:uiPriority w:val="99"/>
    <w:semiHidden/>
    <w:rsid w:val="00B95D3B"/>
    <w:rPr>
      <w:sz w:val="18"/>
      <w:lang w:eastAsia="en-US"/>
    </w:rPr>
  </w:style>
  <w:style w:type="character" w:customStyle="1" w:styleId="TitleChar">
    <w:name w:val="Title Char"/>
    <w:basedOn w:val="DefaultParagraphFont"/>
    <w:link w:val="Title"/>
    <w:rsid w:val="00B95D3B"/>
    <w:rPr>
      <w:rFonts w:ascii="Arial" w:hAnsi="Arial"/>
      <w:b/>
      <w:sz w:val="30"/>
      <w:lang w:eastAsia="en-US"/>
    </w:rPr>
  </w:style>
  <w:style w:type="character" w:customStyle="1" w:styleId="EndnoteTextChar">
    <w:name w:val="Endnote Text Char"/>
    <w:basedOn w:val="DefaultParagraphFont"/>
    <w:link w:val="EndnoteText"/>
    <w:semiHidden/>
    <w:rsid w:val="00B95D3B"/>
    <w:rPr>
      <w:lang w:eastAsia="en-US"/>
    </w:rPr>
  </w:style>
  <w:style w:type="character" w:customStyle="1" w:styleId="CommentTextChar">
    <w:name w:val="Comment Text Char"/>
    <w:basedOn w:val="DefaultParagraphFont"/>
    <w:link w:val="CommentText"/>
    <w:rsid w:val="00B95D3B"/>
    <w:rPr>
      <w:lang w:eastAsia="en-US"/>
    </w:rPr>
  </w:style>
  <w:style w:type="character" w:customStyle="1" w:styleId="BalloonTextChar">
    <w:name w:val="Balloon Text Char"/>
    <w:basedOn w:val="DefaultParagraphFont"/>
    <w:link w:val="BalloonText"/>
    <w:rsid w:val="00B95D3B"/>
    <w:rPr>
      <w:rFonts w:ascii="Tahoma" w:hAnsi="Tahoma" w:cs="Tahoma"/>
      <w:sz w:val="16"/>
      <w:szCs w:val="16"/>
      <w:lang w:eastAsia="en-US"/>
    </w:rPr>
  </w:style>
  <w:style w:type="character" w:customStyle="1" w:styleId="CommentSubjectChar">
    <w:name w:val="Comment Subject Char"/>
    <w:basedOn w:val="CommentTextChar"/>
    <w:link w:val="CommentSubject"/>
    <w:rsid w:val="00B95D3B"/>
    <w:rPr>
      <w:b/>
      <w:bCs/>
      <w:lang w:eastAsia="en-US"/>
    </w:rPr>
  </w:style>
  <w:style w:type="paragraph" w:customStyle="1" w:styleId="FigureCaption1">
    <w:name w:val="Figure Caption"/>
    <w:basedOn w:val="Caption"/>
    <w:next w:val="Normal"/>
    <w:link w:val="FigureCaptionChar0"/>
    <w:qFormat/>
    <w:rsid w:val="00B95D3B"/>
    <w:pPr>
      <w:keepNext/>
      <w:keepLines/>
      <w:spacing w:before="0" w:after="360" w:line="240" w:lineRule="auto"/>
      <w:ind w:left="1418" w:hanging="1418"/>
    </w:pPr>
    <w:rPr>
      <w:rFonts w:ascii="Arial" w:hAnsi="Arial"/>
      <w:bCs w:val="0"/>
    </w:rPr>
  </w:style>
  <w:style w:type="character" w:customStyle="1" w:styleId="FigureCaptionChar0">
    <w:name w:val="Figure Caption Char"/>
    <w:basedOn w:val="DefaultParagraphFont"/>
    <w:link w:val="FigureCaption1"/>
    <w:rsid w:val="00B95D3B"/>
    <w:rPr>
      <w:rFonts w:ascii="Arial" w:hAnsi="Arial"/>
      <w:b/>
      <w:sz w:val="22"/>
      <w:lang w:eastAsia="en-US"/>
    </w:rPr>
  </w:style>
  <w:style w:type="character" w:customStyle="1" w:styleId="HeaderChar">
    <w:name w:val="Header Char"/>
    <w:basedOn w:val="DefaultParagraphFont"/>
    <w:link w:val="Header"/>
    <w:rsid w:val="00B95D3B"/>
    <w:rPr>
      <w:lang w:eastAsia="en-US"/>
    </w:rPr>
  </w:style>
  <w:style w:type="character" w:customStyle="1" w:styleId="textstyle01">
    <w:name w:val="textstyle01"/>
    <w:basedOn w:val="DefaultParagraphFont"/>
    <w:rsid w:val="00B95D3B"/>
    <w:rPr>
      <w:rFonts w:ascii="Georgia" w:hAnsi="Georgia" w:hint="default"/>
      <w:b w:val="0"/>
      <w:bCs w:val="0"/>
      <w:i w:val="0"/>
      <w:iCs w:val="0"/>
      <w:strike w:val="0"/>
      <w:dstrike w:val="0"/>
      <w:color w:val="31221B"/>
      <w:sz w:val="20"/>
      <w:szCs w:val="20"/>
      <w:u w:val="none"/>
      <w:effect w:val="none"/>
    </w:rPr>
  </w:style>
  <w:style w:type="character" w:customStyle="1" w:styleId="DocumentMapChar">
    <w:name w:val="Document Map Char"/>
    <w:basedOn w:val="DefaultParagraphFont"/>
    <w:link w:val="DocumentMap"/>
    <w:rsid w:val="00B95D3B"/>
    <w:rPr>
      <w:rFonts w:ascii="Tahoma" w:hAnsi="Tahoma" w:cs="Tahoma"/>
      <w:shd w:val="clear" w:color="auto" w:fill="000080"/>
      <w:lang w:eastAsia="en-US"/>
    </w:rPr>
  </w:style>
  <w:style w:type="paragraph" w:styleId="ListParagraph">
    <w:name w:val="List Paragraph"/>
    <w:basedOn w:val="Normal"/>
    <w:uiPriority w:val="34"/>
    <w:qFormat/>
    <w:rsid w:val="00C97D34"/>
    <w:pPr>
      <w:ind w:left="794"/>
      <w:contextualSpacing/>
    </w:pPr>
  </w:style>
  <w:style w:type="character" w:customStyle="1" w:styleId="tablenoteChar">
    <w:name w:val="table note Char"/>
    <w:link w:val="tablenote"/>
    <w:rsid w:val="00093C77"/>
    <w:rPr>
      <w:rFonts w:ascii="Arial" w:hAnsi="Arial"/>
      <w:sz w:val="14"/>
      <w:lang w:eastAsia="en-US"/>
    </w:rPr>
  </w:style>
  <w:style w:type="character" w:customStyle="1" w:styleId="st1">
    <w:name w:val="st1"/>
    <w:basedOn w:val="DefaultParagraphFont"/>
    <w:rsid w:val="000C544D"/>
  </w:style>
  <w:style w:type="character" w:customStyle="1" w:styleId="DateChar">
    <w:name w:val="Date Char"/>
    <w:basedOn w:val="DefaultParagraphFont"/>
    <w:link w:val="Date"/>
    <w:rsid w:val="00AF7597"/>
    <w:rPr>
      <w:lang w:eastAsia="en-US"/>
    </w:rPr>
  </w:style>
  <w:style w:type="character" w:customStyle="1" w:styleId="PlainTextChar">
    <w:name w:val="Plain Text Char"/>
    <w:basedOn w:val="DefaultParagraphFont"/>
    <w:link w:val="PlainText"/>
    <w:rsid w:val="00AF7597"/>
    <w:rPr>
      <w:rFonts w:ascii="Courier New" w:hAnsi="Courier New" w:cs="Courier New"/>
      <w:lang w:eastAsia="en-US"/>
    </w:rPr>
  </w:style>
  <w:style w:type="character" w:customStyle="1" w:styleId="SubtitleChar">
    <w:name w:val="Subtitle Char"/>
    <w:basedOn w:val="DefaultParagraphFont"/>
    <w:link w:val="Subtitle"/>
    <w:rsid w:val="00D90B72"/>
    <w:rPr>
      <w:rFonts w:ascii="Arial" w:hAnsi="Arial" w:cs="Arial"/>
      <w:b/>
      <w:color w:val="005595"/>
      <w:sz w:val="48"/>
      <w:szCs w:val="24"/>
      <w:lang w:eastAsia="en-US"/>
    </w:rPr>
  </w:style>
  <w:style w:type="character" w:customStyle="1" w:styleId="BodyText3Char">
    <w:name w:val="Body Text 3 Char"/>
    <w:basedOn w:val="DefaultParagraphFont"/>
    <w:link w:val="BodyText3"/>
    <w:rsid w:val="00AF7597"/>
    <w:rPr>
      <w:sz w:val="16"/>
      <w:szCs w:val="16"/>
      <w:lang w:eastAsia="en-US"/>
    </w:rPr>
  </w:style>
  <w:style w:type="character" w:customStyle="1" w:styleId="BodyTextFirstIndentChar">
    <w:name w:val="Body Text First Indent Char"/>
    <w:basedOn w:val="BodyTextChar"/>
    <w:link w:val="BodyTextFirstIndent"/>
    <w:rsid w:val="00AF7597"/>
    <w:rPr>
      <w:noProof/>
      <w:sz w:val="22"/>
      <w:lang w:val="en-GB" w:eastAsia="en-US" w:bidi="ar-SA"/>
    </w:rPr>
  </w:style>
  <w:style w:type="character" w:customStyle="1" w:styleId="BodyTextIndentChar">
    <w:name w:val="Body Text Indent Char"/>
    <w:basedOn w:val="DefaultParagraphFont"/>
    <w:link w:val="BodyTextIndent"/>
    <w:rsid w:val="00AF7597"/>
    <w:rPr>
      <w:lang w:eastAsia="en-US"/>
    </w:rPr>
  </w:style>
  <w:style w:type="character" w:customStyle="1" w:styleId="BodyTextFirstIndent2Char">
    <w:name w:val="Body Text First Indent 2 Char"/>
    <w:basedOn w:val="BodyTextIndentChar"/>
    <w:link w:val="BodyTextFirstIndent2"/>
    <w:rsid w:val="00AF7597"/>
    <w:rPr>
      <w:lang w:eastAsia="en-US"/>
    </w:rPr>
  </w:style>
  <w:style w:type="character" w:customStyle="1" w:styleId="BodyTextIndent2Char">
    <w:name w:val="Body Text Indent 2 Char"/>
    <w:basedOn w:val="DefaultParagraphFont"/>
    <w:link w:val="BodyTextIndent2"/>
    <w:rsid w:val="00AF7597"/>
    <w:rPr>
      <w:lang w:eastAsia="en-US"/>
    </w:rPr>
  </w:style>
  <w:style w:type="character" w:customStyle="1" w:styleId="BodyTextIndent3Char">
    <w:name w:val="Body Text Indent 3 Char"/>
    <w:basedOn w:val="DefaultParagraphFont"/>
    <w:link w:val="BodyTextIndent3"/>
    <w:rsid w:val="00AF7597"/>
    <w:rPr>
      <w:sz w:val="16"/>
      <w:szCs w:val="16"/>
      <w:lang w:eastAsia="en-US"/>
    </w:rPr>
  </w:style>
  <w:style w:type="character" w:customStyle="1" w:styleId="ClosingChar">
    <w:name w:val="Closing Char"/>
    <w:basedOn w:val="DefaultParagraphFont"/>
    <w:link w:val="Closing"/>
    <w:rsid w:val="00AF7597"/>
    <w:rPr>
      <w:lang w:eastAsia="en-US"/>
    </w:rPr>
  </w:style>
  <w:style w:type="character" w:customStyle="1" w:styleId="E-mailSignatureChar">
    <w:name w:val="E-mail Signature Char"/>
    <w:basedOn w:val="DefaultParagraphFont"/>
    <w:link w:val="E-mailSignature"/>
    <w:rsid w:val="00AF7597"/>
    <w:rPr>
      <w:lang w:eastAsia="en-US"/>
    </w:rPr>
  </w:style>
  <w:style w:type="character" w:customStyle="1" w:styleId="HTMLAddressChar">
    <w:name w:val="HTML Address Char"/>
    <w:basedOn w:val="DefaultParagraphFont"/>
    <w:link w:val="HTMLAddress"/>
    <w:rsid w:val="00AF7597"/>
    <w:rPr>
      <w:i/>
      <w:iCs/>
      <w:lang w:eastAsia="en-US"/>
    </w:rPr>
  </w:style>
  <w:style w:type="character" w:customStyle="1" w:styleId="HTMLPreformattedChar">
    <w:name w:val="HTML Preformatted Char"/>
    <w:basedOn w:val="DefaultParagraphFont"/>
    <w:link w:val="HTMLPreformatted"/>
    <w:rsid w:val="00AF7597"/>
    <w:rPr>
      <w:rFonts w:ascii="Courier New" w:hAnsi="Courier New" w:cs="Courier New"/>
      <w:lang w:eastAsia="en-US"/>
    </w:rPr>
  </w:style>
  <w:style w:type="character" w:customStyle="1" w:styleId="MessageHeaderChar">
    <w:name w:val="Message Header Char"/>
    <w:basedOn w:val="DefaultParagraphFont"/>
    <w:link w:val="MessageHeader"/>
    <w:rsid w:val="00AF7597"/>
    <w:rPr>
      <w:rFonts w:ascii="Arial" w:hAnsi="Arial" w:cs="Arial"/>
      <w:sz w:val="24"/>
      <w:szCs w:val="24"/>
      <w:shd w:val="pct20" w:color="auto" w:fill="auto"/>
      <w:lang w:eastAsia="en-US"/>
    </w:rPr>
  </w:style>
  <w:style w:type="character" w:customStyle="1" w:styleId="NoteHeadingChar">
    <w:name w:val="Note Heading Char"/>
    <w:basedOn w:val="DefaultParagraphFont"/>
    <w:link w:val="NoteHeading"/>
    <w:rsid w:val="00AF7597"/>
    <w:rPr>
      <w:lang w:eastAsia="en-US"/>
    </w:rPr>
  </w:style>
  <w:style w:type="character" w:customStyle="1" w:styleId="SalutationChar">
    <w:name w:val="Salutation Char"/>
    <w:basedOn w:val="DefaultParagraphFont"/>
    <w:link w:val="Salutation"/>
    <w:rsid w:val="00AF7597"/>
    <w:rPr>
      <w:lang w:eastAsia="en-US"/>
    </w:rPr>
  </w:style>
  <w:style w:type="character" w:customStyle="1" w:styleId="SignatureChar">
    <w:name w:val="Signature Char"/>
    <w:basedOn w:val="DefaultParagraphFont"/>
    <w:link w:val="Signature"/>
    <w:rsid w:val="00AF7597"/>
    <w:rPr>
      <w:lang w:eastAsia="en-US"/>
    </w:rPr>
  </w:style>
  <w:style w:type="character" w:customStyle="1" w:styleId="BodyText2Char">
    <w:name w:val="Body Text 2 Char"/>
    <w:basedOn w:val="DefaultParagraphFont"/>
    <w:link w:val="BodyText2"/>
    <w:rsid w:val="00AF7597"/>
    <w:rPr>
      <w:lang w:eastAsia="en-US"/>
    </w:rPr>
  </w:style>
  <w:style w:type="character" w:customStyle="1" w:styleId="MacroTextChar">
    <w:name w:val="Macro Text Char"/>
    <w:basedOn w:val="DefaultParagraphFont"/>
    <w:link w:val="MacroText"/>
    <w:rsid w:val="00AF7597"/>
    <w:rPr>
      <w:rFonts w:ascii="Courier New" w:hAnsi="Courier New" w:cs="Courier New"/>
      <w:lang w:eastAsia="en-US"/>
    </w:rPr>
  </w:style>
  <w:style w:type="paragraph" w:styleId="TOCHeading">
    <w:name w:val="TOC Heading"/>
    <w:basedOn w:val="Heading1"/>
    <w:next w:val="Normal"/>
    <w:uiPriority w:val="39"/>
    <w:unhideWhenUsed/>
    <w:qFormat/>
    <w:rsid w:val="00AF7597"/>
    <w:pPr>
      <w:keepLines/>
      <w:pBdr>
        <w:bottom w:val="none" w:sz="0" w:space="0" w:color="auto"/>
      </w:pBdr>
      <w:tabs>
        <w:tab w:val="clear" w:pos="505"/>
      </w:tabs>
      <w:spacing w:before="480" w:after="0" w:line="276" w:lineRule="auto"/>
      <w:ind w:left="0" w:firstLine="0"/>
      <w:outlineLvl w:val="9"/>
    </w:pPr>
    <w:rPr>
      <w:rFonts w:asciiTheme="majorHAnsi" w:eastAsiaTheme="majorEastAsia" w:hAnsiTheme="majorHAnsi" w:cstheme="majorBidi"/>
      <w:bCs/>
      <w:smallCaps w:val="0"/>
      <w:color w:val="365F91" w:themeColor="accent1" w:themeShade="BF"/>
      <w:sz w:val="28"/>
      <w:szCs w:val="28"/>
      <w:lang w:val="en-US"/>
    </w:rPr>
  </w:style>
  <w:style w:type="paragraph" w:customStyle="1" w:styleId="Quote10">
    <w:name w:val="Quote1"/>
    <w:basedOn w:val="Normal"/>
    <w:rsid w:val="00931820"/>
    <w:pPr>
      <w:spacing w:line="240" w:lineRule="atLeast"/>
      <w:ind w:left="360"/>
    </w:pPr>
    <w:rPr>
      <w:sz w:val="18"/>
    </w:rPr>
  </w:style>
  <w:style w:type="table" w:styleId="TableClassic1">
    <w:name w:val="Table Classic 1"/>
    <w:basedOn w:val="TableNormal"/>
    <w:rsid w:val="00931820"/>
    <w:pPr>
      <w:spacing w:after="120" w:line="280" w:lineRule="atLeast"/>
      <w:jc w:val="both"/>
    </w:pPr>
    <w:tblPr>
      <w:tblInd w:w="0" w:type="dxa"/>
      <w:tblBorders>
        <w:top w:val="single" w:sz="12" w:space="0" w:color="000000"/>
        <w:bottom w:val="single" w:sz="12" w:space="0" w:color="000000"/>
      </w:tblBorders>
      <w:tblCellMar>
        <w:top w:w="0" w:type="dxa"/>
        <w:left w:w="108" w:type="dxa"/>
        <w:bottom w:w="0" w:type="dxa"/>
        <w:right w:w="108" w:type="dxa"/>
      </w:tblCellMar>
    </w:tblPr>
    <w:tcPr>
      <w:shd w:val="clear" w:color="auto" w:fill="auto"/>
    </w:tcPr>
    <w:tblStylePr w:type="firstRow">
      <w:rPr>
        <w:i/>
        <w:iCs/>
      </w:rPr>
      <w:tblPr/>
      <w:tcPr>
        <w:tcBorders>
          <w:bottom w:val="single" w:sz="6" w:space="0" w:color="000000"/>
          <w:tl2br w:val="none" w:sz="0" w:space="0" w:color="auto"/>
          <w:tr2bl w:val="none" w:sz="0" w:space="0" w:color="auto"/>
        </w:tcBorders>
      </w:tcPr>
    </w:tblStylePr>
    <w:tblStylePr w:type="lastRow">
      <w:rPr>
        <w:color w:val="auto"/>
      </w:rPr>
      <w:tblPr/>
      <w:tcPr>
        <w:tcBorders>
          <w:top w:val="single" w:sz="6" w:space="0" w:color="000000"/>
          <w:tl2br w:val="none" w:sz="0" w:space="0" w:color="auto"/>
          <w:tr2bl w:val="none" w:sz="0" w:space="0" w:color="auto"/>
        </w:tcBorders>
      </w:tcPr>
    </w:tblStylePr>
    <w:tblStylePr w:type="firstCol">
      <w:tblPr/>
      <w:tcPr>
        <w:tcBorders>
          <w:right w:val="single" w:sz="6" w:space="0" w:color="000000"/>
          <w:tl2br w:val="none" w:sz="0" w:space="0" w:color="auto"/>
          <w:tr2bl w:val="none" w:sz="0" w:space="0" w:color="auto"/>
        </w:tcBorders>
      </w:tcPr>
    </w:tblStylePr>
    <w:tblStylePr w:type="neCell">
      <w:rPr>
        <w:b/>
        <w:bCs/>
        <w:i w:val="0"/>
        <w:iCs w:val="0"/>
      </w:rPr>
      <w:tblPr/>
      <w:tcPr>
        <w:tcBorders>
          <w:tl2br w:val="none" w:sz="0" w:space="0" w:color="auto"/>
          <w:tr2bl w:val="none" w:sz="0" w:space="0" w:color="auto"/>
        </w:tcBorders>
      </w:tcPr>
    </w:tblStylePr>
    <w:tblStylePr w:type="swCell">
      <w:rPr>
        <w:b/>
        <w:bCs/>
      </w:rPr>
      <w:tblPr/>
      <w:tcPr>
        <w:tcBorders>
          <w:tl2br w:val="none" w:sz="0" w:space="0" w:color="auto"/>
          <w:tr2bl w:val="none" w:sz="0" w:space="0" w:color="auto"/>
        </w:tcBorders>
      </w:tcPr>
    </w:tblStylePr>
  </w:style>
  <w:style w:type="character" w:customStyle="1" w:styleId="ft">
    <w:name w:val="ft"/>
    <w:basedOn w:val="DefaultParagraphFont"/>
    <w:rsid w:val="00931820"/>
  </w:style>
  <w:style w:type="paragraph" w:customStyle="1" w:styleId="IndexAR0">
    <w:name w:val="Index_AR"/>
    <w:uiPriority w:val="99"/>
    <w:rsid w:val="00556A4A"/>
    <w:pPr>
      <w:keepLines/>
      <w:autoSpaceDE w:val="0"/>
      <w:autoSpaceDN w:val="0"/>
      <w:adjustRightInd w:val="0"/>
      <w:spacing w:after="60"/>
      <w:ind w:left="113" w:hanging="113"/>
    </w:pPr>
    <w:rPr>
      <w:rFonts w:eastAsiaTheme="minorEastAsia"/>
      <w:sz w:val="18"/>
    </w:rPr>
  </w:style>
  <w:style w:type="paragraph" w:customStyle="1" w:styleId="Index2AR0">
    <w:name w:val="Index2_AR"/>
    <w:uiPriority w:val="99"/>
    <w:rsid w:val="00556A4A"/>
    <w:pPr>
      <w:widowControl w:val="0"/>
      <w:autoSpaceDE w:val="0"/>
      <w:autoSpaceDN w:val="0"/>
      <w:adjustRightInd w:val="0"/>
      <w:ind w:left="345" w:hanging="116"/>
    </w:pPr>
    <w:rPr>
      <w:rFonts w:eastAsiaTheme="minorEastAsia"/>
      <w:sz w:val="18"/>
    </w:rPr>
  </w:style>
  <w:style w:type="paragraph" w:customStyle="1" w:styleId="Copyright">
    <w:name w:val="Copyright"/>
    <w:basedOn w:val="Normal"/>
    <w:link w:val="CopyrightChar"/>
    <w:qFormat/>
    <w:rsid w:val="00EB6393"/>
    <w:pPr>
      <w:spacing w:line="240" w:lineRule="atLeast"/>
    </w:pPr>
    <w:rPr>
      <w:szCs w:val="18"/>
    </w:rPr>
  </w:style>
  <w:style w:type="character" w:customStyle="1" w:styleId="CopyrightChar">
    <w:name w:val="Copyright Char"/>
    <w:basedOn w:val="DefaultParagraphFont"/>
    <w:link w:val="Copyright"/>
    <w:rsid w:val="00EB6393"/>
    <w:rPr>
      <w:szCs w:val="18"/>
      <w:lang w:eastAsia="en-US"/>
    </w:rPr>
  </w:style>
  <w:style w:type="table" w:customStyle="1" w:styleId="TableGrid1">
    <w:name w:val="Table Grid1"/>
    <w:basedOn w:val="TableNormal"/>
    <w:next w:val="TableGrid"/>
    <w:rsid w:val="00175B00"/>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character" w:styleId="EndnoteReference">
    <w:name w:val="endnote reference"/>
    <w:basedOn w:val="DefaultParagraphFont"/>
    <w:rsid w:val="007464A1"/>
    <w:rPr>
      <w:vertAlign w:val="superscript"/>
    </w:rPr>
  </w:style>
  <w:style w:type="paragraph" w:customStyle="1" w:styleId="Main">
    <w:name w:val="Main"/>
    <w:uiPriority w:val="99"/>
    <w:rsid w:val="005475F7"/>
    <w:pPr>
      <w:widowControl w:val="0"/>
      <w:tabs>
        <w:tab w:val="right" w:pos="9360"/>
      </w:tabs>
      <w:autoSpaceDE w:val="0"/>
      <w:autoSpaceDN w:val="0"/>
      <w:adjustRightInd w:val="0"/>
      <w:ind w:left="650" w:hanging="650"/>
    </w:pPr>
    <w:rPr>
      <w:rFonts w:ascii="Arial" w:eastAsiaTheme="minorEastAsia" w:hAnsi="Arial" w:cs="Arial"/>
    </w:rPr>
  </w:style>
  <w:style w:type="paragraph" w:customStyle="1" w:styleId="Sub1">
    <w:name w:val="Sub 1"/>
    <w:uiPriority w:val="99"/>
    <w:rsid w:val="007C6B9C"/>
    <w:pPr>
      <w:widowControl w:val="0"/>
      <w:tabs>
        <w:tab w:val="right" w:pos="9360"/>
      </w:tabs>
      <w:autoSpaceDE w:val="0"/>
      <w:autoSpaceDN w:val="0"/>
      <w:adjustRightInd w:val="0"/>
      <w:ind w:left="879" w:hanging="652"/>
    </w:pPr>
    <w:rPr>
      <w:rFonts w:ascii="Arial" w:eastAsiaTheme="minorEastAsia" w:hAnsi="Arial" w:cs="Arial"/>
    </w:rPr>
  </w:style>
  <w:style w:type="paragraph" w:customStyle="1" w:styleId="group">
    <w:name w:val="group"/>
    <w:uiPriority w:val="99"/>
    <w:rsid w:val="005475F7"/>
    <w:pPr>
      <w:widowControl w:val="0"/>
      <w:autoSpaceDE w:val="0"/>
      <w:autoSpaceDN w:val="0"/>
      <w:adjustRightInd w:val="0"/>
      <w:spacing w:line="320" w:lineRule="atLeast"/>
    </w:pPr>
    <w:rPr>
      <w:rFonts w:ascii="Arial" w:eastAsiaTheme="minorEastAsia" w:hAnsi="Arial" w:cs="Arial"/>
    </w:rPr>
  </w:style>
</w:styles>
</file>

<file path=word/webSettings.xml><?xml version="1.0" encoding="utf-8"?>
<w:webSettings xmlns:r="http://schemas.openxmlformats.org/officeDocument/2006/relationships" xmlns:w="http://schemas.openxmlformats.org/wordprocessingml/2006/main">
  <w:divs>
    <w:div w:id="99226669">
      <w:bodyDiv w:val="1"/>
      <w:marLeft w:val="0"/>
      <w:marRight w:val="0"/>
      <w:marTop w:val="0"/>
      <w:marBottom w:val="0"/>
      <w:divBdr>
        <w:top w:val="none" w:sz="0" w:space="0" w:color="auto"/>
        <w:left w:val="none" w:sz="0" w:space="0" w:color="auto"/>
        <w:bottom w:val="none" w:sz="0" w:space="0" w:color="auto"/>
        <w:right w:val="none" w:sz="0" w:space="0" w:color="auto"/>
      </w:divBdr>
    </w:div>
    <w:div w:id="99837240">
      <w:bodyDiv w:val="1"/>
      <w:marLeft w:val="0"/>
      <w:marRight w:val="0"/>
      <w:marTop w:val="0"/>
      <w:marBottom w:val="0"/>
      <w:divBdr>
        <w:top w:val="none" w:sz="0" w:space="0" w:color="auto"/>
        <w:left w:val="none" w:sz="0" w:space="0" w:color="auto"/>
        <w:bottom w:val="none" w:sz="0" w:space="0" w:color="auto"/>
        <w:right w:val="none" w:sz="0" w:space="0" w:color="auto"/>
      </w:divBdr>
    </w:div>
    <w:div w:id="170801960">
      <w:bodyDiv w:val="1"/>
      <w:marLeft w:val="0"/>
      <w:marRight w:val="0"/>
      <w:marTop w:val="0"/>
      <w:marBottom w:val="0"/>
      <w:divBdr>
        <w:top w:val="none" w:sz="0" w:space="0" w:color="auto"/>
        <w:left w:val="none" w:sz="0" w:space="0" w:color="auto"/>
        <w:bottom w:val="none" w:sz="0" w:space="0" w:color="auto"/>
        <w:right w:val="none" w:sz="0" w:space="0" w:color="auto"/>
      </w:divBdr>
    </w:div>
    <w:div w:id="172767757">
      <w:bodyDiv w:val="1"/>
      <w:marLeft w:val="0"/>
      <w:marRight w:val="0"/>
      <w:marTop w:val="0"/>
      <w:marBottom w:val="0"/>
      <w:divBdr>
        <w:top w:val="none" w:sz="0" w:space="0" w:color="auto"/>
        <w:left w:val="none" w:sz="0" w:space="0" w:color="auto"/>
        <w:bottom w:val="none" w:sz="0" w:space="0" w:color="auto"/>
        <w:right w:val="none" w:sz="0" w:space="0" w:color="auto"/>
      </w:divBdr>
    </w:div>
    <w:div w:id="249168789">
      <w:bodyDiv w:val="1"/>
      <w:marLeft w:val="0"/>
      <w:marRight w:val="0"/>
      <w:marTop w:val="0"/>
      <w:marBottom w:val="0"/>
      <w:divBdr>
        <w:top w:val="none" w:sz="0" w:space="0" w:color="auto"/>
        <w:left w:val="none" w:sz="0" w:space="0" w:color="auto"/>
        <w:bottom w:val="none" w:sz="0" w:space="0" w:color="auto"/>
        <w:right w:val="none" w:sz="0" w:space="0" w:color="auto"/>
      </w:divBdr>
    </w:div>
    <w:div w:id="268900200">
      <w:bodyDiv w:val="1"/>
      <w:marLeft w:val="0"/>
      <w:marRight w:val="0"/>
      <w:marTop w:val="0"/>
      <w:marBottom w:val="0"/>
      <w:divBdr>
        <w:top w:val="none" w:sz="0" w:space="0" w:color="auto"/>
        <w:left w:val="none" w:sz="0" w:space="0" w:color="auto"/>
        <w:bottom w:val="none" w:sz="0" w:space="0" w:color="auto"/>
        <w:right w:val="none" w:sz="0" w:space="0" w:color="auto"/>
      </w:divBdr>
    </w:div>
    <w:div w:id="347948459">
      <w:bodyDiv w:val="1"/>
      <w:marLeft w:val="0"/>
      <w:marRight w:val="0"/>
      <w:marTop w:val="0"/>
      <w:marBottom w:val="0"/>
      <w:divBdr>
        <w:top w:val="none" w:sz="0" w:space="0" w:color="auto"/>
        <w:left w:val="none" w:sz="0" w:space="0" w:color="auto"/>
        <w:bottom w:val="none" w:sz="0" w:space="0" w:color="auto"/>
        <w:right w:val="none" w:sz="0" w:space="0" w:color="auto"/>
      </w:divBdr>
    </w:div>
    <w:div w:id="354231978">
      <w:bodyDiv w:val="1"/>
      <w:marLeft w:val="0"/>
      <w:marRight w:val="0"/>
      <w:marTop w:val="0"/>
      <w:marBottom w:val="0"/>
      <w:divBdr>
        <w:top w:val="none" w:sz="0" w:space="0" w:color="auto"/>
        <w:left w:val="none" w:sz="0" w:space="0" w:color="auto"/>
        <w:bottom w:val="none" w:sz="0" w:space="0" w:color="auto"/>
        <w:right w:val="none" w:sz="0" w:space="0" w:color="auto"/>
      </w:divBdr>
    </w:div>
    <w:div w:id="356928333">
      <w:bodyDiv w:val="1"/>
      <w:marLeft w:val="0"/>
      <w:marRight w:val="0"/>
      <w:marTop w:val="0"/>
      <w:marBottom w:val="0"/>
      <w:divBdr>
        <w:top w:val="none" w:sz="0" w:space="0" w:color="auto"/>
        <w:left w:val="none" w:sz="0" w:space="0" w:color="auto"/>
        <w:bottom w:val="none" w:sz="0" w:space="0" w:color="auto"/>
        <w:right w:val="none" w:sz="0" w:space="0" w:color="auto"/>
      </w:divBdr>
    </w:div>
    <w:div w:id="423455912">
      <w:bodyDiv w:val="1"/>
      <w:marLeft w:val="0"/>
      <w:marRight w:val="0"/>
      <w:marTop w:val="0"/>
      <w:marBottom w:val="0"/>
      <w:divBdr>
        <w:top w:val="none" w:sz="0" w:space="0" w:color="auto"/>
        <w:left w:val="none" w:sz="0" w:space="0" w:color="auto"/>
        <w:bottom w:val="none" w:sz="0" w:space="0" w:color="auto"/>
        <w:right w:val="none" w:sz="0" w:space="0" w:color="auto"/>
      </w:divBdr>
    </w:div>
    <w:div w:id="449785240">
      <w:bodyDiv w:val="1"/>
      <w:marLeft w:val="0"/>
      <w:marRight w:val="0"/>
      <w:marTop w:val="0"/>
      <w:marBottom w:val="0"/>
      <w:divBdr>
        <w:top w:val="none" w:sz="0" w:space="0" w:color="auto"/>
        <w:left w:val="none" w:sz="0" w:space="0" w:color="auto"/>
        <w:bottom w:val="none" w:sz="0" w:space="0" w:color="auto"/>
        <w:right w:val="none" w:sz="0" w:space="0" w:color="auto"/>
      </w:divBdr>
    </w:div>
    <w:div w:id="541215929">
      <w:bodyDiv w:val="1"/>
      <w:marLeft w:val="0"/>
      <w:marRight w:val="0"/>
      <w:marTop w:val="0"/>
      <w:marBottom w:val="0"/>
      <w:divBdr>
        <w:top w:val="none" w:sz="0" w:space="0" w:color="auto"/>
        <w:left w:val="none" w:sz="0" w:space="0" w:color="auto"/>
        <w:bottom w:val="none" w:sz="0" w:space="0" w:color="auto"/>
        <w:right w:val="none" w:sz="0" w:space="0" w:color="auto"/>
      </w:divBdr>
    </w:div>
    <w:div w:id="562331558">
      <w:bodyDiv w:val="1"/>
      <w:marLeft w:val="0"/>
      <w:marRight w:val="0"/>
      <w:marTop w:val="0"/>
      <w:marBottom w:val="0"/>
      <w:divBdr>
        <w:top w:val="none" w:sz="0" w:space="0" w:color="auto"/>
        <w:left w:val="none" w:sz="0" w:space="0" w:color="auto"/>
        <w:bottom w:val="none" w:sz="0" w:space="0" w:color="auto"/>
        <w:right w:val="none" w:sz="0" w:space="0" w:color="auto"/>
      </w:divBdr>
    </w:div>
    <w:div w:id="619410992">
      <w:bodyDiv w:val="1"/>
      <w:marLeft w:val="0"/>
      <w:marRight w:val="0"/>
      <w:marTop w:val="0"/>
      <w:marBottom w:val="0"/>
      <w:divBdr>
        <w:top w:val="none" w:sz="0" w:space="0" w:color="auto"/>
        <w:left w:val="none" w:sz="0" w:space="0" w:color="auto"/>
        <w:bottom w:val="none" w:sz="0" w:space="0" w:color="auto"/>
        <w:right w:val="none" w:sz="0" w:space="0" w:color="auto"/>
      </w:divBdr>
    </w:div>
    <w:div w:id="637343623">
      <w:bodyDiv w:val="1"/>
      <w:marLeft w:val="0"/>
      <w:marRight w:val="0"/>
      <w:marTop w:val="0"/>
      <w:marBottom w:val="0"/>
      <w:divBdr>
        <w:top w:val="none" w:sz="0" w:space="0" w:color="auto"/>
        <w:left w:val="none" w:sz="0" w:space="0" w:color="auto"/>
        <w:bottom w:val="none" w:sz="0" w:space="0" w:color="auto"/>
        <w:right w:val="none" w:sz="0" w:space="0" w:color="auto"/>
      </w:divBdr>
    </w:div>
    <w:div w:id="671761405">
      <w:bodyDiv w:val="1"/>
      <w:marLeft w:val="0"/>
      <w:marRight w:val="0"/>
      <w:marTop w:val="0"/>
      <w:marBottom w:val="0"/>
      <w:divBdr>
        <w:top w:val="none" w:sz="0" w:space="0" w:color="auto"/>
        <w:left w:val="none" w:sz="0" w:space="0" w:color="auto"/>
        <w:bottom w:val="none" w:sz="0" w:space="0" w:color="auto"/>
        <w:right w:val="none" w:sz="0" w:space="0" w:color="auto"/>
      </w:divBdr>
    </w:div>
    <w:div w:id="701059389">
      <w:bodyDiv w:val="1"/>
      <w:marLeft w:val="0"/>
      <w:marRight w:val="0"/>
      <w:marTop w:val="0"/>
      <w:marBottom w:val="0"/>
      <w:divBdr>
        <w:top w:val="none" w:sz="0" w:space="0" w:color="auto"/>
        <w:left w:val="none" w:sz="0" w:space="0" w:color="auto"/>
        <w:bottom w:val="none" w:sz="0" w:space="0" w:color="auto"/>
        <w:right w:val="none" w:sz="0" w:space="0" w:color="auto"/>
      </w:divBdr>
    </w:div>
    <w:div w:id="725841111">
      <w:bodyDiv w:val="1"/>
      <w:marLeft w:val="0"/>
      <w:marRight w:val="0"/>
      <w:marTop w:val="0"/>
      <w:marBottom w:val="0"/>
      <w:divBdr>
        <w:top w:val="none" w:sz="0" w:space="0" w:color="auto"/>
        <w:left w:val="none" w:sz="0" w:space="0" w:color="auto"/>
        <w:bottom w:val="none" w:sz="0" w:space="0" w:color="auto"/>
        <w:right w:val="none" w:sz="0" w:space="0" w:color="auto"/>
      </w:divBdr>
    </w:div>
    <w:div w:id="753165673">
      <w:bodyDiv w:val="1"/>
      <w:marLeft w:val="0"/>
      <w:marRight w:val="0"/>
      <w:marTop w:val="0"/>
      <w:marBottom w:val="0"/>
      <w:divBdr>
        <w:top w:val="none" w:sz="0" w:space="0" w:color="auto"/>
        <w:left w:val="none" w:sz="0" w:space="0" w:color="auto"/>
        <w:bottom w:val="none" w:sz="0" w:space="0" w:color="auto"/>
        <w:right w:val="none" w:sz="0" w:space="0" w:color="auto"/>
      </w:divBdr>
    </w:div>
    <w:div w:id="797916428">
      <w:bodyDiv w:val="1"/>
      <w:marLeft w:val="0"/>
      <w:marRight w:val="0"/>
      <w:marTop w:val="0"/>
      <w:marBottom w:val="0"/>
      <w:divBdr>
        <w:top w:val="none" w:sz="0" w:space="0" w:color="auto"/>
        <w:left w:val="none" w:sz="0" w:space="0" w:color="auto"/>
        <w:bottom w:val="none" w:sz="0" w:space="0" w:color="auto"/>
        <w:right w:val="none" w:sz="0" w:space="0" w:color="auto"/>
      </w:divBdr>
    </w:div>
    <w:div w:id="828325884">
      <w:bodyDiv w:val="1"/>
      <w:marLeft w:val="0"/>
      <w:marRight w:val="0"/>
      <w:marTop w:val="0"/>
      <w:marBottom w:val="0"/>
      <w:divBdr>
        <w:top w:val="none" w:sz="0" w:space="0" w:color="auto"/>
        <w:left w:val="none" w:sz="0" w:space="0" w:color="auto"/>
        <w:bottom w:val="none" w:sz="0" w:space="0" w:color="auto"/>
        <w:right w:val="none" w:sz="0" w:space="0" w:color="auto"/>
      </w:divBdr>
    </w:div>
    <w:div w:id="867258760">
      <w:bodyDiv w:val="1"/>
      <w:marLeft w:val="0"/>
      <w:marRight w:val="0"/>
      <w:marTop w:val="0"/>
      <w:marBottom w:val="0"/>
      <w:divBdr>
        <w:top w:val="none" w:sz="0" w:space="0" w:color="auto"/>
        <w:left w:val="none" w:sz="0" w:space="0" w:color="auto"/>
        <w:bottom w:val="none" w:sz="0" w:space="0" w:color="auto"/>
        <w:right w:val="none" w:sz="0" w:space="0" w:color="auto"/>
      </w:divBdr>
    </w:div>
    <w:div w:id="878324907">
      <w:bodyDiv w:val="1"/>
      <w:marLeft w:val="0"/>
      <w:marRight w:val="0"/>
      <w:marTop w:val="0"/>
      <w:marBottom w:val="0"/>
      <w:divBdr>
        <w:top w:val="none" w:sz="0" w:space="0" w:color="auto"/>
        <w:left w:val="none" w:sz="0" w:space="0" w:color="auto"/>
        <w:bottom w:val="none" w:sz="0" w:space="0" w:color="auto"/>
        <w:right w:val="none" w:sz="0" w:space="0" w:color="auto"/>
      </w:divBdr>
    </w:div>
    <w:div w:id="890383600">
      <w:bodyDiv w:val="1"/>
      <w:marLeft w:val="0"/>
      <w:marRight w:val="0"/>
      <w:marTop w:val="0"/>
      <w:marBottom w:val="0"/>
      <w:divBdr>
        <w:top w:val="none" w:sz="0" w:space="0" w:color="auto"/>
        <w:left w:val="none" w:sz="0" w:space="0" w:color="auto"/>
        <w:bottom w:val="none" w:sz="0" w:space="0" w:color="auto"/>
        <w:right w:val="none" w:sz="0" w:space="0" w:color="auto"/>
      </w:divBdr>
    </w:div>
    <w:div w:id="964122592">
      <w:bodyDiv w:val="1"/>
      <w:marLeft w:val="0"/>
      <w:marRight w:val="0"/>
      <w:marTop w:val="0"/>
      <w:marBottom w:val="0"/>
      <w:divBdr>
        <w:top w:val="none" w:sz="0" w:space="0" w:color="auto"/>
        <w:left w:val="none" w:sz="0" w:space="0" w:color="auto"/>
        <w:bottom w:val="none" w:sz="0" w:space="0" w:color="auto"/>
        <w:right w:val="none" w:sz="0" w:space="0" w:color="auto"/>
      </w:divBdr>
    </w:div>
    <w:div w:id="975184363">
      <w:bodyDiv w:val="1"/>
      <w:marLeft w:val="0"/>
      <w:marRight w:val="0"/>
      <w:marTop w:val="0"/>
      <w:marBottom w:val="0"/>
      <w:divBdr>
        <w:top w:val="none" w:sz="0" w:space="0" w:color="auto"/>
        <w:left w:val="none" w:sz="0" w:space="0" w:color="auto"/>
        <w:bottom w:val="none" w:sz="0" w:space="0" w:color="auto"/>
        <w:right w:val="none" w:sz="0" w:space="0" w:color="auto"/>
      </w:divBdr>
    </w:div>
    <w:div w:id="1031959982">
      <w:bodyDiv w:val="1"/>
      <w:marLeft w:val="0"/>
      <w:marRight w:val="0"/>
      <w:marTop w:val="0"/>
      <w:marBottom w:val="0"/>
      <w:divBdr>
        <w:top w:val="none" w:sz="0" w:space="0" w:color="auto"/>
        <w:left w:val="none" w:sz="0" w:space="0" w:color="auto"/>
        <w:bottom w:val="none" w:sz="0" w:space="0" w:color="auto"/>
        <w:right w:val="none" w:sz="0" w:space="0" w:color="auto"/>
      </w:divBdr>
    </w:div>
    <w:div w:id="1047297318">
      <w:bodyDiv w:val="1"/>
      <w:marLeft w:val="0"/>
      <w:marRight w:val="0"/>
      <w:marTop w:val="0"/>
      <w:marBottom w:val="0"/>
      <w:divBdr>
        <w:top w:val="none" w:sz="0" w:space="0" w:color="auto"/>
        <w:left w:val="none" w:sz="0" w:space="0" w:color="auto"/>
        <w:bottom w:val="none" w:sz="0" w:space="0" w:color="auto"/>
        <w:right w:val="none" w:sz="0" w:space="0" w:color="auto"/>
      </w:divBdr>
    </w:div>
    <w:div w:id="1155756397">
      <w:bodyDiv w:val="1"/>
      <w:marLeft w:val="0"/>
      <w:marRight w:val="0"/>
      <w:marTop w:val="0"/>
      <w:marBottom w:val="0"/>
      <w:divBdr>
        <w:top w:val="none" w:sz="0" w:space="0" w:color="auto"/>
        <w:left w:val="none" w:sz="0" w:space="0" w:color="auto"/>
        <w:bottom w:val="none" w:sz="0" w:space="0" w:color="auto"/>
        <w:right w:val="none" w:sz="0" w:space="0" w:color="auto"/>
      </w:divBdr>
    </w:div>
    <w:div w:id="1198354182">
      <w:bodyDiv w:val="1"/>
      <w:marLeft w:val="0"/>
      <w:marRight w:val="0"/>
      <w:marTop w:val="0"/>
      <w:marBottom w:val="0"/>
      <w:divBdr>
        <w:top w:val="none" w:sz="0" w:space="0" w:color="auto"/>
        <w:left w:val="none" w:sz="0" w:space="0" w:color="auto"/>
        <w:bottom w:val="none" w:sz="0" w:space="0" w:color="auto"/>
        <w:right w:val="none" w:sz="0" w:space="0" w:color="auto"/>
      </w:divBdr>
    </w:div>
    <w:div w:id="1199514744">
      <w:bodyDiv w:val="1"/>
      <w:marLeft w:val="0"/>
      <w:marRight w:val="0"/>
      <w:marTop w:val="0"/>
      <w:marBottom w:val="0"/>
      <w:divBdr>
        <w:top w:val="none" w:sz="0" w:space="0" w:color="auto"/>
        <w:left w:val="none" w:sz="0" w:space="0" w:color="auto"/>
        <w:bottom w:val="none" w:sz="0" w:space="0" w:color="auto"/>
        <w:right w:val="none" w:sz="0" w:space="0" w:color="auto"/>
      </w:divBdr>
    </w:div>
    <w:div w:id="1199783017">
      <w:bodyDiv w:val="1"/>
      <w:marLeft w:val="0"/>
      <w:marRight w:val="0"/>
      <w:marTop w:val="0"/>
      <w:marBottom w:val="0"/>
      <w:divBdr>
        <w:top w:val="none" w:sz="0" w:space="0" w:color="auto"/>
        <w:left w:val="none" w:sz="0" w:space="0" w:color="auto"/>
        <w:bottom w:val="none" w:sz="0" w:space="0" w:color="auto"/>
        <w:right w:val="none" w:sz="0" w:space="0" w:color="auto"/>
      </w:divBdr>
    </w:div>
    <w:div w:id="1222793316">
      <w:bodyDiv w:val="1"/>
      <w:marLeft w:val="0"/>
      <w:marRight w:val="0"/>
      <w:marTop w:val="0"/>
      <w:marBottom w:val="0"/>
      <w:divBdr>
        <w:top w:val="none" w:sz="0" w:space="0" w:color="auto"/>
        <w:left w:val="none" w:sz="0" w:space="0" w:color="auto"/>
        <w:bottom w:val="none" w:sz="0" w:space="0" w:color="auto"/>
        <w:right w:val="none" w:sz="0" w:space="0" w:color="auto"/>
      </w:divBdr>
    </w:div>
    <w:div w:id="1228226178">
      <w:bodyDiv w:val="1"/>
      <w:marLeft w:val="0"/>
      <w:marRight w:val="0"/>
      <w:marTop w:val="0"/>
      <w:marBottom w:val="0"/>
      <w:divBdr>
        <w:top w:val="none" w:sz="0" w:space="0" w:color="auto"/>
        <w:left w:val="none" w:sz="0" w:space="0" w:color="auto"/>
        <w:bottom w:val="none" w:sz="0" w:space="0" w:color="auto"/>
        <w:right w:val="none" w:sz="0" w:space="0" w:color="auto"/>
      </w:divBdr>
    </w:div>
    <w:div w:id="1304581382">
      <w:bodyDiv w:val="1"/>
      <w:marLeft w:val="0"/>
      <w:marRight w:val="0"/>
      <w:marTop w:val="0"/>
      <w:marBottom w:val="0"/>
      <w:divBdr>
        <w:top w:val="none" w:sz="0" w:space="0" w:color="auto"/>
        <w:left w:val="none" w:sz="0" w:space="0" w:color="auto"/>
        <w:bottom w:val="none" w:sz="0" w:space="0" w:color="auto"/>
        <w:right w:val="none" w:sz="0" w:space="0" w:color="auto"/>
      </w:divBdr>
    </w:div>
    <w:div w:id="1317612057">
      <w:bodyDiv w:val="1"/>
      <w:marLeft w:val="0"/>
      <w:marRight w:val="0"/>
      <w:marTop w:val="0"/>
      <w:marBottom w:val="0"/>
      <w:divBdr>
        <w:top w:val="none" w:sz="0" w:space="0" w:color="auto"/>
        <w:left w:val="none" w:sz="0" w:space="0" w:color="auto"/>
        <w:bottom w:val="none" w:sz="0" w:space="0" w:color="auto"/>
        <w:right w:val="none" w:sz="0" w:space="0" w:color="auto"/>
      </w:divBdr>
    </w:div>
    <w:div w:id="1335645365">
      <w:bodyDiv w:val="1"/>
      <w:marLeft w:val="0"/>
      <w:marRight w:val="0"/>
      <w:marTop w:val="0"/>
      <w:marBottom w:val="0"/>
      <w:divBdr>
        <w:top w:val="none" w:sz="0" w:space="0" w:color="auto"/>
        <w:left w:val="none" w:sz="0" w:space="0" w:color="auto"/>
        <w:bottom w:val="none" w:sz="0" w:space="0" w:color="auto"/>
        <w:right w:val="none" w:sz="0" w:space="0" w:color="auto"/>
      </w:divBdr>
    </w:div>
    <w:div w:id="1375233585">
      <w:bodyDiv w:val="1"/>
      <w:marLeft w:val="0"/>
      <w:marRight w:val="0"/>
      <w:marTop w:val="0"/>
      <w:marBottom w:val="0"/>
      <w:divBdr>
        <w:top w:val="none" w:sz="0" w:space="0" w:color="auto"/>
        <w:left w:val="none" w:sz="0" w:space="0" w:color="auto"/>
        <w:bottom w:val="none" w:sz="0" w:space="0" w:color="auto"/>
        <w:right w:val="none" w:sz="0" w:space="0" w:color="auto"/>
      </w:divBdr>
    </w:div>
    <w:div w:id="1407413037">
      <w:bodyDiv w:val="1"/>
      <w:marLeft w:val="0"/>
      <w:marRight w:val="0"/>
      <w:marTop w:val="0"/>
      <w:marBottom w:val="0"/>
      <w:divBdr>
        <w:top w:val="none" w:sz="0" w:space="0" w:color="auto"/>
        <w:left w:val="none" w:sz="0" w:space="0" w:color="auto"/>
        <w:bottom w:val="none" w:sz="0" w:space="0" w:color="auto"/>
        <w:right w:val="none" w:sz="0" w:space="0" w:color="auto"/>
      </w:divBdr>
    </w:div>
    <w:div w:id="1447847308">
      <w:bodyDiv w:val="1"/>
      <w:marLeft w:val="0"/>
      <w:marRight w:val="0"/>
      <w:marTop w:val="0"/>
      <w:marBottom w:val="0"/>
      <w:divBdr>
        <w:top w:val="none" w:sz="0" w:space="0" w:color="auto"/>
        <w:left w:val="none" w:sz="0" w:space="0" w:color="auto"/>
        <w:bottom w:val="none" w:sz="0" w:space="0" w:color="auto"/>
        <w:right w:val="none" w:sz="0" w:space="0" w:color="auto"/>
      </w:divBdr>
    </w:div>
    <w:div w:id="1522090397">
      <w:bodyDiv w:val="1"/>
      <w:marLeft w:val="0"/>
      <w:marRight w:val="0"/>
      <w:marTop w:val="0"/>
      <w:marBottom w:val="0"/>
      <w:divBdr>
        <w:top w:val="none" w:sz="0" w:space="0" w:color="auto"/>
        <w:left w:val="none" w:sz="0" w:space="0" w:color="auto"/>
        <w:bottom w:val="none" w:sz="0" w:space="0" w:color="auto"/>
        <w:right w:val="none" w:sz="0" w:space="0" w:color="auto"/>
      </w:divBdr>
    </w:div>
    <w:div w:id="1598825652">
      <w:bodyDiv w:val="1"/>
      <w:marLeft w:val="0"/>
      <w:marRight w:val="0"/>
      <w:marTop w:val="0"/>
      <w:marBottom w:val="0"/>
      <w:divBdr>
        <w:top w:val="none" w:sz="0" w:space="0" w:color="auto"/>
        <w:left w:val="none" w:sz="0" w:space="0" w:color="auto"/>
        <w:bottom w:val="none" w:sz="0" w:space="0" w:color="auto"/>
        <w:right w:val="none" w:sz="0" w:space="0" w:color="auto"/>
      </w:divBdr>
    </w:div>
    <w:div w:id="1631551377">
      <w:bodyDiv w:val="1"/>
      <w:marLeft w:val="0"/>
      <w:marRight w:val="0"/>
      <w:marTop w:val="0"/>
      <w:marBottom w:val="0"/>
      <w:divBdr>
        <w:top w:val="none" w:sz="0" w:space="0" w:color="auto"/>
        <w:left w:val="none" w:sz="0" w:space="0" w:color="auto"/>
        <w:bottom w:val="none" w:sz="0" w:space="0" w:color="auto"/>
        <w:right w:val="none" w:sz="0" w:space="0" w:color="auto"/>
      </w:divBdr>
    </w:div>
    <w:div w:id="1633054592">
      <w:bodyDiv w:val="1"/>
      <w:marLeft w:val="0"/>
      <w:marRight w:val="0"/>
      <w:marTop w:val="0"/>
      <w:marBottom w:val="0"/>
      <w:divBdr>
        <w:top w:val="none" w:sz="0" w:space="0" w:color="auto"/>
        <w:left w:val="none" w:sz="0" w:space="0" w:color="auto"/>
        <w:bottom w:val="none" w:sz="0" w:space="0" w:color="auto"/>
        <w:right w:val="none" w:sz="0" w:space="0" w:color="auto"/>
      </w:divBdr>
    </w:div>
    <w:div w:id="1694499340">
      <w:bodyDiv w:val="1"/>
      <w:marLeft w:val="0"/>
      <w:marRight w:val="0"/>
      <w:marTop w:val="0"/>
      <w:marBottom w:val="0"/>
      <w:divBdr>
        <w:top w:val="none" w:sz="0" w:space="0" w:color="auto"/>
        <w:left w:val="none" w:sz="0" w:space="0" w:color="auto"/>
        <w:bottom w:val="none" w:sz="0" w:space="0" w:color="auto"/>
        <w:right w:val="none" w:sz="0" w:space="0" w:color="auto"/>
      </w:divBdr>
    </w:div>
    <w:div w:id="1701472090">
      <w:bodyDiv w:val="1"/>
      <w:marLeft w:val="0"/>
      <w:marRight w:val="0"/>
      <w:marTop w:val="0"/>
      <w:marBottom w:val="0"/>
      <w:divBdr>
        <w:top w:val="none" w:sz="0" w:space="0" w:color="auto"/>
        <w:left w:val="none" w:sz="0" w:space="0" w:color="auto"/>
        <w:bottom w:val="none" w:sz="0" w:space="0" w:color="auto"/>
        <w:right w:val="none" w:sz="0" w:space="0" w:color="auto"/>
      </w:divBdr>
    </w:div>
    <w:div w:id="1710953563">
      <w:bodyDiv w:val="1"/>
      <w:marLeft w:val="0"/>
      <w:marRight w:val="0"/>
      <w:marTop w:val="0"/>
      <w:marBottom w:val="0"/>
      <w:divBdr>
        <w:top w:val="none" w:sz="0" w:space="0" w:color="auto"/>
        <w:left w:val="none" w:sz="0" w:space="0" w:color="auto"/>
        <w:bottom w:val="none" w:sz="0" w:space="0" w:color="auto"/>
        <w:right w:val="none" w:sz="0" w:space="0" w:color="auto"/>
      </w:divBdr>
    </w:div>
    <w:div w:id="1715226083">
      <w:bodyDiv w:val="1"/>
      <w:marLeft w:val="0"/>
      <w:marRight w:val="0"/>
      <w:marTop w:val="0"/>
      <w:marBottom w:val="0"/>
      <w:divBdr>
        <w:top w:val="none" w:sz="0" w:space="0" w:color="auto"/>
        <w:left w:val="none" w:sz="0" w:space="0" w:color="auto"/>
        <w:bottom w:val="none" w:sz="0" w:space="0" w:color="auto"/>
        <w:right w:val="none" w:sz="0" w:space="0" w:color="auto"/>
      </w:divBdr>
    </w:div>
    <w:div w:id="1795902278">
      <w:bodyDiv w:val="1"/>
      <w:marLeft w:val="0"/>
      <w:marRight w:val="0"/>
      <w:marTop w:val="0"/>
      <w:marBottom w:val="0"/>
      <w:divBdr>
        <w:top w:val="none" w:sz="0" w:space="0" w:color="auto"/>
        <w:left w:val="none" w:sz="0" w:space="0" w:color="auto"/>
        <w:bottom w:val="none" w:sz="0" w:space="0" w:color="auto"/>
        <w:right w:val="none" w:sz="0" w:space="0" w:color="auto"/>
      </w:divBdr>
    </w:div>
    <w:div w:id="1796675919">
      <w:bodyDiv w:val="1"/>
      <w:marLeft w:val="0"/>
      <w:marRight w:val="0"/>
      <w:marTop w:val="0"/>
      <w:marBottom w:val="0"/>
      <w:divBdr>
        <w:top w:val="none" w:sz="0" w:space="0" w:color="auto"/>
        <w:left w:val="none" w:sz="0" w:space="0" w:color="auto"/>
        <w:bottom w:val="none" w:sz="0" w:space="0" w:color="auto"/>
        <w:right w:val="none" w:sz="0" w:space="0" w:color="auto"/>
      </w:divBdr>
    </w:div>
    <w:div w:id="1847551275">
      <w:bodyDiv w:val="1"/>
      <w:marLeft w:val="0"/>
      <w:marRight w:val="0"/>
      <w:marTop w:val="0"/>
      <w:marBottom w:val="0"/>
      <w:divBdr>
        <w:top w:val="none" w:sz="0" w:space="0" w:color="auto"/>
        <w:left w:val="none" w:sz="0" w:space="0" w:color="auto"/>
        <w:bottom w:val="none" w:sz="0" w:space="0" w:color="auto"/>
        <w:right w:val="none" w:sz="0" w:space="0" w:color="auto"/>
      </w:divBdr>
    </w:div>
    <w:div w:id="1873571657">
      <w:bodyDiv w:val="1"/>
      <w:marLeft w:val="0"/>
      <w:marRight w:val="0"/>
      <w:marTop w:val="0"/>
      <w:marBottom w:val="0"/>
      <w:divBdr>
        <w:top w:val="none" w:sz="0" w:space="0" w:color="auto"/>
        <w:left w:val="none" w:sz="0" w:space="0" w:color="auto"/>
        <w:bottom w:val="none" w:sz="0" w:space="0" w:color="auto"/>
        <w:right w:val="none" w:sz="0" w:space="0" w:color="auto"/>
      </w:divBdr>
    </w:div>
    <w:div w:id="1936597658">
      <w:bodyDiv w:val="1"/>
      <w:marLeft w:val="0"/>
      <w:marRight w:val="0"/>
      <w:marTop w:val="0"/>
      <w:marBottom w:val="0"/>
      <w:divBdr>
        <w:top w:val="none" w:sz="0" w:space="0" w:color="auto"/>
        <w:left w:val="none" w:sz="0" w:space="0" w:color="auto"/>
        <w:bottom w:val="none" w:sz="0" w:space="0" w:color="auto"/>
        <w:right w:val="none" w:sz="0" w:space="0" w:color="auto"/>
      </w:divBdr>
    </w:div>
    <w:div w:id="2013794548">
      <w:bodyDiv w:val="1"/>
      <w:marLeft w:val="0"/>
      <w:marRight w:val="0"/>
      <w:marTop w:val="0"/>
      <w:marBottom w:val="0"/>
      <w:divBdr>
        <w:top w:val="none" w:sz="0" w:space="0" w:color="auto"/>
        <w:left w:val="none" w:sz="0" w:space="0" w:color="auto"/>
        <w:bottom w:val="none" w:sz="0" w:space="0" w:color="auto"/>
        <w:right w:val="none" w:sz="0" w:space="0" w:color="auto"/>
      </w:divBdr>
    </w:div>
    <w:div w:id="2024044072">
      <w:bodyDiv w:val="1"/>
      <w:marLeft w:val="0"/>
      <w:marRight w:val="0"/>
      <w:marTop w:val="0"/>
      <w:marBottom w:val="0"/>
      <w:divBdr>
        <w:top w:val="none" w:sz="0" w:space="0" w:color="auto"/>
        <w:left w:val="none" w:sz="0" w:space="0" w:color="auto"/>
        <w:bottom w:val="none" w:sz="0" w:space="0" w:color="auto"/>
        <w:right w:val="none" w:sz="0" w:space="0" w:color="auto"/>
      </w:divBdr>
    </w:div>
    <w:div w:id="2035688705">
      <w:bodyDiv w:val="1"/>
      <w:marLeft w:val="0"/>
      <w:marRight w:val="0"/>
      <w:marTop w:val="0"/>
      <w:marBottom w:val="0"/>
      <w:divBdr>
        <w:top w:val="none" w:sz="0" w:space="0" w:color="auto"/>
        <w:left w:val="none" w:sz="0" w:space="0" w:color="auto"/>
        <w:bottom w:val="none" w:sz="0" w:space="0" w:color="auto"/>
        <w:right w:val="none" w:sz="0" w:space="0" w:color="auto"/>
      </w:divBdr>
    </w:div>
    <w:div w:id="2061898014">
      <w:bodyDiv w:val="1"/>
      <w:marLeft w:val="0"/>
      <w:marRight w:val="0"/>
      <w:marTop w:val="0"/>
      <w:marBottom w:val="0"/>
      <w:divBdr>
        <w:top w:val="none" w:sz="0" w:space="0" w:color="auto"/>
        <w:left w:val="none" w:sz="0" w:space="0" w:color="auto"/>
        <w:bottom w:val="none" w:sz="0" w:space="0" w:color="auto"/>
        <w:right w:val="none" w:sz="0" w:space="0" w:color="auto"/>
      </w:divBdr>
    </w:div>
    <w:div w:id="2067949171">
      <w:bodyDiv w:val="1"/>
      <w:marLeft w:val="0"/>
      <w:marRight w:val="0"/>
      <w:marTop w:val="0"/>
      <w:marBottom w:val="0"/>
      <w:divBdr>
        <w:top w:val="none" w:sz="0" w:space="0" w:color="auto"/>
        <w:left w:val="none" w:sz="0" w:space="0" w:color="auto"/>
        <w:bottom w:val="none" w:sz="0" w:space="0" w:color="auto"/>
        <w:right w:val="none" w:sz="0" w:space="0" w:color="auto"/>
      </w:divBdr>
    </w:div>
    <w:div w:id="2119253866">
      <w:bodyDiv w:val="1"/>
      <w:marLeft w:val="0"/>
      <w:marRight w:val="0"/>
      <w:marTop w:val="0"/>
      <w:marBottom w:val="0"/>
      <w:divBdr>
        <w:top w:val="none" w:sz="0" w:space="0" w:color="auto"/>
        <w:left w:val="none" w:sz="0" w:space="0" w:color="auto"/>
        <w:bottom w:val="none" w:sz="0" w:space="0" w:color="auto"/>
        <w:right w:val="none" w:sz="0" w:space="0" w:color="auto"/>
      </w:divBdr>
    </w:div>
    <w:div w:id="213825576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26" Type="http://schemas.openxmlformats.org/officeDocument/2006/relationships/image" Target="media/image7.jpeg"/><Relationship Id="rId117" Type="http://schemas.openxmlformats.org/officeDocument/2006/relationships/image" Target="media/image72.jpeg"/><Relationship Id="rId21" Type="http://schemas.openxmlformats.org/officeDocument/2006/relationships/header" Target="header4.xml"/><Relationship Id="rId42" Type="http://schemas.openxmlformats.org/officeDocument/2006/relationships/header" Target="header16.xml"/><Relationship Id="rId47" Type="http://schemas.openxmlformats.org/officeDocument/2006/relationships/footer" Target="footer10.xml"/><Relationship Id="rId63" Type="http://schemas.openxmlformats.org/officeDocument/2006/relationships/image" Target="media/image21.emf"/><Relationship Id="rId68" Type="http://schemas.openxmlformats.org/officeDocument/2006/relationships/image" Target="media/image26.emf"/><Relationship Id="rId84" Type="http://schemas.openxmlformats.org/officeDocument/2006/relationships/image" Target="media/image42.emf"/><Relationship Id="rId89" Type="http://schemas.openxmlformats.org/officeDocument/2006/relationships/image" Target="media/image45.emf"/><Relationship Id="rId112" Type="http://schemas.openxmlformats.org/officeDocument/2006/relationships/image" Target="media/image68.emf"/><Relationship Id="rId133" Type="http://schemas.openxmlformats.org/officeDocument/2006/relationships/image" Target="media/image78.jpeg"/><Relationship Id="rId138" Type="http://schemas.openxmlformats.org/officeDocument/2006/relationships/image" Target="media/image79.gif"/><Relationship Id="rId154" Type="http://schemas.openxmlformats.org/officeDocument/2006/relationships/header" Target="header45.xml"/><Relationship Id="rId159" Type="http://schemas.openxmlformats.org/officeDocument/2006/relationships/hyperlink" Target="http://en.wikipedia.org/wiki/Noble_gas" TargetMode="External"/><Relationship Id="rId170" Type="http://schemas.openxmlformats.org/officeDocument/2006/relationships/header" Target="header53.xml"/><Relationship Id="rId16" Type="http://schemas.openxmlformats.org/officeDocument/2006/relationships/footer" Target="footer1.xml"/><Relationship Id="rId107" Type="http://schemas.openxmlformats.org/officeDocument/2006/relationships/image" Target="media/image63.emf"/><Relationship Id="rId11" Type="http://schemas.openxmlformats.org/officeDocument/2006/relationships/image" Target="media/image3.png"/><Relationship Id="rId32" Type="http://schemas.openxmlformats.org/officeDocument/2006/relationships/footer" Target="footer8.xml"/><Relationship Id="rId37" Type="http://schemas.openxmlformats.org/officeDocument/2006/relationships/header" Target="header13.xml"/><Relationship Id="rId53" Type="http://schemas.openxmlformats.org/officeDocument/2006/relationships/image" Target="media/image11.emf"/><Relationship Id="rId58" Type="http://schemas.openxmlformats.org/officeDocument/2006/relationships/image" Target="media/image16.emf"/><Relationship Id="rId74" Type="http://schemas.openxmlformats.org/officeDocument/2006/relationships/image" Target="media/image32.emf"/><Relationship Id="rId79" Type="http://schemas.openxmlformats.org/officeDocument/2006/relationships/image" Target="media/image37.emf"/><Relationship Id="rId102" Type="http://schemas.openxmlformats.org/officeDocument/2006/relationships/image" Target="media/image58.emf"/><Relationship Id="rId123" Type="http://schemas.openxmlformats.org/officeDocument/2006/relationships/chart" Target="charts/chart1.xml"/><Relationship Id="rId128" Type="http://schemas.openxmlformats.org/officeDocument/2006/relationships/header" Target="header27.xml"/><Relationship Id="rId144" Type="http://schemas.openxmlformats.org/officeDocument/2006/relationships/footer" Target="footer14.xml"/><Relationship Id="rId149" Type="http://schemas.openxmlformats.org/officeDocument/2006/relationships/header" Target="header40.xml"/><Relationship Id="rId5" Type="http://schemas.openxmlformats.org/officeDocument/2006/relationships/settings" Target="settings.xml"/><Relationship Id="rId90" Type="http://schemas.openxmlformats.org/officeDocument/2006/relationships/image" Target="media/image46.emf"/><Relationship Id="rId95" Type="http://schemas.openxmlformats.org/officeDocument/2006/relationships/image" Target="media/image51.emf"/><Relationship Id="rId160" Type="http://schemas.openxmlformats.org/officeDocument/2006/relationships/hyperlink" Target="http://en.wikipedia.org/wiki/Noble_gas" TargetMode="External"/><Relationship Id="rId165" Type="http://schemas.openxmlformats.org/officeDocument/2006/relationships/footer" Target="footer16.xml"/><Relationship Id="rId22" Type="http://schemas.openxmlformats.org/officeDocument/2006/relationships/header" Target="header5.xml"/><Relationship Id="rId27" Type="http://schemas.openxmlformats.org/officeDocument/2006/relationships/header" Target="header7.xml"/><Relationship Id="rId43" Type="http://schemas.openxmlformats.org/officeDocument/2006/relationships/header" Target="header17.xml"/><Relationship Id="rId48" Type="http://schemas.openxmlformats.org/officeDocument/2006/relationships/footer" Target="footer11.xml"/><Relationship Id="rId64" Type="http://schemas.openxmlformats.org/officeDocument/2006/relationships/image" Target="media/image22.emf"/><Relationship Id="rId69" Type="http://schemas.openxmlformats.org/officeDocument/2006/relationships/image" Target="media/image27.gif"/><Relationship Id="rId113" Type="http://schemas.openxmlformats.org/officeDocument/2006/relationships/image" Target="media/image69.emf"/><Relationship Id="rId118" Type="http://schemas.openxmlformats.org/officeDocument/2006/relationships/image" Target="media/image73.jpeg"/><Relationship Id="rId134" Type="http://schemas.openxmlformats.org/officeDocument/2006/relationships/header" Target="header31.xml"/><Relationship Id="rId139" Type="http://schemas.openxmlformats.org/officeDocument/2006/relationships/image" Target="media/image80.jpeg"/><Relationship Id="rId80" Type="http://schemas.openxmlformats.org/officeDocument/2006/relationships/image" Target="media/image38.jpeg"/><Relationship Id="rId85" Type="http://schemas.openxmlformats.org/officeDocument/2006/relationships/image" Target="media/image43.emf"/><Relationship Id="rId150" Type="http://schemas.openxmlformats.org/officeDocument/2006/relationships/header" Target="header41.xml"/><Relationship Id="rId155" Type="http://schemas.openxmlformats.org/officeDocument/2006/relationships/header" Target="header46.xml"/><Relationship Id="rId171" Type="http://schemas.openxmlformats.org/officeDocument/2006/relationships/header" Target="header54.xml"/><Relationship Id="rId12" Type="http://schemas.openxmlformats.org/officeDocument/2006/relationships/image" Target="media/image4.tiff"/><Relationship Id="rId17" Type="http://schemas.openxmlformats.org/officeDocument/2006/relationships/footer" Target="footer2.xml"/><Relationship Id="rId33" Type="http://schemas.openxmlformats.org/officeDocument/2006/relationships/header" Target="header10.xml"/><Relationship Id="rId38" Type="http://schemas.openxmlformats.org/officeDocument/2006/relationships/image" Target="media/image8.jpeg"/><Relationship Id="rId59" Type="http://schemas.openxmlformats.org/officeDocument/2006/relationships/image" Target="media/image17.emf"/><Relationship Id="rId103" Type="http://schemas.openxmlformats.org/officeDocument/2006/relationships/image" Target="media/image59.png"/><Relationship Id="rId108" Type="http://schemas.openxmlformats.org/officeDocument/2006/relationships/image" Target="media/image64.emf"/><Relationship Id="rId124" Type="http://schemas.openxmlformats.org/officeDocument/2006/relationships/chart" Target="charts/chart2.xml"/><Relationship Id="rId129" Type="http://schemas.openxmlformats.org/officeDocument/2006/relationships/header" Target="header28.xml"/><Relationship Id="rId54" Type="http://schemas.openxmlformats.org/officeDocument/2006/relationships/image" Target="media/image12.emf"/><Relationship Id="rId70" Type="http://schemas.openxmlformats.org/officeDocument/2006/relationships/image" Target="media/image28.emf"/><Relationship Id="rId75" Type="http://schemas.openxmlformats.org/officeDocument/2006/relationships/image" Target="media/image33.emf"/><Relationship Id="rId91" Type="http://schemas.openxmlformats.org/officeDocument/2006/relationships/image" Target="media/image47.emf"/><Relationship Id="rId96" Type="http://schemas.openxmlformats.org/officeDocument/2006/relationships/image" Target="media/image52.emf"/><Relationship Id="rId140" Type="http://schemas.openxmlformats.org/officeDocument/2006/relationships/image" Target="media/image81.jpeg"/><Relationship Id="rId145" Type="http://schemas.openxmlformats.org/officeDocument/2006/relationships/header" Target="header37.xml"/><Relationship Id="rId161" Type="http://schemas.openxmlformats.org/officeDocument/2006/relationships/hyperlink" Target="http://en.wikipedia.org/wiki/Oxide" TargetMode="External"/><Relationship Id="rId166" Type="http://schemas.openxmlformats.org/officeDocument/2006/relationships/footer" Target="footer17.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header" Target="header2.xml"/><Relationship Id="rId23" Type="http://schemas.openxmlformats.org/officeDocument/2006/relationships/footer" Target="footer4.xml"/><Relationship Id="rId28" Type="http://schemas.openxmlformats.org/officeDocument/2006/relationships/footer" Target="footer6.xml"/><Relationship Id="rId36" Type="http://schemas.openxmlformats.org/officeDocument/2006/relationships/header" Target="header12.xml"/><Relationship Id="rId49" Type="http://schemas.openxmlformats.org/officeDocument/2006/relationships/header" Target="header20.xml"/><Relationship Id="rId57" Type="http://schemas.openxmlformats.org/officeDocument/2006/relationships/image" Target="media/image15.emf"/><Relationship Id="rId106" Type="http://schemas.openxmlformats.org/officeDocument/2006/relationships/image" Target="media/image62.emf"/><Relationship Id="rId114" Type="http://schemas.openxmlformats.org/officeDocument/2006/relationships/image" Target="media/image70.emf"/><Relationship Id="rId119" Type="http://schemas.openxmlformats.org/officeDocument/2006/relationships/image" Target="media/image74.tiff"/><Relationship Id="rId127" Type="http://schemas.openxmlformats.org/officeDocument/2006/relationships/header" Target="header26.xml"/><Relationship Id="rId10" Type="http://schemas.openxmlformats.org/officeDocument/2006/relationships/image" Target="media/image2.png"/><Relationship Id="rId31" Type="http://schemas.openxmlformats.org/officeDocument/2006/relationships/footer" Target="footer7.xml"/><Relationship Id="rId44" Type="http://schemas.openxmlformats.org/officeDocument/2006/relationships/image" Target="media/image10.jpeg"/><Relationship Id="rId52" Type="http://schemas.openxmlformats.org/officeDocument/2006/relationships/header" Target="header23.xml"/><Relationship Id="rId60" Type="http://schemas.openxmlformats.org/officeDocument/2006/relationships/image" Target="media/image18.emf"/><Relationship Id="rId65" Type="http://schemas.openxmlformats.org/officeDocument/2006/relationships/image" Target="media/image23.emf"/><Relationship Id="rId73" Type="http://schemas.openxmlformats.org/officeDocument/2006/relationships/image" Target="media/image31.emf"/><Relationship Id="rId78" Type="http://schemas.openxmlformats.org/officeDocument/2006/relationships/image" Target="media/image36.emf"/><Relationship Id="rId81" Type="http://schemas.openxmlformats.org/officeDocument/2006/relationships/image" Target="media/image39.emf"/><Relationship Id="rId86" Type="http://schemas.openxmlformats.org/officeDocument/2006/relationships/image" Target="media/image44.jpeg"/><Relationship Id="rId94" Type="http://schemas.openxmlformats.org/officeDocument/2006/relationships/image" Target="media/image50.emf"/><Relationship Id="rId99" Type="http://schemas.openxmlformats.org/officeDocument/2006/relationships/image" Target="media/image55.emf"/><Relationship Id="rId101" Type="http://schemas.openxmlformats.org/officeDocument/2006/relationships/image" Target="media/image57.emf"/><Relationship Id="rId122" Type="http://schemas.openxmlformats.org/officeDocument/2006/relationships/image" Target="media/image77.jpeg"/><Relationship Id="rId130" Type="http://schemas.openxmlformats.org/officeDocument/2006/relationships/header" Target="header29.xml"/><Relationship Id="rId135" Type="http://schemas.openxmlformats.org/officeDocument/2006/relationships/header" Target="header32.xml"/><Relationship Id="rId143" Type="http://schemas.openxmlformats.org/officeDocument/2006/relationships/footer" Target="footer13.xml"/><Relationship Id="rId148" Type="http://schemas.openxmlformats.org/officeDocument/2006/relationships/header" Target="header39.xml"/><Relationship Id="rId151" Type="http://schemas.openxmlformats.org/officeDocument/2006/relationships/header" Target="header42.xml"/><Relationship Id="rId156" Type="http://schemas.openxmlformats.org/officeDocument/2006/relationships/header" Target="header47.xml"/><Relationship Id="rId164" Type="http://schemas.openxmlformats.org/officeDocument/2006/relationships/header" Target="header50.xml"/><Relationship Id="rId169" Type="http://schemas.openxmlformats.org/officeDocument/2006/relationships/header" Target="header52.xml"/><Relationship Id="rId4" Type="http://schemas.openxmlformats.org/officeDocument/2006/relationships/styles" Target="styles.xml"/><Relationship Id="rId9" Type="http://schemas.openxmlformats.org/officeDocument/2006/relationships/image" Target="media/image1.png"/><Relationship Id="rId172" Type="http://schemas.openxmlformats.org/officeDocument/2006/relationships/fontTable" Target="fontTable.xml"/><Relationship Id="rId13" Type="http://schemas.openxmlformats.org/officeDocument/2006/relationships/hyperlink" Target="http://creativecommons.org/licenses/by/3.0/au/" TargetMode="External"/><Relationship Id="rId18" Type="http://schemas.openxmlformats.org/officeDocument/2006/relationships/header" Target="header3.xml"/><Relationship Id="rId39" Type="http://schemas.openxmlformats.org/officeDocument/2006/relationships/header" Target="header14.xml"/><Relationship Id="rId109" Type="http://schemas.openxmlformats.org/officeDocument/2006/relationships/image" Target="media/image65.emf"/><Relationship Id="rId34" Type="http://schemas.openxmlformats.org/officeDocument/2006/relationships/footer" Target="footer9.xml"/><Relationship Id="rId50" Type="http://schemas.openxmlformats.org/officeDocument/2006/relationships/header" Target="header21.xml"/><Relationship Id="rId55" Type="http://schemas.openxmlformats.org/officeDocument/2006/relationships/image" Target="media/image13.emf"/><Relationship Id="rId76" Type="http://schemas.openxmlformats.org/officeDocument/2006/relationships/image" Target="media/image34.emf"/><Relationship Id="rId97" Type="http://schemas.openxmlformats.org/officeDocument/2006/relationships/image" Target="media/image53.jpeg"/><Relationship Id="rId104" Type="http://schemas.openxmlformats.org/officeDocument/2006/relationships/image" Target="media/image60.emf"/><Relationship Id="rId120" Type="http://schemas.openxmlformats.org/officeDocument/2006/relationships/image" Target="media/image75.tiff"/><Relationship Id="rId125" Type="http://schemas.openxmlformats.org/officeDocument/2006/relationships/chart" Target="charts/chart3.xml"/><Relationship Id="rId141" Type="http://schemas.openxmlformats.org/officeDocument/2006/relationships/header" Target="header35.xml"/><Relationship Id="rId146" Type="http://schemas.openxmlformats.org/officeDocument/2006/relationships/footer" Target="footer15.xml"/><Relationship Id="rId167" Type="http://schemas.openxmlformats.org/officeDocument/2006/relationships/header" Target="header51.xml"/><Relationship Id="rId7" Type="http://schemas.openxmlformats.org/officeDocument/2006/relationships/footnotes" Target="footnotes.xml"/><Relationship Id="rId71" Type="http://schemas.openxmlformats.org/officeDocument/2006/relationships/image" Target="media/image29.emf"/><Relationship Id="rId92" Type="http://schemas.openxmlformats.org/officeDocument/2006/relationships/image" Target="media/image48.emf"/><Relationship Id="rId162" Type="http://schemas.openxmlformats.org/officeDocument/2006/relationships/hyperlink" Target="http://en.wikipedia.org/wiki/Uranium" TargetMode="External"/><Relationship Id="rId2" Type="http://schemas.openxmlformats.org/officeDocument/2006/relationships/customXml" Target="../customXml/item2.xml"/><Relationship Id="rId29" Type="http://schemas.openxmlformats.org/officeDocument/2006/relationships/header" Target="header8.xml"/><Relationship Id="rId24" Type="http://schemas.openxmlformats.org/officeDocument/2006/relationships/header" Target="header6.xml"/><Relationship Id="rId40" Type="http://schemas.openxmlformats.org/officeDocument/2006/relationships/image" Target="media/image9.jpeg"/><Relationship Id="rId45" Type="http://schemas.openxmlformats.org/officeDocument/2006/relationships/header" Target="header18.xml"/><Relationship Id="rId66" Type="http://schemas.openxmlformats.org/officeDocument/2006/relationships/image" Target="media/image24.emf"/><Relationship Id="rId87" Type="http://schemas.openxmlformats.org/officeDocument/2006/relationships/header" Target="header24.xml"/><Relationship Id="rId110" Type="http://schemas.openxmlformats.org/officeDocument/2006/relationships/image" Target="media/image66.emf"/><Relationship Id="rId115" Type="http://schemas.openxmlformats.org/officeDocument/2006/relationships/image" Target="media/image71.png"/><Relationship Id="rId131" Type="http://schemas.openxmlformats.org/officeDocument/2006/relationships/header" Target="header30.xml"/><Relationship Id="rId136" Type="http://schemas.openxmlformats.org/officeDocument/2006/relationships/header" Target="header33.xml"/><Relationship Id="rId157" Type="http://schemas.openxmlformats.org/officeDocument/2006/relationships/header" Target="header48.xml"/><Relationship Id="rId61" Type="http://schemas.openxmlformats.org/officeDocument/2006/relationships/image" Target="media/image19.emf"/><Relationship Id="rId82" Type="http://schemas.openxmlformats.org/officeDocument/2006/relationships/image" Target="media/image40.emf"/><Relationship Id="rId152" Type="http://schemas.openxmlformats.org/officeDocument/2006/relationships/header" Target="header43.xml"/><Relationship Id="rId173" Type="http://schemas.openxmlformats.org/officeDocument/2006/relationships/theme" Target="theme/theme1.xml"/><Relationship Id="rId19" Type="http://schemas.openxmlformats.org/officeDocument/2006/relationships/footer" Target="footer3.xml"/><Relationship Id="rId14" Type="http://schemas.openxmlformats.org/officeDocument/2006/relationships/header" Target="header1.xml"/><Relationship Id="rId30" Type="http://schemas.openxmlformats.org/officeDocument/2006/relationships/header" Target="header9.xml"/><Relationship Id="rId35" Type="http://schemas.openxmlformats.org/officeDocument/2006/relationships/header" Target="header11.xml"/><Relationship Id="rId56" Type="http://schemas.openxmlformats.org/officeDocument/2006/relationships/image" Target="media/image14.emf"/><Relationship Id="rId77" Type="http://schemas.openxmlformats.org/officeDocument/2006/relationships/image" Target="media/image35.emf"/><Relationship Id="rId100" Type="http://schemas.openxmlformats.org/officeDocument/2006/relationships/image" Target="media/image56.emf"/><Relationship Id="rId105" Type="http://schemas.openxmlformats.org/officeDocument/2006/relationships/image" Target="media/image61.emf"/><Relationship Id="rId126" Type="http://schemas.openxmlformats.org/officeDocument/2006/relationships/chart" Target="charts/chart4.xml"/><Relationship Id="rId147" Type="http://schemas.openxmlformats.org/officeDocument/2006/relationships/header" Target="header38.xml"/><Relationship Id="rId168" Type="http://schemas.openxmlformats.org/officeDocument/2006/relationships/footer" Target="footer18.xml"/><Relationship Id="rId8" Type="http://schemas.openxmlformats.org/officeDocument/2006/relationships/endnotes" Target="endnotes.xml"/><Relationship Id="rId51" Type="http://schemas.openxmlformats.org/officeDocument/2006/relationships/header" Target="header22.xml"/><Relationship Id="rId72" Type="http://schemas.openxmlformats.org/officeDocument/2006/relationships/image" Target="media/image30.emf"/><Relationship Id="rId93" Type="http://schemas.openxmlformats.org/officeDocument/2006/relationships/image" Target="media/image49.emf"/><Relationship Id="rId98" Type="http://schemas.openxmlformats.org/officeDocument/2006/relationships/image" Target="media/image54.emf"/><Relationship Id="rId121" Type="http://schemas.openxmlformats.org/officeDocument/2006/relationships/image" Target="media/image76.jpeg"/><Relationship Id="rId142" Type="http://schemas.openxmlformats.org/officeDocument/2006/relationships/header" Target="header36.xml"/><Relationship Id="rId163" Type="http://schemas.openxmlformats.org/officeDocument/2006/relationships/header" Target="header49.xml"/><Relationship Id="rId3" Type="http://schemas.openxmlformats.org/officeDocument/2006/relationships/numbering" Target="numbering.xml"/><Relationship Id="rId25" Type="http://schemas.openxmlformats.org/officeDocument/2006/relationships/footer" Target="footer5.xml"/><Relationship Id="rId46" Type="http://schemas.openxmlformats.org/officeDocument/2006/relationships/header" Target="header19.xml"/><Relationship Id="rId67" Type="http://schemas.openxmlformats.org/officeDocument/2006/relationships/image" Target="media/image25.emf"/><Relationship Id="rId116" Type="http://schemas.openxmlformats.org/officeDocument/2006/relationships/image" Target="cid:image002.png@01CFB2FD.A828A620" TargetMode="External"/><Relationship Id="rId137" Type="http://schemas.openxmlformats.org/officeDocument/2006/relationships/header" Target="header34.xml"/><Relationship Id="rId158" Type="http://schemas.openxmlformats.org/officeDocument/2006/relationships/hyperlink" Target="http://notes.nt.gov.au/dcm/legislat/legislat.nsf/linkreference/MINING%20MANAGEMENT%20ACT%202001" TargetMode="External"/><Relationship Id="rId20" Type="http://schemas.openxmlformats.org/officeDocument/2006/relationships/image" Target="media/image5.jpeg"/><Relationship Id="rId41" Type="http://schemas.openxmlformats.org/officeDocument/2006/relationships/header" Target="header15.xml"/><Relationship Id="rId62" Type="http://schemas.openxmlformats.org/officeDocument/2006/relationships/image" Target="media/image20.emf"/><Relationship Id="rId83" Type="http://schemas.openxmlformats.org/officeDocument/2006/relationships/image" Target="media/image41.emf"/><Relationship Id="rId88" Type="http://schemas.openxmlformats.org/officeDocument/2006/relationships/header" Target="header25.xml"/><Relationship Id="rId111" Type="http://schemas.openxmlformats.org/officeDocument/2006/relationships/image" Target="media/image67.emf"/><Relationship Id="rId132" Type="http://schemas.openxmlformats.org/officeDocument/2006/relationships/footer" Target="footer12.xml"/><Relationship Id="rId153" Type="http://schemas.openxmlformats.org/officeDocument/2006/relationships/header" Target="header44.xml"/><Relationship Id="rId174" Type="http://schemas.microsoft.com/office/2007/relationships/stylesWithEffects" Target="stylesWithEffect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11" Type="http://schemas.openxmlformats.org/officeDocument/2006/relationships/font" Target="fonts/font11.odttf"/><Relationship Id="rId5" Type="http://schemas.openxmlformats.org/officeDocument/2006/relationships/font" Target="fonts/font5.odttf"/><Relationship Id="rId10" Type="http://schemas.openxmlformats.org/officeDocument/2006/relationships/font" Target="fonts/font10.odttf"/><Relationship Id="rId4" Type="http://schemas.openxmlformats.org/officeDocument/2006/relationships/font" Target="fonts/font4.odttf"/><Relationship Id="rId9" Type="http://schemas.openxmlformats.org/officeDocument/2006/relationships/font" Target="fonts/font9.odttf"/></Relationships>
</file>

<file path=word/_rels/header6.xml.rels><?xml version="1.0" encoding="UTF-8" standalone="yes"?>
<Relationships xmlns="http://schemas.openxmlformats.org/package/2006/relationships"><Relationship Id="rId1" Type="http://schemas.openxmlformats.org/officeDocument/2006/relationships/image" Target="media/image6.jpeg"/></Relationships>
</file>

<file path=word/charts/_rels/chart1.xml.rels><?xml version="1.0" encoding="UTF-8" standalone="yes"?>
<Relationships xmlns="http://schemas.openxmlformats.org/package/2006/relationships"><Relationship Id="rId2" Type="http://schemas.openxmlformats.org/officeDocument/2006/relationships/oleObject" Target="file:///E:\WorkingDir\CAESAR_simulations-TLF\TLFsims-July2013\LifeMinePaper2014\plot1-24012014_test9-modPSD6-prt1&amp;2-retest4a-plot2.xlsx" TargetMode="External"/><Relationship Id="rId1" Type="http://schemas.openxmlformats.org/officeDocument/2006/relationships/themeOverride" Target="../theme/themeOverride1.xml"/></Relationships>
</file>

<file path=word/charts/_rels/chart2.xml.rels><?xml version="1.0" encoding="UTF-8" standalone="yes"?>
<Relationships xmlns="http://schemas.openxmlformats.org/package/2006/relationships"><Relationship Id="rId2" Type="http://schemas.openxmlformats.org/officeDocument/2006/relationships/oleObject" Target="file:///E:\WorkingDir\CAESAR_simulations-TLF\TLFsims-July2013\LifeMinePaper2014\plot2-part1&amp;2-PSD6.xlsx" TargetMode="External"/><Relationship Id="rId1" Type="http://schemas.openxmlformats.org/officeDocument/2006/relationships/themeOverride" Target="../theme/themeOverride2.xml"/></Relationships>
</file>

<file path=word/charts/_rels/chart3.xml.rels><?xml version="1.0" encoding="UTF-8" standalone="yes"?>
<Relationships xmlns="http://schemas.openxmlformats.org/package/2006/relationships"><Relationship Id="rId2" Type="http://schemas.openxmlformats.org/officeDocument/2006/relationships/oleObject" Target="file:///C:\cAESAR-sims-JLowry\Plot2\plot2_16022014-wc-10yrs-psd6-part2of2_p1rain-xrainmid\plot2-part1&amp;2-PSD6-10yrs-xrain-yr4.xlsx" TargetMode="External"/><Relationship Id="rId1" Type="http://schemas.openxmlformats.org/officeDocument/2006/relationships/themeOverride" Target="../theme/themeOverride3.xml"/></Relationships>
</file>

<file path=word/charts/_rels/chart4.xml.rels><?xml version="1.0" encoding="UTF-8" standalone="yes"?>
<Relationships xmlns="http://schemas.openxmlformats.org/package/2006/relationships"><Relationship Id="rId2" Type="http://schemas.openxmlformats.org/officeDocument/2006/relationships/oleObject" Target="file:///C:\cAESAR-sims-JLowry\Plot2\plot2_17022014-wc-10yrs-psd6-part2of2_p1rain-xrainend\plot2-part1&amp;2-PSD6-10yrs-xrain-end.xlsx" TargetMode="External"/><Relationship Id="rId1" Type="http://schemas.openxmlformats.org/officeDocument/2006/relationships/themeOverride" Target="../theme/themeOverride4.xml"/></Relationships>
</file>

<file path=word/charts/chart1.xml><?xml version="1.0" encoding="utf-8"?>
<c:chartSpace xmlns:c="http://schemas.openxmlformats.org/drawingml/2006/chart" xmlns:a="http://schemas.openxmlformats.org/drawingml/2006/main" xmlns:r="http://schemas.openxmlformats.org/officeDocument/2006/relationships">
  <c:lang val="en-A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58118269283094"/>
          <c:y val="2.3176975891355801E-2"/>
          <c:w val="0.857773107923547"/>
          <c:h val="0.82138431976540627"/>
        </c:manualLayout>
      </c:layout>
      <c:lineChart>
        <c:grouping val="standard"/>
        <c:ser>
          <c:idx val="0"/>
          <c:order val="0"/>
          <c:tx>
            <c:strRef>
              <c:f>'plot1-tc-par-djalk-sedpar-slope'!$S$1</c:f>
              <c:strCache>
                <c:ptCount val="1"/>
                <c:pt idx="0">
                  <c:v>CumulativeModelBedload</c:v>
                </c:pt>
              </c:strCache>
            </c:strRef>
          </c:tx>
          <c:spPr>
            <a:ln>
              <a:prstDash val="sysDash"/>
            </a:ln>
          </c:spPr>
          <c:marker>
            <c:symbol val="none"/>
          </c:marker>
          <c:cat>
            <c:numRef>
              <c:f>'plot1-tc-par-djalk-sedpar-slope'!$R$2:$R$1461</c:f>
              <c:numCache>
                <c:formatCode>d/mm/yyyy</c:formatCode>
                <c:ptCount val="1460"/>
                <c:pt idx="0">
                  <c:v>40057</c:v>
                </c:pt>
                <c:pt idx="1">
                  <c:v>40058</c:v>
                </c:pt>
                <c:pt idx="2">
                  <c:v>40059</c:v>
                </c:pt>
                <c:pt idx="3">
                  <c:v>40060</c:v>
                </c:pt>
                <c:pt idx="4">
                  <c:v>40061</c:v>
                </c:pt>
                <c:pt idx="5">
                  <c:v>40062</c:v>
                </c:pt>
                <c:pt idx="6">
                  <c:v>40063</c:v>
                </c:pt>
                <c:pt idx="7">
                  <c:v>40064</c:v>
                </c:pt>
                <c:pt idx="8">
                  <c:v>40065</c:v>
                </c:pt>
                <c:pt idx="9">
                  <c:v>40066</c:v>
                </c:pt>
                <c:pt idx="10">
                  <c:v>40067</c:v>
                </c:pt>
                <c:pt idx="11">
                  <c:v>40068</c:v>
                </c:pt>
                <c:pt idx="12">
                  <c:v>40069</c:v>
                </c:pt>
                <c:pt idx="13">
                  <c:v>40070</c:v>
                </c:pt>
                <c:pt idx="14">
                  <c:v>40071</c:v>
                </c:pt>
                <c:pt idx="15">
                  <c:v>40072</c:v>
                </c:pt>
                <c:pt idx="16">
                  <c:v>40073</c:v>
                </c:pt>
                <c:pt idx="17">
                  <c:v>40074</c:v>
                </c:pt>
                <c:pt idx="18">
                  <c:v>40075</c:v>
                </c:pt>
                <c:pt idx="19">
                  <c:v>40076</c:v>
                </c:pt>
                <c:pt idx="20">
                  <c:v>40077</c:v>
                </c:pt>
                <c:pt idx="21">
                  <c:v>40078</c:v>
                </c:pt>
                <c:pt idx="22">
                  <c:v>40079</c:v>
                </c:pt>
                <c:pt idx="23">
                  <c:v>40080</c:v>
                </c:pt>
                <c:pt idx="24">
                  <c:v>40081</c:v>
                </c:pt>
                <c:pt idx="25">
                  <c:v>40082</c:v>
                </c:pt>
                <c:pt idx="26">
                  <c:v>40083</c:v>
                </c:pt>
                <c:pt idx="27">
                  <c:v>40084</c:v>
                </c:pt>
                <c:pt idx="28">
                  <c:v>40085</c:v>
                </c:pt>
                <c:pt idx="29">
                  <c:v>40086</c:v>
                </c:pt>
                <c:pt idx="30">
                  <c:v>40087</c:v>
                </c:pt>
                <c:pt idx="31">
                  <c:v>40088</c:v>
                </c:pt>
                <c:pt idx="32">
                  <c:v>40089</c:v>
                </c:pt>
                <c:pt idx="33">
                  <c:v>40090</c:v>
                </c:pt>
                <c:pt idx="34">
                  <c:v>40091</c:v>
                </c:pt>
                <c:pt idx="35">
                  <c:v>40092</c:v>
                </c:pt>
                <c:pt idx="36">
                  <c:v>40093</c:v>
                </c:pt>
                <c:pt idx="37">
                  <c:v>40094</c:v>
                </c:pt>
                <c:pt idx="38">
                  <c:v>40095</c:v>
                </c:pt>
                <c:pt idx="39">
                  <c:v>40096</c:v>
                </c:pt>
                <c:pt idx="40">
                  <c:v>40097</c:v>
                </c:pt>
                <c:pt idx="41">
                  <c:v>40098</c:v>
                </c:pt>
                <c:pt idx="42">
                  <c:v>40099</c:v>
                </c:pt>
                <c:pt idx="43">
                  <c:v>40100</c:v>
                </c:pt>
                <c:pt idx="44">
                  <c:v>40101</c:v>
                </c:pt>
                <c:pt idx="45">
                  <c:v>40102</c:v>
                </c:pt>
                <c:pt idx="46">
                  <c:v>40103</c:v>
                </c:pt>
                <c:pt idx="47">
                  <c:v>40104</c:v>
                </c:pt>
                <c:pt idx="48">
                  <c:v>40105</c:v>
                </c:pt>
                <c:pt idx="49">
                  <c:v>40106</c:v>
                </c:pt>
                <c:pt idx="50">
                  <c:v>40107</c:v>
                </c:pt>
                <c:pt idx="51">
                  <c:v>40108</c:v>
                </c:pt>
                <c:pt idx="52">
                  <c:v>40109</c:v>
                </c:pt>
                <c:pt idx="53">
                  <c:v>40110</c:v>
                </c:pt>
                <c:pt idx="54">
                  <c:v>40111</c:v>
                </c:pt>
                <c:pt idx="55">
                  <c:v>40112</c:v>
                </c:pt>
                <c:pt idx="56">
                  <c:v>40113</c:v>
                </c:pt>
                <c:pt idx="57">
                  <c:v>40114</c:v>
                </c:pt>
                <c:pt idx="58">
                  <c:v>40115</c:v>
                </c:pt>
                <c:pt idx="59">
                  <c:v>40116</c:v>
                </c:pt>
                <c:pt idx="60">
                  <c:v>40117</c:v>
                </c:pt>
                <c:pt idx="61">
                  <c:v>40118</c:v>
                </c:pt>
                <c:pt idx="62">
                  <c:v>40119</c:v>
                </c:pt>
                <c:pt idx="63">
                  <c:v>40120</c:v>
                </c:pt>
                <c:pt idx="64">
                  <c:v>40121</c:v>
                </c:pt>
                <c:pt idx="65">
                  <c:v>40122</c:v>
                </c:pt>
                <c:pt idx="66">
                  <c:v>40123</c:v>
                </c:pt>
                <c:pt idx="67">
                  <c:v>40124</c:v>
                </c:pt>
                <c:pt idx="68">
                  <c:v>40125</c:v>
                </c:pt>
                <c:pt idx="69">
                  <c:v>40126</c:v>
                </c:pt>
                <c:pt idx="70">
                  <c:v>40127</c:v>
                </c:pt>
                <c:pt idx="71">
                  <c:v>40128</c:v>
                </c:pt>
                <c:pt idx="72">
                  <c:v>40129</c:v>
                </c:pt>
                <c:pt idx="73">
                  <c:v>40130</c:v>
                </c:pt>
                <c:pt idx="74">
                  <c:v>40131</c:v>
                </c:pt>
                <c:pt idx="75">
                  <c:v>40132</c:v>
                </c:pt>
                <c:pt idx="76">
                  <c:v>40133</c:v>
                </c:pt>
                <c:pt idx="77">
                  <c:v>40134</c:v>
                </c:pt>
                <c:pt idx="78">
                  <c:v>40135</c:v>
                </c:pt>
                <c:pt idx="79">
                  <c:v>40136</c:v>
                </c:pt>
                <c:pt idx="80">
                  <c:v>40137</c:v>
                </c:pt>
                <c:pt idx="81">
                  <c:v>40138</c:v>
                </c:pt>
                <c:pt idx="82">
                  <c:v>40139</c:v>
                </c:pt>
                <c:pt idx="83">
                  <c:v>40140</c:v>
                </c:pt>
                <c:pt idx="84">
                  <c:v>40141</c:v>
                </c:pt>
                <c:pt idx="85">
                  <c:v>40142</c:v>
                </c:pt>
                <c:pt idx="86">
                  <c:v>40143</c:v>
                </c:pt>
                <c:pt idx="87">
                  <c:v>40144</c:v>
                </c:pt>
                <c:pt idx="88">
                  <c:v>40145</c:v>
                </c:pt>
                <c:pt idx="89">
                  <c:v>40146</c:v>
                </c:pt>
                <c:pt idx="90">
                  <c:v>40147</c:v>
                </c:pt>
                <c:pt idx="91">
                  <c:v>40148</c:v>
                </c:pt>
                <c:pt idx="92">
                  <c:v>40149</c:v>
                </c:pt>
                <c:pt idx="93">
                  <c:v>40150</c:v>
                </c:pt>
                <c:pt idx="94">
                  <c:v>40151</c:v>
                </c:pt>
                <c:pt idx="95">
                  <c:v>40152</c:v>
                </c:pt>
                <c:pt idx="96">
                  <c:v>40153</c:v>
                </c:pt>
                <c:pt idx="97">
                  <c:v>40154</c:v>
                </c:pt>
                <c:pt idx="98">
                  <c:v>40155</c:v>
                </c:pt>
                <c:pt idx="99">
                  <c:v>40156</c:v>
                </c:pt>
                <c:pt idx="100">
                  <c:v>40157</c:v>
                </c:pt>
                <c:pt idx="101">
                  <c:v>40158</c:v>
                </c:pt>
                <c:pt idx="102">
                  <c:v>40159</c:v>
                </c:pt>
                <c:pt idx="103">
                  <c:v>40160</c:v>
                </c:pt>
                <c:pt idx="104">
                  <c:v>40161</c:v>
                </c:pt>
                <c:pt idx="105">
                  <c:v>40162</c:v>
                </c:pt>
                <c:pt idx="106">
                  <c:v>40163</c:v>
                </c:pt>
                <c:pt idx="107">
                  <c:v>40164</c:v>
                </c:pt>
                <c:pt idx="108">
                  <c:v>40165</c:v>
                </c:pt>
                <c:pt idx="109">
                  <c:v>40166</c:v>
                </c:pt>
                <c:pt idx="110">
                  <c:v>40167</c:v>
                </c:pt>
                <c:pt idx="111">
                  <c:v>40168</c:v>
                </c:pt>
                <c:pt idx="112">
                  <c:v>40169</c:v>
                </c:pt>
                <c:pt idx="113">
                  <c:v>40170</c:v>
                </c:pt>
                <c:pt idx="114">
                  <c:v>40171</c:v>
                </c:pt>
                <c:pt idx="115">
                  <c:v>40172</c:v>
                </c:pt>
                <c:pt idx="116">
                  <c:v>40173</c:v>
                </c:pt>
                <c:pt idx="117">
                  <c:v>40174</c:v>
                </c:pt>
                <c:pt idx="118">
                  <c:v>40175</c:v>
                </c:pt>
                <c:pt idx="119">
                  <c:v>40176</c:v>
                </c:pt>
                <c:pt idx="120">
                  <c:v>40177</c:v>
                </c:pt>
                <c:pt idx="121">
                  <c:v>40178</c:v>
                </c:pt>
                <c:pt idx="122">
                  <c:v>40179</c:v>
                </c:pt>
                <c:pt idx="123">
                  <c:v>40180</c:v>
                </c:pt>
                <c:pt idx="124">
                  <c:v>40181</c:v>
                </c:pt>
                <c:pt idx="125">
                  <c:v>40182</c:v>
                </c:pt>
                <c:pt idx="126">
                  <c:v>40183</c:v>
                </c:pt>
                <c:pt idx="127">
                  <c:v>40184</c:v>
                </c:pt>
                <c:pt idx="128">
                  <c:v>40185</c:v>
                </c:pt>
                <c:pt idx="129">
                  <c:v>40186</c:v>
                </c:pt>
                <c:pt idx="130">
                  <c:v>40187</c:v>
                </c:pt>
                <c:pt idx="131">
                  <c:v>40188</c:v>
                </c:pt>
                <c:pt idx="132">
                  <c:v>40189</c:v>
                </c:pt>
                <c:pt idx="133">
                  <c:v>40190</c:v>
                </c:pt>
                <c:pt idx="134">
                  <c:v>40191</c:v>
                </c:pt>
                <c:pt idx="135">
                  <c:v>40192</c:v>
                </c:pt>
                <c:pt idx="136">
                  <c:v>40193</c:v>
                </c:pt>
                <c:pt idx="137">
                  <c:v>40194</c:v>
                </c:pt>
                <c:pt idx="138">
                  <c:v>40195</c:v>
                </c:pt>
                <c:pt idx="139">
                  <c:v>40196</c:v>
                </c:pt>
                <c:pt idx="140">
                  <c:v>40197</c:v>
                </c:pt>
                <c:pt idx="141">
                  <c:v>40198</c:v>
                </c:pt>
                <c:pt idx="142">
                  <c:v>40199</c:v>
                </c:pt>
                <c:pt idx="143">
                  <c:v>40200</c:v>
                </c:pt>
                <c:pt idx="144">
                  <c:v>40201</c:v>
                </c:pt>
                <c:pt idx="145">
                  <c:v>40202</c:v>
                </c:pt>
                <c:pt idx="146">
                  <c:v>40203</c:v>
                </c:pt>
                <c:pt idx="147">
                  <c:v>40204</c:v>
                </c:pt>
                <c:pt idx="148">
                  <c:v>40205</c:v>
                </c:pt>
                <c:pt idx="149">
                  <c:v>40206</c:v>
                </c:pt>
                <c:pt idx="150">
                  <c:v>40207</c:v>
                </c:pt>
                <c:pt idx="151">
                  <c:v>40208</c:v>
                </c:pt>
                <c:pt idx="152">
                  <c:v>40209</c:v>
                </c:pt>
                <c:pt idx="153">
                  <c:v>40210</c:v>
                </c:pt>
                <c:pt idx="154">
                  <c:v>40211</c:v>
                </c:pt>
                <c:pt idx="155">
                  <c:v>40212</c:v>
                </c:pt>
                <c:pt idx="156">
                  <c:v>40213</c:v>
                </c:pt>
                <c:pt idx="157">
                  <c:v>40214</c:v>
                </c:pt>
                <c:pt idx="158">
                  <c:v>40215</c:v>
                </c:pt>
                <c:pt idx="159">
                  <c:v>40216</c:v>
                </c:pt>
                <c:pt idx="160">
                  <c:v>40217</c:v>
                </c:pt>
                <c:pt idx="161">
                  <c:v>40218</c:v>
                </c:pt>
                <c:pt idx="162">
                  <c:v>40219</c:v>
                </c:pt>
                <c:pt idx="163">
                  <c:v>40220</c:v>
                </c:pt>
                <c:pt idx="164">
                  <c:v>40221</c:v>
                </c:pt>
                <c:pt idx="165">
                  <c:v>40222</c:v>
                </c:pt>
                <c:pt idx="166">
                  <c:v>40223</c:v>
                </c:pt>
                <c:pt idx="167">
                  <c:v>40224</c:v>
                </c:pt>
                <c:pt idx="168">
                  <c:v>40225</c:v>
                </c:pt>
                <c:pt idx="169">
                  <c:v>40226</c:v>
                </c:pt>
                <c:pt idx="170">
                  <c:v>40227</c:v>
                </c:pt>
                <c:pt idx="171">
                  <c:v>40228</c:v>
                </c:pt>
                <c:pt idx="172">
                  <c:v>40229</c:v>
                </c:pt>
                <c:pt idx="173">
                  <c:v>40230</c:v>
                </c:pt>
                <c:pt idx="174">
                  <c:v>40231</c:v>
                </c:pt>
                <c:pt idx="175">
                  <c:v>40232</c:v>
                </c:pt>
                <c:pt idx="176">
                  <c:v>40233</c:v>
                </c:pt>
                <c:pt idx="177">
                  <c:v>40234</c:v>
                </c:pt>
                <c:pt idx="178">
                  <c:v>40235</c:v>
                </c:pt>
                <c:pt idx="179">
                  <c:v>40236</c:v>
                </c:pt>
                <c:pt idx="180">
                  <c:v>40237</c:v>
                </c:pt>
                <c:pt idx="181">
                  <c:v>40238</c:v>
                </c:pt>
                <c:pt idx="182">
                  <c:v>40239</c:v>
                </c:pt>
                <c:pt idx="183">
                  <c:v>40240</c:v>
                </c:pt>
                <c:pt idx="184">
                  <c:v>40241</c:v>
                </c:pt>
                <c:pt idx="185">
                  <c:v>40242</c:v>
                </c:pt>
                <c:pt idx="186">
                  <c:v>40243</c:v>
                </c:pt>
                <c:pt idx="187">
                  <c:v>40244</c:v>
                </c:pt>
                <c:pt idx="188">
                  <c:v>40245</c:v>
                </c:pt>
                <c:pt idx="189">
                  <c:v>40246</c:v>
                </c:pt>
                <c:pt idx="190">
                  <c:v>40247</c:v>
                </c:pt>
                <c:pt idx="191">
                  <c:v>40248</c:v>
                </c:pt>
                <c:pt idx="192">
                  <c:v>40249</c:v>
                </c:pt>
                <c:pt idx="193">
                  <c:v>40250</c:v>
                </c:pt>
                <c:pt idx="194">
                  <c:v>40251</c:v>
                </c:pt>
                <c:pt idx="195">
                  <c:v>40252</c:v>
                </c:pt>
                <c:pt idx="196">
                  <c:v>40253</c:v>
                </c:pt>
                <c:pt idx="197">
                  <c:v>40254</c:v>
                </c:pt>
                <c:pt idx="198">
                  <c:v>40255</c:v>
                </c:pt>
                <c:pt idx="199">
                  <c:v>40256</c:v>
                </c:pt>
                <c:pt idx="200">
                  <c:v>40257</c:v>
                </c:pt>
                <c:pt idx="201">
                  <c:v>40258</c:v>
                </c:pt>
                <c:pt idx="202">
                  <c:v>40259</c:v>
                </c:pt>
                <c:pt idx="203">
                  <c:v>40260</c:v>
                </c:pt>
                <c:pt idx="204">
                  <c:v>40261</c:v>
                </c:pt>
                <c:pt idx="205">
                  <c:v>40262</c:v>
                </c:pt>
                <c:pt idx="206">
                  <c:v>40263</c:v>
                </c:pt>
                <c:pt idx="207">
                  <c:v>40264</c:v>
                </c:pt>
                <c:pt idx="208">
                  <c:v>40265</c:v>
                </c:pt>
                <c:pt idx="209">
                  <c:v>40266</c:v>
                </c:pt>
                <c:pt idx="210">
                  <c:v>40267</c:v>
                </c:pt>
                <c:pt idx="211">
                  <c:v>40268</c:v>
                </c:pt>
                <c:pt idx="212">
                  <c:v>40269</c:v>
                </c:pt>
                <c:pt idx="213">
                  <c:v>40270</c:v>
                </c:pt>
                <c:pt idx="214">
                  <c:v>40271</c:v>
                </c:pt>
                <c:pt idx="215">
                  <c:v>40272</c:v>
                </c:pt>
                <c:pt idx="216">
                  <c:v>40273</c:v>
                </c:pt>
                <c:pt idx="217">
                  <c:v>40274</c:v>
                </c:pt>
                <c:pt idx="218">
                  <c:v>40275</c:v>
                </c:pt>
                <c:pt idx="219">
                  <c:v>40276</c:v>
                </c:pt>
                <c:pt idx="220">
                  <c:v>40277</c:v>
                </c:pt>
                <c:pt idx="221">
                  <c:v>40278</c:v>
                </c:pt>
                <c:pt idx="222">
                  <c:v>40279</c:v>
                </c:pt>
                <c:pt idx="223">
                  <c:v>40280</c:v>
                </c:pt>
                <c:pt idx="224">
                  <c:v>40281</c:v>
                </c:pt>
                <c:pt idx="225">
                  <c:v>40282</c:v>
                </c:pt>
                <c:pt idx="226">
                  <c:v>40283</c:v>
                </c:pt>
                <c:pt idx="227">
                  <c:v>40284</c:v>
                </c:pt>
                <c:pt idx="228">
                  <c:v>40285</c:v>
                </c:pt>
                <c:pt idx="229">
                  <c:v>40286</c:v>
                </c:pt>
                <c:pt idx="230">
                  <c:v>40287</c:v>
                </c:pt>
                <c:pt idx="231">
                  <c:v>40288</c:v>
                </c:pt>
                <c:pt idx="232">
                  <c:v>40289</c:v>
                </c:pt>
                <c:pt idx="233">
                  <c:v>40290</c:v>
                </c:pt>
                <c:pt idx="234">
                  <c:v>40291</c:v>
                </c:pt>
                <c:pt idx="235">
                  <c:v>40292</c:v>
                </c:pt>
                <c:pt idx="236">
                  <c:v>40293</c:v>
                </c:pt>
                <c:pt idx="237">
                  <c:v>40294</c:v>
                </c:pt>
                <c:pt idx="238">
                  <c:v>40295</c:v>
                </c:pt>
                <c:pt idx="239">
                  <c:v>40296</c:v>
                </c:pt>
                <c:pt idx="240">
                  <c:v>40297</c:v>
                </c:pt>
                <c:pt idx="241">
                  <c:v>40298</c:v>
                </c:pt>
                <c:pt idx="242">
                  <c:v>40299</c:v>
                </c:pt>
                <c:pt idx="243">
                  <c:v>40300</c:v>
                </c:pt>
                <c:pt idx="244">
                  <c:v>40301</c:v>
                </c:pt>
                <c:pt idx="245">
                  <c:v>40302</c:v>
                </c:pt>
                <c:pt idx="246">
                  <c:v>40303</c:v>
                </c:pt>
                <c:pt idx="247">
                  <c:v>40304</c:v>
                </c:pt>
                <c:pt idx="248">
                  <c:v>40305</c:v>
                </c:pt>
                <c:pt idx="249">
                  <c:v>40306</c:v>
                </c:pt>
                <c:pt idx="250">
                  <c:v>40307</c:v>
                </c:pt>
                <c:pt idx="251">
                  <c:v>40308</c:v>
                </c:pt>
                <c:pt idx="252">
                  <c:v>40309</c:v>
                </c:pt>
                <c:pt idx="253">
                  <c:v>40310</c:v>
                </c:pt>
                <c:pt idx="254">
                  <c:v>40311</c:v>
                </c:pt>
                <c:pt idx="255">
                  <c:v>40312</c:v>
                </c:pt>
                <c:pt idx="256">
                  <c:v>40313</c:v>
                </c:pt>
                <c:pt idx="257">
                  <c:v>40314</c:v>
                </c:pt>
                <c:pt idx="258">
                  <c:v>40315</c:v>
                </c:pt>
                <c:pt idx="259">
                  <c:v>40316</c:v>
                </c:pt>
                <c:pt idx="260">
                  <c:v>40317</c:v>
                </c:pt>
                <c:pt idx="261">
                  <c:v>40318</c:v>
                </c:pt>
                <c:pt idx="262">
                  <c:v>40319</c:v>
                </c:pt>
                <c:pt idx="263">
                  <c:v>40320</c:v>
                </c:pt>
                <c:pt idx="264">
                  <c:v>40321</c:v>
                </c:pt>
                <c:pt idx="265">
                  <c:v>40322</c:v>
                </c:pt>
                <c:pt idx="266">
                  <c:v>40323</c:v>
                </c:pt>
                <c:pt idx="267">
                  <c:v>40324</c:v>
                </c:pt>
                <c:pt idx="268">
                  <c:v>40325</c:v>
                </c:pt>
                <c:pt idx="269">
                  <c:v>40326</c:v>
                </c:pt>
                <c:pt idx="270">
                  <c:v>40327</c:v>
                </c:pt>
                <c:pt idx="271">
                  <c:v>40328</c:v>
                </c:pt>
                <c:pt idx="272">
                  <c:v>40329</c:v>
                </c:pt>
                <c:pt idx="273">
                  <c:v>40330</c:v>
                </c:pt>
                <c:pt idx="274">
                  <c:v>40331</c:v>
                </c:pt>
                <c:pt idx="275">
                  <c:v>40332</c:v>
                </c:pt>
                <c:pt idx="276">
                  <c:v>40333</c:v>
                </c:pt>
                <c:pt idx="277">
                  <c:v>40334</c:v>
                </c:pt>
                <c:pt idx="278">
                  <c:v>40335</c:v>
                </c:pt>
                <c:pt idx="279">
                  <c:v>40336</c:v>
                </c:pt>
                <c:pt idx="280">
                  <c:v>40337</c:v>
                </c:pt>
                <c:pt idx="281">
                  <c:v>40338</c:v>
                </c:pt>
                <c:pt idx="282">
                  <c:v>40339</c:v>
                </c:pt>
                <c:pt idx="283">
                  <c:v>40340</c:v>
                </c:pt>
                <c:pt idx="284">
                  <c:v>40341</c:v>
                </c:pt>
                <c:pt idx="285">
                  <c:v>40342</c:v>
                </c:pt>
                <c:pt idx="286">
                  <c:v>40343</c:v>
                </c:pt>
                <c:pt idx="287">
                  <c:v>40344</c:v>
                </c:pt>
                <c:pt idx="288">
                  <c:v>40345</c:v>
                </c:pt>
                <c:pt idx="289">
                  <c:v>40346</c:v>
                </c:pt>
                <c:pt idx="290">
                  <c:v>40347</c:v>
                </c:pt>
                <c:pt idx="291">
                  <c:v>40348</c:v>
                </c:pt>
                <c:pt idx="292">
                  <c:v>40349</c:v>
                </c:pt>
                <c:pt idx="293">
                  <c:v>40350</c:v>
                </c:pt>
                <c:pt idx="294">
                  <c:v>40351</c:v>
                </c:pt>
                <c:pt idx="295">
                  <c:v>40352</c:v>
                </c:pt>
                <c:pt idx="296">
                  <c:v>40353</c:v>
                </c:pt>
                <c:pt idx="297">
                  <c:v>40354</c:v>
                </c:pt>
                <c:pt idx="298">
                  <c:v>40355</c:v>
                </c:pt>
                <c:pt idx="299">
                  <c:v>40356</c:v>
                </c:pt>
                <c:pt idx="300">
                  <c:v>40357</c:v>
                </c:pt>
                <c:pt idx="301">
                  <c:v>40358</c:v>
                </c:pt>
                <c:pt idx="302">
                  <c:v>40359</c:v>
                </c:pt>
                <c:pt idx="303">
                  <c:v>40360</c:v>
                </c:pt>
                <c:pt idx="304">
                  <c:v>40361</c:v>
                </c:pt>
                <c:pt idx="305">
                  <c:v>40362</c:v>
                </c:pt>
                <c:pt idx="306">
                  <c:v>40363</c:v>
                </c:pt>
                <c:pt idx="307">
                  <c:v>40364</c:v>
                </c:pt>
                <c:pt idx="308">
                  <c:v>40365</c:v>
                </c:pt>
                <c:pt idx="309">
                  <c:v>40366</c:v>
                </c:pt>
                <c:pt idx="310">
                  <c:v>40367</c:v>
                </c:pt>
                <c:pt idx="311">
                  <c:v>40368</c:v>
                </c:pt>
                <c:pt idx="312">
                  <c:v>40369</c:v>
                </c:pt>
                <c:pt idx="313">
                  <c:v>40370</c:v>
                </c:pt>
                <c:pt idx="314">
                  <c:v>40371</c:v>
                </c:pt>
                <c:pt idx="315">
                  <c:v>40372</c:v>
                </c:pt>
                <c:pt idx="316">
                  <c:v>40373</c:v>
                </c:pt>
                <c:pt idx="317">
                  <c:v>40374</c:v>
                </c:pt>
                <c:pt idx="318">
                  <c:v>40375</c:v>
                </c:pt>
                <c:pt idx="319">
                  <c:v>40376</c:v>
                </c:pt>
                <c:pt idx="320">
                  <c:v>40377</c:v>
                </c:pt>
                <c:pt idx="321">
                  <c:v>40378</c:v>
                </c:pt>
                <c:pt idx="322">
                  <c:v>40379</c:v>
                </c:pt>
                <c:pt idx="323">
                  <c:v>40380</c:v>
                </c:pt>
                <c:pt idx="324">
                  <c:v>40381</c:v>
                </c:pt>
                <c:pt idx="325">
                  <c:v>40382</c:v>
                </c:pt>
                <c:pt idx="326">
                  <c:v>40383</c:v>
                </c:pt>
                <c:pt idx="327">
                  <c:v>40384</c:v>
                </c:pt>
                <c:pt idx="328">
                  <c:v>40385</c:v>
                </c:pt>
                <c:pt idx="329">
                  <c:v>40386</c:v>
                </c:pt>
                <c:pt idx="330">
                  <c:v>40387</c:v>
                </c:pt>
                <c:pt idx="331">
                  <c:v>40388</c:v>
                </c:pt>
                <c:pt idx="332">
                  <c:v>40389</c:v>
                </c:pt>
                <c:pt idx="333">
                  <c:v>40390</c:v>
                </c:pt>
                <c:pt idx="334">
                  <c:v>40391</c:v>
                </c:pt>
                <c:pt idx="335">
                  <c:v>40392</c:v>
                </c:pt>
                <c:pt idx="336">
                  <c:v>40393</c:v>
                </c:pt>
                <c:pt idx="337">
                  <c:v>40394</c:v>
                </c:pt>
                <c:pt idx="338">
                  <c:v>40395</c:v>
                </c:pt>
                <c:pt idx="339">
                  <c:v>40396</c:v>
                </c:pt>
                <c:pt idx="340">
                  <c:v>40397</c:v>
                </c:pt>
                <c:pt idx="341">
                  <c:v>40398</c:v>
                </c:pt>
                <c:pt idx="342">
                  <c:v>40399</c:v>
                </c:pt>
                <c:pt idx="343">
                  <c:v>40400</c:v>
                </c:pt>
                <c:pt idx="344">
                  <c:v>40401</c:v>
                </c:pt>
                <c:pt idx="345">
                  <c:v>40402</c:v>
                </c:pt>
                <c:pt idx="346">
                  <c:v>40403</c:v>
                </c:pt>
                <c:pt idx="347">
                  <c:v>40404</c:v>
                </c:pt>
                <c:pt idx="348">
                  <c:v>40405</c:v>
                </c:pt>
                <c:pt idx="349">
                  <c:v>40406</c:v>
                </c:pt>
                <c:pt idx="350">
                  <c:v>40407</c:v>
                </c:pt>
                <c:pt idx="351">
                  <c:v>40408</c:v>
                </c:pt>
                <c:pt idx="352">
                  <c:v>40409</c:v>
                </c:pt>
                <c:pt idx="353">
                  <c:v>40410</c:v>
                </c:pt>
                <c:pt idx="354">
                  <c:v>40411</c:v>
                </c:pt>
                <c:pt idx="355">
                  <c:v>40412</c:v>
                </c:pt>
                <c:pt idx="356">
                  <c:v>40413</c:v>
                </c:pt>
                <c:pt idx="357">
                  <c:v>40414</c:v>
                </c:pt>
                <c:pt idx="358">
                  <c:v>40415</c:v>
                </c:pt>
                <c:pt idx="359">
                  <c:v>40416</c:v>
                </c:pt>
                <c:pt idx="360">
                  <c:v>40417</c:v>
                </c:pt>
                <c:pt idx="361">
                  <c:v>40418</c:v>
                </c:pt>
                <c:pt idx="362">
                  <c:v>40419</c:v>
                </c:pt>
                <c:pt idx="363">
                  <c:v>40420</c:v>
                </c:pt>
                <c:pt idx="364">
                  <c:v>40421</c:v>
                </c:pt>
                <c:pt idx="365">
                  <c:v>40422</c:v>
                </c:pt>
                <c:pt idx="366">
                  <c:v>40423</c:v>
                </c:pt>
                <c:pt idx="367">
                  <c:v>40424</c:v>
                </c:pt>
                <c:pt idx="368">
                  <c:v>40425</c:v>
                </c:pt>
                <c:pt idx="369">
                  <c:v>40426</c:v>
                </c:pt>
                <c:pt idx="370">
                  <c:v>40427</c:v>
                </c:pt>
                <c:pt idx="371">
                  <c:v>40428</c:v>
                </c:pt>
                <c:pt idx="372">
                  <c:v>40429</c:v>
                </c:pt>
                <c:pt idx="373">
                  <c:v>40430</c:v>
                </c:pt>
                <c:pt idx="374">
                  <c:v>40431</c:v>
                </c:pt>
                <c:pt idx="375">
                  <c:v>40432</c:v>
                </c:pt>
                <c:pt idx="376">
                  <c:v>40433</c:v>
                </c:pt>
                <c:pt idx="377">
                  <c:v>40434</c:v>
                </c:pt>
                <c:pt idx="378">
                  <c:v>40435</c:v>
                </c:pt>
                <c:pt idx="379">
                  <c:v>40436</c:v>
                </c:pt>
                <c:pt idx="380">
                  <c:v>40437</c:v>
                </c:pt>
                <c:pt idx="381">
                  <c:v>40438</c:v>
                </c:pt>
                <c:pt idx="382">
                  <c:v>40439</c:v>
                </c:pt>
                <c:pt idx="383">
                  <c:v>40440</c:v>
                </c:pt>
                <c:pt idx="384">
                  <c:v>40441</c:v>
                </c:pt>
                <c:pt idx="385">
                  <c:v>40442</c:v>
                </c:pt>
                <c:pt idx="386">
                  <c:v>40443</c:v>
                </c:pt>
                <c:pt idx="387">
                  <c:v>40444</c:v>
                </c:pt>
                <c:pt idx="388">
                  <c:v>40445</c:v>
                </c:pt>
                <c:pt idx="389">
                  <c:v>40446</c:v>
                </c:pt>
                <c:pt idx="390">
                  <c:v>40447</c:v>
                </c:pt>
                <c:pt idx="391">
                  <c:v>40448</c:v>
                </c:pt>
                <c:pt idx="392">
                  <c:v>40449</c:v>
                </c:pt>
                <c:pt idx="393">
                  <c:v>40450</c:v>
                </c:pt>
                <c:pt idx="394">
                  <c:v>40451</c:v>
                </c:pt>
                <c:pt idx="395">
                  <c:v>40452</c:v>
                </c:pt>
                <c:pt idx="396">
                  <c:v>40453</c:v>
                </c:pt>
                <c:pt idx="397">
                  <c:v>40454</c:v>
                </c:pt>
                <c:pt idx="398">
                  <c:v>40455</c:v>
                </c:pt>
                <c:pt idx="399">
                  <c:v>40456</c:v>
                </c:pt>
                <c:pt idx="400">
                  <c:v>40457</c:v>
                </c:pt>
                <c:pt idx="401">
                  <c:v>40458</c:v>
                </c:pt>
                <c:pt idx="402">
                  <c:v>40459</c:v>
                </c:pt>
                <c:pt idx="403">
                  <c:v>40460</c:v>
                </c:pt>
                <c:pt idx="404">
                  <c:v>40461</c:v>
                </c:pt>
                <c:pt idx="405">
                  <c:v>40462</c:v>
                </c:pt>
                <c:pt idx="406">
                  <c:v>40463</c:v>
                </c:pt>
                <c:pt idx="407">
                  <c:v>40464</c:v>
                </c:pt>
                <c:pt idx="408">
                  <c:v>40465</c:v>
                </c:pt>
                <c:pt idx="409">
                  <c:v>40466</c:v>
                </c:pt>
                <c:pt idx="410">
                  <c:v>40467</c:v>
                </c:pt>
                <c:pt idx="411">
                  <c:v>40468</c:v>
                </c:pt>
                <c:pt idx="412">
                  <c:v>40469</c:v>
                </c:pt>
                <c:pt idx="413">
                  <c:v>40470</c:v>
                </c:pt>
                <c:pt idx="414">
                  <c:v>40471</c:v>
                </c:pt>
                <c:pt idx="415">
                  <c:v>40472</c:v>
                </c:pt>
                <c:pt idx="416">
                  <c:v>40473</c:v>
                </c:pt>
                <c:pt idx="417">
                  <c:v>40474</c:v>
                </c:pt>
                <c:pt idx="418">
                  <c:v>40475</c:v>
                </c:pt>
                <c:pt idx="419">
                  <c:v>40476</c:v>
                </c:pt>
                <c:pt idx="420">
                  <c:v>40477</c:v>
                </c:pt>
                <c:pt idx="421">
                  <c:v>40478</c:v>
                </c:pt>
                <c:pt idx="422">
                  <c:v>40479</c:v>
                </c:pt>
                <c:pt idx="423">
                  <c:v>40480</c:v>
                </c:pt>
                <c:pt idx="424">
                  <c:v>40481</c:v>
                </c:pt>
                <c:pt idx="425">
                  <c:v>40482</c:v>
                </c:pt>
                <c:pt idx="426">
                  <c:v>40483</c:v>
                </c:pt>
                <c:pt idx="427">
                  <c:v>40484</c:v>
                </c:pt>
                <c:pt idx="428">
                  <c:v>40485</c:v>
                </c:pt>
                <c:pt idx="429">
                  <c:v>40486</c:v>
                </c:pt>
                <c:pt idx="430">
                  <c:v>40487</c:v>
                </c:pt>
                <c:pt idx="431">
                  <c:v>40488</c:v>
                </c:pt>
                <c:pt idx="432">
                  <c:v>40489</c:v>
                </c:pt>
                <c:pt idx="433">
                  <c:v>40490</c:v>
                </c:pt>
                <c:pt idx="434">
                  <c:v>40491</c:v>
                </c:pt>
                <c:pt idx="435">
                  <c:v>40492</c:v>
                </c:pt>
                <c:pt idx="436">
                  <c:v>40493</c:v>
                </c:pt>
                <c:pt idx="437">
                  <c:v>40494</c:v>
                </c:pt>
                <c:pt idx="438">
                  <c:v>40495</c:v>
                </c:pt>
                <c:pt idx="439">
                  <c:v>40496</c:v>
                </c:pt>
                <c:pt idx="440">
                  <c:v>40497</c:v>
                </c:pt>
                <c:pt idx="441">
                  <c:v>40498</c:v>
                </c:pt>
                <c:pt idx="442">
                  <c:v>40499</c:v>
                </c:pt>
                <c:pt idx="443">
                  <c:v>40500</c:v>
                </c:pt>
                <c:pt idx="444">
                  <c:v>40501</c:v>
                </c:pt>
                <c:pt idx="445">
                  <c:v>40502</c:v>
                </c:pt>
                <c:pt idx="446">
                  <c:v>40503</c:v>
                </c:pt>
                <c:pt idx="447">
                  <c:v>40504</c:v>
                </c:pt>
                <c:pt idx="448">
                  <c:v>40505</c:v>
                </c:pt>
                <c:pt idx="449">
                  <c:v>40506</c:v>
                </c:pt>
                <c:pt idx="450">
                  <c:v>40507</c:v>
                </c:pt>
                <c:pt idx="451">
                  <c:v>40508</c:v>
                </c:pt>
                <c:pt idx="452">
                  <c:v>40509</c:v>
                </c:pt>
                <c:pt idx="453">
                  <c:v>40510</c:v>
                </c:pt>
                <c:pt idx="454">
                  <c:v>40511</c:v>
                </c:pt>
                <c:pt idx="455">
                  <c:v>40512</c:v>
                </c:pt>
                <c:pt idx="456">
                  <c:v>40513</c:v>
                </c:pt>
                <c:pt idx="457">
                  <c:v>40514</c:v>
                </c:pt>
                <c:pt idx="458">
                  <c:v>40515</c:v>
                </c:pt>
                <c:pt idx="459">
                  <c:v>40516</c:v>
                </c:pt>
                <c:pt idx="460">
                  <c:v>40517</c:v>
                </c:pt>
                <c:pt idx="461">
                  <c:v>40518</c:v>
                </c:pt>
                <c:pt idx="462">
                  <c:v>40519</c:v>
                </c:pt>
                <c:pt idx="463">
                  <c:v>40520</c:v>
                </c:pt>
                <c:pt idx="464">
                  <c:v>40521</c:v>
                </c:pt>
                <c:pt idx="465">
                  <c:v>40522</c:v>
                </c:pt>
                <c:pt idx="466">
                  <c:v>40523</c:v>
                </c:pt>
                <c:pt idx="467">
                  <c:v>40524</c:v>
                </c:pt>
                <c:pt idx="468">
                  <c:v>40525</c:v>
                </c:pt>
                <c:pt idx="469">
                  <c:v>40526</c:v>
                </c:pt>
                <c:pt idx="470">
                  <c:v>40527</c:v>
                </c:pt>
                <c:pt idx="471">
                  <c:v>40528</c:v>
                </c:pt>
                <c:pt idx="472">
                  <c:v>40529</c:v>
                </c:pt>
                <c:pt idx="473">
                  <c:v>40530</c:v>
                </c:pt>
                <c:pt idx="474">
                  <c:v>40531</c:v>
                </c:pt>
                <c:pt idx="475">
                  <c:v>40532</c:v>
                </c:pt>
                <c:pt idx="476">
                  <c:v>40533</c:v>
                </c:pt>
                <c:pt idx="477">
                  <c:v>40534</c:v>
                </c:pt>
                <c:pt idx="478">
                  <c:v>40535</c:v>
                </c:pt>
                <c:pt idx="479">
                  <c:v>40536</c:v>
                </c:pt>
                <c:pt idx="480">
                  <c:v>40537</c:v>
                </c:pt>
                <c:pt idx="481">
                  <c:v>40538</c:v>
                </c:pt>
                <c:pt idx="482">
                  <c:v>40539</c:v>
                </c:pt>
                <c:pt idx="483">
                  <c:v>40540</c:v>
                </c:pt>
                <c:pt idx="484">
                  <c:v>40541</c:v>
                </c:pt>
                <c:pt idx="485">
                  <c:v>40542</c:v>
                </c:pt>
                <c:pt idx="486">
                  <c:v>40543</c:v>
                </c:pt>
                <c:pt idx="487">
                  <c:v>40544</c:v>
                </c:pt>
                <c:pt idx="488">
                  <c:v>40545</c:v>
                </c:pt>
                <c:pt idx="489">
                  <c:v>40546</c:v>
                </c:pt>
                <c:pt idx="490">
                  <c:v>40547</c:v>
                </c:pt>
                <c:pt idx="491">
                  <c:v>40548</c:v>
                </c:pt>
                <c:pt idx="492">
                  <c:v>40549</c:v>
                </c:pt>
                <c:pt idx="493">
                  <c:v>40550</c:v>
                </c:pt>
                <c:pt idx="494">
                  <c:v>40551</c:v>
                </c:pt>
                <c:pt idx="495">
                  <c:v>40552</c:v>
                </c:pt>
                <c:pt idx="496">
                  <c:v>40553</c:v>
                </c:pt>
                <c:pt idx="497">
                  <c:v>40554</c:v>
                </c:pt>
                <c:pt idx="498">
                  <c:v>40555</c:v>
                </c:pt>
                <c:pt idx="499">
                  <c:v>40556</c:v>
                </c:pt>
                <c:pt idx="500">
                  <c:v>40557</c:v>
                </c:pt>
                <c:pt idx="501">
                  <c:v>40558</c:v>
                </c:pt>
                <c:pt idx="502">
                  <c:v>40559</c:v>
                </c:pt>
                <c:pt idx="503">
                  <c:v>40560</c:v>
                </c:pt>
                <c:pt idx="504">
                  <c:v>40561</c:v>
                </c:pt>
                <c:pt idx="505">
                  <c:v>40562</c:v>
                </c:pt>
                <c:pt idx="506">
                  <c:v>40563</c:v>
                </c:pt>
                <c:pt idx="507">
                  <c:v>40564</c:v>
                </c:pt>
                <c:pt idx="508">
                  <c:v>40565</c:v>
                </c:pt>
                <c:pt idx="509">
                  <c:v>40566</c:v>
                </c:pt>
                <c:pt idx="510">
                  <c:v>40567</c:v>
                </c:pt>
                <c:pt idx="511">
                  <c:v>40568</c:v>
                </c:pt>
                <c:pt idx="512">
                  <c:v>40569</c:v>
                </c:pt>
                <c:pt idx="513">
                  <c:v>40570</c:v>
                </c:pt>
                <c:pt idx="514">
                  <c:v>40571</c:v>
                </c:pt>
                <c:pt idx="515">
                  <c:v>40572</c:v>
                </c:pt>
                <c:pt idx="516">
                  <c:v>40573</c:v>
                </c:pt>
                <c:pt idx="517">
                  <c:v>40574</c:v>
                </c:pt>
                <c:pt idx="518">
                  <c:v>40575</c:v>
                </c:pt>
                <c:pt idx="519">
                  <c:v>40576</c:v>
                </c:pt>
                <c:pt idx="520">
                  <c:v>40577</c:v>
                </c:pt>
                <c:pt idx="521">
                  <c:v>40578</c:v>
                </c:pt>
                <c:pt idx="522">
                  <c:v>40579</c:v>
                </c:pt>
                <c:pt idx="523">
                  <c:v>40580</c:v>
                </c:pt>
                <c:pt idx="524">
                  <c:v>40581</c:v>
                </c:pt>
                <c:pt idx="525">
                  <c:v>40582</c:v>
                </c:pt>
                <c:pt idx="526">
                  <c:v>40583</c:v>
                </c:pt>
                <c:pt idx="527">
                  <c:v>40584</c:v>
                </c:pt>
                <c:pt idx="528">
                  <c:v>40585</c:v>
                </c:pt>
                <c:pt idx="529">
                  <c:v>40586</c:v>
                </c:pt>
                <c:pt idx="530">
                  <c:v>40587</c:v>
                </c:pt>
                <c:pt idx="531">
                  <c:v>40588</c:v>
                </c:pt>
                <c:pt idx="532">
                  <c:v>40589</c:v>
                </c:pt>
                <c:pt idx="533">
                  <c:v>40590</c:v>
                </c:pt>
                <c:pt idx="534">
                  <c:v>40591</c:v>
                </c:pt>
                <c:pt idx="535">
                  <c:v>40592</c:v>
                </c:pt>
                <c:pt idx="536">
                  <c:v>40593</c:v>
                </c:pt>
                <c:pt idx="537">
                  <c:v>40594</c:v>
                </c:pt>
                <c:pt idx="538">
                  <c:v>40595</c:v>
                </c:pt>
                <c:pt idx="539">
                  <c:v>40596</c:v>
                </c:pt>
                <c:pt idx="540">
                  <c:v>40597</c:v>
                </c:pt>
                <c:pt idx="541">
                  <c:v>40598</c:v>
                </c:pt>
                <c:pt idx="542">
                  <c:v>40599</c:v>
                </c:pt>
                <c:pt idx="543">
                  <c:v>40600</c:v>
                </c:pt>
                <c:pt idx="544">
                  <c:v>40601</c:v>
                </c:pt>
                <c:pt idx="545">
                  <c:v>40602</c:v>
                </c:pt>
                <c:pt idx="546">
                  <c:v>40603</c:v>
                </c:pt>
                <c:pt idx="547">
                  <c:v>40604</c:v>
                </c:pt>
                <c:pt idx="548">
                  <c:v>40605</c:v>
                </c:pt>
                <c:pt idx="549">
                  <c:v>40606</c:v>
                </c:pt>
                <c:pt idx="550">
                  <c:v>40607</c:v>
                </c:pt>
                <c:pt idx="551">
                  <c:v>40608</c:v>
                </c:pt>
                <c:pt idx="552">
                  <c:v>40609</c:v>
                </c:pt>
                <c:pt idx="553">
                  <c:v>40610</c:v>
                </c:pt>
                <c:pt idx="554">
                  <c:v>40611</c:v>
                </c:pt>
                <c:pt idx="555">
                  <c:v>40612</c:v>
                </c:pt>
                <c:pt idx="556">
                  <c:v>40613</c:v>
                </c:pt>
                <c:pt idx="557">
                  <c:v>40614</c:v>
                </c:pt>
                <c:pt idx="558">
                  <c:v>40615</c:v>
                </c:pt>
                <c:pt idx="559">
                  <c:v>40616</c:v>
                </c:pt>
                <c:pt idx="560">
                  <c:v>40617</c:v>
                </c:pt>
                <c:pt idx="561">
                  <c:v>40618</c:v>
                </c:pt>
                <c:pt idx="562">
                  <c:v>40619</c:v>
                </c:pt>
                <c:pt idx="563">
                  <c:v>40620</c:v>
                </c:pt>
                <c:pt idx="564">
                  <c:v>40621</c:v>
                </c:pt>
                <c:pt idx="565">
                  <c:v>40622</c:v>
                </c:pt>
                <c:pt idx="566">
                  <c:v>40623</c:v>
                </c:pt>
                <c:pt idx="567">
                  <c:v>40624</c:v>
                </c:pt>
                <c:pt idx="568">
                  <c:v>40625</c:v>
                </c:pt>
                <c:pt idx="569">
                  <c:v>40626</c:v>
                </c:pt>
                <c:pt idx="570">
                  <c:v>40627</c:v>
                </c:pt>
                <c:pt idx="571">
                  <c:v>40628</c:v>
                </c:pt>
                <c:pt idx="572">
                  <c:v>40629</c:v>
                </c:pt>
                <c:pt idx="573">
                  <c:v>40630</c:v>
                </c:pt>
                <c:pt idx="574">
                  <c:v>40631</c:v>
                </c:pt>
                <c:pt idx="575">
                  <c:v>40632</c:v>
                </c:pt>
                <c:pt idx="576">
                  <c:v>40633</c:v>
                </c:pt>
                <c:pt idx="577">
                  <c:v>40634</c:v>
                </c:pt>
                <c:pt idx="578">
                  <c:v>40635</c:v>
                </c:pt>
                <c:pt idx="579">
                  <c:v>40636</c:v>
                </c:pt>
                <c:pt idx="580">
                  <c:v>40637</c:v>
                </c:pt>
                <c:pt idx="581">
                  <c:v>40638</c:v>
                </c:pt>
                <c:pt idx="582">
                  <c:v>40639</c:v>
                </c:pt>
                <c:pt idx="583">
                  <c:v>40640</c:v>
                </c:pt>
                <c:pt idx="584">
                  <c:v>40641</c:v>
                </c:pt>
                <c:pt idx="585">
                  <c:v>40642</c:v>
                </c:pt>
                <c:pt idx="586">
                  <c:v>40643</c:v>
                </c:pt>
                <c:pt idx="587">
                  <c:v>40644</c:v>
                </c:pt>
                <c:pt idx="588">
                  <c:v>40645</c:v>
                </c:pt>
                <c:pt idx="589">
                  <c:v>40646</c:v>
                </c:pt>
                <c:pt idx="590">
                  <c:v>40647</c:v>
                </c:pt>
                <c:pt idx="591">
                  <c:v>40648</c:v>
                </c:pt>
                <c:pt idx="592">
                  <c:v>40649</c:v>
                </c:pt>
                <c:pt idx="593">
                  <c:v>40650</c:v>
                </c:pt>
                <c:pt idx="594">
                  <c:v>40651</c:v>
                </c:pt>
                <c:pt idx="595">
                  <c:v>40652</c:v>
                </c:pt>
                <c:pt idx="596">
                  <c:v>40653</c:v>
                </c:pt>
                <c:pt idx="597">
                  <c:v>40654</c:v>
                </c:pt>
                <c:pt idx="598">
                  <c:v>40655</c:v>
                </c:pt>
                <c:pt idx="599">
                  <c:v>40656</c:v>
                </c:pt>
                <c:pt idx="600">
                  <c:v>40657</c:v>
                </c:pt>
                <c:pt idx="601">
                  <c:v>40658</c:v>
                </c:pt>
                <c:pt idx="602">
                  <c:v>40659</c:v>
                </c:pt>
                <c:pt idx="603">
                  <c:v>40660</c:v>
                </c:pt>
                <c:pt idx="604">
                  <c:v>40661</c:v>
                </c:pt>
                <c:pt idx="605">
                  <c:v>40662</c:v>
                </c:pt>
                <c:pt idx="606">
                  <c:v>40663</c:v>
                </c:pt>
                <c:pt idx="607">
                  <c:v>40664</c:v>
                </c:pt>
                <c:pt idx="608">
                  <c:v>40665</c:v>
                </c:pt>
                <c:pt idx="609">
                  <c:v>40666</c:v>
                </c:pt>
                <c:pt idx="610">
                  <c:v>40667</c:v>
                </c:pt>
                <c:pt idx="611">
                  <c:v>40668</c:v>
                </c:pt>
                <c:pt idx="612">
                  <c:v>40669</c:v>
                </c:pt>
                <c:pt idx="613">
                  <c:v>40670</c:v>
                </c:pt>
                <c:pt idx="614">
                  <c:v>40671</c:v>
                </c:pt>
                <c:pt idx="615">
                  <c:v>40672</c:v>
                </c:pt>
                <c:pt idx="616">
                  <c:v>40673</c:v>
                </c:pt>
                <c:pt idx="617">
                  <c:v>40674</c:v>
                </c:pt>
                <c:pt idx="618">
                  <c:v>40675</c:v>
                </c:pt>
                <c:pt idx="619">
                  <c:v>40676</c:v>
                </c:pt>
                <c:pt idx="620">
                  <c:v>40677</c:v>
                </c:pt>
                <c:pt idx="621">
                  <c:v>40678</c:v>
                </c:pt>
                <c:pt idx="622">
                  <c:v>40679</c:v>
                </c:pt>
                <c:pt idx="623">
                  <c:v>40680</c:v>
                </c:pt>
                <c:pt idx="624">
                  <c:v>40681</c:v>
                </c:pt>
                <c:pt idx="625">
                  <c:v>40682</c:v>
                </c:pt>
                <c:pt idx="626">
                  <c:v>40683</c:v>
                </c:pt>
                <c:pt idx="627">
                  <c:v>40684</c:v>
                </c:pt>
                <c:pt idx="628">
                  <c:v>40685</c:v>
                </c:pt>
                <c:pt idx="629">
                  <c:v>40686</c:v>
                </c:pt>
                <c:pt idx="630">
                  <c:v>40687</c:v>
                </c:pt>
                <c:pt idx="631">
                  <c:v>40688</c:v>
                </c:pt>
                <c:pt idx="632">
                  <c:v>40689</c:v>
                </c:pt>
                <c:pt idx="633">
                  <c:v>40690</c:v>
                </c:pt>
                <c:pt idx="634">
                  <c:v>40691</c:v>
                </c:pt>
                <c:pt idx="635">
                  <c:v>40692</c:v>
                </c:pt>
                <c:pt idx="636">
                  <c:v>40693</c:v>
                </c:pt>
                <c:pt idx="637">
                  <c:v>40694</c:v>
                </c:pt>
                <c:pt idx="638">
                  <c:v>40695</c:v>
                </c:pt>
                <c:pt idx="639">
                  <c:v>40696</c:v>
                </c:pt>
                <c:pt idx="640">
                  <c:v>40697</c:v>
                </c:pt>
                <c:pt idx="641">
                  <c:v>40698</c:v>
                </c:pt>
                <c:pt idx="642">
                  <c:v>40699</c:v>
                </c:pt>
                <c:pt idx="643">
                  <c:v>40700</c:v>
                </c:pt>
                <c:pt idx="644">
                  <c:v>40701</c:v>
                </c:pt>
                <c:pt idx="645">
                  <c:v>40702</c:v>
                </c:pt>
                <c:pt idx="646">
                  <c:v>40703</c:v>
                </c:pt>
                <c:pt idx="647">
                  <c:v>40704</c:v>
                </c:pt>
                <c:pt idx="648">
                  <c:v>40705</c:v>
                </c:pt>
                <c:pt idx="649">
                  <c:v>40706</c:v>
                </c:pt>
                <c:pt idx="650">
                  <c:v>40707</c:v>
                </c:pt>
                <c:pt idx="651">
                  <c:v>40708</c:v>
                </c:pt>
                <c:pt idx="652">
                  <c:v>40709</c:v>
                </c:pt>
                <c:pt idx="653">
                  <c:v>40710</c:v>
                </c:pt>
                <c:pt idx="654">
                  <c:v>40711</c:v>
                </c:pt>
                <c:pt idx="655">
                  <c:v>40712</c:v>
                </c:pt>
                <c:pt idx="656">
                  <c:v>40713</c:v>
                </c:pt>
                <c:pt idx="657">
                  <c:v>40714</c:v>
                </c:pt>
                <c:pt idx="658">
                  <c:v>40715</c:v>
                </c:pt>
                <c:pt idx="659">
                  <c:v>40716</c:v>
                </c:pt>
                <c:pt idx="660">
                  <c:v>40717</c:v>
                </c:pt>
                <c:pt idx="661">
                  <c:v>40718</c:v>
                </c:pt>
                <c:pt idx="662">
                  <c:v>40719</c:v>
                </c:pt>
                <c:pt idx="663">
                  <c:v>40720</c:v>
                </c:pt>
                <c:pt idx="664">
                  <c:v>40721</c:v>
                </c:pt>
                <c:pt idx="665">
                  <c:v>40722</c:v>
                </c:pt>
                <c:pt idx="666">
                  <c:v>40723</c:v>
                </c:pt>
                <c:pt idx="667">
                  <c:v>40724</c:v>
                </c:pt>
                <c:pt idx="668">
                  <c:v>40725</c:v>
                </c:pt>
                <c:pt idx="669">
                  <c:v>40726</c:v>
                </c:pt>
                <c:pt idx="670">
                  <c:v>40727</c:v>
                </c:pt>
                <c:pt idx="671">
                  <c:v>40728</c:v>
                </c:pt>
                <c:pt idx="672">
                  <c:v>40729</c:v>
                </c:pt>
                <c:pt idx="673">
                  <c:v>40730</c:v>
                </c:pt>
                <c:pt idx="674">
                  <c:v>40731</c:v>
                </c:pt>
                <c:pt idx="675">
                  <c:v>40732</c:v>
                </c:pt>
                <c:pt idx="676">
                  <c:v>40733</c:v>
                </c:pt>
                <c:pt idx="677">
                  <c:v>40734</c:v>
                </c:pt>
                <c:pt idx="678">
                  <c:v>40735</c:v>
                </c:pt>
                <c:pt idx="679">
                  <c:v>40736</c:v>
                </c:pt>
                <c:pt idx="680">
                  <c:v>40737</c:v>
                </c:pt>
                <c:pt idx="681">
                  <c:v>40738</c:v>
                </c:pt>
                <c:pt idx="682">
                  <c:v>40739</c:v>
                </c:pt>
                <c:pt idx="683">
                  <c:v>40740</c:v>
                </c:pt>
                <c:pt idx="684">
                  <c:v>40741</c:v>
                </c:pt>
                <c:pt idx="685">
                  <c:v>40742</c:v>
                </c:pt>
                <c:pt idx="686">
                  <c:v>40743</c:v>
                </c:pt>
                <c:pt idx="687">
                  <c:v>40744</c:v>
                </c:pt>
                <c:pt idx="688">
                  <c:v>40745</c:v>
                </c:pt>
                <c:pt idx="689">
                  <c:v>40746</c:v>
                </c:pt>
                <c:pt idx="690">
                  <c:v>40747</c:v>
                </c:pt>
                <c:pt idx="691">
                  <c:v>40748</c:v>
                </c:pt>
                <c:pt idx="692">
                  <c:v>40749</c:v>
                </c:pt>
                <c:pt idx="693">
                  <c:v>40750</c:v>
                </c:pt>
                <c:pt idx="694">
                  <c:v>40751</c:v>
                </c:pt>
                <c:pt idx="695">
                  <c:v>40752</c:v>
                </c:pt>
                <c:pt idx="696">
                  <c:v>40753</c:v>
                </c:pt>
                <c:pt idx="697">
                  <c:v>40754</c:v>
                </c:pt>
                <c:pt idx="698">
                  <c:v>40755</c:v>
                </c:pt>
                <c:pt idx="699">
                  <c:v>40756</c:v>
                </c:pt>
                <c:pt idx="700">
                  <c:v>40757</c:v>
                </c:pt>
                <c:pt idx="701">
                  <c:v>40758</c:v>
                </c:pt>
                <c:pt idx="702">
                  <c:v>40759</c:v>
                </c:pt>
                <c:pt idx="703">
                  <c:v>40760</c:v>
                </c:pt>
                <c:pt idx="704">
                  <c:v>40761</c:v>
                </c:pt>
                <c:pt idx="705">
                  <c:v>40762</c:v>
                </c:pt>
                <c:pt idx="706">
                  <c:v>40763</c:v>
                </c:pt>
                <c:pt idx="707">
                  <c:v>40764</c:v>
                </c:pt>
                <c:pt idx="708">
                  <c:v>40765</c:v>
                </c:pt>
                <c:pt idx="709">
                  <c:v>40766</c:v>
                </c:pt>
                <c:pt idx="710">
                  <c:v>40767</c:v>
                </c:pt>
                <c:pt idx="711">
                  <c:v>40768</c:v>
                </c:pt>
                <c:pt idx="712">
                  <c:v>40769</c:v>
                </c:pt>
                <c:pt idx="713">
                  <c:v>40770</c:v>
                </c:pt>
                <c:pt idx="714">
                  <c:v>40771</c:v>
                </c:pt>
                <c:pt idx="715">
                  <c:v>40772</c:v>
                </c:pt>
                <c:pt idx="716">
                  <c:v>40773</c:v>
                </c:pt>
                <c:pt idx="717">
                  <c:v>40774</c:v>
                </c:pt>
                <c:pt idx="718">
                  <c:v>40775</c:v>
                </c:pt>
                <c:pt idx="719">
                  <c:v>40776</c:v>
                </c:pt>
                <c:pt idx="720">
                  <c:v>40777</c:v>
                </c:pt>
                <c:pt idx="721">
                  <c:v>40778</c:v>
                </c:pt>
                <c:pt idx="722">
                  <c:v>40779</c:v>
                </c:pt>
                <c:pt idx="723">
                  <c:v>40780</c:v>
                </c:pt>
                <c:pt idx="724">
                  <c:v>40781</c:v>
                </c:pt>
                <c:pt idx="725">
                  <c:v>40782</c:v>
                </c:pt>
                <c:pt idx="726">
                  <c:v>40783</c:v>
                </c:pt>
                <c:pt idx="727">
                  <c:v>40784</c:v>
                </c:pt>
                <c:pt idx="728">
                  <c:v>40785</c:v>
                </c:pt>
                <c:pt idx="729">
                  <c:v>40786</c:v>
                </c:pt>
                <c:pt idx="730">
                  <c:v>40787</c:v>
                </c:pt>
                <c:pt idx="731">
                  <c:v>40788</c:v>
                </c:pt>
                <c:pt idx="732">
                  <c:v>40789</c:v>
                </c:pt>
                <c:pt idx="733">
                  <c:v>40790</c:v>
                </c:pt>
                <c:pt idx="734">
                  <c:v>40791</c:v>
                </c:pt>
                <c:pt idx="735">
                  <c:v>40792</c:v>
                </c:pt>
                <c:pt idx="736">
                  <c:v>40793</c:v>
                </c:pt>
                <c:pt idx="737">
                  <c:v>40794</c:v>
                </c:pt>
                <c:pt idx="738">
                  <c:v>40795</c:v>
                </c:pt>
                <c:pt idx="739">
                  <c:v>40796</c:v>
                </c:pt>
                <c:pt idx="740">
                  <c:v>40797</c:v>
                </c:pt>
                <c:pt idx="741">
                  <c:v>40798</c:v>
                </c:pt>
                <c:pt idx="742">
                  <c:v>40799</c:v>
                </c:pt>
                <c:pt idx="743">
                  <c:v>40800</c:v>
                </c:pt>
                <c:pt idx="744">
                  <c:v>40801</c:v>
                </c:pt>
                <c:pt idx="745">
                  <c:v>40802</c:v>
                </c:pt>
                <c:pt idx="746">
                  <c:v>40803</c:v>
                </c:pt>
                <c:pt idx="747">
                  <c:v>40804</c:v>
                </c:pt>
                <c:pt idx="748">
                  <c:v>40805</c:v>
                </c:pt>
                <c:pt idx="749">
                  <c:v>40806</c:v>
                </c:pt>
                <c:pt idx="750">
                  <c:v>40807</c:v>
                </c:pt>
                <c:pt idx="751">
                  <c:v>40808</c:v>
                </c:pt>
                <c:pt idx="752">
                  <c:v>40809</c:v>
                </c:pt>
                <c:pt idx="753">
                  <c:v>40810</c:v>
                </c:pt>
                <c:pt idx="754">
                  <c:v>40811</c:v>
                </c:pt>
                <c:pt idx="755">
                  <c:v>40812</c:v>
                </c:pt>
                <c:pt idx="756">
                  <c:v>40813</c:v>
                </c:pt>
                <c:pt idx="757">
                  <c:v>40814</c:v>
                </c:pt>
                <c:pt idx="758">
                  <c:v>40815</c:v>
                </c:pt>
                <c:pt idx="759">
                  <c:v>40816</c:v>
                </c:pt>
                <c:pt idx="760">
                  <c:v>40817</c:v>
                </c:pt>
                <c:pt idx="761">
                  <c:v>40818</c:v>
                </c:pt>
                <c:pt idx="762">
                  <c:v>40819</c:v>
                </c:pt>
                <c:pt idx="763">
                  <c:v>40820</c:v>
                </c:pt>
                <c:pt idx="764">
                  <c:v>40821</c:v>
                </c:pt>
                <c:pt idx="765">
                  <c:v>40822</c:v>
                </c:pt>
                <c:pt idx="766">
                  <c:v>40823</c:v>
                </c:pt>
                <c:pt idx="767">
                  <c:v>40824</c:v>
                </c:pt>
                <c:pt idx="768">
                  <c:v>40825</c:v>
                </c:pt>
                <c:pt idx="769">
                  <c:v>40826</c:v>
                </c:pt>
                <c:pt idx="770">
                  <c:v>40827</c:v>
                </c:pt>
                <c:pt idx="771">
                  <c:v>40828</c:v>
                </c:pt>
                <c:pt idx="772">
                  <c:v>40829</c:v>
                </c:pt>
                <c:pt idx="773">
                  <c:v>40830</c:v>
                </c:pt>
                <c:pt idx="774">
                  <c:v>40831</c:v>
                </c:pt>
                <c:pt idx="775">
                  <c:v>40832</c:v>
                </c:pt>
                <c:pt idx="776">
                  <c:v>40833</c:v>
                </c:pt>
                <c:pt idx="777">
                  <c:v>40834</c:v>
                </c:pt>
                <c:pt idx="778">
                  <c:v>40835</c:v>
                </c:pt>
                <c:pt idx="779">
                  <c:v>40836</c:v>
                </c:pt>
                <c:pt idx="780">
                  <c:v>40837</c:v>
                </c:pt>
                <c:pt idx="781">
                  <c:v>40838</c:v>
                </c:pt>
                <c:pt idx="782">
                  <c:v>40839</c:v>
                </c:pt>
                <c:pt idx="783">
                  <c:v>40840</c:v>
                </c:pt>
                <c:pt idx="784">
                  <c:v>40841</c:v>
                </c:pt>
                <c:pt idx="785">
                  <c:v>40842</c:v>
                </c:pt>
                <c:pt idx="786">
                  <c:v>40843</c:v>
                </c:pt>
                <c:pt idx="787">
                  <c:v>40844</c:v>
                </c:pt>
                <c:pt idx="788">
                  <c:v>40845</c:v>
                </c:pt>
                <c:pt idx="789">
                  <c:v>40846</c:v>
                </c:pt>
                <c:pt idx="790">
                  <c:v>40847</c:v>
                </c:pt>
                <c:pt idx="791">
                  <c:v>40848</c:v>
                </c:pt>
                <c:pt idx="792">
                  <c:v>40849</c:v>
                </c:pt>
                <c:pt idx="793">
                  <c:v>40850</c:v>
                </c:pt>
                <c:pt idx="794">
                  <c:v>40851</c:v>
                </c:pt>
                <c:pt idx="795">
                  <c:v>40852</c:v>
                </c:pt>
                <c:pt idx="796">
                  <c:v>40853</c:v>
                </c:pt>
                <c:pt idx="797">
                  <c:v>40854</c:v>
                </c:pt>
                <c:pt idx="798">
                  <c:v>40855</c:v>
                </c:pt>
                <c:pt idx="799">
                  <c:v>40856</c:v>
                </c:pt>
                <c:pt idx="800">
                  <c:v>40857</c:v>
                </c:pt>
                <c:pt idx="801">
                  <c:v>40858</c:v>
                </c:pt>
                <c:pt idx="802">
                  <c:v>40859</c:v>
                </c:pt>
                <c:pt idx="803">
                  <c:v>40860</c:v>
                </c:pt>
                <c:pt idx="804">
                  <c:v>40861</c:v>
                </c:pt>
                <c:pt idx="805">
                  <c:v>40862</c:v>
                </c:pt>
                <c:pt idx="806">
                  <c:v>40863</c:v>
                </c:pt>
                <c:pt idx="807">
                  <c:v>40864</c:v>
                </c:pt>
                <c:pt idx="808">
                  <c:v>40865</c:v>
                </c:pt>
                <c:pt idx="809">
                  <c:v>40866</c:v>
                </c:pt>
                <c:pt idx="810">
                  <c:v>40867</c:v>
                </c:pt>
                <c:pt idx="811">
                  <c:v>40868</c:v>
                </c:pt>
                <c:pt idx="812">
                  <c:v>40869</c:v>
                </c:pt>
                <c:pt idx="813">
                  <c:v>40870</c:v>
                </c:pt>
                <c:pt idx="814">
                  <c:v>40871</c:v>
                </c:pt>
                <c:pt idx="815">
                  <c:v>40872</c:v>
                </c:pt>
                <c:pt idx="816">
                  <c:v>40873</c:v>
                </c:pt>
                <c:pt idx="817">
                  <c:v>40874</c:v>
                </c:pt>
                <c:pt idx="818">
                  <c:v>40875</c:v>
                </c:pt>
                <c:pt idx="819">
                  <c:v>40876</c:v>
                </c:pt>
                <c:pt idx="820">
                  <c:v>40877</c:v>
                </c:pt>
                <c:pt idx="821">
                  <c:v>40878</c:v>
                </c:pt>
                <c:pt idx="822">
                  <c:v>40879</c:v>
                </c:pt>
                <c:pt idx="823">
                  <c:v>40880</c:v>
                </c:pt>
                <c:pt idx="824">
                  <c:v>40881</c:v>
                </c:pt>
                <c:pt idx="825">
                  <c:v>40882</c:v>
                </c:pt>
                <c:pt idx="826">
                  <c:v>40883</c:v>
                </c:pt>
                <c:pt idx="827">
                  <c:v>40884</c:v>
                </c:pt>
                <c:pt idx="828">
                  <c:v>40885</c:v>
                </c:pt>
                <c:pt idx="829">
                  <c:v>40886</c:v>
                </c:pt>
                <c:pt idx="830">
                  <c:v>40887</c:v>
                </c:pt>
                <c:pt idx="831">
                  <c:v>40888</c:v>
                </c:pt>
                <c:pt idx="832">
                  <c:v>40889</c:v>
                </c:pt>
                <c:pt idx="833">
                  <c:v>40890</c:v>
                </c:pt>
                <c:pt idx="834">
                  <c:v>40891</c:v>
                </c:pt>
                <c:pt idx="835">
                  <c:v>40892</c:v>
                </c:pt>
                <c:pt idx="836">
                  <c:v>40893</c:v>
                </c:pt>
                <c:pt idx="837">
                  <c:v>40894</c:v>
                </c:pt>
                <c:pt idx="838">
                  <c:v>40895</c:v>
                </c:pt>
                <c:pt idx="839">
                  <c:v>40896</c:v>
                </c:pt>
                <c:pt idx="840">
                  <c:v>40897</c:v>
                </c:pt>
                <c:pt idx="841">
                  <c:v>40898</c:v>
                </c:pt>
                <c:pt idx="842">
                  <c:v>40899</c:v>
                </c:pt>
                <c:pt idx="843">
                  <c:v>40900</c:v>
                </c:pt>
                <c:pt idx="844">
                  <c:v>40901</c:v>
                </c:pt>
                <c:pt idx="845">
                  <c:v>40902</c:v>
                </c:pt>
                <c:pt idx="846">
                  <c:v>40903</c:v>
                </c:pt>
                <c:pt idx="847">
                  <c:v>40904</c:v>
                </c:pt>
                <c:pt idx="848">
                  <c:v>40905</c:v>
                </c:pt>
                <c:pt idx="849">
                  <c:v>40906</c:v>
                </c:pt>
                <c:pt idx="850">
                  <c:v>40907</c:v>
                </c:pt>
                <c:pt idx="851">
                  <c:v>40908</c:v>
                </c:pt>
                <c:pt idx="852">
                  <c:v>40909</c:v>
                </c:pt>
                <c:pt idx="853">
                  <c:v>40910</c:v>
                </c:pt>
                <c:pt idx="854">
                  <c:v>40911</c:v>
                </c:pt>
                <c:pt idx="855">
                  <c:v>40912</c:v>
                </c:pt>
                <c:pt idx="856">
                  <c:v>40913</c:v>
                </c:pt>
                <c:pt idx="857">
                  <c:v>40914</c:v>
                </c:pt>
                <c:pt idx="858">
                  <c:v>40915</c:v>
                </c:pt>
                <c:pt idx="859">
                  <c:v>40916</c:v>
                </c:pt>
                <c:pt idx="860">
                  <c:v>40917</c:v>
                </c:pt>
                <c:pt idx="861">
                  <c:v>40918</c:v>
                </c:pt>
                <c:pt idx="862">
                  <c:v>40919</c:v>
                </c:pt>
                <c:pt idx="863">
                  <c:v>40920</c:v>
                </c:pt>
                <c:pt idx="864">
                  <c:v>40921</c:v>
                </c:pt>
                <c:pt idx="865">
                  <c:v>40922</c:v>
                </c:pt>
                <c:pt idx="866">
                  <c:v>40923</c:v>
                </c:pt>
                <c:pt idx="867">
                  <c:v>40924</c:v>
                </c:pt>
                <c:pt idx="868">
                  <c:v>40925</c:v>
                </c:pt>
                <c:pt idx="869">
                  <c:v>40926</c:v>
                </c:pt>
                <c:pt idx="870">
                  <c:v>40927</c:v>
                </c:pt>
                <c:pt idx="871">
                  <c:v>40928</c:v>
                </c:pt>
                <c:pt idx="872">
                  <c:v>40929</c:v>
                </c:pt>
                <c:pt idx="873">
                  <c:v>40930</c:v>
                </c:pt>
                <c:pt idx="874">
                  <c:v>40931</c:v>
                </c:pt>
                <c:pt idx="875">
                  <c:v>40932</c:v>
                </c:pt>
                <c:pt idx="876">
                  <c:v>40933</c:v>
                </c:pt>
                <c:pt idx="877">
                  <c:v>40934</c:v>
                </c:pt>
                <c:pt idx="878">
                  <c:v>40935</c:v>
                </c:pt>
                <c:pt idx="879">
                  <c:v>40936</c:v>
                </c:pt>
                <c:pt idx="880">
                  <c:v>40937</c:v>
                </c:pt>
                <c:pt idx="881">
                  <c:v>40938</c:v>
                </c:pt>
                <c:pt idx="882">
                  <c:v>40939</c:v>
                </c:pt>
                <c:pt idx="883">
                  <c:v>40940</c:v>
                </c:pt>
                <c:pt idx="884">
                  <c:v>40941</c:v>
                </c:pt>
                <c:pt idx="885">
                  <c:v>40942</c:v>
                </c:pt>
                <c:pt idx="886">
                  <c:v>40943</c:v>
                </c:pt>
                <c:pt idx="887">
                  <c:v>40944</c:v>
                </c:pt>
                <c:pt idx="888">
                  <c:v>40945</c:v>
                </c:pt>
                <c:pt idx="889">
                  <c:v>40946</c:v>
                </c:pt>
                <c:pt idx="890">
                  <c:v>40947</c:v>
                </c:pt>
                <c:pt idx="891">
                  <c:v>40948</c:v>
                </c:pt>
                <c:pt idx="892">
                  <c:v>40949</c:v>
                </c:pt>
                <c:pt idx="893">
                  <c:v>40950</c:v>
                </c:pt>
                <c:pt idx="894">
                  <c:v>40951</c:v>
                </c:pt>
                <c:pt idx="895">
                  <c:v>40952</c:v>
                </c:pt>
                <c:pt idx="896">
                  <c:v>40953</c:v>
                </c:pt>
                <c:pt idx="897">
                  <c:v>40954</c:v>
                </c:pt>
                <c:pt idx="898">
                  <c:v>40955</c:v>
                </c:pt>
                <c:pt idx="899">
                  <c:v>40956</c:v>
                </c:pt>
                <c:pt idx="900">
                  <c:v>40957</c:v>
                </c:pt>
                <c:pt idx="901">
                  <c:v>40958</c:v>
                </c:pt>
                <c:pt idx="902">
                  <c:v>40959</c:v>
                </c:pt>
                <c:pt idx="903">
                  <c:v>40960</c:v>
                </c:pt>
                <c:pt idx="904">
                  <c:v>40961</c:v>
                </c:pt>
                <c:pt idx="905">
                  <c:v>40962</c:v>
                </c:pt>
                <c:pt idx="906">
                  <c:v>40963</c:v>
                </c:pt>
                <c:pt idx="907">
                  <c:v>40964</c:v>
                </c:pt>
                <c:pt idx="908">
                  <c:v>40965</c:v>
                </c:pt>
                <c:pt idx="909">
                  <c:v>40966</c:v>
                </c:pt>
                <c:pt idx="910">
                  <c:v>40967</c:v>
                </c:pt>
                <c:pt idx="911">
                  <c:v>40968</c:v>
                </c:pt>
                <c:pt idx="912">
                  <c:v>40969</c:v>
                </c:pt>
                <c:pt idx="913">
                  <c:v>40970</c:v>
                </c:pt>
                <c:pt idx="914">
                  <c:v>40971</c:v>
                </c:pt>
                <c:pt idx="915">
                  <c:v>40972</c:v>
                </c:pt>
                <c:pt idx="916">
                  <c:v>40973</c:v>
                </c:pt>
                <c:pt idx="917">
                  <c:v>40974</c:v>
                </c:pt>
                <c:pt idx="918">
                  <c:v>40975</c:v>
                </c:pt>
                <c:pt idx="919">
                  <c:v>40976</c:v>
                </c:pt>
                <c:pt idx="920">
                  <c:v>40977</c:v>
                </c:pt>
                <c:pt idx="921">
                  <c:v>40978</c:v>
                </c:pt>
                <c:pt idx="922">
                  <c:v>40979</c:v>
                </c:pt>
                <c:pt idx="923">
                  <c:v>40980</c:v>
                </c:pt>
                <c:pt idx="924">
                  <c:v>40981</c:v>
                </c:pt>
                <c:pt idx="925">
                  <c:v>40982</c:v>
                </c:pt>
                <c:pt idx="926">
                  <c:v>40983</c:v>
                </c:pt>
                <c:pt idx="927">
                  <c:v>40984</c:v>
                </c:pt>
                <c:pt idx="928">
                  <c:v>40985</c:v>
                </c:pt>
                <c:pt idx="929">
                  <c:v>40986</c:v>
                </c:pt>
                <c:pt idx="930">
                  <c:v>40987</c:v>
                </c:pt>
                <c:pt idx="931">
                  <c:v>40988</c:v>
                </c:pt>
                <c:pt idx="932">
                  <c:v>40989</c:v>
                </c:pt>
                <c:pt idx="933">
                  <c:v>40990</c:v>
                </c:pt>
                <c:pt idx="934">
                  <c:v>40991</c:v>
                </c:pt>
                <c:pt idx="935">
                  <c:v>40992</c:v>
                </c:pt>
                <c:pt idx="936">
                  <c:v>40993</c:v>
                </c:pt>
                <c:pt idx="937">
                  <c:v>40994</c:v>
                </c:pt>
                <c:pt idx="938">
                  <c:v>40995</c:v>
                </c:pt>
                <c:pt idx="939">
                  <c:v>40996</c:v>
                </c:pt>
                <c:pt idx="940">
                  <c:v>40997</c:v>
                </c:pt>
                <c:pt idx="941">
                  <c:v>40998</c:v>
                </c:pt>
                <c:pt idx="942">
                  <c:v>40999</c:v>
                </c:pt>
                <c:pt idx="943">
                  <c:v>41000</c:v>
                </c:pt>
                <c:pt idx="944">
                  <c:v>41001</c:v>
                </c:pt>
                <c:pt idx="945">
                  <c:v>41002</c:v>
                </c:pt>
                <c:pt idx="946">
                  <c:v>41003</c:v>
                </c:pt>
                <c:pt idx="947">
                  <c:v>41004</c:v>
                </c:pt>
                <c:pt idx="948">
                  <c:v>41005</c:v>
                </c:pt>
                <c:pt idx="949">
                  <c:v>41006</c:v>
                </c:pt>
                <c:pt idx="950">
                  <c:v>41007</c:v>
                </c:pt>
                <c:pt idx="951">
                  <c:v>41008</c:v>
                </c:pt>
                <c:pt idx="952">
                  <c:v>41009</c:v>
                </c:pt>
                <c:pt idx="953">
                  <c:v>41010</c:v>
                </c:pt>
                <c:pt idx="954">
                  <c:v>41011</c:v>
                </c:pt>
                <c:pt idx="955">
                  <c:v>41012</c:v>
                </c:pt>
                <c:pt idx="956">
                  <c:v>41013</c:v>
                </c:pt>
                <c:pt idx="957">
                  <c:v>41014</c:v>
                </c:pt>
                <c:pt idx="958">
                  <c:v>41015</c:v>
                </c:pt>
                <c:pt idx="959">
                  <c:v>41016</c:v>
                </c:pt>
                <c:pt idx="960">
                  <c:v>41017</c:v>
                </c:pt>
                <c:pt idx="961">
                  <c:v>41018</c:v>
                </c:pt>
                <c:pt idx="962">
                  <c:v>41019</c:v>
                </c:pt>
                <c:pt idx="963">
                  <c:v>41020</c:v>
                </c:pt>
                <c:pt idx="964">
                  <c:v>41021</c:v>
                </c:pt>
                <c:pt idx="965">
                  <c:v>41022</c:v>
                </c:pt>
                <c:pt idx="966">
                  <c:v>41023</c:v>
                </c:pt>
                <c:pt idx="967">
                  <c:v>41024</c:v>
                </c:pt>
                <c:pt idx="968">
                  <c:v>41025</c:v>
                </c:pt>
                <c:pt idx="969">
                  <c:v>41026</c:v>
                </c:pt>
                <c:pt idx="970">
                  <c:v>41027</c:v>
                </c:pt>
                <c:pt idx="971">
                  <c:v>41028</c:v>
                </c:pt>
                <c:pt idx="972">
                  <c:v>41029</c:v>
                </c:pt>
                <c:pt idx="973">
                  <c:v>41030</c:v>
                </c:pt>
                <c:pt idx="974">
                  <c:v>41031</c:v>
                </c:pt>
                <c:pt idx="975">
                  <c:v>41032</c:v>
                </c:pt>
                <c:pt idx="976">
                  <c:v>41033</c:v>
                </c:pt>
                <c:pt idx="977">
                  <c:v>41034</c:v>
                </c:pt>
                <c:pt idx="978">
                  <c:v>41035</c:v>
                </c:pt>
                <c:pt idx="979">
                  <c:v>41036</c:v>
                </c:pt>
                <c:pt idx="980">
                  <c:v>41037</c:v>
                </c:pt>
                <c:pt idx="981">
                  <c:v>41038</c:v>
                </c:pt>
                <c:pt idx="982">
                  <c:v>41039</c:v>
                </c:pt>
                <c:pt idx="983">
                  <c:v>41040</c:v>
                </c:pt>
                <c:pt idx="984">
                  <c:v>41041</c:v>
                </c:pt>
                <c:pt idx="985">
                  <c:v>41042</c:v>
                </c:pt>
                <c:pt idx="986">
                  <c:v>41043</c:v>
                </c:pt>
                <c:pt idx="987">
                  <c:v>41044</c:v>
                </c:pt>
                <c:pt idx="988">
                  <c:v>41045</c:v>
                </c:pt>
                <c:pt idx="989">
                  <c:v>41046</c:v>
                </c:pt>
                <c:pt idx="990">
                  <c:v>41047</c:v>
                </c:pt>
                <c:pt idx="991">
                  <c:v>41048</c:v>
                </c:pt>
                <c:pt idx="992">
                  <c:v>41049</c:v>
                </c:pt>
                <c:pt idx="993">
                  <c:v>41050</c:v>
                </c:pt>
                <c:pt idx="994">
                  <c:v>41051</c:v>
                </c:pt>
                <c:pt idx="995">
                  <c:v>41052</c:v>
                </c:pt>
                <c:pt idx="996">
                  <c:v>41053</c:v>
                </c:pt>
                <c:pt idx="997">
                  <c:v>41054</c:v>
                </c:pt>
                <c:pt idx="998">
                  <c:v>41055</c:v>
                </c:pt>
                <c:pt idx="999">
                  <c:v>41056</c:v>
                </c:pt>
                <c:pt idx="1000">
                  <c:v>41057</c:v>
                </c:pt>
                <c:pt idx="1001">
                  <c:v>41058</c:v>
                </c:pt>
                <c:pt idx="1002">
                  <c:v>41059</c:v>
                </c:pt>
                <c:pt idx="1003">
                  <c:v>41060</c:v>
                </c:pt>
                <c:pt idx="1004">
                  <c:v>41061</c:v>
                </c:pt>
                <c:pt idx="1005">
                  <c:v>41062</c:v>
                </c:pt>
                <c:pt idx="1006">
                  <c:v>41063</c:v>
                </c:pt>
                <c:pt idx="1007">
                  <c:v>41064</c:v>
                </c:pt>
                <c:pt idx="1008">
                  <c:v>41065</c:v>
                </c:pt>
                <c:pt idx="1009">
                  <c:v>41066</c:v>
                </c:pt>
                <c:pt idx="1010">
                  <c:v>41067</c:v>
                </c:pt>
                <c:pt idx="1011">
                  <c:v>41068</c:v>
                </c:pt>
                <c:pt idx="1012">
                  <c:v>41069</c:v>
                </c:pt>
                <c:pt idx="1013">
                  <c:v>41070</c:v>
                </c:pt>
                <c:pt idx="1014">
                  <c:v>41071</c:v>
                </c:pt>
                <c:pt idx="1015">
                  <c:v>41072</c:v>
                </c:pt>
                <c:pt idx="1016">
                  <c:v>41073</c:v>
                </c:pt>
                <c:pt idx="1017">
                  <c:v>41074</c:v>
                </c:pt>
                <c:pt idx="1018">
                  <c:v>41075</c:v>
                </c:pt>
                <c:pt idx="1019">
                  <c:v>41076</c:v>
                </c:pt>
                <c:pt idx="1020">
                  <c:v>41077</c:v>
                </c:pt>
                <c:pt idx="1021">
                  <c:v>41078</c:v>
                </c:pt>
                <c:pt idx="1022">
                  <c:v>41079</c:v>
                </c:pt>
                <c:pt idx="1023">
                  <c:v>41080</c:v>
                </c:pt>
                <c:pt idx="1024">
                  <c:v>41081</c:v>
                </c:pt>
                <c:pt idx="1025">
                  <c:v>41082</c:v>
                </c:pt>
                <c:pt idx="1026">
                  <c:v>41083</c:v>
                </c:pt>
                <c:pt idx="1027">
                  <c:v>41084</c:v>
                </c:pt>
                <c:pt idx="1028">
                  <c:v>41085</c:v>
                </c:pt>
                <c:pt idx="1029">
                  <c:v>41086</c:v>
                </c:pt>
                <c:pt idx="1030">
                  <c:v>41087</c:v>
                </c:pt>
                <c:pt idx="1031">
                  <c:v>41088</c:v>
                </c:pt>
                <c:pt idx="1032">
                  <c:v>41089</c:v>
                </c:pt>
                <c:pt idx="1033">
                  <c:v>41090</c:v>
                </c:pt>
                <c:pt idx="1034">
                  <c:v>41091</c:v>
                </c:pt>
                <c:pt idx="1035">
                  <c:v>41092</c:v>
                </c:pt>
                <c:pt idx="1036">
                  <c:v>41093</c:v>
                </c:pt>
                <c:pt idx="1037">
                  <c:v>41094</c:v>
                </c:pt>
                <c:pt idx="1038">
                  <c:v>41095</c:v>
                </c:pt>
                <c:pt idx="1039">
                  <c:v>41096</c:v>
                </c:pt>
                <c:pt idx="1040">
                  <c:v>41097</c:v>
                </c:pt>
                <c:pt idx="1041">
                  <c:v>41098</c:v>
                </c:pt>
                <c:pt idx="1042">
                  <c:v>41099</c:v>
                </c:pt>
                <c:pt idx="1043">
                  <c:v>41100</c:v>
                </c:pt>
                <c:pt idx="1044">
                  <c:v>41101</c:v>
                </c:pt>
                <c:pt idx="1045">
                  <c:v>41102</c:v>
                </c:pt>
                <c:pt idx="1046">
                  <c:v>41103</c:v>
                </c:pt>
                <c:pt idx="1047">
                  <c:v>41104</c:v>
                </c:pt>
                <c:pt idx="1048">
                  <c:v>41105</c:v>
                </c:pt>
                <c:pt idx="1049">
                  <c:v>41106</c:v>
                </c:pt>
                <c:pt idx="1050">
                  <c:v>41107</c:v>
                </c:pt>
                <c:pt idx="1051">
                  <c:v>41108</c:v>
                </c:pt>
                <c:pt idx="1052">
                  <c:v>41109</c:v>
                </c:pt>
                <c:pt idx="1053">
                  <c:v>41110</c:v>
                </c:pt>
                <c:pt idx="1054">
                  <c:v>41111</c:v>
                </c:pt>
                <c:pt idx="1055">
                  <c:v>41112</c:v>
                </c:pt>
                <c:pt idx="1056">
                  <c:v>41113</c:v>
                </c:pt>
                <c:pt idx="1057">
                  <c:v>41114</c:v>
                </c:pt>
                <c:pt idx="1058">
                  <c:v>41115</c:v>
                </c:pt>
                <c:pt idx="1059">
                  <c:v>41116</c:v>
                </c:pt>
                <c:pt idx="1060">
                  <c:v>41117</c:v>
                </c:pt>
                <c:pt idx="1061">
                  <c:v>41118</c:v>
                </c:pt>
                <c:pt idx="1062">
                  <c:v>41119</c:v>
                </c:pt>
                <c:pt idx="1063">
                  <c:v>41120</c:v>
                </c:pt>
                <c:pt idx="1064">
                  <c:v>41121</c:v>
                </c:pt>
                <c:pt idx="1065">
                  <c:v>41122</c:v>
                </c:pt>
                <c:pt idx="1066">
                  <c:v>41123</c:v>
                </c:pt>
                <c:pt idx="1067">
                  <c:v>41124</c:v>
                </c:pt>
                <c:pt idx="1068">
                  <c:v>41125</c:v>
                </c:pt>
                <c:pt idx="1069">
                  <c:v>41126</c:v>
                </c:pt>
                <c:pt idx="1070">
                  <c:v>41127</c:v>
                </c:pt>
                <c:pt idx="1071">
                  <c:v>41128</c:v>
                </c:pt>
                <c:pt idx="1072">
                  <c:v>41129</c:v>
                </c:pt>
                <c:pt idx="1073">
                  <c:v>41130</c:v>
                </c:pt>
                <c:pt idx="1074">
                  <c:v>41131</c:v>
                </c:pt>
                <c:pt idx="1075">
                  <c:v>41132</c:v>
                </c:pt>
                <c:pt idx="1076">
                  <c:v>41133</c:v>
                </c:pt>
                <c:pt idx="1077">
                  <c:v>41134</c:v>
                </c:pt>
                <c:pt idx="1078">
                  <c:v>41135</c:v>
                </c:pt>
                <c:pt idx="1079">
                  <c:v>41136</c:v>
                </c:pt>
                <c:pt idx="1080">
                  <c:v>41137</c:v>
                </c:pt>
                <c:pt idx="1081">
                  <c:v>41138</c:v>
                </c:pt>
                <c:pt idx="1082">
                  <c:v>41139</c:v>
                </c:pt>
                <c:pt idx="1083">
                  <c:v>41140</c:v>
                </c:pt>
                <c:pt idx="1084">
                  <c:v>41141</c:v>
                </c:pt>
                <c:pt idx="1085">
                  <c:v>41142</c:v>
                </c:pt>
                <c:pt idx="1086">
                  <c:v>41143</c:v>
                </c:pt>
                <c:pt idx="1087">
                  <c:v>41144</c:v>
                </c:pt>
                <c:pt idx="1088">
                  <c:v>41145</c:v>
                </c:pt>
                <c:pt idx="1089">
                  <c:v>41146</c:v>
                </c:pt>
                <c:pt idx="1090">
                  <c:v>41147</c:v>
                </c:pt>
                <c:pt idx="1091">
                  <c:v>41148</c:v>
                </c:pt>
                <c:pt idx="1092">
                  <c:v>41149</c:v>
                </c:pt>
                <c:pt idx="1093">
                  <c:v>41150</c:v>
                </c:pt>
                <c:pt idx="1094">
                  <c:v>41151</c:v>
                </c:pt>
                <c:pt idx="1095">
                  <c:v>41152</c:v>
                </c:pt>
                <c:pt idx="1096">
                  <c:v>41153</c:v>
                </c:pt>
                <c:pt idx="1097">
                  <c:v>41154</c:v>
                </c:pt>
                <c:pt idx="1098">
                  <c:v>41155</c:v>
                </c:pt>
                <c:pt idx="1099">
                  <c:v>41156</c:v>
                </c:pt>
                <c:pt idx="1100">
                  <c:v>41157</c:v>
                </c:pt>
                <c:pt idx="1101">
                  <c:v>41158</c:v>
                </c:pt>
                <c:pt idx="1102">
                  <c:v>41159</c:v>
                </c:pt>
                <c:pt idx="1103">
                  <c:v>41160</c:v>
                </c:pt>
                <c:pt idx="1104">
                  <c:v>41161</c:v>
                </c:pt>
                <c:pt idx="1105">
                  <c:v>41162</c:v>
                </c:pt>
                <c:pt idx="1106">
                  <c:v>41163</c:v>
                </c:pt>
                <c:pt idx="1107">
                  <c:v>41164</c:v>
                </c:pt>
                <c:pt idx="1108">
                  <c:v>41165</c:v>
                </c:pt>
                <c:pt idx="1109">
                  <c:v>41166</c:v>
                </c:pt>
                <c:pt idx="1110">
                  <c:v>41167</c:v>
                </c:pt>
                <c:pt idx="1111">
                  <c:v>41168</c:v>
                </c:pt>
                <c:pt idx="1112">
                  <c:v>41169</c:v>
                </c:pt>
                <c:pt idx="1113">
                  <c:v>41170</c:v>
                </c:pt>
                <c:pt idx="1114">
                  <c:v>41171</c:v>
                </c:pt>
                <c:pt idx="1115">
                  <c:v>41172</c:v>
                </c:pt>
                <c:pt idx="1116">
                  <c:v>41173</c:v>
                </c:pt>
                <c:pt idx="1117">
                  <c:v>41174</c:v>
                </c:pt>
                <c:pt idx="1118">
                  <c:v>41175</c:v>
                </c:pt>
                <c:pt idx="1119">
                  <c:v>41176</c:v>
                </c:pt>
                <c:pt idx="1120">
                  <c:v>41177</c:v>
                </c:pt>
                <c:pt idx="1121">
                  <c:v>41178</c:v>
                </c:pt>
                <c:pt idx="1122">
                  <c:v>41179</c:v>
                </c:pt>
                <c:pt idx="1123">
                  <c:v>41180</c:v>
                </c:pt>
                <c:pt idx="1124">
                  <c:v>41181</c:v>
                </c:pt>
                <c:pt idx="1125">
                  <c:v>41182</c:v>
                </c:pt>
                <c:pt idx="1126">
                  <c:v>41183</c:v>
                </c:pt>
                <c:pt idx="1127">
                  <c:v>41184</c:v>
                </c:pt>
                <c:pt idx="1128">
                  <c:v>41185</c:v>
                </c:pt>
                <c:pt idx="1129">
                  <c:v>41186</c:v>
                </c:pt>
                <c:pt idx="1130">
                  <c:v>41187</c:v>
                </c:pt>
                <c:pt idx="1131">
                  <c:v>41188</c:v>
                </c:pt>
                <c:pt idx="1132">
                  <c:v>41189</c:v>
                </c:pt>
                <c:pt idx="1133">
                  <c:v>41190</c:v>
                </c:pt>
                <c:pt idx="1134">
                  <c:v>41191</c:v>
                </c:pt>
                <c:pt idx="1135">
                  <c:v>41192</c:v>
                </c:pt>
                <c:pt idx="1136">
                  <c:v>41193</c:v>
                </c:pt>
                <c:pt idx="1137">
                  <c:v>41194</c:v>
                </c:pt>
                <c:pt idx="1138">
                  <c:v>41195</c:v>
                </c:pt>
                <c:pt idx="1139">
                  <c:v>41196</c:v>
                </c:pt>
                <c:pt idx="1140">
                  <c:v>41197</c:v>
                </c:pt>
                <c:pt idx="1141">
                  <c:v>41198</c:v>
                </c:pt>
                <c:pt idx="1142">
                  <c:v>41199</c:v>
                </c:pt>
                <c:pt idx="1143">
                  <c:v>41200</c:v>
                </c:pt>
                <c:pt idx="1144">
                  <c:v>41201</c:v>
                </c:pt>
                <c:pt idx="1145">
                  <c:v>41202</c:v>
                </c:pt>
                <c:pt idx="1146">
                  <c:v>41203</c:v>
                </c:pt>
                <c:pt idx="1147">
                  <c:v>41204</c:v>
                </c:pt>
                <c:pt idx="1148">
                  <c:v>41205</c:v>
                </c:pt>
                <c:pt idx="1149">
                  <c:v>41206</c:v>
                </c:pt>
                <c:pt idx="1150">
                  <c:v>41207</c:v>
                </c:pt>
                <c:pt idx="1151">
                  <c:v>41208</c:v>
                </c:pt>
                <c:pt idx="1152">
                  <c:v>41209</c:v>
                </c:pt>
                <c:pt idx="1153">
                  <c:v>41210</c:v>
                </c:pt>
                <c:pt idx="1154">
                  <c:v>41211</c:v>
                </c:pt>
                <c:pt idx="1155">
                  <c:v>41212</c:v>
                </c:pt>
                <c:pt idx="1156">
                  <c:v>41213</c:v>
                </c:pt>
                <c:pt idx="1157">
                  <c:v>41214</c:v>
                </c:pt>
                <c:pt idx="1158">
                  <c:v>41215</c:v>
                </c:pt>
                <c:pt idx="1159">
                  <c:v>41216</c:v>
                </c:pt>
                <c:pt idx="1160">
                  <c:v>41217</c:v>
                </c:pt>
                <c:pt idx="1161">
                  <c:v>41218</c:v>
                </c:pt>
                <c:pt idx="1162">
                  <c:v>41219</c:v>
                </c:pt>
                <c:pt idx="1163">
                  <c:v>41220</c:v>
                </c:pt>
                <c:pt idx="1164">
                  <c:v>41221</c:v>
                </c:pt>
                <c:pt idx="1165">
                  <c:v>41222</c:v>
                </c:pt>
                <c:pt idx="1166">
                  <c:v>41223</c:v>
                </c:pt>
                <c:pt idx="1167">
                  <c:v>41224</c:v>
                </c:pt>
                <c:pt idx="1168">
                  <c:v>41225</c:v>
                </c:pt>
                <c:pt idx="1169">
                  <c:v>41226</c:v>
                </c:pt>
                <c:pt idx="1170">
                  <c:v>41227</c:v>
                </c:pt>
                <c:pt idx="1171">
                  <c:v>41228</c:v>
                </c:pt>
                <c:pt idx="1172">
                  <c:v>41229</c:v>
                </c:pt>
                <c:pt idx="1173">
                  <c:v>41230</c:v>
                </c:pt>
                <c:pt idx="1174">
                  <c:v>41231</c:v>
                </c:pt>
                <c:pt idx="1175">
                  <c:v>41232</c:v>
                </c:pt>
                <c:pt idx="1176">
                  <c:v>41233</c:v>
                </c:pt>
                <c:pt idx="1177">
                  <c:v>41234</c:v>
                </c:pt>
                <c:pt idx="1178">
                  <c:v>41235</c:v>
                </c:pt>
                <c:pt idx="1179">
                  <c:v>41236</c:v>
                </c:pt>
                <c:pt idx="1180">
                  <c:v>41237</c:v>
                </c:pt>
                <c:pt idx="1181">
                  <c:v>41238</c:v>
                </c:pt>
                <c:pt idx="1182">
                  <c:v>41239</c:v>
                </c:pt>
                <c:pt idx="1183">
                  <c:v>41240</c:v>
                </c:pt>
                <c:pt idx="1184">
                  <c:v>41241</c:v>
                </c:pt>
                <c:pt idx="1185">
                  <c:v>41242</c:v>
                </c:pt>
                <c:pt idx="1186">
                  <c:v>41243</c:v>
                </c:pt>
                <c:pt idx="1187">
                  <c:v>41244</c:v>
                </c:pt>
                <c:pt idx="1188">
                  <c:v>41245</c:v>
                </c:pt>
                <c:pt idx="1189">
                  <c:v>41246</c:v>
                </c:pt>
                <c:pt idx="1190">
                  <c:v>41247</c:v>
                </c:pt>
                <c:pt idx="1191">
                  <c:v>41248</c:v>
                </c:pt>
                <c:pt idx="1192">
                  <c:v>41249</c:v>
                </c:pt>
                <c:pt idx="1193">
                  <c:v>41250</c:v>
                </c:pt>
                <c:pt idx="1194">
                  <c:v>41251</c:v>
                </c:pt>
                <c:pt idx="1195">
                  <c:v>41252</c:v>
                </c:pt>
                <c:pt idx="1196">
                  <c:v>41253</c:v>
                </c:pt>
                <c:pt idx="1197">
                  <c:v>41254</c:v>
                </c:pt>
                <c:pt idx="1198">
                  <c:v>41255</c:v>
                </c:pt>
                <c:pt idx="1199">
                  <c:v>41256</c:v>
                </c:pt>
                <c:pt idx="1200">
                  <c:v>41257</c:v>
                </c:pt>
                <c:pt idx="1201">
                  <c:v>41258</c:v>
                </c:pt>
                <c:pt idx="1202">
                  <c:v>41259</c:v>
                </c:pt>
                <c:pt idx="1203">
                  <c:v>41260</c:v>
                </c:pt>
                <c:pt idx="1204">
                  <c:v>41261</c:v>
                </c:pt>
                <c:pt idx="1205">
                  <c:v>41262</c:v>
                </c:pt>
                <c:pt idx="1206">
                  <c:v>41263</c:v>
                </c:pt>
                <c:pt idx="1207">
                  <c:v>41264</c:v>
                </c:pt>
                <c:pt idx="1208">
                  <c:v>41265</c:v>
                </c:pt>
                <c:pt idx="1209">
                  <c:v>41266</c:v>
                </c:pt>
                <c:pt idx="1210">
                  <c:v>41267</c:v>
                </c:pt>
                <c:pt idx="1211">
                  <c:v>41268</c:v>
                </c:pt>
                <c:pt idx="1212">
                  <c:v>41269</c:v>
                </c:pt>
                <c:pt idx="1213">
                  <c:v>41270</c:v>
                </c:pt>
                <c:pt idx="1214">
                  <c:v>41271</c:v>
                </c:pt>
                <c:pt idx="1215">
                  <c:v>41272</c:v>
                </c:pt>
                <c:pt idx="1216">
                  <c:v>41273</c:v>
                </c:pt>
                <c:pt idx="1217">
                  <c:v>41274</c:v>
                </c:pt>
                <c:pt idx="1218">
                  <c:v>41275</c:v>
                </c:pt>
                <c:pt idx="1219">
                  <c:v>41276</c:v>
                </c:pt>
                <c:pt idx="1220">
                  <c:v>41277</c:v>
                </c:pt>
                <c:pt idx="1221">
                  <c:v>41278</c:v>
                </c:pt>
                <c:pt idx="1222">
                  <c:v>41279</c:v>
                </c:pt>
                <c:pt idx="1223">
                  <c:v>41280</c:v>
                </c:pt>
                <c:pt idx="1224">
                  <c:v>41281</c:v>
                </c:pt>
                <c:pt idx="1225">
                  <c:v>41282</c:v>
                </c:pt>
                <c:pt idx="1226">
                  <c:v>41283</c:v>
                </c:pt>
                <c:pt idx="1227">
                  <c:v>41284</c:v>
                </c:pt>
                <c:pt idx="1228">
                  <c:v>41285</c:v>
                </c:pt>
                <c:pt idx="1229">
                  <c:v>41286</c:v>
                </c:pt>
                <c:pt idx="1230">
                  <c:v>41287</c:v>
                </c:pt>
                <c:pt idx="1231">
                  <c:v>41288</c:v>
                </c:pt>
                <c:pt idx="1232">
                  <c:v>41289</c:v>
                </c:pt>
                <c:pt idx="1233">
                  <c:v>41290</c:v>
                </c:pt>
                <c:pt idx="1234">
                  <c:v>41291</c:v>
                </c:pt>
                <c:pt idx="1235">
                  <c:v>41292</c:v>
                </c:pt>
                <c:pt idx="1236">
                  <c:v>41293</c:v>
                </c:pt>
                <c:pt idx="1237">
                  <c:v>41294</c:v>
                </c:pt>
                <c:pt idx="1238">
                  <c:v>41295</c:v>
                </c:pt>
                <c:pt idx="1239">
                  <c:v>41296</c:v>
                </c:pt>
                <c:pt idx="1240">
                  <c:v>41297</c:v>
                </c:pt>
                <c:pt idx="1241">
                  <c:v>41298</c:v>
                </c:pt>
                <c:pt idx="1242">
                  <c:v>41299</c:v>
                </c:pt>
                <c:pt idx="1243">
                  <c:v>41300</c:v>
                </c:pt>
                <c:pt idx="1244">
                  <c:v>41301</c:v>
                </c:pt>
                <c:pt idx="1245">
                  <c:v>41302</c:v>
                </c:pt>
                <c:pt idx="1246">
                  <c:v>41303</c:v>
                </c:pt>
                <c:pt idx="1247">
                  <c:v>41304</c:v>
                </c:pt>
                <c:pt idx="1248">
                  <c:v>41305</c:v>
                </c:pt>
                <c:pt idx="1249">
                  <c:v>41306</c:v>
                </c:pt>
                <c:pt idx="1250">
                  <c:v>41307</c:v>
                </c:pt>
                <c:pt idx="1251">
                  <c:v>41308</c:v>
                </c:pt>
                <c:pt idx="1252">
                  <c:v>41309</c:v>
                </c:pt>
                <c:pt idx="1253">
                  <c:v>41310</c:v>
                </c:pt>
                <c:pt idx="1254">
                  <c:v>41311</c:v>
                </c:pt>
                <c:pt idx="1255">
                  <c:v>41312</c:v>
                </c:pt>
                <c:pt idx="1256">
                  <c:v>41313</c:v>
                </c:pt>
                <c:pt idx="1257">
                  <c:v>41314</c:v>
                </c:pt>
                <c:pt idx="1258">
                  <c:v>41315</c:v>
                </c:pt>
                <c:pt idx="1259">
                  <c:v>41316</c:v>
                </c:pt>
                <c:pt idx="1260">
                  <c:v>41317</c:v>
                </c:pt>
                <c:pt idx="1261">
                  <c:v>41318</c:v>
                </c:pt>
                <c:pt idx="1262">
                  <c:v>41319</c:v>
                </c:pt>
                <c:pt idx="1263">
                  <c:v>41320</c:v>
                </c:pt>
                <c:pt idx="1264">
                  <c:v>41321</c:v>
                </c:pt>
                <c:pt idx="1265">
                  <c:v>41322</c:v>
                </c:pt>
                <c:pt idx="1266">
                  <c:v>41323</c:v>
                </c:pt>
                <c:pt idx="1267">
                  <c:v>41324</c:v>
                </c:pt>
                <c:pt idx="1268">
                  <c:v>41325</c:v>
                </c:pt>
                <c:pt idx="1269">
                  <c:v>41326</c:v>
                </c:pt>
                <c:pt idx="1270">
                  <c:v>41327</c:v>
                </c:pt>
                <c:pt idx="1271">
                  <c:v>41328</c:v>
                </c:pt>
                <c:pt idx="1272">
                  <c:v>41329</c:v>
                </c:pt>
                <c:pt idx="1273">
                  <c:v>41330</c:v>
                </c:pt>
                <c:pt idx="1274">
                  <c:v>41331</c:v>
                </c:pt>
                <c:pt idx="1275">
                  <c:v>41332</c:v>
                </c:pt>
                <c:pt idx="1276">
                  <c:v>41333</c:v>
                </c:pt>
                <c:pt idx="1277">
                  <c:v>41334</c:v>
                </c:pt>
                <c:pt idx="1278">
                  <c:v>41335</c:v>
                </c:pt>
                <c:pt idx="1279">
                  <c:v>41336</c:v>
                </c:pt>
                <c:pt idx="1280">
                  <c:v>41337</c:v>
                </c:pt>
                <c:pt idx="1281">
                  <c:v>41338</c:v>
                </c:pt>
                <c:pt idx="1282">
                  <c:v>41339</c:v>
                </c:pt>
                <c:pt idx="1283">
                  <c:v>41340</c:v>
                </c:pt>
                <c:pt idx="1284">
                  <c:v>41341</c:v>
                </c:pt>
                <c:pt idx="1285">
                  <c:v>41342</c:v>
                </c:pt>
                <c:pt idx="1286">
                  <c:v>41343</c:v>
                </c:pt>
                <c:pt idx="1287">
                  <c:v>41344</c:v>
                </c:pt>
                <c:pt idx="1288">
                  <c:v>41345</c:v>
                </c:pt>
                <c:pt idx="1289">
                  <c:v>41346</c:v>
                </c:pt>
                <c:pt idx="1290">
                  <c:v>41347</c:v>
                </c:pt>
                <c:pt idx="1291">
                  <c:v>41348</c:v>
                </c:pt>
                <c:pt idx="1292">
                  <c:v>41349</c:v>
                </c:pt>
                <c:pt idx="1293">
                  <c:v>41350</c:v>
                </c:pt>
                <c:pt idx="1294">
                  <c:v>41351</c:v>
                </c:pt>
                <c:pt idx="1295">
                  <c:v>41352</c:v>
                </c:pt>
                <c:pt idx="1296">
                  <c:v>41353</c:v>
                </c:pt>
                <c:pt idx="1297">
                  <c:v>41354</c:v>
                </c:pt>
                <c:pt idx="1298">
                  <c:v>41355</c:v>
                </c:pt>
                <c:pt idx="1299">
                  <c:v>41356</c:v>
                </c:pt>
                <c:pt idx="1300">
                  <c:v>41357</c:v>
                </c:pt>
                <c:pt idx="1301">
                  <c:v>41358</c:v>
                </c:pt>
                <c:pt idx="1302">
                  <c:v>41359</c:v>
                </c:pt>
                <c:pt idx="1303">
                  <c:v>41360</c:v>
                </c:pt>
                <c:pt idx="1304">
                  <c:v>41361</c:v>
                </c:pt>
                <c:pt idx="1305">
                  <c:v>41362</c:v>
                </c:pt>
                <c:pt idx="1306">
                  <c:v>41363</c:v>
                </c:pt>
                <c:pt idx="1307">
                  <c:v>41364</c:v>
                </c:pt>
                <c:pt idx="1308">
                  <c:v>41365</c:v>
                </c:pt>
                <c:pt idx="1309">
                  <c:v>41366</c:v>
                </c:pt>
                <c:pt idx="1310">
                  <c:v>41367</c:v>
                </c:pt>
                <c:pt idx="1311">
                  <c:v>41368</c:v>
                </c:pt>
                <c:pt idx="1312">
                  <c:v>41369</c:v>
                </c:pt>
                <c:pt idx="1313">
                  <c:v>41370</c:v>
                </c:pt>
                <c:pt idx="1314">
                  <c:v>41371</c:v>
                </c:pt>
                <c:pt idx="1315">
                  <c:v>41372</c:v>
                </c:pt>
                <c:pt idx="1316">
                  <c:v>41373</c:v>
                </c:pt>
                <c:pt idx="1317">
                  <c:v>41374</c:v>
                </c:pt>
                <c:pt idx="1318">
                  <c:v>41375</c:v>
                </c:pt>
                <c:pt idx="1319">
                  <c:v>41376</c:v>
                </c:pt>
                <c:pt idx="1320">
                  <c:v>41377</c:v>
                </c:pt>
                <c:pt idx="1321">
                  <c:v>41378</c:v>
                </c:pt>
                <c:pt idx="1322">
                  <c:v>41379</c:v>
                </c:pt>
                <c:pt idx="1323">
                  <c:v>41380</c:v>
                </c:pt>
                <c:pt idx="1324">
                  <c:v>41381</c:v>
                </c:pt>
                <c:pt idx="1325">
                  <c:v>41382</c:v>
                </c:pt>
                <c:pt idx="1326">
                  <c:v>41383</c:v>
                </c:pt>
                <c:pt idx="1327">
                  <c:v>41384</c:v>
                </c:pt>
                <c:pt idx="1328">
                  <c:v>41385</c:v>
                </c:pt>
                <c:pt idx="1329">
                  <c:v>41386</c:v>
                </c:pt>
                <c:pt idx="1330">
                  <c:v>41387</c:v>
                </c:pt>
                <c:pt idx="1331">
                  <c:v>41388</c:v>
                </c:pt>
                <c:pt idx="1332">
                  <c:v>41389</c:v>
                </c:pt>
                <c:pt idx="1333">
                  <c:v>41390</c:v>
                </c:pt>
                <c:pt idx="1334">
                  <c:v>41391</c:v>
                </c:pt>
                <c:pt idx="1335">
                  <c:v>41392</c:v>
                </c:pt>
                <c:pt idx="1336">
                  <c:v>41393</c:v>
                </c:pt>
                <c:pt idx="1337">
                  <c:v>41394</c:v>
                </c:pt>
                <c:pt idx="1338">
                  <c:v>41395</c:v>
                </c:pt>
                <c:pt idx="1339">
                  <c:v>41396</c:v>
                </c:pt>
                <c:pt idx="1340">
                  <c:v>41397</c:v>
                </c:pt>
                <c:pt idx="1341">
                  <c:v>41398</c:v>
                </c:pt>
                <c:pt idx="1342">
                  <c:v>41399</c:v>
                </c:pt>
                <c:pt idx="1343">
                  <c:v>41400</c:v>
                </c:pt>
                <c:pt idx="1344">
                  <c:v>41401</c:v>
                </c:pt>
                <c:pt idx="1345">
                  <c:v>41402</c:v>
                </c:pt>
                <c:pt idx="1346">
                  <c:v>41403</c:v>
                </c:pt>
                <c:pt idx="1347">
                  <c:v>41404</c:v>
                </c:pt>
                <c:pt idx="1348">
                  <c:v>41405</c:v>
                </c:pt>
                <c:pt idx="1349">
                  <c:v>41406</c:v>
                </c:pt>
                <c:pt idx="1350">
                  <c:v>41407</c:v>
                </c:pt>
                <c:pt idx="1351">
                  <c:v>41408</c:v>
                </c:pt>
                <c:pt idx="1352">
                  <c:v>41409</c:v>
                </c:pt>
                <c:pt idx="1353">
                  <c:v>41410</c:v>
                </c:pt>
                <c:pt idx="1354">
                  <c:v>41411</c:v>
                </c:pt>
                <c:pt idx="1355">
                  <c:v>41412</c:v>
                </c:pt>
                <c:pt idx="1356">
                  <c:v>41413</c:v>
                </c:pt>
                <c:pt idx="1357">
                  <c:v>41414</c:v>
                </c:pt>
                <c:pt idx="1358">
                  <c:v>41415</c:v>
                </c:pt>
                <c:pt idx="1359">
                  <c:v>41416</c:v>
                </c:pt>
                <c:pt idx="1360">
                  <c:v>41417</c:v>
                </c:pt>
                <c:pt idx="1361">
                  <c:v>41418</c:v>
                </c:pt>
                <c:pt idx="1362">
                  <c:v>41419</c:v>
                </c:pt>
                <c:pt idx="1363">
                  <c:v>41420</c:v>
                </c:pt>
                <c:pt idx="1364">
                  <c:v>41421</c:v>
                </c:pt>
                <c:pt idx="1365">
                  <c:v>41422</c:v>
                </c:pt>
                <c:pt idx="1366">
                  <c:v>41423</c:v>
                </c:pt>
                <c:pt idx="1367">
                  <c:v>41424</c:v>
                </c:pt>
                <c:pt idx="1368">
                  <c:v>41425</c:v>
                </c:pt>
                <c:pt idx="1369">
                  <c:v>41426</c:v>
                </c:pt>
                <c:pt idx="1370">
                  <c:v>41427</c:v>
                </c:pt>
                <c:pt idx="1371">
                  <c:v>41428</c:v>
                </c:pt>
                <c:pt idx="1372">
                  <c:v>41429</c:v>
                </c:pt>
                <c:pt idx="1373">
                  <c:v>41430</c:v>
                </c:pt>
                <c:pt idx="1374">
                  <c:v>41431</c:v>
                </c:pt>
                <c:pt idx="1375">
                  <c:v>41432</c:v>
                </c:pt>
                <c:pt idx="1376">
                  <c:v>41433</c:v>
                </c:pt>
                <c:pt idx="1377">
                  <c:v>41434</c:v>
                </c:pt>
                <c:pt idx="1378">
                  <c:v>41435</c:v>
                </c:pt>
                <c:pt idx="1379">
                  <c:v>41436</c:v>
                </c:pt>
                <c:pt idx="1380">
                  <c:v>41437</c:v>
                </c:pt>
                <c:pt idx="1381">
                  <c:v>41438</c:v>
                </c:pt>
                <c:pt idx="1382">
                  <c:v>41439</c:v>
                </c:pt>
                <c:pt idx="1383">
                  <c:v>41440</c:v>
                </c:pt>
                <c:pt idx="1384">
                  <c:v>41441</c:v>
                </c:pt>
                <c:pt idx="1385">
                  <c:v>41442</c:v>
                </c:pt>
                <c:pt idx="1386">
                  <c:v>41443</c:v>
                </c:pt>
                <c:pt idx="1387">
                  <c:v>41444</c:v>
                </c:pt>
                <c:pt idx="1388">
                  <c:v>41445</c:v>
                </c:pt>
                <c:pt idx="1389">
                  <c:v>41446</c:v>
                </c:pt>
                <c:pt idx="1390">
                  <c:v>41447</c:v>
                </c:pt>
                <c:pt idx="1391">
                  <c:v>41448</c:v>
                </c:pt>
                <c:pt idx="1392">
                  <c:v>41449</c:v>
                </c:pt>
                <c:pt idx="1393">
                  <c:v>41450</c:v>
                </c:pt>
                <c:pt idx="1394">
                  <c:v>41451</c:v>
                </c:pt>
                <c:pt idx="1395">
                  <c:v>41452</c:v>
                </c:pt>
                <c:pt idx="1396">
                  <c:v>41453</c:v>
                </c:pt>
                <c:pt idx="1397">
                  <c:v>41454</c:v>
                </c:pt>
                <c:pt idx="1398">
                  <c:v>41455</c:v>
                </c:pt>
                <c:pt idx="1399">
                  <c:v>41456</c:v>
                </c:pt>
                <c:pt idx="1400">
                  <c:v>41457</c:v>
                </c:pt>
                <c:pt idx="1401">
                  <c:v>41458</c:v>
                </c:pt>
                <c:pt idx="1402">
                  <c:v>41459</c:v>
                </c:pt>
                <c:pt idx="1403">
                  <c:v>41460</c:v>
                </c:pt>
                <c:pt idx="1404">
                  <c:v>41461</c:v>
                </c:pt>
                <c:pt idx="1405">
                  <c:v>41462</c:v>
                </c:pt>
                <c:pt idx="1406">
                  <c:v>41463</c:v>
                </c:pt>
                <c:pt idx="1407">
                  <c:v>41464</c:v>
                </c:pt>
                <c:pt idx="1408">
                  <c:v>41465</c:v>
                </c:pt>
                <c:pt idx="1409">
                  <c:v>41466</c:v>
                </c:pt>
                <c:pt idx="1410">
                  <c:v>41467</c:v>
                </c:pt>
                <c:pt idx="1411">
                  <c:v>41468</c:v>
                </c:pt>
                <c:pt idx="1412">
                  <c:v>41469</c:v>
                </c:pt>
                <c:pt idx="1413">
                  <c:v>41470</c:v>
                </c:pt>
                <c:pt idx="1414">
                  <c:v>41471</c:v>
                </c:pt>
                <c:pt idx="1415">
                  <c:v>41472</c:v>
                </c:pt>
                <c:pt idx="1416">
                  <c:v>41473</c:v>
                </c:pt>
                <c:pt idx="1417">
                  <c:v>41474</c:v>
                </c:pt>
                <c:pt idx="1418">
                  <c:v>41475</c:v>
                </c:pt>
                <c:pt idx="1419">
                  <c:v>41476</c:v>
                </c:pt>
                <c:pt idx="1420">
                  <c:v>41477</c:v>
                </c:pt>
                <c:pt idx="1421">
                  <c:v>41478</c:v>
                </c:pt>
                <c:pt idx="1422">
                  <c:v>41479</c:v>
                </c:pt>
                <c:pt idx="1423">
                  <c:v>41480</c:v>
                </c:pt>
                <c:pt idx="1424">
                  <c:v>41481</c:v>
                </c:pt>
                <c:pt idx="1425">
                  <c:v>41482</c:v>
                </c:pt>
                <c:pt idx="1426">
                  <c:v>41483</c:v>
                </c:pt>
                <c:pt idx="1427">
                  <c:v>41484</c:v>
                </c:pt>
                <c:pt idx="1428">
                  <c:v>41485</c:v>
                </c:pt>
                <c:pt idx="1429">
                  <c:v>41486</c:v>
                </c:pt>
                <c:pt idx="1430">
                  <c:v>41487</c:v>
                </c:pt>
                <c:pt idx="1431">
                  <c:v>41488</c:v>
                </c:pt>
                <c:pt idx="1432">
                  <c:v>41489</c:v>
                </c:pt>
                <c:pt idx="1433">
                  <c:v>41490</c:v>
                </c:pt>
                <c:pt idx="1434">
                  <c:v>41491</c:v>
                </c:pt>
                <c:pt idx="1435">
                  <c:v>41492</c:v>
                </c:pt>
                <c:pt idx="1436">
                  <c:v>41493</c:v>
                </c:pt>
                <c:pt idx="1437">
                  <c:v>41494</c:v>
                </c:pt>
                <c:pt idx="1438">
                  <c:v>41495</c:v>
                </c:pt>
                <c:pt idx="1439">
                  <c:v>41496</c:v>
                </c:pt>
                <c:pt idx="1440">
                  <c:v>41497</c:v>
                </c:pt>
                <c:pt idx="1441">
                  <c:v>41498</c:v>
                </c:pt>
                <c:pt idx="1442">
                  <c:v>41499</c:v>
                </c:pt>
                <c:pt idx="1443">
                  <c:v>41500</c:v>
                </c:pt>
                <c:pt idx="1444">
                  <c:v>41501</c:v>
                </c:pt>
                <c:pt idx="1445">
                  <c:v>41502</c:v>
                </c:pt>
                <c:pt idx="1446">
                  <c:v>41503</c:v>
                </c:pt>
                <c:pt idx="1447">
                  <c:v>41504</c:v>
                </c:pt>
                <c:pt idx="1448">
                  <c:v>41505</c:v>
                </c:pt>
                <c:pt idx="1449">
                  <c:v>41506</c:v>
                </c:pt>
                <c:pt idx="1450">
                  <c:v>41507</c:v>
                </c:pt>
                <c:pt idx="1451">
                  <c:v>41508</c:v>
                </c:pt>
                <c:pt idx="1452">
                  <c:v>41509</c:v>
                </c:pt>
                <c:pt idx="1453">
                  <c:v>41510</c:v>
                </c:pt>
                <c:pt idx="1454">
                  <c:v>41511</c:v>
                </c:pt>
                <c:pt idx="1455">
                  <c:v>41512</c:v>
                </c:pt>
                <c:pt idx="1456">
                  <c:v>41513</c:v>
                </c:pt>
                <c:pt idx="1457">
                  <c:v>41514</c:v>
                </c:pt>
                <c:pt idx="1458">
                  <c:v>41515</c:v>
                </c:pt>
                <c:pt idx="1459">
                  <c:v>41516</c:v>
                </c:pt>
              </c:numCache>
            </c:numRef>
          </c:cat>
          <c:val>
            <c:numRef>
              <c:f>'plot1-tc-par-djalk-sedpar-slope'!$S$2:$S$1461</c:f>
              <c:numCache>
                <c:formatCode>General</c:formatCode>
                <c:ptCount val="146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0</c:v>
                </c:pt>
                <c:pt idx="114">
                  <c:v>8.0403080999999991E-3</c:v>
                </c:pt>
                <c:pt idx="115">
                  <c:v>8.1330863000000728E-3</c:v>
                </c:pt>
                <c:pt idx="116">
                  <c:v>8.5969646000000066E-3</c:v>
                </c:pt>
                <c:pt idx="117">
                  <c:v>8.6917642000000246E-3</c:v>
                </c:pt>
                <c:pt idx="118">
                  <c:v>8.7275074000000025E-3</c:v>
                </c:pt>
                <c:pt idx="119">
                  <c:v>8.9271959000000022E-3</c:v>
                </c:pt>
                <c:pt idx="120">
                  <c:v>8.988367399999999E-3</c:v>
                </c:pt>
                <c:pt idx="121">
                  <c:v>9.0281388000000209E-3</c:v>
                </c:pt>
                <c:pt idx="122">
                  <c:v>9.0752926000001767E-3</c:v>
                </c:pt>
                <c:pt idx="123">
                  <c:v>9.0850731000000021E-3</c:v>
                </c:pt>
                <c:pt idx="124">
                  <c:v>9.0981835000000007E-3</c:v>
                </c:pt>
                <c:pt idx="125">
                  <c:v>9.1062048000000728E-3</c:v>
                </c:pt>
                <c:pt idx="126">
                  <c:v>9.1376638999999989E-3</c:v>
                </c:pt>
                <c:pt idx="127">
                  <c:v>1.02079567E-2</c:v>
                </c:pt>
                <c:pt idx="128">
                  <c:v>1.0222554300000422E-2</c:v>
                </c:pt>
                <c:pt idx="129">
                  <c:v>1.02553643E-2</c:v>
                </c:pt>
                <c:pt idx="130">
                  <c:v>1.0272617299999998E-2</c:v>
                </c:pt>
                <c:pt idx="131">
                  <c:v>1.02793895E-2</c:v>
                </c:pt>
                <c:pt idx="132">
                  <c:v>1.0282463700000001E-2</c:v>
                </c:pt>
                <c:pt idx="133">
                  <c:v>1.0288647999999958E-2</c:v>
                </c:pt>
                <c:pt idx="134">
                  <c:v>1.0289625700000101E-2</c:v>
                </c:pt>
                <c:pt idx="135">
                  <c:v>1.02899047E-2</c:v>
                </c:pt>
                <c:pt idx="136">
                  <c:v>1.0289965899999998E-2</c:v>
                </c:pt>
                <c:pt idx="137">
                  <c:v>1.02899884E-2</c:v>
                </c:pt>
                <c:pt idx="138">
                  <c:v>1.02900023E-2</c:v>
                </c:pt>
                <c:pt idx="139">
                  <c:v>1.02900027E-2</c:v>
                </c:pt>
                <c:pt idx="140">
                  <c:v>1.02900027E-2</c:v>
                </c:pt>
                <c:pt idx="141">
                  <c:v>1.0394294899999998E-2</c:v>
                </c:pt>
                <c:pt idx="142">
                  <c:v>1.0408797899999999E-2</c:v>
                </c:pt>
                <c:pt idx="143">
                  <c:v>1.0418715199999998E-2</c:v>
                </c:pt>
                <c:pt idx="144">
                  <c:v>1.0423465700000264E-2</c:v>
                </c:pt>
                <c:pt idx="145">
                  <c:v>2.2699889400000586E-2</c:v>
                </c:pt>
                <c:pt idx="146">
                  <c:v>2.2726276200000003E-2</c:v>
                </c:pt>
                <c:pt idx="147">
                  <c:v>2.2732043000000653E-2</c:v>
                </c:pt>
                <c:pt idx="148">
                  <c:v>2.2735583300000001E-2</c:v>
                </c:pt>
                <c:pt idx="149">
                  <c:v>2.2880852500000978E-2</c:v>
                </c:pt>
                <c:pt idx="150">
                  <c:v>2.2941480400000012E-2</c:v>
                </c:pt>
                <c:pt idx="151">
                  <c:v>2.2948221000000001E-2</c:v>
                </c:pt>
                <c:pt idx="152">
                  <c:v>2.2955878500000988E-2</c:v>
                </c:pt>
                <c:pt idx="153">
                  <c:v>2.2958946800000012E-2</c:v>
                </c:pt>
                <c:pt idx="154">
                  <c:v>2.5621070100000462E-2</c:v>
                </c:pt>
                <c:pt idx="155">
                  <c:v>2.5630579700000412E-2</c:v>
                </c:pt>
                <c:pt idx="156">
                  <c:v>2.5634745400001113E-2</c:v>
                </c:pt>
                <c:pt idx="157">
                  <c:v>2.5636294800000042E-2</c:v>
                </c:pt>
                <c:pt idx="158">
                  <c:v>2.5636934100000012E-2</c:v>
                </c:pt>
                <c:pt idx="159">
                  <c:v>2.563708130000001E-2</c:v>
                </c:pt>
                <c:pt idx="160">
                  <c:v>2.5637177200001148E-2</c:v>
                </c:pt>
                <c:pt idx="161">
                  <c:v>2.5637192800000978E-2</c:v>
                </c:pt>
                <c:pt idx="162">
                  <c:v>2.5637193300000503E-2</c:v>
                </c:pt>
                <c:pt idx="163">
                  <c:v>2.5637193300000503E-2</c:v>
                </c:pt>
                <c:pt idx="164">
                  <c:v>2.5637193300000503E-2</c:v>
                </c:pt>
                <c:pt idx="165">
                  <c:v>2.5637193300000503E-2</c:v>
                </c:pt>
                <c:pt idx="166">
                  <c:v>2.5637193300000503E-2</c:v>
                </c:pt>
                <c:pt idx="167">
                  <c:v>2.5637193300000503E-2</c:v>
                </c:pt>
                <c:pt idx="168">
                  <c:v>2.5637193300000503E-2</c:v>
                </c:pt>
                <c:pt idx="169">
                  <c:v>2.5637193300000503E-2</c:v>
                </c:pt>
                <c:pt idx="170">
                  <c:v>2.5637193300000503E-2</c:v>
                </c:pt>
                <c:pt idx="171">
                  <c:v>2.5637193300000503E-2</c:v>
                </c:pt>
                <c:pt idx="172">
                  <c:v>2.5637193300000503E-2</c:v>
                </c:pt>
                <c:pt idx="173">
                  <c:v>2.5637193300000503E-2</c:v>
                </c:pt>
                <c:pt idx="174">
                  <c:v>2.5637193300000503E-2</c:v>
                </c:pt>
                <c:pt idx="175">
                  <c:v>2.5637193300000503E-2</c:v>
                </c:pt>
                <c:pt idx="176">
                  <c:v>2.5637193300000503E-2</c:v>
                </c:pt>
                <c:pt idx="177">
                  <c:v>2.5637193300000503E-2</c:v>
                </c:pt>
                <c:pt idx="178">
                  <c:v>2.5719189199999989E-2</c:v>
                </c:pt>
                <c:pt idx="179">
                  <c:v>2.5798239099999995E-2</c:v>
                </c:pt>
                <c:pt idx="180">
                  <c:v>2.5985266700000471E-2</c:v>
                </c:pt>
                <c:pt idx="181">
                  <c:v>2.6000474999999995E-2</c:v>
                </c:pt>
                <c:pt idx="182">
                  <c:v>2.6007190000000738E-2</c:v>
                </c:pt>
                <c:pt idx="183">
                  <c:v>2.6008798200000002E-2</c:v>
                </c:pt>
                <c:pt idx="184">
                  <c:v>2.6009786800000049E-2</c:v>
                </c:pt>
                <c:pt idx="185">
                  <c:v>2.6010295700000578E-2</c:v>
                </c:pt>
                <c:pt idx="186">
                  <c:v>2.6010420000000003E-2</c:v>
                </c:pt>
                <c:pt idx="187">
                  <c:v>2.6010441100000007E-2</c:v>
                </c:pt>
                <c:pt idx="188">
                  <c:v>2.6010443200000011E-2</c:v>
                </c:pt>
                <c:pt idx="189">
                  <c:v>2.6010443200000011E-2</c:v>
                </c:pt>
                <c:pt idx="190">
                  <c:v>2.6010443200000011E-2</c:v>
                </c:pt>
                <c:pt idx="191">
                  <c:v>2.6010443200000011E-2</c:v>
                </c:pt>
                <c:pt idx="192">
                  <c:v>2.6010443200000011E-2</c:v>
                </c:pt>
                <c:pt idx="193">
                  <c:v>2.6010443200000011E-2</c:v>
                </c:pt>
                <c:pt idx="194">
                  <c:v>2.6010443200000011E-2</c:v>
                </c:pt>
                <c:pt idx="195">
                  <c:v>2.6010444600000002E-2</c:v>
                </c:pt>
                <c:pt idx="196">
                  <c:v>2.6010455500000002E-2</c:v>
                </c:pt>
                <c:pt idx="197">
                  <c:v>2.6010459299999997E-2</c:v>
                </c:pt>
                <c:pt idx="198">
                  <c:v>2.60104603E-2</c:v>
                </c:pt>
                <c:pt idx="199">
                  <c:v>2.6010460400000216E-2</c:v>
                </c:pt>
                <c:pt idx="200">
                  <c:v>2.6010460400000216E-2</c:v>
                </c:pt>
                <c:pt idx="201">
                  <c:v>2.6010460400000216E-2</c:v>
                </c:pt>
                <c:pt idx="202">
                  <c:v>2.6010460400000216E-2</c:v>
                </c:pt>
                <c:pt idx="203">
                  <c:v>2.6010460400000216E-2</c:v>
                </c:pt>
                <c:pt idx="204">
                  <c:v>2.6018922900000012E-2</c:v>
                </c:pt>
                <c:pt idx="205">
                  <c:v>2.6032896200000016E-2</c:v>
                </c:pt>
                <c:pt idx="206">
                  <c:v>2.6038414800000052E-2</c:v>
                </c:pt>
                <c:pt idx="207">
                  <c:v>2.6041739200000052E-2</c:v>
                </c:pt>
                <c:pt idx="208">
                  <c:v>2.6042335300000666E-2</c:v>
                </c:pt>
                <c:pt idx="209">
                  <c:v>2.6042533700000012E-2</c:v>
                </c:pt>
                <c:pt idx="210">
                  <c:v>2.6042623500000056E-2</c:v>
                </c:pt>
                <c:pt idx="211">
                  <c:v>2.6042641500000577E-2</c:v>
                </c:pt>
                <c:pt idx="212">
                  <c:v>2.6042642400001065E-2</c:v>
                </c:pt>
                <c:pt idx="213">
                  <c:v>2.6042642400001065E-2</c:v>
                </c:pt>
                <c:pt idx="214">
                  <c:v>2.6042642400001065E-2</c:v>
                </c:pt>
                <c:pt idx="215">
                  <c:v>2.6042642400001065E-2</c:v>
                </c:pt>
                <c:pt idx="216">
                  <c:v>2.6042642400001065E-2</c:v>
                </c:pt>
                <c:pt idx="217">
                  <c:v>2.6042642400001065E-2</c:v>
                </c:pt>
                <c:pt idx="218">
                  <c:v>2.6063673000000502E-2</c:v>
                </c:pt>
                <c:pt idx="219">
                  <c:v>2.6070549600000693E-2</c:v>
                </c:pt>
                <c:pt idx="220">
                  <c:v>2.6082034100000002E-2</c:v>
                </c:pt>
                <c:pt idx="221">
                  <c:v>2.6908049900000001E-2</c:v>
                </c:pt>
                <c:pt idx="222">
                  <c:v>2.6924155400000049E-2</c:v>
                </c:pt>
                <c:pt idx="223">
                  <c:v>2.6933198500001049E-2</c:v>
                </c:pt>
                <c:pt idx="224">
                  <c:v>2.8018459899999928E-2</c:v>
                </c:pt>
                <c:pt idx="225">
                  <c:v>2.8339397300000492E-2</c:v>
                </c:pt>
                <c:pt idx="226">
                  <c:v>2.8564393699999999E-2</c:v>
                </c:pt>
                <c:pt idx="227">
                  <c:v>2.8593153600000001E-2</c:v>
                </c:pt>
                <c:pt idx="228">
                  <c:v>2.85976418E-2</c:v>
                </c:pt>
                <c:pt idx="229">
                  <c:v>2.8599746299999999E-2</c:v>
                </c:pt>
                <c:pt idx="230">
                  <c:v>2.8601582100000009E-2</c:v>
                </c:pt>
                <c:pt idx="231">
                  <c:v>2.8601820500000697E-2</c:v>
                </c:pt>
                <c:pt idx="232">
                  <c:v>2.8601893000000499E-2</c:v>
                </c:pt>
                <c:pt idx="233">
                  <c:v>2.8601904500000715E-2</c:v>
                </c:pt>
                <c:pt idx="234">
                  <c:v>2.8601904900000016E-2</c:v>
                </c:pt>
                <c:pt idx="235">
                  <c:v>2.8601904900000016E-2</c:v>
                </c:pt>
                <c:pt idx="236">
                  <c:v>2.8601904900000016E-2</c:v>
                </c:pt>
                <c:pt idx="237">
                  <c:v>2.8601904900000016E-2</c:v>
                </c:pt>
                <c:pt idx="238">
                  <c:v>2.8601904900000016E-2</c:v>
                </c:pt>
                <c:pt idx="239">
                  <c:v>2.8601904900000016E-2</c:v>
                </c:pt>
                <c:pt idx="240">
                  <c:v>2.8601904900000016E-2</c:v>
                </c:pt>
                <c:pt idx="241">
                  <c:v>2.8601904900000016E-2</c:v>
                </c:pt>
                <c:pt idx="242">
                  <c:v>2.8601904900000016E-2</c:v>
                </c:pt>
                <c:pt idx="243">
                  <c:v>2.8601904900000016E-2</c:v>
                </c:pt>
                <c:pt idx="244">
                  <c:v>2.8601904900000016E-2</c:v>
                </c:pt>
                <c:pt idx="245">
                  <c:v>2.8601904900000016E-2</c:v>
                </c:pt>
                <c:pt idx="246">
                  <c:v>2.8601904900000016E-2</c:v>
                </c:pt>
                <c:pt idx="247">
                  <c:v>2.8601904900000016E-2</c:v>
                </c:pt>
                <c:pt idx="248">
                  <c:v>2.8601904900000016E-2</c:v>
                </c:pt>
                <c:pt idx="249">
                  <c:v>2.8601904900000016E-2</c:v>
                </c:pt>
                <c:pt idx="250">
                  <c:v>2.8601904900000016E-2</c:v>
                </c:pt>
                <c:pt idx="251">
                  <c:v>2.8601904900000016E-2</c:v>
                </c:pt>
                <c:pt idx="252">
                  <c:v>2.8601904900000016E-2</c:v>
                </c:pt>
                <c:pt idx="253">
                  <c:v>2.8601904900000016E-2</c:v>
                </c:pt>
                <c:pt idx="254">
                  <c:v>2.8601904900000016E-2</c:v>
                </c:pt>
                <c:pt idx="255">
                  <c:v>2.8601904900000016E-2</c:v>
                </c:pt>
                <c:pt idx="256">
                  <c:v>2.8601904900000016E-2</c:v>
                </c:pt>
                <c:pt idx="257">
                  <c:v>2.8601904900000016E-2</c:v>
                </c:pt>
                <c:pt idx="258">
                  <c:v>2.8601904900000016E-2</c:v>
                </c:pt>
                <c:pt idx="259">
                  <c:v>2.8601904900000016E-2</c:v>
                </c:pt>
                <c:pt idx="260">
                  <c:v>2.8601904900000016E-2</c:v>
                </c:pt>
                <c:pt idx="261">
                  <c:v>2.8601904900000016E-2</c:v>
                </c:pt>
                <c:pt idx="262">
                  <c:v>2.8601904900000016E-2</c:v>
                </c:pt>
                <c:pt idx="263">
                  <c:v>2.8601904900000016E-2</c:v>
                </c:pt>
                <c:pt idx="264">
                  <c:v>2.8601904900000016E-2</c:v>
                </c:pt>
                <c:pt idx="265">
                  <c:v>2.8601904900000016E-2</c:v>
                </c:pt>
                <c:pt idx="266">
                  <c:v>2.8601904900000016E-2</c:v>
                </c:pt>
                <c:pt idx="267">
                  <c:v>2.8601904900000016E-2</c:v>
                </c:pt>
                <c:pt idx="268">
                  <c:v>2.8601904900000016E-2</c:v>
                </c:pt>
                <c:pt idx="269">
                  <c:v>2.8601904900000016E-2</c:v>
                </c:pt>
                <c:pt idx="270">
                  <c:v>2.8601904900000016E-2</c:v>
                </c:pt>
                <c:pt idx="271">
                  <c:v>2.8601904900000016E-2</c:v>
                </c:pt>
                <c:pt idx="272">
                  <c:v>2.8601904900000016E-2</c:v>
                </c:pt>
                <c:pt idx="273">
                  <c:v>2.8601904900000016E-2</c:v>
                </c:pt>
                <c:pt idx="274">
                  <c:v>2.8601904900000016E-2</c:v>
                </c:pt>
                <c:pt idx="275">
                  <c:v>2.8601904900000016E-2</c:v>
                </c:pt>
                <c:pt idx="276">
                  <c:v>2.8601904900000016E-2</c:v>
                </c:pt>
                <c:pt idx="277">
                  <c:v>2.8601904900000016E-2</c:v>
                </c:pt>
                <c:pt idx="278">
                  <c:v>2.8601904900000016E-2</c:v>
                </c:pt>
                <c:pt idx="279">
                  <c:v>2.8601904900000016E-2</c:v>
                </c:pt>
                <c:pt idx="280">
                  <c:v>2.8601904900000016E-2</c:v>
                </c:pt>
                <c:pt idx="281">
                  <c:v>2.8601904900000016E-2</c:v>
                </c:pt>
                <c:pt idx="282">
                  <c:v>2.8601904900000016E-2</c:v>
                </c:pt>
                <c:pt idx="283">
                  <c:v>2.8601904900000016E-2</c:v>
                </c:pt>
                <c:pt idx="284">
                  <c:v>2.8601904900000016E-2</c:v>
                </c:pt>
                <c:pt idx="285">
                  <c:v>2.8601904900000016E-2</c:v>
                </c:pt>
                <c:pt idx="286">
                  <c:v>2.8601904900000016E-2</c:v>
                </c:pt>
                <c:pt idx="287">
                  <c:v>2.8601904900000016E-2</c:v>
                </c:pt>
                <c:pt idx="288">
                  <c:v>2.8601904900000016E-2</c:v>
                </c:pt>
                <c:pt idx="289">
                  <c:v>2.8601904900000016E-2</c:v>
                </c:pt>
                <c:pt idx="290">
                  <c:v>2.8601904900000016E-2</c:v>
                </c:pt>
                <c:pt idx="291">
                  <c:v>2.8601904900000016E-2</c:v>
                </c:pt>
                <c:pt idx="292">
                  <c:v>2.8601904900000016E-2</c:v>
                </c:pt>
                <c:pt idx="293">
                  <c:v>2.8601904900000016E-2</c:v>
                </c:pt>
                <c:pt idx="294">
                  <c:v>2.8601904900000016E-2</c:v>
                </c:pt>
                <c:pt idx="295">
                  <c:v>2.8601904900000016E-2</c:v>
                </c:pt>
                <c:pt idx="296">
                  <c:v>2.8601904900000016E-2</c:v>
                </c:pt>
                <c:pt idx="297">
                  <c:v>2.8601904900000016E-2</c:v>
                </c:pt>
                <c:pt idx="298">
                  <c:v>2.8601904900000016E-2</c:v>
                </c:pt>
                <c:pt idx="299">
                  <c:v>2.8601904900000016E-2</c:v>
                </c:pt>
                <c:pt idx="300">
                  <c:v>2.8601904900000016E-2</c:v>
                </c:pt>
                <c:pt idx="301">
                  <c:v>2.8601904900000016E-2</c:v>
                </c:pt>
                <c:pt idx="302">
                  <c:v>2.8601904900000016E-2</c:v>
                </c:pt>
                <c:pt idx="303">
                  <c:v>2.8601904900000016E-2</c:v>
                </c:pt>
                <c:pt idx="304">
                  <c:v>2.8601904900000016E-2</c:v>
                </c:pt>
                <c:pt idx="305">
                  <c:v>2.8601904900000016E-2</c:v>
                </c:pt>
                <c:pt idx="306">
                  <c:v>2.8601904900000016E-2</c:v>
                </c:pt>
                <c:pt idx="307">
                  <c:v>2.8601904900000016E-2</c:v>
                </c:pt>
                <c:pt idx="308">
                  <c:v>2.8601904900000016E-2</c:v>
                </c:pt>
                <c:pt idx="309">
                  <c:v>2.8601904900000016E-2</c:v>
                </c:pt>
                <c:pt idx="310">
                  <c:v>2.8601904900000016E-2</c:v>
                </c:pt>
                <c:pt idx="311">
                  <c:v>2.8601904900000016E-2</c:v>
                </c:pt>
                <c:pt idx="312">
                  <c:v>2.8601904900000016E-2</c:v>
                </c:pt>
                <c:pt idx="313">
                  <c:v>2.8601904900000016E-2</c:v>
                </c:pt>
                <c:pt idx="314">
                  <c:v>2.8601904900000016E-2</c:v>
                </c:pt>
                <c:pt idx="315">
                  <c:v>2.8601904900000016E-2</c:v>
                </c:pt>
                <c:pt idx="316">
                  <c:v>2.8601904900000016E-2</c:v>
                </c:pt>
                <c:pt idx="317">
                  <c:v>2.8601904900000016E-2</c:v>
                </c:pt>
                <c:pt idx="318">
                  <c:v>2.8601904900000016E-2</c:v>
                </c:pt>
                <c:pt idx="319">
                  <c:v>2.8601904900000016E-2</c:v>
                </c:pt>
                <c:pt idx="320">
                  <c:v>2.8601904900000016E-2</c:v>
                </c:pt>
                <c:pt idx="321">
                  <c:v>2.8601904900000016E-2</c:v>
                </c:pt>
                <c:pt idx="322">
                  <c:v>2.8601904900000016E-2</c:v>
                </c:pt>
                <c:pt idx="323">
                  <c:v>2.8601904900000016E-2</c:v>
                </c:pt>
                <c:pt idx="324">
                  <c:v>2.8601904900000016E-2</c:v>
                </c:pt>
                <c:pt idx="325">
                  <c:v>2.8601904900000016E-2</c:v>
                </c:pt>
                <c:pt idx="326">
                  <c:v>2.8601904900000016E-2</c:v>
                </c:pt>
                <c:pt idx="327">
                  <c:v>2.8601904900000016E-2</c:v>
                </c:pt>
                <c:pt idx="328">
                  <c:v>2.8601904900000016E-2</c:v>
                </c:pt>
                <c:pt idx="329">
                  <c:v>2.8601904900000016E-2</c:v>
                </c:pt>
                <c:pt idx="330">
                  <c:v>2.8601904900000016E-2</c:v>
                </c:pt>
                <c:pt idx="331">
                  <c:v>2.8601904900000016E-2</c:v>
                </c:pt>
                <c:pt idx="332">
                  <c:v>2.8601904900000016E-2</c:v>
                </c:pt>
                <c:pt idx="333">
                  <c:v>2.8601904900000016E-2</c:v>
                </c:pt>
                <c:pt idx="334">
                  <c:v>2.8601904900000016E-2</c:v>
                </c:pt>
                <c:pt idx="335">
                  <c:v>2.8601904900000016E-2</c:v>
                </c:pt>
                <c:pt idx="336">
                  <c:v>2.8601904900000016E-2</c:v>
                </c:pt>
                <c:pt idx="337">
                  <c:v>2.8601904900000016E-2</c:v>
                </c:pt>
                <c:pt idx="338">
                  <c:v>2.8601904900000016E-2</c:v>
                </c:pt>
                <c:pt idx="339">
                  <c:v>2.8601904900000016E-2</c:v>
                </c:pt>
                <c:pt idx="340">
                  <c:v>2.8601904900000016E-2</c:v>
                </c:pt>
                <c:pt idx="341">
                  <c:v>2.8601904900000016E-2</c:v>
                </c:pt>
                <c:pt idx="342">
                  <c:v>2.8601904900000016E-2</c:v>
                </c:pt>
                <c:pt idx="343">
                  <c:v>2.8601904900000016E-2</c:v>
                </c:pt>
                <c:pt idx="344">
                  <c:v>2.8601904900000016E-2</c:v>
                </c:pt>
                <c:pt idx="345">
                  <c:v>2.8601904900000016E-2</c:v>
                </c:pt>
                <c:pt idx="346">
                  <c:v>2.8601904900000016E-2</c:v>
                </c:pt>
                <c:pt idx="347">
                  <c:v>2.8601904900000016E-2</c:v>
                </c:pt>
                <c:pt idx="348">
                  <c:v>2.8601904900000016E-2</c:v>
                </c:pt>
                <c:pt idx="349">
                  <c:v>2.8601904900000016E-2</c:v>
                </c:pt>
                <c:pt idx="350">
                  <c:v>2.8601904900000016E-2</c:v>
                </c:pt>
                <c:pt idx="351">
                  <c:v>2.8601904900000016E-2</c:v>
                </c:pt>
                <c:pt idx="352">
                  <c:v>2.8601904900000016E-2</c:v>
                </c:pt>
                <c:pt idx="353">
                  <c:v>2.8601904900000016E-2</c:v>
                </c:pt>
                <c:pt idx="354">
                  <c:v>2.8601904900000016E-2</c:v>
                </c:pt>
                <c:pt idx="355">
                  <c:v>2.8601904900000016E-2</c:v>
                </c:pt>
                <c:pt idx="356">
                  <c:v>2.8601904900000016E-2</c:v>
                </c:pt>
                <c:pt idx="357">
                  <c:v>2.8601904900000016E-2</c:v>
                </c:pt>
                <c:pt idx="358">
                  <c:v>2.8601904900000016E-2</c:v>
                </c:pt>
                <c:pt idx="359">
                  <c:v>2.8601904900000016E-2</c:v>
                </c:pt>
                <c:pt idx="360">
                  <c:v>2.8601904900000016E-2</c:v>
                </c:pt>
                <c:pt idx="361">
                  <c:v>2.8601904900000016E-2</c:v>
                </c:pt>
                <c:pt idx="362">
                  <c:v>2.8601904900000016E-2</c:v>
                </c:pt>
                <c:pt idx="363">
                  <c:v>2.8601904900000016E-2</c:v>
                </c:pt>
                <c:pt idx="364">
                  <c:v>2.8601904900000016E-2</c:v>
                </c:pt>
                <c:pt idx="365">
                  <c:v>2.8601904900000016E-2</c:v>
                </c:pt>
                <c:pt idx="366">
                  <c:v>2.8601904900000016E-2</c:v>
                </c:pt>
                <c:pt idx="367">
                  <c:v>2.8601904900000016E-2</c:v>
                </c:pt>
                <c:pt idx="368">
                  <c:v>2.8601904900000016E-2</c:v>
                </c:pt>
                <c:pt idx="369">
                  <c:v>2.8601904900000016E-2</c:v>
                </c:pt>
                <c:pt idx="370">
                  <c:v>2.8601904900000016E-2</c:v>
                </c:pt>
                <c:pt idx="371">
                  <c:v>2.8601904900000016E-2</c:v>
                </c:pt>
                <c:pt idx="372">
                  <c:v>2.8601904900000016E-2</c:v>
                </c:pt>
                <c:pt idx="373">
                  <c:v>2.8601904900000016E-2</c:v>
                </c:pt>
                <c:pt idx="374">
                  <c:v>2.8601904900000016E-2</c:v>
                </c:pt>
                <c:pt idx="375">
                  <c:v>2.8601904900000016E-2</c:v>
                </c:pt>
                <c:pt idx="376">
                  <c:v>2.8601904900000016E-2</c:v>
                </c:pt>
                <c:pt idx="377">
                  <c:v>2.8601904900000016E-2</c:v>
                </c:pt>
                <c:pt idx="378">
                  <c:v>2.8601904900000016E-2</c:v>
                </c:pt>
                <c:pt idx="379">
                  <c:v>2.8601904900000016E-2</c:v>
                </c:pt>
                <c:pt idx="380">
                  <c:v>2.8601904900000016E-2</c:v>
                </c:pt>
                <c:pt idx="381">
                  <c:v>2.8601904900000016E-2</c:v>
                </c:pt>
                <c:pt idx="382">
                  <c:v>2.8601904900000016E-2</c:v>
                </c:pt>
                <c:pt idx="383">
                  <c:v>2.8601904900000016E-2</c:v>
                </c:pt>
                <c:pt idx="384">
                  <c:v>2.8601904900000016E-2</c:v>
                </c:pt>
                <c:pt idx="385">
                  <c:v>2.8601904900000016E-2</c:v>
                </c:pt>
                <c:pt idx="386">
                  <c:v>2.8601904900000016E-2</c:v>
                </c:pt>
                <c:pt idx="387">
                  <c:v>2.8601904900000016E-2</c:v>
                </c:pt>
                <c:pt idx="388">
                  <c:v>2.8601904900000016E-2</c:v>
                </c:pt>
                <c:pt idx="389">
                  <c:v>2.8601904900000016E-2</c:v>
                </c:pt>
                <c:pt idx="390">
                  <c:v>2.8601904900000016E-2</c:v>
                </c:pt>
                <c:pt idx="391">
                  <c:v>2.8601904900000016E-2</c:v>
                </c:pt>
                <c:pt idx="392">
                  <c:v>2.8601904900000016E-2</c:v>
                </c:pt>
                <c:pt idx="393">
                  <c:v>2.8601904900000016E-2</c:v>
                </c:pt>
                <c:pt idx="394">
                  <c:v>2.8601904900000016E-2</c:v>
                </c:pt>
                <c:pt idx="395">
                  <c:v>2.8601904900000016E-2</c:v>
                </c:pt>
                <c:pt idx="396">
                  <c:v>2.8601904900000016E-2</c:v>
                </c:pt>
                <c:pt idx="397">
                  <c:v>2.8601904900000016E-2</c:v>
                </c:pt>
                <c:pt idx="398">
                  <c:v>2.8601904900000016E-2</c:v>
                </c:pt>
                <c:pt idx="399">
                  <c:v>2.8601904900000016E-2</c:v>
                </c:pt>
                <c:pt idx="400">
                  <c:v>2.8601904900000016E-2</c:v>
                </c:pt>
                <c:pt idx="401">
                  <c:v>2.8601904900000016E-2</c:v>
                </c:pt>
                <c:pt idx="402">
                  <c:v>2.8601904900000016E-2</c:v>
                </c:pt>
                <c:pt idx="403">
                  <c:v>2.8652466799999998E-2</c:v>
                </c:pt>
                <c:pt idx="404">
                  <c:v>3.1481850500001067E-2</c:v>
                </c:pt>
                <c:pt idx="405">
                  <c:v>3.1508121899999998E-2</c:v>
                </c:pt>
                <c:pt idx="406">
                  <c:v>3.1514413399999996E-2</c:v>
                </c:pt>
                <c:pt idx="407">
                  <c:v>3.1516771999999998E-2</c:v>
                </c:pt>
                <c:pt idx="408">
                  <c:v>3.1517854999999997E-2</c:v>
                </c:pt>
                <c:pt idx="409">
                  <c:v>3.1518159800000001E-2</c:v>
                </c:pt>
                <c:pt idx="410">
                  <c:v>3.151821780000065E-2</c:v>
                </c:pt>
                <c:pt idx="411">
                  <c:v>3.1518223299999995E-2</c:v>
                </c:pt>
                <c:pt idx="412">
                  <c:v>3.1518223500000012E-2</c:v>
                </c:pt>
                <c:pt idx="413">
                  <c:v>3.1518223500000012E-2</c:v>
                </c:pt>
                <c:pt idx="414">
                  <c:v>3.1518223500000012E-2</c:v>
                </c:pt>
                <c:pt idx="415">
                  <c:v>3.1518223500000012E-2</c:v>
                </c:pt>
                <c:pt idx="416">
                  <c:v>3.1518223500000012E-2</c:v>
                </c:pt>
                <c:pt idx="417">
                  <c:v>3.1518223500000012E-2</c:v>
                </c:pt>
                <c:pt idx="418">
                  <c:v>3.1518223500000012E-2</c:v>
                </c:pt>
                <c:pt idx="419">
                  <c:v>3.1518223500000012E-2</c:v>
                </c:pt>
                <c:pt idx="420">
                  <c:v>3.1518223500000012E-2</c:v>
                </c:pt>
                <c:pt idx="421">
                  <c:v>3.1518223500000012E-2</c:v>
                </c:pt>
                <c:pt idx="422">
                  <c:v>3.1518223500000012E-2</c:v>
                </c:pt>
                <c:pt idx="423">
                  <c:v>3.1521387000000615E-2</c:v>
                </c:pt>
                <c:pt idx="424">
                  <c:v>3.1524384400000001E-2</c:v>
                </c:pt>
                <c:pt idx="425">
                  <c:v>3.1526053599999999E-2</c:v>
                </c:pt>
                <c:pt idx="426">
                  <c:v>3.1529182400000091E-2</c:v>
                </c:pt>
                <c:pt idx="427">
                  <c:v>3.1550449700000004E-2</c:v>
                </c:pt>
                <c:pt idx="428">
                  <c:v>3.1555847700001055E-2</c:v>
                </c:pt>
                <c:pt idx="429">
                  <c:v>3.1559325600000625E-2</c:v>
                </c:pt>
                <c:pt idx="430">
                  <c:v>3.1560555299999994E-2</c:v>
                </c:pt>
                <c:pt idx="431">
                  <c:v>3.1560891700000003E-2</c:v>
                </c:pt>
                <c:pt idx="432">
                  <c:v>3.1560938100000005E-2</c:v>
                </c:pt>
                <c:pt idx="433">
                  <c:v>3.1560942700000691E-2</c:v>
                </c:pt>
                <c:pt idx="434">
                  <c:v>3.1560942800000012E-2</c:v>
                </c:pt>
                <c:pt idx="435">
                  <c:v>3.1560942800000012E-2</c:v>
                </c:pt>
                <c:pt idx="436">
                  <c:v>3.1560942800000012E-2</c:v>
                </c:pt>
                <c:pt idx="437">
                  <c:v>3.1562006700000006E-2</c:v>
                </c:pt>
                <c:pt idx="438">
                  <c:v>3.1579050800000091E-2</c:v>
                </c:pt>
                <c:pt idx="439">
                  <c:v>3.1586199200000005E-2</c:v>
                </c:pt>
                <c:pt idx="440">
                  <c:v>3.1605370400001581E-2</c:v>
                </c:pt>
                <c:pt idx="441">
                  <c:v>3.1618806100000042E-2</c:v>
                </c:pt>
                <c:pt idx="442">
                  <c:v>3.1625881800000005E-2</c:v>
                </c:pt>
                <c:pt idx="443">
                  <c:v>3.1629783000000015E-2</c:v>
                </c:pt>
                <c:pt idx="444">
                  <c:v>3.1630838400001242E-2</c:v>
                </c:pt>
                <c:pt idx="445">
                  <c:v>3.1631197200001258E-2</c:v>
                </c:pt>
                <c:pt idx="446">
                  <c:v>3.1631277200001529E-2</c:v>
                </c:pt>
                <c:pt idx="447">
                  <c:v>3.1631290100001173E-2</c:v>
                </c:pt>
                <c:pt idx="448">
                  <c:v>3.1631290200001098E-2</c:v>
                </c:pt>
                <c:pt idx="449">
                  <c:v>3.1631290200001098E-2</c:v>
                </c:pt>
                <c:pt idx="450">
                  <c:v>3.1631290200001098E-2</c:v>
                </c:pt>
                <c:pt idx="451">
                  <c:v>3.1631290200001098E-2</c:v>
                </c:pt>
                <c:pt idx="452">
                  <c:v>3.1631290200001098E-2</c:v>
                </c:pt>
                <c:pt idx="453">
                  <c:v>3.1631290200001098E-2</c:v>
                </c:pt>
                <c:pt idx="454">
                  <c:v>3.1631290200001098E-2</c:v>
                </c:pt>
                <c:pt idx="455">
                  <c:v>3.1631290200001098E-2</c:v>
                </c:pt>
                <c:pt idx="456">
                  <c:v>3.1631290200001098E-2</c:v>
                </c:pt>
                <c:pt idx="457">
                  <c:v>3.1631290200001098E-2</c:v>
                </c:pt>
                <c:pt idx="458">
                  <c:v>3.1631290200001098E-2</c:v>
                </c:pt>
                <c:pt idx="459">
                  <c:v>3.1631290200001098E-2</c:v>
                </c:pt>
                <c:pt idx="460">
                  <c:v>3.1631290200001098E-2</c:v>
                </c:pt>
                <c:pt idx="461">
                  <c:v>3.1654507600000797E-2</c:v>
                </c:pt>
                <c:pt idx="462">
                  <c:v>3.1678003900000216E-2</c:v>
                </c:pt>
                <c:pt idx="463">
                  <c:v>3.1684913600001099E-2</c:v>
                </c:pt>
                <c:pt idx="464">
                  <c:v>3.1689674400000999E-2</c:v>
                </c:pt>
                <c:pt idx="465">
                  <c:v>3.1690940800000886E-2</c:v>
                </c:pt>
                <c:pt idx="466">
                  <c:v>3.1691614300000052E-2</c:v>
                </c:pt>
                <c:pt idx="467">
                  <c:v>3.1691688200000012E-2</c:v>
                </c:pt>
                <c:pt idx="468">
                  <c:v>3.1691702100001017E-2</c:v>
                </c:pt>
                <c:pt idx="469">
                  <c:v>3.1691702400001277E-2</c:v>
                </c:pt>
                <c:pt idx="470">
                  <c:v>3.1691702400001277E-2</c:v>
                </c:pt>
                <c:pt idx="471">
                  <c:v>3.1691702400001277E-2</c:v>
                </c:pt>
                <c:pt idx="472">
                  <c:v>3.1691702400001277E-2</c:v>
                </c:pt>
                <c:pt idx="473">
                  <c:v>3.1691702400001277E-2</c:v>
                </c:pt>
                <c:pt idx="474">
                  <c:v>3.1711216700000884E-2</c:v>
                </c:pt>
                <c:pt idx="475">
                  <c:v>3.1721167500000855E-2</c:v>
                </c:pt>
                <c:pt idx="476">
                  <c:v>3.1729373200000056E-2</c:v>
                </c:pt>
                <c:pt idx="477">
                  <c:v>3.173286430000001E-2</c:v>
                </c:pt>
                <c:pt idx="478">
                  <c:v>3.1733693300000011E-2</c:v>
                </c:pt>
                <c:pt idx="479">
                  <c:v>3.1734038100000042E-2</c:v>
                </c:pt>
                <c:pt idx="480">
                  <c:v>3.1734081600000012E-2</c:v>
                </c:pt>
                <c:pt idx="481">
                  <c:v>3.1734088500000056E-2</c:v>
                </c:pt>
                <c:pt idx="482">
                  <c:v>3.1743787600000767E-2</c:v>
                </c:pt>
                <c:pt idx="483">
                  <c:v>3.1750366600000052E-2</c:v>
                </c:pt>
                <c:pt idx="484">
                  <c:v>3.1755362900000625E-2</c:v>
                </c:pt>
                <c:pt idx="485">
                  <c:v>3.1777770700001005E-2</c:v>
                </c:pt>
                <c:pt idx="486">
                  <c:v>3.1800074400000891E-2</c:v>
                </c:pt>
                <c:pt idx="487">
                  <c:v>3.1806589700000013E-2</c:v>
                </c:pt>
                <c:pt idx="488">
                  <c:v>3.1810126600000016E-2</c:v>
                </c:pt>
                <c:pt idx="489">
                  <c:v>3.1811474800000052E-2</c:v>
                </c:pt>
                <c:pt idx="490">
                  <c:v>3.1811859200000042E-2</c:v>
                </c:pt>
                <c:pt idx="491">
                  <c:v>3.1811935000001151E-2</c:v>
                </c:pt>
                <c:pt idx="492">
                  <c:v>3.1811944800000928E-2</c:v>
                </c:pt>
                <c:pt idx="493">
                  <c:v>3.1820181200000006E-2</c:v>
                </c:pt>
                <c:pt idx="494">
                  <c:v>3.1844609100000011E-2</c:v>
                </c:pt>
                <c:pt idx="495">
                  <c:v>3.1850176400001005E-2</c:v>
                </c:pt>
                <c:pt idx="496">
                  <c:v>3.1872460700000292E-2</c:v>
                </c:pt>
                <c:pt idx="497">
                  <c:v>3.1882423400000012E-2</c:v>
                </c:pt>
                <c:pt idx="498">
                  <c:v>3.1931036900000292E-2</c:v>
                </c:pt>
                <c:pt idx="499">
                  <c:v>3.1938490800000011E-2</c:v>
                </c:pt>
                <c:pt idx="500">
                  <c:v>3.194068030000001E-2</c:v>
                </c:pt>
                <c:pt idx="501">
                  <c:v>3.194489930000001E-2</c:v>
                </c:pt>
                <c:pt idx="502">
                  <c:v>3.1961719600000292E-2</c:v>
                </c:pt>
                <c:pt idx="503">
                  <c:v>3.1978503600000006E-2</c:v>
                </c:pt>
                <c:pt idx="504">
                  <c:v>3.1984390300000012E-2</c:v>
                </c:pt>
                <c:pt idx="505">
                  <c:v>3.2005500700000855E-2</c:v>
                </c:pt>
                <c:pt idx="506">
                  <c:v>3.2018072300000491E-2</c:v>
                </c:pt>
                <c:pt idx="507">
                  <c:v>3.2026658200000002E-2</c:v>
                </c:pt>
                <c:pt idx="508">
                  <c:v>3.2030911000001099E-2</c:v>
                </c:pt>
                <c:pt idx="509">
                  <c:v>3.2032162900000938E-2</c:v>
                </c:pt>
                <c:pt idx="510">
                  <c:v>3.203264070000103E-2</c:v>
                </c:pt>
                <c:pt idx="511">
                  <c:v>3.2032933800000982E-2</c:v>
                </c:pt>
                <c:pt idx="512">
                  <c:v>3.2032974700000938E-2</c:v>
                </c:pt>
                <c:pt idx="513">
                  <c:v>3.2032979500001224E-2</c:v>
                </c:pt>
                <c:pt idx="514">
                  <c:v>3.2032980400001111E-2</c:v>
                </c:pt>
                <c:pt idx="515">
                  <c:v>3.2032980400001111E-2</c:v>
                </c:pt>
                <c:pt idx="516">
                  <c:v>3.2032980400001111E-2</c:v>
                </c:pt>
                <c:pt idx="517">
                  <c:v>3.2032980400001111E-2</c:v>
                </c:pt>
                <c:pt idx="518">
                  <c:v>3.2032980400001111E-2</c:v>
                </c:pt>
                <c:pt idx="519">
                  <c:v>3.2032980400001111E-2</c:v>
                </c:pt>
                <c:pt idx="520">
                  <c:v>3.2032980400001111E-2</c:v>
                </c:pt>
                <c:pt idx="521">
                  <c:v>3.2032980400001111E-2</c:v>
                </c:pt>
                <c:pt idx="522">
                  <c:v>3.2032980400001111E-2</c:v>
                </c:pt>
                <c:pt idx="523">
                  <c:v>3.2032980400001111E-2</c:v>
                </c:pt>
                <c:pt idx="524">
                  <c:v>3.21229814E-2</c:v>
                </c:pt>
                <c:pt idx="525">
                  <c:v>3.2135931400001094E-2</c:v>
                </c:pt>
                <c:pt idx="526">
                  <c:v>3.2141023000000012E-2</c:v>
                </c:pt>
                <c:pt idx="527">
                  <c:v>3.2143632800000675E-2</c:v>
                </c:pt>
                <c:pt idx="528">
                  <c:v>3.2145035800000672E-2</c:v>
                </c:pt>
                <c:pt idx="529">
                  <c:v>3.2145500800000212E-2</c:v>
                </c:pt>
                <c:pt idx="530">
                  <c:v>3.2145581499999992E-2</c:v>
                </c:pt>
                <c:pt idx="531">
                  <c:v>3.50282949E-2</c:v>
                </c:pt>
                <c:pt idx="532">
                  <c:v>3.5206145800000851E-2</c:v>
                </c:pt>
                <c:pt idx="533">
                  <c:v>3.5213640000000851E-2</c:v>
                </c:pt>
                <c:pt idx="534">
                  <c:v>3.5262405399999995E-2</c:v>
                </c:pt>
                <c:pt idx="535">
                  <c:v>3.5271946600001353E-2</c:v>
                </c:pt>
                <c:pt idx="536">
                  <c:v>3.527436460000076E-2</c:v>
                </c:pt>
                <c:pt idx="537">
                  <c:v>3.5281394700000829E-2</c:v>
                </c:pt>
                <c:pt idx="538">
                  <c:v>3.528451800000057E-2</c:v>
                </c:pt>
                <c:pt idx="539">
                  <c:v>3.5285834900000292E-2</c:v>
                </c:pt>
                <c:pt idx="540">
                  <c:v>5.3947139999999977E-2</c:v>
                </c:pt>
                <c:pt idx="541">
                  <c:v>5.4039146399999946E-2</c:v>
                </c:pt>
                <c:pt idx="542">
                  <c:v>5.4039258899999977E-2</c:v>
                </c:pt>
                <c:pt idx="543">
                  <c:v>5.408293540000185E-2</c:v>
                </c:pt>
                <c:pt idx="544">
                  <c:v>5.4085224700000989E-2</c:v>
                </c:pt>
                <c:pt idx="545">
                  <c:v>5.408723010000218E-2</c:v>
                </c:pt>
                <c:pt idx="546">
                  <c:v>5.4087801699999986E-2</c:v>
                </c:pt>
                <c:pt idx="547">
                  <c:v>5.4088078699999965E-2</c:v>
                </c:pt>
                <c:pt idx="548">
                  <c:v>5.4088154799999975E-2</c:v>
                </c:pt>
                <c:pt idx="549">
                  <c:v>5.4088184000001052E-2</c:v>
                </c:pt>
                <c:pt idx="550">
                  <c:v>5.4088186599999977E-2</c:v>
                </c:pt>
                <c:pt idx="551">
                  <c:v>5.4088186699999985E-2</c:v>
                </c:pt>
                <c:pt idx="552">
                  <c:v>5.4088186699999985E-2</c:v>
                </c:pt>
                <c:pt idx="553">
                  <c:v>5.4088186699999985E-2</c:v>
                </c:pt>
                <c:pt idx="554">
                  <c:v>5.4088186699999985E-2</c:v>
                </c:pt>
                <c:pt idx="555">
                  <c:v>5.4088186699999985E-2</c:v>
                </c:pt>
                <c:pt idx="556">
                  <c:v>5.4088210000001601E-2</c:v>
                </c:pt>
                <c:pt idx="557">
                  <c:v>5.4088382599999985E-2</c:v>
                </c:pt>
                <c:pt idx="558">
                  <c:v>5.4088443900001469E-2</c:v>
                </c:pt>
                <c:pt idx="559">
                  <c:v>5.4088466299999992E-2</c:v>
                </c:pt>
                <c:pt idx="560">
                  <c:v>5.4088776699999987E-2</c:v>
                </c:pt>
                <c:pt idx="561">
                  <c:v>5.4103792499999984E-2</c:v>
                </c:pt>
                <c:pt idx="562">
                  <c:v>5.4104210099999994E-2</c:v>
                </c:pt>
                <c:pt idx="563">
                  <c:v>5.410483700000103E-2</c:v>
                </c:pt>
                <c:pt idx="564">
                  <c:v>5.4104955299999966E-2</c:v>
                </c:pt>
                <c:pt idx="565">
                  <c:v>5.4104985999999994E-2</c:v>
                </c:pt>
                <c:pt idx="566">
                  <c:v>5.4105003799999975E-2</c:v>
                </c:pt>
                <c:pt idx="567">
                  <c:v>5.4105004799999967E-2</c:v>
                </c:pt>
                <c:pt idx="568">
                  <c:v>5.4105004799999967E-2</c:v>
                </c:pt>
                <c:pt idx="569">
                  <c:v>5.4105004799999967E-2</c:v>
                </c:pt>
                <c:pt idx="570">
                  <c:v>5.4105004799999967E-2</c:v>
                </c:pt>
                <c:pt idx="571">
                  <c:v>5.4105004799999967E-2</c:v>
                </c:pt>
                <c:pt idx="572">
                  <c:v>5.4105004799999967E-2</c:v>
                </c:pt>
                <c:pt idx="573">
                  <c:v>5.4187018399999967E-2</c:v>
                </c:pt>
                <c:pt idx="574">
                  <c:v>5.4189829099999975E-2</c:v>
                </c:pt>
                <c:pt idx="575">
                  <c:v>5.4194675499999984E-2</c:v>
                </c:pt>
                <c:pt idx="576">
                  <c:v>5.4198758799999976E-2</c:v>
                </c:pt>
                <c:pt idx="577">
                  <c:v>5.4200009999999986E-2</c:v>
                </c:pt>
                <c:pt idx="578">
                  <c:v>5.4201528999999977E-2</c:v>
                </c:pt>
                <c:pt idx="579">
                  <c:v>5.4211931900002432E-2</c:v>
                </c:pt>
                <c:pt idx="580">
                  <c:v>5.4212304200001629E-2</c:v>
                </c:pt>
                <c:pt idx="581">
                  <c:v>5.4212677400002351E-2</c:v>
                </c:pt>
                <c:pt idx="582">
                  <c:v>5.4214455499999988E-2</c:v>
                </c:pt>
                <c:pt idx="583">
                  <c:v>5.421917190000098E-2</c:v>
                </c:pt>
                <c:pt idx="584">
                  <c:v>5.4220129399999956E-2</c:v>
                </c:pt>
                <c:pt idx="585">
                  <c:v>5.4220374899999993E-2</c:v>
                </c:pt>
                <c:pt idx="586">
                  <c:v>5.4220468399999965E-2</c:v>
                </c:pt>
                <c:pt idx="587">
                  <c:v>5.4220487100001005E-2</c:v>
                </c:pt>
                <c:pt idx="588">
                  <c:v>5.4220488399999975E-2</c:v>
                </c:pt>
                <c:pt idx="589">
                  <c:v>5.4220488399999975E-2</c:v>
                </c:pt>
                <c:pt idx="590">
                  <c:v>5.4220488399999975E-2</c:v>
                </c:pt>
                <c:pt idx="591">
                  <c:v>5.4220488399999975E-2</c:v>
                </c:pt>
                <c:pt idx="592">
                  <c:v>5.4220488399999975E-2</c:v>
                </c:pt>
                <c:pt idx="593">
                  <c:v>5.4220488399999975E-2</c:v>
                </c:pt>
                <c:pt idx="594">
                  <c:v>5.4220488399999975E-2</c:v>
                </c:pt>
                <c:pt idx="595">
                  <c:v>5.4220488399999975E-2</c:v>
                </c:pt>
                <c:pt idx="596">
                  <c:v>5.4220488399999975E-2</c:v>
                </c:pt>
                <c:pt idx="597">
                  <c:v>5.4220488399999975E-2</c:v>
                </c:pt>
                <c:pt idx="598">
                  <c:v>5.4220488399999975E-2</c:v>
                </c:pt>
                <c:pt idx="599">
                  <c:v>5.4220488399999975E-2</c:v>
                </c:pt>
                <c:pt idx="600">
                  <c:v>5.4220488399999975E-2</c:v>
                </c:pt>
                <c:pt idx="601">
                  <c:v>5.4220488399999975E-2</c:v>
                </c:pt>
                <c:pt idx="602">
                  <c:v>5.4220488399999975E-2</c:v>
                </c:pt>
                <c:pt idx="603">
                  <c:v>5.4220488399999975E-2</c:v>
                </c:pt>
                <c:pt idx="604">
                  <c:v>5.4220488399999975E-2</c:v>
                </c:pt>
                <c:pt idx="605">
                  <c:v>5.4220488399999975E-2</c:v>
                </c:pt>
                <c:pt idx="606">
                  <c:v>5.4220488399999975E-2</c:v>
                </c:pt>
                <c:pt idx="607">
                  <c:v>5.4220488399999975E-2</c:v>
                </c:pt>
                <c:pt idx="608">
                  <c:v>5.4220488399999975E-2</c:v>
                </c:pt>
                <c:pt idx="609">
                  <c:v>5.4220488399999975E-2</c:v>
                </c:pt>
                <c:pt idx="610">
                  <c:v>5.4220488399999975E-2</c:v>
                </c:pt>
                <c:pt idx="611">
                  <c:v>5.4220488399999975E-2</c:v>
                </c:pt>
                <c:pt idx="612">
                  <c:v>5.4220488399999975E-2</c:v>
                </c:pt>
                <c:pt idx="613">
                  <c:v>5.4220488399999975E-2</c:v>
                </c:pt>
                <c:pt idx="614">
                  <c:v>5.4220488399999975E-2</c:v>
                </c:pt>
                <c:pt idx="615">
                  <c:v>5.4220488399999975E-2</c:v>
                </c:pt>
                <c:pt idx="616">
                  <c:v>5.4220488399999975E-2</c:v>
                </c:pt>
                <c:pt idx="617">
                  <c:v>5.4220488399999975E-2</c:v>
                </c:pt>
                <c:pt idx="618">
                  <c:v>5.4220488399999975E-2</c:v>
                </c:pt>
                <c:pt idx="619">
                  <c:v>5.4220488399999975E-2</c:v>
                </c:pt>
                <c:pt idx="620">
                  <c:v>5.4220488399999975E-2</c:v>
                </c:pt>
                <c:pt idx="621">
                  <c:v>5.4220488399999975E-2</c:v>
                </c:pt>
                <c:pt idx="622">
                  <c:v>5.4220488399999975E-2</c:v>
                </c:pt>
                <c:pt idx="623">
                  <c:v>5.4220488399999975E-2</c:v>
                </c:pt>
                <c:pt idx="624">
                  <c:v>5.4220488399999975E-2</c:v>
                </c:pt>
                <c:pt idx="625">
                  <c:v>5.4220488399999975E-2</c:v>
                </c:pt>
                <c:pt idx="626">
                  <c:v>5.4220488399999975E-2</c:v>
                </c:pt>
                <c:pt idx="627">
                  <c:v>5.4220488399999975E-2</c:v>
                </c:pt>
                <c:pt idx="628">
                  <c:v>5.4220488399999975E-2</c:v>
                </c:pt>
                <c:pt idx="629">
                  <c:v>5.4220488399999975E-2</c:v>
                </c:pt>
                <c:pt idx="630">
                  <c:v>5.4220488399999975E-2</c:v>
                </c:pt>
                <c:pt idx="631">
                  <c:v>5.4220488399999975E-2</c:v>
                </c:pt>
                <c:pt idx="632">
                  <c:v>5.4220488399999975E-2</c:v>
                </c:pt>
                <c:pt idx="633">
                  <c:v>5.4220488399999975E-2</c:v>
                </c:pt>
                <c:pt idx="634">
                  <c:v>5.4220488399999975E-2</c:v>
                </c:pt>
                <c:pt idx="635">
                  <c:v>5.4220488399999975E-2</c:v>
                </c:pt>
                <c:pt idx="636">
                  <c:v>5.4220488399999975E-2</c:v>
                </c:pt>
                <c:pt idx="637">
                  <c:v>5.4220488399999975E-2</c:v>
                </c:pt>
                <c:pt idx="638">
                  <c:v>5.4220488399999975E-2</c:v>
                </c:pt>
                <c:pt idx="639">
                  <c:v>5.4220488399999975E-2</c:v>
                </c:pt>
                <c:pt idx="640">
                  <c:v>5.4220488399999975E-2</c:v>
                </c:pt>
                <c:pt idx="641">
                  <c:v>5.4220488399999975E-2</c:v>
                </c:pt>
                <c:pt idx="642">
                  <c:v>5.4220488399999975E-2</c:v>
                </c:pt>
                <c:pt idx="643">
                  <c:v>5.4220488399999975E-2</c:v>
                </c:pt>
                <c:pt idx="644">
                  <c:v>5.4220488399999975E-2</c:v>
                </c:pt>
                <c:pt idx="645">
                  <c:v>5.4220488399999975E-2</c:v>
                </c:pt>
                <c:pt idx="646">
                  <c:v>5.4220488399999975E-2</c:v>
                </c:pt>
                <c:pt idx="647">
                  <c:v>5.4220488399999975E-2</c:v>
                </c:pt>
                <c:pt idx="648">
                  <c:v>5.4220488399999975E-2</c:v>
                </c:pt>
                <c:pt idx="649">
                  <c:v>5.4220488399999975E-2</c:v>
                </c:pt>
                <c:pt idx="650">
                  <c:v>5.4220488399999975E-2</c:v>
                </c:pt>
                <c:pt idx="651">
                  <c:v>5.4220488399999975E-2</c:v>
                </c:pt>
                <c:pt idx="652">
                  <c:v>5.4220488399999975E-2</c:v>
                </c:pt>
                <c:pt idx="653">
                  <c:v>5.4220488399999975E-2</c:v>
                </c:pt>
                <c:pt idx="654">
                  <c:v>5.4220488399999975E-2</c:v>
                </c:pt>
                <c:pt idx="655">
                  <c:v>5.4220488399999975E-2</c:v>
                </c:pt>
                <c:pt idx="656">
                  <c:v>5.4220488399999975E-2</c:v>
                </c:pt>
                <c:pt idx="657">
                  <c:v>5.4220488399999975E-2</c:v>
                </c:pt>
                <c:pt idx="658">
                  <c:v>5.4220488399999975E-2</c:v>
                </c:pt>
                <c:pt idx="659">
                  <c:v>5.4220488399999975E-2</c:v>
                </c:pt>
                <c:pt idx="660">
                  <c:v>5.4220488399999975E-2</c:v>
                </c:pt>
                <c:pt idx="661">
                  <c:v>5.4220488399999975E-2</c:v>
                </c:pt>
                <c:pt idx="662">
                  <c:v>5.4220488399999975E-2</c:v>
                </c:pt>
                <c:pt idx="663">
                  <c:v>5.4220488399999975E-2</c:v>
                </c:pt>
                <c:pt idx="664">
                  <c:v>5.4220488399999975E-2</c:v>
                </c:pt>
                <c:pt idx="665">
                  <c:v>5.4220488399999975E-2</c:v>
                </c:pt>
                <c:pt idx="666">
                  <c:v>5.4220488399999975E-2</c:v>
                </c:pt>
                <c:pt idx="667">
                  <c:v>5.4220488399999975E-2</c:v>
                </c:pt>
                <c:pt idx="668">
                  <c:v>5.4220488399999975E-2</c:v>
                </c:pt>
                <c:pt idx="669">
                  <c:v>5.4220488399999975E-2</c:v>
                </c:pt>
                <c:pt idx="670">
                  <c:v>5.4220488399999975E-2</c:v>
                </c:pt>
                <c:pt idx="671">
                  <c:v>5.4220488399999975E-2</c:v>
                </c:pt>
                <c:pt idx="672">
                  <c:v>5.4220488399999975E-2</c:v>
                </c:pt>
                <c:pt idx="673">
                  <c:v>5.4220488399999975E-2</c:v>
                </c:pt>
                <c:pt idx="674">
                  <c:v>5.4220488399999975E-2</c:v>
                </c:pt>
                <c:pt idx="675">
                  <c:v>5.4220488399999975E-2</c:v>
                </c:pt>
                <c:pt idx="676">
                  <c:v>5.4220488399999975E-2</c:v>
                </c:pt>
                <c:pt idx="677">
                  <c:v>5.4220488399999975E-2</c:v>
                </c:pt>
                <c:pt idx="678">
                  <c:v>5.4220488399999975E-2</c:v>
                </c:pt>
                <c:pt idx="679">
                  <c:v>5.4220488399999975E-2</c:v>
                </c:pt>
                <c:pt idx="680">
                  <c:v>5.4220488399999975E-2</c:v>
                </c:pt>
                <c:pt idx="681">
                  <c:v>5.4220488399999975E-2</c:v>
                </c:pt>
                <c:pt idx="682">
                  <c:v>5.4220488399999975E-2</c:v>
                </c:pt>
                <c:pt idx="683">
                  <c:v>5.4220488399999975E-2</c:v>
                </c:pt>
                <c:pt idx="684">
                  <c:v>5.4220488399999975E-2</c:v>
                </c:pt>
                <c:pt idx="685">
                  <c:v>5.4220488399999975E-2</c:v>
                </c:pt>
                <c:pt idx="686">
                  <c:v>5.4220488399999975E-2</c:v>
                </c:pt>
                <c:pt idx="687">
                  <c:v>5.4220488399999975E-2</c:v>
                </c:pt>
                <c:pt idx="688">
                  <c:v>5.4220488399999975E-2</c:v>
                </c:pt>
                <c:pt idx="689">
                  <c:v>5.4220488399999975E-2</c:v>
                </c:pt>
                <c:pt idx="690">
                  <c:v>5.4220488399999975E-2</c:v>
                </c:pt>
                <c:pt idx="691">
                  <c:v>5.4220488399999975E-2</c:v>
                </c:pt>
                <c:pt idx="692">
                  <c:v>5.4220488399999975E-2</c:v>
                </c:pt>
                <c:pt idx="693">
                  <c:v>5.4220488399999975E-2</c:v>
                </c:pt>
                <c:pt idx="694">
                  <c:v>5.4220488399999975E-2</c:v>
                </c:pt>
                <c:pt idx="695">
                  <c:v>5.4220488399999975E-2</c:v>
                </c:pt>
                <c:pt idx="696">
                  <c:v>5.4220488399999975E-2</c:v>
                </c:pt>
                <c:pt idx="697">
                  <c:v>5.4220488399999975E-2</c:v>
                </c:pt>
                <c:pt idx="698">
                  <c:v>5.4220488399999975E-2</c:v>
                </c:pt>
                <c:pt idx="699">
                  <c:v>5.4220488399999975E-2</c:v>
                </c:pt>
                <c:pt idx="700">
                  <c:v>5.4220488399999975E-2</c:v>
                </c:pt>
                <c:pt idx="701">
                  <c:v>5.4220488399999975E-2</c:v>
                </c:pt>
                <c:pt idx="702">
                  <c:v>5.4220488399999975E-2</c:v>
                </c:pt>
                <c:pt idx="703">
                  <c:v>5.4220488399999975E-2</c:v>
                </c:pt>
                <c:pt idx="704">
                  <c:v>5.4220488399999975E-2</c:v>
                </c:pt>
                <c:pt idx="705">
                  <c:v>5.4220488399999975E-2</c:v>
                </c:pt>
                <c:pt idx="706">
                  <c:v>5.4220488399999975E-2</c:v>
                </c:pt>
                <c:pt idx="707">
                  <c:v>5.4220488399999975E-2</c:v>
                </c:pt>
                <c:pt idx="708">
                  <c:v>5.4220488399999975E-2</c:v>
                </c:pt>
                <c:pt idx="709">
                  <c:v>5.4220488399999975E-2</c:v>
                </c:pt>
                <c:pt idx="710">
                  <c:v>5.4220488399999975E-2</c:v>
                </c:pt>
                <c:pt idx="711">
                  <c:v>5.4220488399999975E-2</c:v>
                </c:pt>
                <c:pt idx="712">
                  <c:v>5.4220488399999975E-2</c:v>
                </c:pt>
                <c:pt idx="713">
                  <c:v>5.4220488399999975E-2</c:v>
                </c:pt>
                <c:pt idx="714">
                  <c:v>5.4220488399999975E-2</c:v>
                </c:pt>
                <c:pt idx="715">
                  <c:v>5.4220488399999975E-2</c:v>
                </c:pt>
                <c:pt idx="716">
                  <c:v>5.4220488399999975E-2</c:v>
                </c:pt>
                <c:pt idx="717">
                  <c:v>5.4220488399999975E-2</c:v>
                </c:pt>
                <c:pt idx="718">
                  <c:v>5.4220488399999975E-2</c:v>
                </c:pt>
                <c:pt idx="719">
                  <c:v>5.4220488399999975E-2</c:v>
                </c:pt>
                <c:pt idx="720">
                  <c:v>5.4220488399999975E-2</c:v>
                </c:pt>
                <c:pt idx="721">
                  <c:v>5.4220488399999975E-2</c:v>
                </c:pt>
                <c:pt idx="722">
                  <c:v>5.4220488399999975E-2</c:v>
                </c:pt>
                <c:pt idx="723">
                  <c:v>5.4220488399999975E-2</c:v>
                </c:pt>
                <c:pt idx="724">
                  <c:v>5.4220488399999975E-2</c:v>
                </c:pt>
                <c:pt idx="725">
                  <c:v>5.4220488399999975E-2</c:v>
                </c:pt>
                <c:pt idx="726">
                  <c:v>5.4220488399999975E-2</c:v>
                </c:pt>
                <c:pt idx="727">
                  <c:v>5.4220488399999975E-2</c:v>
                </c:pt>
                <c:pt idx="728">
                  <c:v>5.4220488399999975E-2</c:v>
                </c:pt>
                <c:pt idx="729">
                  <c:v>5.4220488399999975E-2</c:v>
                </c:pt>
                <c:pt idx="730">
                  <c:v>5.4220488399999975E-2</c:v>
                </c:pt>
                <c:pt idx="731">
                  <c:v>5.4220488399999975E-2</c:v>
                </c:pt>
                <c:pt idx="732">
                  <c:v>5.4220488399999975E-2</c:v>
                </c:pt>
                <c:pt idx="733">
                  <c:v>5.4220488399999975E-2</c:v>
                </c:pt>
                <c:pt idx="734">
                  <c:v>5.4220488399999975E-2</c:v>
                </c:pt>
                <c:pt idx="735">
                  <c:v>5.4220488399999975E-2</c:v>
                </c:pt>
                <c:pt idx="736">
                  <c:v>5.4220488399999975E-2</c:v>
                </c:pt>
                <c:pt idx="737">
                  <c:v>5.4220488399999975E-2</c:v>
                </c:pt>
                <c:pt idx="738">
                  <c:v>5.4220488399999975E-2</c:v>
                </c:pt>
                <c:pt idx="739">
                  <c:v>5.4220488399999975E-2</c:v>
                </c:pt>
                <c:pt idx="740">
                  <c:v>5.4220488399999975E-2</c:v>
                </c:pt>
                <c:pt idx="741">
                  <c:v>5.4220488399999975E-2</c:v>
                </c:pt>
                <c:pt idx="742">
                  <c:v>5.4220488399999975E-2</c:v>
                </c:pt>
                <c:pt idx="743">
                  <c:v>5.4220488399999975E-2</c:v>
                </c:pt>
                <c:pt idx="744">
                  <c:v>5.4220488399999975E-2</c:v>
                </c:pt>
                <c:pt idx="745">
                  <c:v>5.4220488399999975E-2</c:v>
                </c:pt>
                <c:pt idx="746">
                  <c:v>5.4220488399999975E-2</c:v>
                </c:pt>
                <c:pt idx="747">
                  <c:v>5.4220488399999975E-2</c:v>
                </c:pt>
                <c:pt idx="748">
                  <c:v>5.4220488399999975E-2</c:v>
                </c:pt>
                <c:pt idx="749">
                  <c:v>5.4220488399999975E-2</c:v>
                </c:pt>
                <c:pt idx="750">
                  <c:v>5.4220488399999975E-2</c:v>
                </c:pt>
                <c:pt idx="751">
                  <c:v>5.4220488399999975E-2</c:v>
                </c:pt>
                <c:pt idx="752">
                  <c:v>5.4220488399999975E-2</c:v>
                </c:pt>
                <c:pt idx="753">
                  <c:v>5.4220488399999975E-2</c:v>
                </c:pt>
                <c:pt idx="754">
                  <c:v>5.4220488399999975E-2</c:v>
                </c:pt>
                <c:pt idx="755">
                  <c:v>5.4220488399999975E-2</c:v>
                </c:pt>
                <c:pt idx="756">
                  <c:v>5.4220488399999975E-2</c:v>
                </c:pt>
                <c:pt idx="757">
                  <c:v>5.4220488399999975E-2</c:v>
                </c:pt>
                <c:pt idx="758">
                  <c:v>5.4220488399999975E-2</c:v>
                </c:pt>
                <c:pt idx="759">
                  <c:v>5.4220488399999975E-2</c:v>
                </c:pt>
                <c:pt idx="760">
                  <c:v>5.4220488399999975E-2</c:v>
                </c:pt>
                <c:pt idx="761">
                  <c:v>5.4220488399999975E-2</c:v>
                </c:pt>
                <c:pt idx="762">
                  <c:v>5.4220488399999975E-2</c:v>
                </c:pt>
                <c:pt idx="763">
                  <c:v>5.4220488399999975E-2</c:v>
                </c:pt>
                <c:pt idx="764">
                  <c:v>5.4220488399999975E-2</c:v>
                </c:pt>
                <c:pt idx="765">
                  <c:v>5.4220488399999975E-2</c:v>
                </c:pt>
                <c:pt idx="766">
                  <c:v>5.4220488399999975E-2</c:v>
                </c:pt>
                <c:pt idx="767">
                  <c:v>5.4220488399999975E-2</c:v>
                </c:pt>
                <c:pt idx="768">
                  <c:v>5.4220488399999975E-2</c:v>
                </c:pt>
                <c:pt idx="769">
                  <c:v>5.4220488399999975E-2</c:v>
                </c:pt>
                <c:pt idx="770">
                  <c:v>5.4220488399999975E-2</c:v>
                </c:pt>
                <c:pt idx="771">
                  <c:v>5.4220488399999975E-2</c:v>
                </c:pt>
                <c:pt idx="772">
                  <c:v>5.4220488399999975E-2</c:v>
                </c:pt>
                <c:pt idx="773">
                  <c:v>5.4220488399999975E-2</c:v>
                </c:pt>
                <c:pt idx="774">
                  <c:v>5.4220488399999975E-2</c:v>
                </c:pt>
                <c:pt idx="775">
                  <c:v>5.4220488399999975E-2</c:v>
                </c:pt>
                <c:pt idx="776">
                  <c:v>5.4220488399999975E-2</c:v>
                </c:pt>
                <c:pt idx="777">
                  <c:v>5.4220488399999975E-2</c:v>
                </c:pt>
                <c:pt idx="778">
                  <c:v>5.4220488399999975E-2</c:v>
                </c:pt>
                <c:pt idx="779">
                  <c:v>5.4220488399999975E-2</c:v>
                </c:pt>
                <c:pt idx="780">
                  <c:v>5.4220488399999975E-2</c:v>
                </c:pt>
                <c:pt idx="781">
                  <c:v>5.4220488399999975E-2</c:v>
                </c:pt>
                <c:pt idx="782">
                  <c:v>5.4220488399999975E-2</c:v>
                </c:pt>
                <c:pt idx="783">
                  <c:v>5.4220488399999975E-2</c:v>
                </c:pt>
                <c:pt idx="784">
                  <c:v>5.4220488399999975E-2</c:v>
                </c:pt>
                <c:pt idx="785">
                  <c:v>5.4220488399999975E-2</c:v>
                </c:pt>
                <c:pt idx="786">
                  <c:v>5.4220488399999975E-2</c:v>
                </c:pt>
                <c:pt idx="787">
                  <c:v>5.4220488399999975E-2</c:v>
                </c:pt>
                <c:pt idx="788">
                  <c:v>5.4220488399999975E-2</c:v>
                </c:pt>
                <c:pt idx="789">
                  <c:v>5.4220488399999975E-2</c:v>
                </c:pt>
                <c:pt idx="790">
                  <c:v>5.4220488399999975E-2</c:v>
                </c:pt>
                <c:pt idx="791">
                  <c:v>5.4220488399999975E-2</c:v>
                </c:pt>
                <c:pt idx="792">
                  <c:v>5.4220488399999975E-2</c:v>
                </c:pt>
                <c:pt idx="793">
                  <c:v>5.4220488399999975E-2</c:v>
                </c:pt>
                <c:pt idx="794">
                  <c:v>5.4220488399999975E-2</c:v>
                </c:pt>
                <c:pt idx="795">
                  <c:v>5.4220488399999975E-2</c:v>
                </c:pt>
                <c:pt idx="796">
                  <c:v>5.4220488399999975E-2</c:v>
                </c:pt>
                <c:pt idx="797">
                  <c:v>5.4220488399999975E-2</c:v>
                </c:pt>
                <c:pt idx="798">
                  <c:v>5.4220488399999975E-2</c:v>
                </c:pt>
                <c:pt idx="799">
                  <c:v>5.4220488399999975E-2</c:v>
                </c:pt>
                <c:pt idx="800">
                  <c:v>5.4220488399999975E-2</c:v>
                </c:pt>
                <c:pt idx="801">
                  <c:v>5.4220488399999975E-2</c:v>
                </c:pt>
                <c:pt idx="802">
                  <c:v>5.4220488399999975E-2</c:v>
                </c:pt>
                <c:pt idx="803">
                  <c:v>5.4220488399999975E-2</c:v>
                </c:pt>
                <c:pt idx="804">
                  <c:v>5.4220488399999975E-2</c:v>
                </c:pt>
                <c:pt idx="805">
                  <c:v>5.4220488399999975E-2</c:v>
                </c:pt>
                <c:pt idx="806">
                  <c:v>5.4220488399999975E-2</c:v>
                </c:pt>
                <c:pt idx="807">
                  <c:v>5.4220488399999975E-2</c:v>
                </c:pt>
                <c:pt idx="808">
                  <c:v>5.4220488399999975E-2</c:v>
                </c:pt>
                <c:pt idx="809">
                  <c:v>5.4220488399999975E-2</c:v>
                </c:pt>
                <c:pt idx="810">
                  <c:v>5.4220488399999975E-2</c:v>
                </c:pt>
                <c:pt idx="811">
                  <c:v>5.4220488399999975E-2</c:v>
                </c:pt>
                <c:pt idx="812">
                  <c:v>6.0071846299999745E-2</c:v>
                </c:pt>
                <c:pt idx="813">
                  <c:v>6.2491066699999986E-2</c:v>
                </c:pt>
                <c:pt idx="814">
                  <c:v>6.3027619199999982E-2</c:v>
                </c:pt>
                <c:pt idx="815">
                  <c:v>6.3293540099999976E-2</c:v>
                </c:pt>
                <c:pt idx="816">
                  <c:v>6.3427017799999971E-2</c:v>
                </c:pt>
                <c:pt idx="817">
                  <c:v>6.348204889999999E-2</c:v>
                </c:pt>
                <c:pt idx="818">
                  <c:v>6.3514458999999981E-2</c:v>
                </c:pt>
                <c:pt idx="819">
                  <c:v>6.3537572999999986E-2</c:v>
                </c:pt>
                <c:pt idx="820">
                  <c:v>6.3546284199999983E-2</c:v>
                </c:pt>
                <c:pt idx="821">
                  <c:v>6.3547301699999975E-2</c:v>
                </c:pt>
                <c:pt idx="822">
                  <c:v>6.354731399999998E-2</c:v>
                </c:pt>
                <c:pt idx="823">
                  <c:v>8.1011284399999994E-2</c:v>
                </c:pt>
                <c:pt idx="824">
                  <c:v>8.1014137300000011E-2</c:v>
                </c:pt>
                <c:pt idx="825">
                  <c:v>8.1015190100000245E-2</c:v>
                </c:pt>
                <c:pt idx="826">
                  <c:v>8.10157502E-2</c:v>
                </c:pt>
                <c:pt idx="827">
                  <c:v>8.1016150500000023E-2</c:v>
                </c:pt>
                <c:pt idx="828">
                  <c:v>8.1016428000000265E-2</c:v>
                </c:pt>
                <c:pt idx="829">
                  <c:v>8.1016575300000268E-2</c:v>
                </c:pt>
                <c:pt idx="830">
                  <c:v>8.1016621500000024E-2</c:v>
                </c:pt>
                <c:pt idx="831">
                  <c:v>8.1016626000000022E-2</c:v>
                </c:pt>
                <c:pt idx="832">
                  <c:v>8.1016626000000022E-2</c:v>
                </c:pt>
                <c:pt idx="833">
                  <c:v>8.1016631900000011E-2</c:v>
                </c:pt>
                <c:pt idx="834">
                  <c:v>8.1016708200000009E-2</c:v>
                </c:pt>
                <c:pt idx="835">
                  <c:v>8.1016751599999978E-2</c:v>
                </c:pt>
                <c:pt idx="836">
                  <c:v>8.1016839800000004E-2</c:v>
                </c:pt>
                <c:pt idx="837">
                  <c:v>8.1016968000001244E-2</c:v>
                </c:pt>
                <c:pt idx="838">
                  <c:v>8.1066104700000044E-2</c:v>
                </c:pt>
                <c:pt idx="839">
                  <c:v>8.1078024200000001E-2</c:v>
                </c:pt>
                <c:pt idx="840">
                  <c:v>8.1080344800000009E-2</c:v>
                </c:pt>
                <c:pt idx="841">
                  <c:v>8.1375584399999978E-2</c:v>
                </c:pt>
                <c:pt idx="842">
                  <c:v>8.1382564100000013E-2</c:v>
                </c:pt>
                <c:pt idx="843">
                  <c:v>8.1385749999999979E-2</c:v>
                </c:pt>
                <c:pt idx="844">
                  <c:v>8.1386977299999996E-2</c:v>
                </c:pt>
                <c:pt idx="845">
                  <c:v>8.1387842700000226E-2</c:v>
                </c:pt>
                <c:pt idx="846">
                  <c:v>8.1701662800000047E-2</c:v>
                </c:pt>
                <c:pt idx="847">
                  <c:v>8.1703569800000014E-2</c:v>
                </c:pt>
                <c:pt idx="848">
                  <c:v>8.1704828300004417E-2</c:v>
                </c:pt>
                <c:pt idx="849">
                  <c:v>8.1705609200000043E-2</c:v>
                </c:pt>
                <c:pt idx="850">
                  <c:v>8.1706038100001266E-2</c:v>
                </c:pt>
                <c:pt idx="851">
                  <c:v>8.1706294900000045E-2</c:v>
                </c:pt>
                <c:pt idx="852">
                  <c:v>8.1706462200003424E-2</c:v>
                </c:pt>
                <c:pt idx="853">
                  <c:v>8.1706503000000208E-2</c:v>
                </c:pt>
                <c:pt idx="854">
                  <c:v>8.1706506100001228E-2</c:v>
                </c:pt>
                <c:pt idx="855">
                  <c:v>8.1706506100001228E-2</c:v>
                </c:pt>
                <c:pt idx="856">
                  <c:v>8.1706506100001228E-2</c:v>
                </c:pt>
                <c:pt idx="857">
                  <c:v>8.1706506100001228E-2</c:v>
                </c:pt>
                <c:pt idx="858">
                  <c:v>8.1706506100001228E-2</c:v>
                </c:pt>
                <c:pt idx="859">
                  <c:v>8.1706506100001228E-2</c:v>
                </c:pt>
                <c:pt idx="860">
                  <c:v>8.1706506100001228E-2</c:v>
                </c:pt>
                <c:pt idx="861">
                  <c:v>8.1706506100001228E-2</c:v>
                </c:pt>
                <c:pt idx="862">
                  <c:v>8.1706506100001228E-2</c:v>
                </c:pt>
                <c:pt idx="863">
                  <c:v>8.1706506100001228E-2</c:v>
                </c:pt>
                <c:pt idx="864">
                  <c:v>8.1706506100001228E-2</c:v>
                </c:pt>
                <c:pt idx="865">
                  <c:v>8.1706506100001228E-2</c:v>
                </c:pt>
                <c:pt idx="866">
                  <c:v>8.1706506100001228E-2</c:v>
                </c:pt>
                <c:pt idx="867">
                  <c:v>8.1706506100001228E-2</c:v>
                </c:pt>
                <c:pt idx="868">
                  <c:v>8.1706506100001228E-2</c:v>
                </c:pt>
                <c:pt idx="869">
                  <c:v>8.1706506100001228E-2</c:v>
                </c:pt>
                <c:pt idx="870">
                  <c:v>8.1706506100001228E-2</c:v>
                </c:pt>
                <c:pt idx="871">
                  <c:v>8.1706506100001228E-2</c:v>
                </c:pt>
                <c:pt idx="872">
                  <c:v>8.1706506100001228E-2</c:v>
                </c:pt>
                <c:pt idx="873">
                  <c:v>8.1706506100001228E-2</c:v>
                </c:pt>
                <c:pt idx="874">
                  <c:v>8.1706568600001264E-2</c:v>
                </c:pt>
                <c:pt idx="875">
                  <c:v>8.1706841200000727E-2</c:v>
                </c:pt>
                <c:pt idx="876">
                  <c:v>8.1707027700000226E-2</c:v>
                </c:pt>
                <c:pt idx="877">
                  <c:v>8.1707225300001227E-2</c:v>
                </c:pt>
                <c:pt idx="878">
                  <c:v>8.1707395900003532E-2</c:v>
                </c:pt>
                <c:pt idx="879">
                  <c:v>8.1707488100000766E-2</c:v>
                </c:pt>
                <c:pt idx="880">
                  <c:v>8.1707601900000024E-2</c:v>
                </c:pt>
                <c:pt idx="881">
                  <c:v>8.1707646200000067E-2</c:v>
                </c:pt>
                <c:pt idx="882">
                  <c:v>8.1709311300000045E-2</c:v>
                </c:pt>
                <c:pt idx="883">
                  <c:v>8.1713010200000019E-2</c:v>
                </c:pt>
                <c:pt idx="884">
                  <c:v>8.1714434900000063E-2</c:v>
                </c:pt>
                <c:pt idx="885">
                  <c:v>8.1715108200000067E-2</c:v>
                </c:pt>
                <c:pt idx="886">
                  <c:v>8.1715539100000067E-2</c:v>
                </c:pt>
                <c:pt idx="887">
                  <c:v>8.1715848700003701E-2</c:v>
                </c:pt>
                <c:pt idx="888">
                  <c:v>8.1716049400000046E-2</c:v>
                </c:pt>
                <c:pt idx="889">
                  <c:v>8.1716148500000765E-2</c:v>
                </c:pt>
                <c:pt idx="890">
                  <c:v>8.1825495300004478E-2</c:v>
                </c:pt>
                <c:pt idx="891">
                  <c:v>8.1835062500004122E-2</c:v>
                </c:pt>
                <c:pt idx="892">
                  <c:v>8.1836065400001268E-2</c:v>
                </c:pt>
                <c:pt idx="893">
                  <c:v>8.1836826600000745E-2</c:v>
                </c:pt>
                <c:pt idx="894">
                  <c:v>8.1837319300000266E-2</c:v>
                </c:pt>
                <c:pt idx="895">
                  <c:v>8.1837555900000247E-2</c:v>
                </c:pt>
                <c:pt idx="896">
                  <c:v>8.1837722400000062E-2</c:v>
                </c:pt>
                <c:pt idx="897">
                  <c:v>8.1837872100003692E-2</c:v>
                </c:pt>
                <c:pt idx="898">
                  <c:v>8.1837889400000044E-2</c:v>
                </c:pt>
                <c:pt idx="899">
                  <c:v>8.1837889600000033E-2</c:v>
                </c:pt>
                <c:pt idx="900">
                  <c:v>8.1837889600000033E-2</c:v>
                </c:pt>
                <c:pt idx="901">
                  <c:v>8.1837889600000033E-2</c:v>
                </c:pt>
                <c:pt idx="902">
                  <c:v>8.1837889600000033E-2</c:v>
                </c:pt>
                <c:pt idx="903">
                  <c:v>8.1837889600000033E-2</c:v>
                </c:pt>
                <c:pt idx="904">
                  <c:v>8.1837889600000033E-2</c:v>
                </c:pt>
                <c:pt idx="905">
                  <c:v>8.1837889600000033E-2</c:v>
                </c:pt>
                <c:pt idx="906">
                  <c:v>8.1837889600000033E-2</c:v>
                </c:pt>
                <c:pt idx="907">
                  <c:v>8.1837889600000033E-2</c:v>
                </c:pt>
                <c:pt idx="908">
                  <c:v>8.1837889600000033E-2</c:v>
                </c:pt>
                <c:pt idx="909">
                  <c:v>8.1837889600000033E-2</c:v>
                </c:pt>
                <c:pt idx="910">
                  <c:v>8.1837889600000033E-2</c:v>
                </c:pt>
                <c:pt idx="911">
                  <c:v>8.1837889600000033E-2</c:v>
                </c:pt>
                <c:pt idx="912">
                  <c:v>8.1837889600000033E-2</c:v>
                </c:pt>
                <c:pt idx="913">
                  <c:v>8.1837889600000033E-2</c:v>
                </c:pt>
                <c:pt idx="914">
                  <c:v>8.1837889600000033E-2</c:v>
                </c:pt>
                <c:pt idx="915">
                  <c:v>8.1837889600000033E-2</c:v>
                </c:pt>
                <c:pt idx="916">
                  <c:v>8.1837889600000033E-2</c:v>
                </c:pt>
                <c:pt idx="917">
                  <c:v>8.1837889600000033E-2</c:v>
                </c:pt>
                <c:pt idx="918">
                  <c:v>8.1837889600000033E-2</c:v>
                </c:pt>
                <c:pt idx="919">
                  <c:v>8.1837889600000033E-2</c:v>
                </c:pt>
                <c:pt idx="920">
                  <c:v>8.1837889600000033E-2</c:v>
                </c:pt>
                <c:pt idx="921">
                  <c:v>8.1837889600000033E-2</c:v>
                </c:pt>
                <c:pt idx="922">
                  <c:v>8.1837889600000033E-2</c:v>
                </c:pt>
                <c:pt idx="923">
                  <c:v>8.1837889600000033E-2</c:v>
                </c:pt>
                <c:pt idx="924">
                  <c:v>8.1837889600000033E-2</c:v>
                </c:pt>
                <c:pt idx="925">
                  <c:v>8.1837889600000033E-2</c:v>
                </c:pt>
                <c:pt idx="926">
                  <c:v>8.1838116900000021E-2</c:v>
                </c:pt>
                <c:pt idx="927">
                  <c:v>8.1838597400000018E-2</c:v>
                </c:pt>
                <c:pt idx="928">
                  <c:v>8.1838901900000025E-2</c:v>
                </c:pt>
                <c:pt idx="929">
                  <c:v>8.1839087599999999E-2</c:v>
                </c:pt>
                <c:pt idx="930">
                  <c:v>8.183922450000003E-2</c:v>
                </c:pt>
                <c:pt idx="931">
                  <c:v>8.1839317000000036E-2</c:v>
                </c:pt>
                <c:pt idx="932">
                  <c:v>8.1839351000000032E-2</c:v>
                </c:pt>
                <c:pt idx="933">
                  <c:v>8.1839355500001265E-2</c:v>
                </c:pt>
                <c:pt idx="934">
                  <c:v>8.1839355600000066E-2</c:v>
                </c:pt>
                <c:pt idx="935">
                  <c:v>8.1839355600000066E-2</c:v>
                </c:pt>
                <c:pt idx="936">
                  <c:v>8.1839355600000066E-2</c:v>
                </c:pt>
                <c:pt idx="937">
                  <c:v>8.1839355600000066E-2</c:v>
                </c:pt>
                <c:pt idx="938">
                  <c:v>8.1839355600000066E-2</c:v>
                </c:pt>
                <c:pt idx="939">
                  <c:v>8.1839355600000066E-2</c:v>
                </c:pt>
                <c:pt idx="940">
                  <c:v>8.1839355600000066E-2</c:v>
                </c:pt>
                <c:pt idx="941">
                  <c:v>8.1839355600000066E-2</c:v>
                </c:pt>
                <c:pt idx="942">
                  <c:v>8.1839355600000066E-2</c:v>
                </c:pt>
                <c:pt idx="943">
                  <c:v>8.1839355600000066E-2</c:v>
                </c:pt>
                <c:pt idx="944">
                  <c:v>8.1839355600000066E-2</c:v>
                </c:pt>
                <c:pt idx="945">
                  <c:v>8.1839355600000066E-2</c:v>
                </c:pt>
                <c:pt idx="946">
                  <c:v>8.1839355600000066E-2</c:v>
                </c:pt>
                <c:pt idx="947">
                  <c:v>8.1839355600000066E-2</c:v>
                </c:pt>
                <c:pt idx="948">
                  <c:v>8.1839355600000066E-2</c:v>
                </c:pt>
                <c:pt idx="949">
                  <c:v>8.1839355600000066E-2</c:v>
                </c:pt>
                <c:pt idx="950">
                  <c:v>8.1839355600000066E-2</c:v>
                </c:pt>
                <c:pt idx="951">
                  <c:v>8.1839355600000066E-2</c:v>
                </c:pt>
                <c:pt idx="952">
                  <c:v>8.1839355600000066E-2</c:v>
                </c:pt>
                <c:pt idx="953">
                  <c:v>8.1839355600000066E-2</c:v>
                </c:pt>
                <c:pt idx="954">
                  <c:v>8.1839355600000066E-2</c:v>
                </c:pt>
                <c:pt idx="955">
                  <c:v>8.1839355600000066E-2</c:v>
                </c:pt>
                <c:pt idx="956">
                  <c:v>8.1839355600000066E-2</c:v>
                </c:pt>
                <c:pt idx="957">
                  <c:v>8.1839355600000066E-2</c:v>
                </c:pt>
                <c:pt idx="958">
                  <c:v>8.1839355600000066E-2</c:v>
                </c:pt>
                <c:pt idx="959">
                  <c:v>8.1839355600000066E-2</c:v>
                </c:pt>
                <c:pt idx="960">
                  <c:v>8.1839355600000066E-2</c:v>
                </c:pt>
                <c:pt idx="961">
                  <c:v>8.1839355600000066E-2</c:v>
                </c:pt>
                <c:pt idx="962">
                  <c:v>8.1839355600000066E-2</c:v>
                </c:pt>
                <c:pt idx="963">
                  <c:v>8.1839355600000066E-2</c:v>
                </c:pt>
                <c:pt idx="964">
                  <c:v>8.1839355600000066E-2</c:v>
                </c:pt>
                <c:pt idx="965">
                  <c:v>8.1855866300004895E-2</c:v>
                </c:pt>
                <c:pt idx="966">
                  <c:v>8.1865682500000744E-2</c:v>
                </c:pt>
                <c:pt idx="967">
                  <c:v>8.1867320900001747E-2</c:v>
                </c:pt>
                <c:pt idx="968">
                  <c:v>8.1868285400000032E-2</c:v>
                </c:pt>
                <c:pt idx="969">
                  <c:v>8.1868803100001247E-2</c:v>
                </c:pt>
                <c:pt idx="970">
                  <c:v>8.1869052900000266E-2</c:v>
                </c:pt>
                <c:pt idx="971">
                  <c:v>8.1869236300000037E-2</c:v>
                </c:pt>
                <c:pt idx="972">
                  <c:v>8.1869347300001227E-2</c:v>
                </c:pt>
                <c:pt idx="973">
                  <c:v>8.1869371600000032E-2</c:v>
                </c:pt>
                <c:pt idx="974">
                  <c:v>8.1869372500002924E-2</c:v>
                </c:pt>
                <c:pt idx="975">
                  <c:v>8.1869372500002924E-2</c:v>
                </c:pt>
                <c:pt idx="976">
                  <c:v>8.1869372500002924E-2</c:v>
                </c:pt>
                <c:pt idx="977">
                  <c:v>8.1869372500002924E-2</c:v>
                </c:pt>
                <c:pt idx="978">
                  <c:v>8.1869372500002924E-2</c:v>
                </c:pt>
                <c:pt idx="979">
                  <c:v>8.1869372500002924E-2</c:v>
                </c:pt>
                <c:pt idx="980">
                  <c:v>8.1869372500002924E-2</c:v>
                </c:pt>
                <c:pt idx="981">
                  <c:v>8.1869372500002924E-2</c:v>
                </c:pt>
                <c:pt idx="982">
                  <c:v>8.1869372500002924E-2</c:v>
                </c:pt>
                <c:pt idx="983">
                  <c:v>8.1869372500002924E-2</c:v>
                </c:pt>
                <c:pt idx="984">
                  <c:v>8.1869372500002924E-2</c:v>
                </c:pt>
                <c:pt idx="985">
                  <c:v>8.1869372500002924E-2</c:v>
                </c:pt>
                <c:pt idx="986">
                  <c:v>8.1869372500002924E-2</c:v>
                </c:pt>
                <c:pt idx="987">
                  <c:v>8.1869372500002924E-2</c:v>
                </c:pt>
                <c:pt idx="988">
                  <c:v>8.1869372500002924E-2</c:v>
                </c:pt>
                <c:pt idx="989">
                  <c:v>8.1869372500002924E-2</c:v>
                </c:pt>
                <c:pt idx="990">
                  <c:v>8.1869372500002924E-2</c:v>
                </c:pt>
                <c:pt idx="991">
                  <c:v>8.1869372500002924E-2</c:v>
                </c:pt>
                <c:pt idx="992">
                  <c:v>8.1869372500002924E-2</c:v>
                </c:pt>
                <c:pt idx="993">
                  <c:v>8.1869372500002924E-2</c:v>
                </c:pt>
                <c:pt idx="994">
                  <c:v>8.1869372500002924E-2</c:v>
                </c:pt>
                <c:pt idx="995">
                  <c:v>8.1869372500002924E-2</c:v>
                </c:pt>
                <c:pt idx="996">
                  <c:v>8.1869372500002924E-2</c:v>
                </c:pt>
                <c:pt idx="997">
                  <c:v>8.1869372500002924E-2</c:v>
                </c:pt>
                <c:pt idx="998">
                  <c:v>8.1869372500002924E-2</c:v>
                </c:pt>
                <c:pt idx="999">
                  <c:v>8.1869372500002924E-2</c:v>
                </c:pt>
                <c:pt idx="1000">
                  <c:v>8.1869372500002924E-2</c:v>
                </c:pt>
                <c:pt idx="1001">
                  <c:v>8.1869372500002924E-2</c:v>
                </c:pt>
                <c:pt idx="1002">
                  <c:v>8.1869372500002924E-2</c:v>
                </c:pt>
                <c:pt idx="1003">
                  <c:v>8.1869372500002924E-2</c:v>
                </c:pt>
                <c:pt idx="1004">
                  <c:v>8.1869372500002924E-2</c:v>
                </c:pt>
                <c:pt idx="1005">
                  <c:v>8.1869372500002924E-2</c:v>
                </c:pt>
                <c:pt idx="1006">
                  <c:v>8.1869372500002924E-2</c:v>
                </c:pt>
                <c:pt idx="1007">
                  <c:v>8.1869372500002924E-2</c:v>
                </c:pt>
                <c:pt idx="1008">
                  <c:v>8.1869372500002924E-2</c:v>
                </c:pt>
                <c:pt idx="1009">
                  <c:v>8.1869372500002924E-2</c:v>
                </c:pt>
                <c:pt idx="1010">
                  <c:v>8.1869372500002924E-2</c:v>
                </c:pt>
                <c:pt idx="1011">
                  <c:v>8.1869372500002924E-2</c:v>
                </c:pt>
                <c:pt idx="1012">
                  <c:v>8.1869372500002924E-2</c:v>
                </c:pt>
                <c:pt idx="1013">
                  <c:v>8.1869372500002924E-2</c:v>
                </c:pt>
                <c:pt idx="1014">
                  <c:v>8.1869372500002924E-2</c:v>
                </c:pt>
                <c:pt idx="1015">
                  <c:v>8.1869372500002924E-2</c:v>
                </c:pt>
                <c:pt idx="1016">
                  <c:v>8.1869372500002924E-2</c:v>
                </c:pt>
                <c:pt idx="1017">
                  <c:v>8.1869372500002924E-2</c:v>
                </c:pt>
                <c:pt idx="1018">
                  <c:v>8.1869372500002924E-2</c:v>
                </c:pt>
                <c:pt idx="1019">
                  <c:v>8.1869372500002924E-2</c:v>
                </c:pt>
                <c:pt idx="1020">
                  <c:v>8.1869372500002924E-2</c:v>
                </c:pt>
                <c:pt idx="1021">
                  <c:v>8.1869372500002924E-2</c:v>
                </c:pt>
                <c:pt idx="1022">
                  <c:v>8.1869372500002924E-2</c:v>
                </c:pt>
                <c:pt idx="1023">
                  <c:v>8.1869372500002924E-2</c:v>
                </c:pt>
                <c:pt idx="1024">
                  <c:v>8.1869372500002924E-2</c:v>
                </c:pt>
                <c:pt idx="1025">
                  <c:v>8.1869372500002924E-2</c:v>
                </c:pt>
                <c:pt idx="1026">
                  <c:v>8.1869372500002924E-2</c:v>
                </c:pt>
                <c:pt idx="1027">
                  <c:v>8.1869372500002924E-2</c:v>
                </c:pt>
                <c:pt idx="1028">
                  <c:v>8.1869372500002924E-2</c:v>
                </c:pt>
                <c:pt idx="1029">
                  <c:v>8.1869372500002924E-2</c:v>
                </c:pt>
                <c:pt idx="1030">
                  <c:v>8.1869372500002924E-2</c:v>
                </c:pt>
                <c:pt idx="1031">
                  <c:v>8.1869372500002924E-2</c:v>
                </c:pt>
                <c:pt idx="1032">
                  <c:v>8.1869372500002924E-2</c:v>
                </c:pt>
                <c:pt idx="1033">
                  <c:v>8.1869372500002924E-2</c:v>
                </c:pt>
                <c:pt idx="1034">
                  <c:v>8.1869372500002924E-2</c:v>
                </c:pt>
                <c:pt idx="1035">
                  <c:v>8.1869372500002924E-2</c:v>
                </c:pt>
                <c:pt idx="1036">
                  <c:v>8.1869372500002924E-2</c:v>
                </c:pt>
                <c:pt idx="1037">
                  <c:v>8.1869372500002924E-2</c:v>
                </c:pt>
                <c:pt idx="1038">
                  <c:v>8.1869372500002924E-2</c:v>
                </c:pt>
                <c:pt idx="1039">
                  <c:v>8.1869372500002924E-2</c:v>
                </c:pt>
                <c:pt idx="1040">
                  <c:v>8.1869372500002924E-2</c:v>
                </c:pt>
                <c:pt idx="1041">
                  <c:v>8.1869372500002924E-2</c:v>
                </c:pt>
                <c:pt idx="1042">
                  <c:v>8.1869372500002924E-2</c:v>
                </c:pt>
                <c:pt idx="1043">
                  <c:v>8.1869372500002924E-2</c:v>
                </c:pt>
                <c:pt idx="1044">
                  <c:v>8.1869372500002924E-2</c:v>
                </c:pt>
                <c:pt idx="1045">
                  <c:v>8.1869372500002924E-2</c:v>
                </c:pt>
                <c:pt idx="1046">
                  <c:v>8.1869372500002924E-2</c:v>
                </c:pt>
                <c:pt idx="1047">
                  <c:v>8.1869372500002924E-2</c:v>
                </c:pt>
                <c:pt idx="1048">
                  <c:v>8.1869372500002924E-2</c:v>
                </c:pt>
                <c:pt idx="1049">
                  <c:v>8.1869372500002924E-2</c:v>
                </c:pt>
                <c:pt idx="1050">
                  <c:v>8.1869372500002924E-2</c:v>
                </c:pt>
                <c:pt idx="1051">
                  <c:v>8.1869372500002924E-2</c:v>
                </c:pt>
                <c:pt idx="1052">
                  <c:v>8.1869372500002924E-2</c:v>
                </c:pt>
                <c:pt idx="1053">
                  <c:v>8.1869372500002924E-2</c:v>
                </c:pt>
                <c:pt idx="1054">
                  <c:v>8.1869372500002924E-2</c:v>
                </c:pt>
                <c:pt idx="1055">
                  <c:v>8.1869372500002924E-2</c:v>
                </c:pt>
                <c:pt idx="1056">
                  <c:v>8.1869372500002924E-2</c:v>
                </c:pt>
                <c:pt idx="1057">
                  <c:v>8.1869372500002924E-2</c:v>
                </c:pt>
                <c:pt idx="1058">
                  <c:v>8.1869372500002924E-2</c:v>
                </c:pt>
                <c:pt idx="1059">
                  <c:v>8.1869372500002924E-2</c:v>
                </c:pt>
                <c:pt idx="1060">
                  <c:v>8.1869372500002924E-2</c:v>
                </c:pt>
                <c:pt idx="1061">
                  <c:v>8.1869372500002924E-2</c:v>
                </c:pt>
                <c:pt idx="1062">
                  <c:v>8.1869372500002924E-2</c:v>
                </c:pt>
                <c:pt idx="1063">
                  <c:v>8.1869372500002924E-2</c:v>
                </c:pt>
                <c:pt idx="1064">
                  <c:v>8.1869372500002924E-2</c:v>
                </c:pt>
                <c:pt idx="1065">
                  <c:v>8.1869372500002924E-2</c:v>
                </c:pt>
                <c:pt idx="1066">
                  <c:v>8.1869372500002924E-2</c:v>
                </c:pt>
                <c:pt idx="1067">
                  <c:v>8.1869372500002924E-2</c:v>
                </c:pt>
                <c:pt idx="1068">
                  <c:v>8.1869372500002924E-2</c:v>
                </c:pt>
                <c:pt idx="1069">
                  <c:v>8.1869372500002924E-2</c:v>
                </c:pt>
                <c:pt idx="1070">
                  <c:v>8.1869372500002924E-2</c:v>
                </c:pt>
                <c:pt idx="1071">
                  <c:v>8.1869372500002924E-2</c:v>
                </c:pt>
                <c:pt idx="1072">
                  <c:v>8.1869372500002924E-2</c:v>
                </c:pt>
                <c:pt idx="1073">
                  <c:v>8.1869372500002924E-2</c:v>
                </c:pt>
                <c:pt idx="1074">
                  <c:v>8.1869372500002924E-2</c:v>
                </c:pt>
                <c:pt idx="1075">
                  <c:v>8.1869372500002924E-2</c:v>
                </c:pt>
                <c:pt idx="1076">
                  <c:v>8.1869372500002924E-2</c:v>
                </c:pt>
                <c:pt idx="1077">
                  <c:v>8.1869372500002924E-2</c:v>
                </c:pt>
                <c:pt idx="1078">
                  <c:v>8.1869372500002924E-2</c:v>
                </c:pt>
                <c:pt idx="1079">
                  <c:v>8.1869372500002924E-2</c:v>
                </c:pt>
                <c:pt idx="1080">
                  <c:v>8.1869372500002924E-2</c:v>
                </c:pt>
                <c:pt idx="1081">
                  <c:v>8.1869372500002924E-2</c:v>
                </c:pt>
                <c:pt idx="1082">
                  <c:v>8.1869372500002924E-2</c:v>
                </c:pt>
                <c:pt idx="1083">
                  <c:v>8.1869372500002924E-2</c:v>
                </c:pt>
                <c:pt idx="1084">
                  <c:v>8.1869372500002924E-2</c:v>
                </c:pt>
                <c:pt idx="1085">
                  <c:v>8.1869372500002924E-2</c:v>
                </c:pt>
                <c:pt idx="1086">
                  <c:v>8.1869372500002924E-2</c:v>
                </c:pt>
                <c:pt idx="1087">
                  <c:v>8.1869372500002924E-2</c:v>
                </c:pt>
                <c:pt idx="1088">
                  <c:v>8.1869372500002924E-2</c:v>
                </c:pt>
                <c:pt idx="1089">
                  <c:v>8.1869372500002924E-2</c:v>
                </c:pt>
                <c:pt idx="1090">
                  <c:v>8.1869372500002924E-2</c:v>
                </c:pt>
                <c:pt idx="1091">
                  <c:v>8.1869372500002924E-2</c:v>
                </c:pt>
                <c:pt idx="1092">
                  <c:v>8.1869372500002924E-2</c:v>
                </c:pt>
                <c:pt idx="1093">
                  <c:v>8.1869372500002924E-2</c:v>
                </c:pt>
                <c:pt idx="1094">
                  <c:v>8.1869372500002924E-2</c:v>
                </c:pt>
                <c:pt idx="1095">
                  <c:v>8.1869372500002924E-2</c:v>
                </c:pt>
                <c:pt idx="1096">
                  <c:v>8.1869372500002924E-2</c:v>
                </c:pt>
                <c:pt idx="1097">
                  <c:v>8.1869372500002924E-2</c:v>
                </c:pt>
                <c:pt idx="1098">
                  <c:v>8.1869372500002924E-2</c:v>
                </c:pt>
                <c:pt idx="1099">
                  <c:v>8.1869372500002924E-2</c:v>
                </c:pt>
                <c:pt idx="1100">
                  <c:v>8.1869372500002924E-2</c:v>
                </c:pt>
                <c:pt idx="1101">
                  <c:v>8.1869372500002924E-2</c:v>
                </c:pt>
                <c:pt idx="1102">
                  <c:v>8.1869372500002924E-2</c:v>
                </c:pt>
                <c:pt idx="1103">
                  <c:v>8.1869372500002924E-2</c:v>
                </c:pt>
                <c:pt idx="1104">
                  <c:v>8.1869372500002924E-2</c:v>
                </c:pt>
                <c:pt idx="1105">
                  <c:v>8.1869372500002924E-2</c:v>
                </c:pt>
                <c:pt idx="1106">
                  <c:v>8.1869372500002924E-2</c:v>
                </c:pt>
                <c:pt idx="1107">
                  <c:v>8.1869372500002924E-2</c:v>
                </c:pt>
                <c:pt idx="1108">
                  <c:v>8.1869372500002924E-2</c:v>
                </c:pt>
                <c:pt idx="1109">
                  <c:v>8.1869372500002924E-2</c:v>
                </c:pt>
                <c:pt idx="1110">
                  <c:v>8.1869372500002924E-2</c:v>
                </c:pt>
                <c:pt idx="1111">
                  <c:v>8.1869372500002924E-2</c:v>
                </c:pt>
                <c:pt idx="1112">
                  <c:v>8.1869372500002924E-2</c:v>
                </c:pt>
                <c:pt idx="1113">
                  <c:v>8.1869372500002924E-2</c:v>
                </c:pt>
                <c:pt idx="1114">
                  <c:v>8.1869372500002924E-2</c:v>
                </c:pt>
                <c:pt idx="1115">
                  <c:v>8.1869372500002924E-2</c:v>
                </c:pt>
                <c:pt idx="1116">
                  <c:v>8.1869372500002924E-2</c:v>
                </c:pt>
                <c:pt idx="1117">
                  <c:v>8.1869372500002924E-2</c:v>
                </c:pt>
                <c:pt idx="1118">
                  <c:v>8.1869372500002924E-2</c:v>
                </c:pt>
                <c:pt idx="1119">
                  <c:v>8.1869372500002924E-2</c:v>
                </c:pt>
                <c:pt idx="1120">
                  <c:v>8.1869372500002924E-2</c:v>
                </c:pt>
                <c:pt idx="1121">
                  <c:v>8.1869372500002924E-2</c:v>
                </c:pt>
                <c:pt idx="1122">
                  <c:v>8.1869372500002924E-2</c:v>
                </c:pt>
                <c:pt idx="1123">
                  <c:v>8.1869372500002924E-2</c:v>
                </c:pt>
                <c:pt idx="1124">
                  <c:v>8.1869372500002924E-2</c:v>
                </c:pt>
                <c:pt idx="1125">
                  <c:v>8.1869372500002924E-2</c:v>
                </c:pt>
                <c:pt idx="1126">
                  <c:v>8.1869372500002924E-2</c:v>
                </c:pt>
                <c:pt idx="1127">
                  <c:v>8.1869372500002924E-2</c:v>
                </c:pt>
                <c:pt idx="1128">
                  <c:v>8.1869372500002924E-2</c:v>
                </c:pt>
                <c:pt idx="1129">
                  <c:v>8.1869372500002924E-2</c:v>
                </c:pt>
                <c:pt idx="1130">
                  <c:v>8.1869372500002924E-2</c:v>
                </c:pt>
                <c:pt idx="1131">
                  <c:v>8.1869372500002924E-2</c:v>
                </c:pt>
                <c:pt idx="1132">
                  <c:v>8.1869372500002924E-2</c:v>
                </c:pt>
                <c:pt idx="1133">
                  <c:v>8.1869372500002924E-2</c:v>
                </c:pt>
                <c:pt idx="1134">
                  <c:v>8.1869372500002924E-2</c:v>
                </c:pt>
                <c:pt idx="1135">
                  <c:v>8.1869372500002924E-2</c:v>
                </c:pt>
                <c:pt idx="1136">
                  <c:v>8.1869372500002924E-2</c:v>
                </c:pt>
                <c:pt idx="1137">
                  <c:v>8.1869372500002924E-2</c:v>
                </c:pt>
                <c:pt idx="1138">
                  <c:v>8.1869372500002924E-2</c:v>
                </c:pt>
                <c:pt idx="1139">
                  <c:v>8.1869372500002924E-2</c:v>
                </c:pt>
                <c:pt idx="1140">
                  <c:v>8.1869372500002924E-2</c:v>
                </c:pt>
                <c:pt idx="1141">
                  <c:v>8.1869372500002924E-2</c:v>
                </c:pt>
                <c:pt idx="1142">
                  <c:v>8.1869372500002924E-2</c:v>
                </c:pt>
                <c:pt idx="1143">
                  <c:v>8.1869372500002924E-2</c:v>
                </c:pt>
                <c:pt idx="1144">
                  <c:v>8.1869372500002924E-2</c:v>
                </c:pt>
                <c:pt idx="1145">
                  <c:v>8.1869372500002924E-2</c:v>
                </c:pt>
                <c:pt idx="1146">
                  <c:v>8.1869372500002924E-2</c:v>
                </c:pt>
                <c:pt idx="1147">
                  <c:v>8.1869372500002924E-2</c:v>
                </c:pt>
                <c:pt idx="1148">
                  <c:v>8.1869372500002924E-2</c:v>
                </c:pt>
                <c:pt idx="1149">
                  <c:v>8.1869372500002924E-2</c:v>
                </c:pt>
                <c:pt idx="1150">
                  <c:v>8.1869372500002924E-2</c:v>
                </c:pt>
                <c:pt idx="1151">
                  <c:v>8.1869372500002924E-2</c:v>
                </c:pt>
                <c:pt idx="1152">
                  <c:v>8.1869372500002924E-2</c:v>
                </c:pt>
                <c:pt idx="1153">
                  <c:v>8.1869372500002924E-2</c:v>
                </c:pt>
                <c:pt idx="1154">
                  <c:v>8.1869372500002924E-2</c:v>
                </c:pt>
                <c:pt idx="1155">
                  <c:v>8.1869372500002924E-2</c:v>
                </c:pt>
                <c:pt idx="1156">
                  <c:v>8.1869372500002924E-2</c:v>
                </c:pt>
                <c:pt idx="1157">
                  <c:v>8.1869372500002924E-2</c:v>
                </c:pt>
                <c:pt idx="1158">
                  <c:v>8.1869372500002924E-2</c:v>
                </c:pt>
                <c:pt idx="1159">
                  <c:v>8.1869372500002924E-2</c:v>
                </c:pt>
                <c:pt idx="1160">
                  <c:v>8.1869372500002924E-2</c:v>
                </c:pt>
                <c:pt idx="1161">
                  <c:v>8.1869372500002924E-2</c:v>
                </c:pt>
                <c:pt idx="1162">
                  <c:v>8.1869372500002924E-2</c:v>
                </c:pt>
                <c:pt idx="1163">
                  <c:v>8.1869372500002924E-2</c:v>
                </c:pt>
                <c:pt idx="1164">
                  <c:v>8.1869372500002924E-2</c:v>
                </c:pt>
                <c:pt idx="1165">
                  <c:v>8.1869372500002924E-2</c:v>
                </c:pt>
                <c:pt idx="1166">
                  <c:v>8.1869372500002924E-2</c:v>
                </c:pt>
                <c:pt idx="1167">
                  <c:v>8.1869372500002924E-2</c:v>
                </c:pt>
                <c:pt idx="1168">
                  <c:v>8.1869372500002924E-2</c:v>
                </c:pt>
                <c:pt idx="1169">
                  <c:v>8.1869372500002924E-2</c:v>
                </c:pt>
                <c:pt idx="1170">
                  <c:v>8.1869372500002924E-2</c:v>
                </c:pt>
                <c:pt idx="1171">
                  <c:v>8.1869372500002924E-2</c:v>
                </c:pt>
                <c:pt idx="1172">
                  <c:v>8.1869372500002924E-2</c:v>
                </c:pt>
                <c:pt idx="1173">
                  <c:v>8.1869372500002924E-2</c:v>
                </c:pt>
                <c:pt idx="1174">
                  <c:v>8.1869372500002924E-2</c:v>
                </c:pt>
                <c:pt idx="1175">
                  <c:v>8.1869372500002924E-2</c:v>
                </c:pt>
                <c:pt idx="1176">
                  <c:v>8.1869372500002924E-2</c:v>
                </c:pt>
                <c:pt idx="1177">
                  <c:v>8.1869372500002924E-2</c:v>
                </c:pt>
                <c:pt idx="1178">
                  <c:v>8.1869372500002924E-2</c:v>
                </c:pt>
                <c:pt idx="1179">
                  <c:v>8.1869372500002924E-2</c:v>
                </c:pt>
                <c:pt idx="1180">
                  <c:v>8.2093867200000045E-2</c:v>
                </c:pt>
                <c:pt idx="1181">
                  <c:v>8.2102567700000031E-2</c:v>
                </c:pt>
                <c:pt idx="1182">
                  <c:v>8.2104391900000268E-2</c:v>
                </c:pt>
                <c:pt idx="1183">
                  <c:v>8.2105358600000067E-2</c:v>
                </c:pt>
                <c:pt idx="1184">
                  <c:v>8.2106085400000015E-2</c:v>
                </c:pt>
                <c:pt idx="1185">
                  <c:v>8.2106474800000009E-2</c:v>
                </c:pt>
                <c:pt idx="1186">
                  <c:v>8.2106666800000033E-2</c:v>
                </c:pt>
                <c:pt idx="1187">
                  <c:v>8.2106789099999994E-2</c:v>
                </c:pt>
                <c:pt idx="1188">
                  <c:v>8.2106804300000225E-2</c:v>
                </c:pt>
                <c:pt idx="1189">
                  <c:v>8.2106807000000032E-2</c:v>
                </c:pt>
                <c:pt idx="1190">
                  <c:v>8.2106807000000032E-2</c:v>
                </c:pt>
                <c:pt idx="1191">
                  <c:v>8.2106807000000032E-2</c:v>
                </c:pt>
                <c:pt idx="1192">
                  <c:v>8.2106807000000032E-2</c:v>
                </c:pt>
                <c:pt idx="1193">
                  <c:v>8.2106807000000032E-2</c:v>
                </c:pt>
                <c:pt idx="1194">
                  <c:v>8.2106807000000032E-2</c:v>
                </c:pt>
                <c:pt idx="1195">
                  <c:v>8.2106807000000032E-2</c:v>
                </c:pt>
                <c:pt idx="1196">
                  <c:v>8.2106807000000032E-2</c:v>
                </c:pt>
                <c:pt idx="1197">
                  <c:v>8.2106807000000032E-2</c:v>
                </c:pt>
                <c:pt idx="1198">
                  <c:v>8.2106807000000032E-2</c:v>
                </c:pt>
                <c:pt idx="1199">
                  <c:v>8.2106807000000032E-2</c:v>
                </c:pt>
                <c:pt idx="1200">
                  <c:v>8.2106807000000032E-2</c:v>
                </c:pt>
                <c:pt idx="1201">
                  <c:v>8.2106807000000032E-2</c:v>
                </c:pt>
                <c:pt idx="1202">
                  <c:v>8.2106807000000032E-2</c:v>
                </c:pt>
                <c:pt idx="1203">
                  <c:v>8.2106807000000032E-2</c:v>
                </c:pt>
                <c:pt idx="1204">
                  <c:v>8.2578959900000026E-2</c:v>
                </c:pt>
                <c:pt idx="1205">
                  <c:v>8.2588939500000014E-2</c:v>
                </c:pt>
                <c:pt idx="1206">
                  <c:v>8.2590570600000066E-2</c:v>
                </c:pt>
                <c:pt idx="1207">
                  <c:v>8.2591522700001266E-2</c:v>
                </c:pt>
                <c:pt idx="1208">
                  <c:v>8.2591941400000063E-2</c:v>
                </c:pt>
                <c:pt idx="1209">
                  <c:v>8.3015248400000768E-2</c:v>
                </c:pt>
                <c:pt idx="1210">
                  <c:v>8.3016560200001727E-2</c:v>
                </c:pt>
                <c:pt idx="1211">
                  <c:v>8.3017263400000207E-2</c:v>
                </c:pt>
                <c:pt idx="1212">
                  <c:v>8.3017734299999993E-2</c:v>
                </c:pt>
                <c:pt idx="1213">
                  <c:v>8.3018100700000208E-2</c:v>
                </c:pt>
                <c:pt idx="1214">
                  <c:v>8.3018240700000245E-2</c:v>
                </c:pt>
                <c:pt idx="1215">
                  <c:v>8.3018323900002577E-2</c:v>
                </c:pt>
                <c:pt idx="1216">
                  <c:v>8.3018341200000248E-2</c:v>
                </c:pt>
                <c:pt idx="1217">
                  <c:v>8.3018342500004103E-2</c:v>
                </c:pt>
                <c:pt idx="1218">
                  <c:v>8.3018342500004103E-2</c:v>
                </c:pt>
                <c:pt idx="1219">
                  <c:v>8.3018342500004103E-2</c:v>
                </c:pt>
                <c:pt idx="1220">
                  <c:v>8.3018342500004103E-2</c:v>
                </c:pt>
                <c:pt idx="1221">
                  <c:v>8.3018342500004103E-2</c:v>
                </c:pt>
                <c:pt idx="1222">
                  <c:v>8.3018342500004103E-2</c:v>
                </c:pt>
                <c:pt idx="1223">
                  <c:v>8.3018342500004103E-2</c:v>
                </c:pt>
                <c:pt idx="1224">
                  <c:v>8.3018342500004103E-2</c:v>
                </c:pt>
                <c:pt idx="1225">
                  <c:v>8.3018342500004103E-2</c:v>
                </c:pt>
                <c:pt idx="1226">
                  <c:v>8.3018342500004103E-2</c:v>
                </c:pt>
                <c:pt idx="1227">
                  <c:v>8.3018342500004103E-2</c:v>
                </c:pt>
                <c:pt idx="1228">
                  <c:v>8.3018342500004103E-2</c:v>
                </c:pt>
                <c:pt idx="1229">
                  <c:v>8.3018342500004103E-2</c:v>
                </c:pt>
                <c:pt idx="1230">
                  <c:v>8.3018342500004103E-2</c:v>
                </c:pt>
                <c:pt idx="1231">
                  <c:v>8.3018342500004103E-2</c:v>
                </c:pt>
                <c:pt idx="1232">
                  <c:v>8.3018342500004103E-2</c:v>
                </c:pt>
                <c:pt idx="1233">
                  <c:v>8.3018342500004103E-2</c:v>
                </c:pt>
                <c:pt idx="1234">
                  <c:v>8.3104155100003782E-2</c:v>
                </c:pt>
                <c:pt idx="1235">
                  <c:v>8.3105564100003568E-2</c:v>
                </c:pt>
                <c:pt idx="1236">
                  <c:v>8.3106311100001246E-2</c:v>
                </c:pt>
                <c:pt idx="1237">
                  <c:v>8.3106785700000227E-2</c:v>
                </c:pt>
                <c:pt idx="1238">
                  <c:v>8.3107066900003343E-2</c:v>
                </c:pt>
                <c:pt idx="1239">
                  <c:v>8.3107251900000026E-2</c:v>
                </c:pt>
                <c:pt idx="1240">
                  <c:v>8.3107326200001747E-2</c:v>
                </c:pt>
                <c:pt idx="1241">
                  <c:v>8.3107338200001268E-2</c:v>
                </c:pt>
                <c:pt idx="1242">
                  <c:v>8.3107339000000266E-2</c:v>
                </c:pt>
                <c:pt idx="1243">
                  <c:v>8.3107339000000266E-2</c:v>
                </c:pt>
                <c:pt idx="1244">
                  <c:v>8.3121848300004825E-2</c:v>
                </c:pt>
                <c:pt idx="1245">
                  <c:v>8.3127234100000266E-2</c:v>
                </c:pt>
                <c:pt idx="1246">
                  <c:v>8.3128303700003778E-2</c:v>
                </c:pt>
                <c:pt idx="1247">
                  <c:v>8.3128710900000027E-2</c:v>
                </c:pt>
                <c:pt idx="1248">
                  <c:v>8.3129030500001228E-2</c:v>
                </c:pt>
                <c:pt idx="1249">
                  <c:v>8.312923160000002E-2</c:v>
                </c:pt>
                <c:pt idx="1250">
                  <c:v>8.3129388500003579E-2</c:v>
                </c:pt>
                <c:pt idx="1251">
                  <c:v>8.3129434600000024E-2</c:v>
                </c:pt>
                <c:pt idx="1252">
                  <c:v>8.3129445500004603E-2</c:v>
                </c:pt>
                <c:pt idx="1253">
                  <c:v>8.312944580000324E-2</c:v>
                </c:pt>
                <c:pt idx="1254">
                  <c:v>8.312944580000324E-2</c:v>
                </c:pt>
                <c:pt idx="1255">
                  <c:v>8.312944580000324E-2</c:v>
                </c:pt>
                <c:pt idx="1256">
                  <c:v>8.312944580000324E-2</c:v>
                </c:pt>
                <c:pt idx="1257">
                  <c:v>8.312944580000324E-2</c:v>
                </c:pt>
                <c:pt idx="1258">
                  <c:v>8.312944580000324E-2</c:v>
                </c:pt>
                <c:pt idx="1259">
                  <c:v>8.312944580000324E-2</c:v>
                </c:pt>
                <c:pt idx="1260">
                  <c:v>8.312944580000324E-2</c:v>
                </c:pt>
                <c:pt idx="1261">
                  <c:v>8.312944580000324E-2</c:v>
                </c:pt>
                <c:pt idx="1262">
                  <c:v>8.312944580000324E-2</c:v>
                </c:pt>
                <c:pt idx="1263">
                  <c:v>8.312944580000324E-2</c:v>
                </c:pt>
                <c:pt idx="1264">
                  <c:v>8.312944580000324E-2</c:v>
                </c:pt>
                <c:pt idx="1265">
                  <c:v>8.312944580000324E-2</c:v>
                </c:pt>
                <c:pt idx="1266">
                  <c:v>8.312944580000324E-2</c:v>
                </c:pt>
                <c:pt idx="1267">
                  <c:v>8.312944580000324E-2</c:v>
                </c:pt>
                <c:pt idx="1268">
                  <c:v>8.312944580000324E-2</c:v>
                </c:pt>
                <c:pt idx="1269">
                  <c:v>8.312944580000324E-2</c:v>
                </c:pt>
                <c:pt idx="1270">
                  <c:v>8.312944580000324E-2</c:v>
                </c:pt>
                <c:pt idx="1271">
                  <c:v>8.312944580000324E-2</c:v>
                </c:pt>
                <c:pt idx="1272">
                  <c:v>8.312944580000324E-2</c:v>
                </c:pt>
                <c:pt idx="1273">
                  <c:v>8.312944580000324E-2</c:v>
                </c:pt>
                <c:pt idx="1274">
                  <c:v>8.312944580000324E-2</c:v>
                </c:pt>
                <c:pt idx="1275">
                  <c:v>8.312944580000324E-2</c:v>
                </c:pt>
                <c:pt idx="1276">
                  <c:v>8.312944580000324E-2</c:v>
                </c:pt>
                <c:pt idx="1277">
                  <c:v>8.312944580000324E-2</c:v>
                </c:pt>
                <c:pt idx="1278">
                  <c:v>8.312944580000324E-2</c:v>
                </c:pt>
                <c:pt idx="1279">
                  <c:v>8.312944580000324E-2</c:v>
                </c:pt>
                <c:pt idx="1280">
                  <c:v>8.312944580000324E-2</c:v>
                </c:pt>
                <c:pt idx="1281">
                  <c:v>8.312944580000324E-2</c:v>
                </c:pt>
                <c:pt idx="1282">
                  <c:v>8.312944580000324E-2</c:v>
                </c:pt>
                <c:pt idx="1283">
                  <c:v>8.312944580000324E-2</c:v>
                </c:pt>
                <c:pt idx="1284">
                  <c:v>8.312944580000324E-2</c:v>
                </c:pt>
                <c:pt idx="1285">
                  <c:v>8.312944580000324E-2</c:v>
                </c:pt>
                <c:pt idx="1286">
                  <c:v>8.312944580000324E-2</c:v>
                </c:pt>
                <c:pt idx="1287">
                  <c:v>8.312944580000324E-2</c:v>
                </c:pt>
                <c:pt idx="1288">
                  <c:v>8.312944580000324E-2</c:v>
                </c:pt>
                <c:pt idx="1289">
                  <c:v>8.312944580000324E-2</c:v>
                </c:pt>
                <c:pt idx="1290">
                  <c:v>8.312944580000324E-2</c:v>
                </c:pt>
                <c:pt idx="1291">
                  <c:v>8.312944580000324E-2</c:v>
                </c:pt>
                <c:pt idx="1292">
                  <c:v>8.312944580000324E-2</c:v>
                </c:pt>
                <c:pt idx="1293">
                  <c:v>8.3129445900004081E-2</c:v>
                </c:pt>
                <c:pt idx="1294">
                  <c:v>8.3129446000003243E-2</c:v>
                </c:pt>
                <c:pt idx="1295">
                  <c:v>8.3129446000003243E-2</c:v>
                </c:pt>
                <c:pt idx="1296">
                  <c:v>8.3129446000003243E-2</c:v>
                </c:pt>
                <c:pt idx="1297">
                  <c:v>8.3129446000003243E-2</c:v>
                </c:pt>
                <c:pt idx="1298">
                  <c:v>8.3129446000003243E-2</c:v>
                </c:pt>
                <c:pt idx="1299">
                  <c:v>8.3129446000003243E-2</c:v>
                </c:pt>
                <c:pt idx="1300">
                  <c:v>8.3129446000003243E-2</c:v>
                </c:pt>
                <c:pt idx="1301">
                  <c:v>8.3129446000003243E-2</c:v>
                </c:pt>
                <c:pt idx="1302">
                  <c:v>8.3129446000003243E-2</c:v>
                </c:pt>
                <c:pt idx="1303">
                  <c:v>8.3129446000003243E-2</c:v>
                </c:pt>
                <c:pt idx="1304">
                  <c:v>8.3129446000003243E-2</c:v>
                </c:pt>
                <c:pt idx="1305">
                  <c:v>8.3165661600000745E-2</c:v>
                </c:pt>
                <c:pt idx="1306">
                  <c:v>8.5073121300000012E-2</c:v>
                </c:pt>
                <c:pt idx="1307">
                  <c:v>8.5237066700001266E-2</c:v>
                </c:pt>
                <c:pt idx="1308">
                  <c:v>8.5237983000000031E-2</c:v>
                </c:pt>
                <c:pt idx="1309">
                  <c:v>8.5238368800001268E-2</c:v>
                </c:pt>
                <c:pt idx="1310">
                  <c:v>8.5238610400000012E-2</c:v>
                </c:pt>
                <c:pt idx="1311">
                  <c:v>8.523881760000003E-2</c:v>
                </c:pt>
                <c:pt idx="1312">
                  <c:v>8.5238900400000026E-2</c:v>
                </c:pt>
                <c:pt idx="1313">
                  <c:v>8.5238934400000008E-2</c:v>
                </c:pt>
                <c:pt idx="1314">
                  <c:v>8.5238951600000001E-2</c:v>
                </c:pt>
                <c:pt idx="1315">
                  <c:v>8.5238953200000023E-2</c:v>
                </c:pt>
                <c:pt idx="1316">
                  <c:v>8.5238953200000023E-2</c:v>
                </c:pt>
                <c:pt idx="1317">
                  <c:v>8.5238953200000023E-2</c:v>
                </c:pt>
                <c:pt idx="1318">
                  <c:v>8.5238953200000023E-2</c:v>
                </c:pt>
                <c:pt idx="1319">
                  <c:v>8.5238953200000023E-2</c:v>
                </c:pt>
                <c:pt idx="1320">
                  <c:v>8.5238953200000023E-2</c:v>
                </c:pt>
                <c:pt idx="1321">
                  <c:v>8.5238953200000023E-2</c:v>
                </c:pt>
                <c:pt idx="1322">
                  <c:v>8.5238953200000023E-2</c:v>
                </c:pt>
                <c:pt idx="1323">
                  <c:v>8.5238953200000023E-2</c:v>
                </c:pt>
                <c:pt idx="1324">
                  <c:v>8.5238953200000023E-2</c:v>
                </c:pt>
                <c:pt idx="1325">
                  <c:v>8.5238953200000023E-2</c:v>
                </c:pt>
                <c:pt idx="1326">
                  <c:v>8.5238953200000023E-2</c:v>
                </c:pt>
                <c:pt idx="1327">
                  <c:v>8.5238953200000023E-2</c:v>
                </c:pt>
                <c:pt idx="1328">
                  <c:v>8.5238953200000023E-2</c:v>
                </c:pt>
                <c:pt idx="1329">
                  <c:v>8.5238953200000023E-2</c:v>
                </c:pt>
                <c:pt idx="1330">
                  <c:v>8.5238953200000023E-2</c:v>
                </c:pt>
                <c:pt idx="1331">
                  <c:v>8.5238953200000023E-2</c:v>
                </c:pt>
                <c:pt idx="1332">
                  <c:v>8.5238953200000023E-2</c:v>
                </c:pt>
                <c:pt idx="1333">
                  <c:v>8.5238953200000023E-2</c:v>
                </c:pt>
                <c:pt idx="1334">
                  <c:v>8.5238953200000023E-2</c:v>
                </c:pt>
                <c:pt idx="1335">
                  <c:v>8.5238953200000023E-2</c:v>
                </c:pt>
                <c:pt idx="1336">
                  <c:v>8.5238953200000023E-2</c:v>
                </c:pt>
                <c:pt idx="1337">
                  <c:v>8.5238953200000023E-2</c:v>
                </c:pt>
                <c:pt idx="1338">
                  <c:v>8.5238953200000023E-2</c:v>
                </c:pt>
                <c:pt idx="1339">
                  <c:v>8.5238953200000023E-2</c:v>
                </c:pt>
                <c:pt idx="1340">
                  <c:v>8.5238953200000023E-2</c:v>
                </c:pt>
                <c:pt idx="1341">
                  <c:v>8.5238953200000023E-2</c:v>
                </c:pt>
                <c:pt idx="1342">
                  <c:v>8.5238953200000023E-2</c:v>
                </c:pt>
                <c:pt idx="1343">
                  <c:v>8.5238953200000023E-2</c:v>
                </c:pt>
                <c:pt idx="1344">
                  <c:v>8.5238953200000023E-2</c:v>
                </c:pt>
                <c:pt idx="1345">
                  <c:v>8.5238953200000023E-2</c:v>
                </c:pt>
                <c:pt idx="1346">
                  <c:v>8.5238953200000023E-2</c:v>
                </c:pt>
                <c:pt idx="1347">
                  <c:v>8.5238953200000023E-2</c:v>
                </c:pt>
                <c:pt idx="1348">
                  <c:v>8.5238953200000023E-2</c:v>
                </c:pt>
                <c:pt idx="1349">
                  <c:v>8.5238953200000023E-2</c:v>
                </c:pt>
                <c:pt idx="1350">
                  <c:v>8.5238953200000023E-2</c:v>
                </c:pt>
                <c:pt idx="1351">
                  <c:v>8.5238953200000023E-2</c:v>
                </c:pt>
                <c:pt idx="1352">
                  <c:v>8.5238953200000023E-2</c:v>
                </c:pt>
                <c:pt idx="1353">
                  <c:v>8.5238953200000023E-2</c:v>
                </c:pt>
                <c:pt idx="1354">
                  <c:v>8.5238953200000023E-2</c:v>
                </c:pt>
                <c:pt idx="1355">
                  <c:v>8.5238953200000023E-2</c:v>
                </c:pt>
                <c:pt idx="1356">
                  <c:v>8.5238953200000023E-2</c:v>
                </c:pt>
                <c:pt idx="1357">
                  <c:v>8.5238953200000023E-2</c:v>
                </c:pt>
                <c:pt idx="1358">
                  <c:v>8.5238953200000023E-2</c:v>
                </c:pt>
                <c:pt idx="1359">
                  <c:v>8.5238953200000023E-2</c:v>
                </c:pt>
                <c:pt idx="1360">
                  <c:v>8.5238953200000023E-2</c:v>
                </c:pt>
                <c:pt idx="1361">
                  <c:v>8.5238953200000023E-2</c:v>
                </c:pt>
                <c:pt idx="1362">
                  <c:v>8.5238953200000023E-2</c:v>
                </c:pt>
                <c:pt idx="1363">
                  <c:v>8.5238953200000023E-2</c:v>
                </c:pt>
                <c:pt idx="1364">
                  <c:v>8.5238953200000023E-2</c:v>
                </c:pt>
                <c:pt idx="1365">
                  <c:v>8.5238953200000023E-2</c:v>
                </c:pt>
                <c:pt idx="1366">
                  <c:v>8.5238953200000023E-2</c:v>
                </c:pt>
                <c:pt idx="1367">
                  <c:v>8.5238953200000023E-2</c:v>
                </c:pt>
                <c:pt idx="1368">
                  <c:v>8.5238953200000023E-2</c:v>
                </c:pt>
                <c:pt idx="1369">
                  <c:v>8.5238953200000023E-2</c:v>
                </c:pt>
                <c:pt idx="1370">
                  <c:v>8.5238953200000023E-2</c:v>
                </c:pt>
                <c:pt idx="1371">
                  <c:v>8.5238953200000023E-2</c:v>
                </c:pt>
                <c:pt idx="1372">
                  <c:v>8.5238953200000023E-2</c:v>
                </c:pt>
                <c:pt idx="1373">
                  <c:v>8.5238953200000023E-2</c:v>
                </c:pt>
                <c:pt idx="1374">
                  <c:v>8.5238953200000023E-2</c:v>
                </c:pt>
                <c:pt idx="1375">
                  <c:v>8.5238953200000023E-2</c:v>
                </c:pt>
                <c:pt idx="1376">
                  <c:v>8.5238953200000023E-2</c:v>
                </c:pt>
                <c:pt idx="1377">
                  <c:v>8.5238953200000023E-2</c:v>
                </c:pt>
                <c:pt idx="1378">
                  <c:v>8.5238953200000023E-2</c:v>
                </c:pt>
                <c:pt idx="1379">
                  <c:v>8.5238953200000023E-2</c:v>
                </c:pt>
                <c:pt idx="1380">
                  <c:v>8.5238953200000023E-2</c:v>
                </c:pt>
                <c:pt idx="1381">
                  <c:v>8.5238953200000023E-2</c:v>
                </c:pt>
                <c:pt idx="1382">
                  <c:v>8.5238953200000023E-2</c:v>
                </c:pt>
                <c:pt idx="1383">
                  <c:v>8.5238953200000023E-2</c:v>
                </c:pt>
                <c:pt idx="1384">
                  <c:v>8.5238953200000023E-2</c:v>
                </c:pt>
                <c:pt idx="1385">
                  <c:v>8.5238953200000023E-2</c:v>
                </c:pt>
                <c:pt idx="1386">
                  <c:v>8.5238953200000023E-2</c:v>
                </c:pt>
                <c:pt idx="1387">
                  <c:v>8.5238953200000023E-2</c:v>
                </c:pt>
                <c:pt idx="1388">
                  <c:v>8.5238953200000023E-2</c:v>
                </c:pt>
                <c:pt idx="1389">
                  <c:v>8.5238953200000023E-2</c:v>
                </c:pt>
                <c:pt idx="1390">
                  <c:v>8.5238953200000023E-2</c:v>
                </c:pt>
                <c:pt idx="1391">
                  <c:v>8.5238953200000023E-2</c:v>
                </c:pt>
                <c:pt idx="1392">
                  <c:v>8.5238953200000023E-2</c:v>
                </c:pt>
                <c:pt idx="1393">
                  <c:v>8.5238953200000023E-2</c:v>
                </c:pt>
                <c:pt idx="1394">
                  <c:v>8.5238953200000023E-2</c:v>
                </c:pt>
                <c:pt idx="1395">
                  <c:v>8.5238953200000023E-2</c:v>
                </c:pt>
                <c:pt idx="1396">
                  <c:v>8.5238953200000023E-2</c:v>
                </c:pt>
                <c:pt idx="1397">
                  <c:v>8.5238953200000023E-2</c:v>
                </c:pt>
                <c:pt idx="1398">
                  <c:v>8.5238953200000023E-2</c:v>
                </c:pt>
                <c:pt idx="1399">
                  <c:v>8.5238953200000023E-2</c:v>
                </c:pt>
                <c:pt idx="1400">
                  <c:v>8.5238953200000023E-2</c:v>
                </c:pt>
                <c:pt idx="1401">
                  <c:v>8.5238953200000023E-2</c:v>
                </c:pt>
                <c:pt idx="1402">
                  <c:v>8.5238953200000023E-2</c:v>
                </c:pt>
                <c:pt idx="1403">
                  <c:v>8.5238953200000023E-2</c:v>
                </c:pt>
                <c:pt idx="1404">
                  <c:v>8.5238953200000023E-2</c:v>
                </c:pt>
                <c:pt idx="1405">
                  <c:v>8.5238953200000023E-2</c:v>
                </c:pt>
                <c:pt idx="1406">
                  <c:v>8.5238953200000023E-2</c:v>
                </c:pt>
                <c:pt idx="1407">
                  <c:v>8.5238953200000023E-2</c:v>
                </c:pt>
                <c:pt idx="1408">
                  <c:v>8.5238953200000023E-2</c:v>
                </c:pt>
                <c:pt idx="1409">
                  <c:v>8.5238953200000023E-2</c:v>
                </c:pt>
                <c:pt idx="1410">
                  <c:v>8.5238953200000023E-2</c:v>
                </c:pt>
                <c:pt idx="1411">
                  <c:v>8.5238953200000023E-2</c:v>
                </c:pt>
                <c:pt idx="1412">
                  <c:v>8.5238953200000023E-2</c:v>
                </c:pt>
                <c:pt idx="1413">
                  <c:v>8.5238953200000023E-2</c:v>
                </c:pt>
                <c:pt idx="1414">
                  <c:v>8.5238953200000023E-2</c:v>
                </c:pt>
                <c:pt idx="1415">
                  <c:v>8.5238953200000023E-2</c:v>
                </c:pt>
                <c:pt idx="1416">
                  <c:v>8.5238953200000023E-2</c:v>
                </c:pt>
                <c:pt idx="1417">
                  <c:v>8.5238953200000023E-2</c:v>
                </c:pt>
                <c:pt idx="1418">
                  <c:v>8.5238953200000023E-2</c:v>
                </c:pt>
                <c:pt idx="1419">
                  <c:v>8.5238953200000023E-2</c:v>
                </c:pt>
                <c:pt idx="1420">
                  <c:v>8.5238953200000023E-2</c:v>
                </c:pt>
                <c:pt idx="1421">
                  <c:v>8.5238953200000023E-2</c:v>
                </c:pt>
                <c:pt idx="1422">
                  <c:v>8.5238953200000023E-2</c:v>
                </c:pt>
                <c:pt idx="1423">
                  <c:v>8.5238953200000023E-2</c:v>
                </c:pt>
                <c:pt idx="1424">
                  <c:v>8.5238953200000023E-2</c:v>
                </c:pt>
                <c:pt idx="1425">
                  <c:v>8.5238953200000023E-2</c:v>
                </c:pt>
                <c:pt idx="1426">
                  <c:v>8.5238953200000023E-2</c:v>
                </c:pt>
                <c:pt idx="1427">
                  <c:v>8.5238953200000023E-2</c:v>
                </c:pt>
                <c:pt idx="1428">
                  <c:v>8.5238953200000023E-2</c:v>
                </c:pt>
                <c:pt idx="1429">
                  <c:v>8.5238953200000023E-2</c:v>
                </c:pt>
                <c:pt idx="1430">
                  <c:v>8.5238953200000023E-2</c:v>
                </c:pt>
                <c:pt idx="1431">
                  <c:v>8.5238953200000023E-2</c:v>
                </c:pt>
                <c:pt idx="1432">
                  <c:v>8.5238953200000023E-2</c:v>
                </c:pt>
                <c:pt idx="1433">
                  <c:v>8.5238953200000023E-2</c:v>
                </c:pt>
                <c:pt idx="1434">
                  <c:v>8.5238953200000023E-2</c:v>
                </c:pt>
                <c:pt idx="1435">
                  <c:v>8.5238953200000023E-2</c:v>
                </c:pt>
                <c:pt idx="1436">
                  <c:v>8.5238953200000023E-2</c:v>
                </c:pt>
                <c:pt idx="1437">
                  <c:v>8.5238953200000023E-2</c:v>
                </c:pt>
                <c:pt idx="1438">
                  <c:v>8.5238953200000023E-2</c:v>
                </c:pt>
                <c:pt idx="1439">
                  <c:v>8.5238953200000023E-2</c:v>
                </c:pt>
                <c:pt idx="1440">
                  <c:v>8.5238953200000023E-2</c:v>
                </c:pt>
                <c:pt idx="1441">
                  <c:v>8.5238953200000023E-2</c:v>
                </c:pt>
                <c:pt idx="1442">
                  <c:v>8.5238953200000023E-2</c:v>
                </c:pt>
                <c:pt idx="1443">
                  <c:v>8.5238953200000023E-2</c:v>
                </c:pt>
                <c:pt idx="1444">
                  <c:v>8.5238953200000023E-2</c:v>
                </c:pt>
                <c:pt idx="1445">
                  <c:v>8.5238953200000023E-2</c:v>
                </c:pt>
                <c:pt idx="1446">
                  <c:v>8.5238953200000023E-2</c:v>
                </c:pt>
                <c:pt idx="1447">
                  <c:v>8.5238953200000023E-2</c:v>
                </c:pt>
                <c:pt idx="1448">
                  <c:v>8.5238953200000023E-2</c:v>
                </c:pt>
                <c:pt idx="1449">
                  <c:v>8.5238953200000023E-2</c:v>
                </c:pt>
                <c:pt idx="1450">
                  <c:v>8.5238953200000023E-2</c:v>
                </c:pt>
                <c:pt idx="1451">
                  <c:v>8.5238953200000023E-2</c:v>
                </c:pt>
                <c:pt idx="1452">
                  <c:v>8.5238953200000023E-2</c:v>
                </c:pt>
                <c:pt idx="1453">
                  <c:v>8.5238953200000023E-2</c:v>
                </c:pt>
                <c:pt idx="1454">
                  <c:v>8.5238953200000023E-2</c:v>
                </c:pt>
                <c:pt idx="1455">
                  <c:v>8.5238953200000023E-2</c:v>
                </c:pt>
                <c:pt idx="1456">
                  <c:v>8.5238953200000023E-2</c:v>
                </c:pt>
                <c:pt idx="1457">
                  <c:v>8.5238953200000023E-2</c:v>
                </c:pt>
                <c:pt idx="1458">
                  <c:v>8.5238953200000023E-2</c:v>
                </c:pt>
                <c:pt idx="1459">
                  <c:v>8.5238953200000023E-2</c:v>
                </c:pt>
              </c:numCache>
            </c:numRef>
          </c:val>
        </c:ser>
        <c:ser>
          <c:idx val="1"/>
          <c:order val="1"/>
          <c:tx>
            <c:strRef>
              <c:f>'plot1-tc-par-djalk-sedpar-slope'!$T$1</c:f>
              <c:strCache>
                <c:ptCount val="1"/>
                <c:pt idx="0">
                  <c:v>CumulativeFieldBedload</c:v>
                </c:pt>
              </c:strCache>
            </c:strRef>
          </c:tx>
          <c:marker>
            <c:symbol val="none"/>
          </c:marker>
          <c:cat>
            <c:numRef>
              <c:f>'plot1-tc-par-djalk-sedpar-slope'!$R$2:$R$1461</c:f>
              <c:numCache>
                <c:formatCode>d/mm/yyyy</c:formatCode>
                <c:ptCount val="1460"/>
                <c:pt idx="0">
                  <c:v>40057</c:v>
                </c:pt>
                <c:pt idx="1">
                  <c:v>40058</c:v>
                </c:pt>
                <c:pt idx="2">
                  <c:v>40059</c:v>
                </c:pt>
                <c:pt idx="3">
                  <c:v>40060</c:v>
                </c:pt>
                <c:pt idx="4">
                  <c:v>40061</c:v>
                </c:pt>
                <c:pt idx="5">
                  <c:v>40062</c:v>
                </c:pt>
                <c:pt idx="6">
                  <c:v>40063</c:v>
                </c:pt>
                <c:pt idx="7">
                  <c:v>40064</c:v>
                </c:pt>
                <c:pt idx="8">
                  <c:v>40065</c:v>
                </c:pt>
                <c:pt idx="9">
                  <c:v>40066</c:v>
                </c:pt>
                <c:pt idx="10">
                  <c:v>40067</c:v>
                </c:pt>
                <c:pt idx="11">
                  <c:v>40068</c:v>
                </c:pt>
                <c:pt idx="12">
                  <c:v>40069</c:v>
                </c:pt>
                <c:pt idx="13">
                  <c:v>40070</c:v>
                </c:pt>
                <c:pt idx="14">
                  <c:v>40071</c:v>
                </c:pt>
                <c:pt idx="15">
                  <c:v>40072</c:v>
                </c:pt>
                <c:pt idx="16">
                  <c:v>40073</c:v>
                </c:pt>
                <c:pt idx="17">
                  <c:v>40074</c:v>
                </c:pt>
                <c:pt idx="18">
                  <c:v>40075</c:v>
                </c:pt>
                <c:pt idx="19">
                  <c:v>40076</c:v>
                </c:pt>
                <c:pt idx="20">
                  <c:v>40077</c:v>
                </c:pt>
                <c:pt idx="21">
                  <c:v>40078</c:v>
                </c:pt>
                <c:pt idx="22">
                  <c:v>40079</c:v>
                </c:pt>
                <c:pt idx="23">
                  <c:v>40080</c:v>
                </c:pt>
                <c:pt idx="24">
                  <c:v>40081</c:v>
                </c:pt>
                <c:pt idx="25">
                  <c:v>40082</c:v>
                </c:pt>
                <c:pt idx="26">
                  <c:v>40083</c:v>
                </c:pt>
                <c:pt idx="27">
                  <c:v>40084</c:v>
                </c:pt>
                <c:pt idx="28">
                  <c:v>40085</c:v>
                </c:pt>
                <c:pt idx="29">
                  <c:v>40086</c:v>
                </c:pt>
                <c:pt idx="30">
                  <c:v>40087</c:v>
                </c:pt>
                <c:pt idx="31">
                  <c:v>40088</c:v>
                </c:pt>
                <c:pt idx="32">
                  <c:v>40089</c:v>
                </c:pt>
                <c:pt idx="33">
                  <c:v>40090</c:v>
                </c:pt>
                <c:pt idx="34">
                  <c:v>40091</c:v>
                </c:pt>
                <c:pt idx="35">
                  <c:v>40092</c:v>
                </c:pt>
                <c:pt idx="36">
                  <c:v>40093</c:v>
                </c:pt>
                <c:pt idx="37">
                  <c:v>40094</c:v>
                </c:pt>
                <c:pt idx="38">
                  <c:v>40095</c:v>
                </c:pt>
                <c:pt idx="39">
                  <c:v>40096</c:v>
                </c:pt>
                <c:pt idx="40">
                  <c:v>40097</c:v>
                </c:pt>
                <c:pt idx="41">
                  <c:v>40098</c:v>
                </c:pt>
                <c:pt idx="42">
                  <c:v>40099</c:v>
                </c:pt>
                <c:pt idx="43">
                  <c:v>40100</c:v>
                </c:pt>
                <c:pt idx="44">
                  <c:v>40101</c:v>
                </c:pt>
                <c:pt idx="45">
                  <c:v>40102</c:v>
                </c:pt>
                <c:pt idx="46">
                  <c:v>40103</c:v>
                </c:pt>
                <c:pt idx="47">
                  <c:v>40104</c:v>
                </c:pt>
                <c:pt idx="48">
                  <c:v>40105</c:v>
                </c:pt>
                <c:pt idx="49">
                  <c:v>40106</c:v>
                </c:pt>
                <c:pt idx="50">
                  <c:v>40107</c:v>
                </c:pt>
                <c:pt idx="51">
                  <c:v>40108</c:v>
                </c:pt>
                <c:pt idx="52">
                  <c:v>40109</c:v>
                </c:pt>
                <c:pt idx="53">
                  <c:v>40110</c:v>
                </c:pt>
                <c:pt idx="54">
                  <c:v>40111</c:v>
                </c:pt>
                <c:pt idx="55">
                  <c:v>40112</c:v>
                </c:pt>
                <c:pt idx="56">
                  <c:v>40113</c:v>
                </c:pt>
                <c:pt idx="57">
                  <c:v>40114</c:v>
                </c:pt>
                <c:pt idx="58">
                  <c:v>40115</c:v>
                </c:pt>
                <c:pt idx="59">
                  <c:v>40116</c:v>
                </c:pt>
                <c:pt idx="60">
                  <c:v>40117</c:v>
                </c:pt>
                <c:pt idx="61">
                  <c:v>40118</c:v>
                </c:pt>
                <c:pt idx="62">
                  <c:v>40119</c:v>
                </c:pt>
                <c:pt idx="63">
                  <c:v>40120</c:v>
                </c:pt>
                <c:pt idx="64">
                  <c:v>40121</c:v>
                </c:pt>
                <c:pt idx="65">
                  <c:v>40122</c:v>
                </c:pt>
                <c:pt idx="66">
                  <c:v>40123</c:v>
                </c:pt>
                <c:pt idx="67">
                  <c:v>40124</c:v>
                </c:pt>
                <c:pt idx="68">
                  <c:v>40125</c:v>
                </c:pt>
                <c:pt idx="69">
                  <c:v>40126</c:v>
                </c:pt>
                <c:pt idx="70">
                  <c:v>40127</c:v>
                </c:pt>
                <c:pt idx="71">
                  <c:v>40128</c:v>
                </c:pt>
                <c:pt idx="72">
                  <c:v>40129</c:v>
                </c:pt>
                <c:pt idx="73">
                  <c:v>40130</c:v>
                </c:pt>
                <c:pt idx="74">
                  <c:v>40131</c:v>
                </c:pt>
                <c:pt idx="75">
                  <c:v>40132</c:v>
                </c:pt>
                <c:pt idx="76">
                  <c:v>40133</c:v>
                </c:pt>
                <c:pt idx="77">
                  <c:v>40134</c:v>
                </c:pt>
                <c:pt idx="78">
                  <c:v>40135</c:v>
                </c:pt>
                <c:pt idx="79">
                  <c:v>40136</c:v>
                </c:pt>
                <c:pt idx="80">
                  <c:v>40137</c:v>
                </c:pt>
                <c:pt idx="81">
                  <c:v>40138</c:v>
                </c:pt>
                <c:pt idx="82">
                  <c:v>40139</c:v>
                </c:pt>
                <c:pt idx="83">
                  <c:v>40140</c:v>
                </c:pt>
                <c:pt idx="84">
                  <c:v>40141</c:v>
                </c:pt>
                <c:pt idx="85">
                  <c:v>40142</c:v>
                </c:pt>
                <c:pt idx="86">
                  <c:v>40143</c:v>
                </c:pt>
                <c:pt idx="87">
                  <c:v>40144</c:v>
                </c:pt>
                <c:pt idx="88">
                  <c:v>40145</c:v>
                </c:pt>
                <c:pt idx="89">
                  <c:v>40146</c:v>
                </c:pt>
                <c:pt idx="90">
                  <c:v>40147</c:v>
                </c:pt>
                <c:pt idx="91">
                  <c:v>40148</c:v>
                </c:pt>
                <c:pt idx="92">
                  <c:v>40149</c:v>
                </c:pt>
                <c:pt idx="93">
                  <c:v>40150</c:v>
                </c:pt>
                <c:pt idx="94">
                  <c:v>40151</c:v>
                </c:pt>
                <c:pt idx="95">
                  <c:v>40152</c:v>
                </c:pt>
                <c:pt idx="96">
                  <c:v>40153</c:v>
                </c:pt>
                <c:pt idx="97">
                  <c:v>40154</c:v>
                </c:pt>
                <c:pt idx="98">
                  <c:v>40155</c:v>
                </c:pt>
                <c:pt idx="99">
                  <c:v>40156</c:v>
                </c:pt>
                <c:pt idx="100">
                  <c:v>40157</c:v>
                </c:pt>
                <c:pt idx="101">
                  <c:v>40158</c:v>
                </c:pt>
                <c:pt idx="102">
                  <c:v>40159</c:v>
                </c:pt>
                <c:pt idx="103">
                  <c:v>40160</c:v>
                </c:pt>
                <c:pt idx="104">
                  <c:v>40161</c:v>
                </c:pt>
                <c:pt idx="105">
                  <c:v>40162</c:v>
                </c:pt>
                <c:pt idx="106">
                  <c:v>40163</c:v>
                </c:pt>
                <c:pt idx="107">
                  <c:v>40164</c:v>
                </c:pt>
                <c:pt idx="108">
                  <c:v>40165</c:v>
                </c:pt>
                <c:pt idx="109">
                  <c:v>40166</c:v>
                </c:pt>
                <c:pt idx="110">
                  <c:v>40167</c:v>
                </c:pt>
                <c:pt idx="111">
                  <c:v>40168</c:v>
                </c:pt>
                <c:pt idx="112">
                  <c:v>40169</c:v>
                </c:pt>
                <c:pt idx="113">
                  <c:v>40170</c:v>
                </c:pt>
                <c:pt idx="114">
                  <c:v>40171</c:v>
                </c:pt>
                <c:pt idx="115">
                  <c:v>40172</c:v>
                </c:pt>
                <c:pt idx="116">
                  <c:v>40173</c:v>
                </c:pt>
                <c:pt idx="117">
                  <c:v>40174</c:v>
                </c:pt>
                <c:pt idx="118">
                  <c:v>40175</c:v>
                </c:pt>
                <c:pt idx="119">
                  <c:v>40176</c:v>
                </c:pt>
                <c:pt idx="120">
                  <c:v>40177</c:v>
                </c:pt>
                <c:pt idx="121">
                  <c:v>40178</c:v>
                </c:pt>
                <c:pt idx="122">
                  <c:v>40179</c:v>
                </c:pt>
                <c:pt idx="123">
                  <c:v>40180</c:v>
                </c:pt>
                <c:pt idx="124">
                  <c:v>40181</c:v>
                </c:pt>
                <c:pt idx="125">
                  <c:v>40182</c:v>
                </c:pt>
                <c:pt idx="126">
                  <c:v>40183</c:v>
                </c:pt>
                <c:pt idx="127">
                  <c:v>40184</c:v>
                </c:pt>
                <c:pt idx="128">
                  <c:v>40185</c:v>
                </c:pt>
                <c:pt idx="129">
                  <c:v>40186</c:v>
                </c:pt>
                <c:pt idx="130">
                  <c:v>40187</c:v>
                </c:pt>
                <c:pt idx="131">
                  <c:v>40188</c:v>
                </c:pt>
                <c:pt idx="132">
                  <c:v>40189</c:v>
                </c:pt>
                <c:pt idx="133">
                  <c:v>40190</c:v>
                </c:pt>
                <c:pt idx="134">
                  <c:v>40191</c:v>
                </c:pt>
                <c:pt idx="135">
                  <c:v>40192</c:v>
                </c:pt>
                <c:pt idx="136">
                  <c:v>40193</c:v>
                </c:pt>
                <c:pt idx="137">
                  <c:v>40194</c:v>
                </c:pt>
                <c:pt idx="138">
                  <c:v>40195</c:v>
                </c:pt>
                <c:pt idx="139">
                  <c:v>40196</c:v>
                </c:pt>
                <c:pt idx="140">
                  <c:v>40197</c:v>
                </c:pt>
                <c:pt idx="141">
                  <c:v>40198</c:v>
                </c:pt>
                <c:pt idx="142">
                  <c:v>40199</c:v>
                </c:pt>
                <c:pt idx="143">
                  <c:v>40200</c:v>
                </c:pt>
                <c:pt idx="144">
                  <c:v>40201</c:v>
                </c:pt>
                <c:pt idx="145">
                  <c:v>40202</c:v>
                </c:pt>
                <c:pt idx="146">
                  <c:v>40203</c:v>
                </c:pt>
                <c:pt idx="147">
                  <c:v>40204</c:v>
                </c:pt>
                <c:pt idx="148">
                  <c:v>40205</c:v>
                </c:pt>
                <c:pt idx="149">
                  <c:v>40206</c:v>
                </c:pt>
                <c:pt idx="150">
                  <c:v>40207</c:v>
                </c:pt>
                <c:pt idx="151">
                  <c:v>40208</c:v>
                </c:pt>
                <c:pt idx="152">
                  <c:v>40209</c:v>
                </c:pt>
                <c:pt idx="153">
                  <c:v>40210</c:v>
                </c:pt>
                <c:pt idx="154">
                  <c:v>40211</c:v>
                </c:pt>
                <c:pt idx="155">
                  <c:v>40212</c:v>
                </c:pt>
                <c:pt idx="156">
                  <c:v>40213</c:v>
                </c:pt>
                <c:pt idx="157">
                  <c:v>40214</c:v>
                </c:pt>
                <c:pt idx="158">
                  <c:v>40215</c:v>
                </c:pt>
                <c:pt idx="159">
                  <c:v>40216</c:v>
                </c:pt>
                <c:pt idx="160">
                  <c:v>40217</c:v>
                </c:pt>
                <c:pt idx="161">
                  <c:v>40218</c:v>
                </c:pt>
                <c:pt idx="162">
                  <c:v>40219</c:v>
                </c:pt>
                <c:pt idx="163">
                  <c:v>40220</c:v>
                </c:pt>
                <c:pt idx="164">
                  <c:v>40221</c:v>
                </c:pt>
                <c:pt idx="165">
                  <c:v>40222</c:v>
                </c:pt>
                <c:pt idx="166">
                  <c:v>40223</c:v>
                </c:pt>
                <c:pt idx="167">
                  <c:v>40224</c:v>
                </c:pt>
                <c:pt idx="168">
                  <c:v>40225</c:v>
                </c:pt>
                <c:pt idx="169">
                  <c:v>40226</c:v>
                </c:pt>
                <c:pt idx="170">
                  <c:v>40227</c:v>
                </c:pt>
                <c:pt idx="171">
                  <c:v>40228</c:v>
                </c:pt>
                <c:pt idx="172">
                  <c:v>40229</c:v>
                </c:pt>
                <c:pt idx="173">
                  <c:v>40230</c:v>
                </c:pt>
                <c:pt idx="174">
                  <c:v>40231</c:v>
                </c:pt>
                <c:pt idx="175">
                  <c:v>40232</c:v>
                </c:pt>
                <c:pt idx="176">
                  <c:v>40233</c:v>
                </c:pt>
                <c:pt idx="177">
                  <c:v>40234</c:v>
                </c:pt>
                <c:pt idx="178">
                  <c:v>40235</c:v>
                </c:pt>
                <c:pt idx="179">
                  <c:v>40236</c:v>
                </c:pt>
                <c:pt idx="180">
                  <c:v>40237</c:v>
                </c:pt>
                <c:pt idx="181">
                  <c:v>40238</c:v>
                </c:pt>
                <c:pt idx="182">
                  <c:v>40239</c:v>
                </c:pt>
                <c:pt idx="183">
                  <c:v>40240</c:v>
                </c:pt>
                <c:pt idx="184">
                  <c:v>40241</c:v>
                </c:pt>
                <c:pt idx="185">
                  <c:v>40242</c:v>
                </c:pt>
                <c:pt idx="186">
                  <c:v>40243</c:v>
                </c:pt>
                <c:pt idx="187">
                  <c:v>40244</c:v>
                </c:pt>
                <c:pt idx="188">
                  <c:v>40245</c:v>
                </c:pt>
                <c:pt idx="189">
                  <c:v>40246</c:v>
                </c:pt>
                <c:pt idx="190">
                  <c:v>40247</c:v>
                </c:pt>
                <c:pt idx="191">
                  <c:v>40248</c:v>
                </c:pt>
                <c:pt idx="192">
                  <c:v>40249</c:v>
                </c:pt>
                <c:pt idx="193">
                  <c:v>40250</c:v>
                </c:pt>
                <c:pt idx="194">
                  <c:v>40251</c:v>
                </c:pt>
                <c:pt idx="195">
                  <c:v>40252</c:v>
                </c:pt>
                <c:pt idx="196">
                  <c:v>40253</c:v>
                </c:pt>
                <c:pt idx="197">
                  <c:v>40254</c:v>
                </c:pt>
                <c:pt idx="198">
                  <c:v>40255</c:v>
                </c:pt>
                <c:pt idx="199">
                  <c:v>40256</c:v>
                </c:pt>
                <c:pt idx="200">
                  <c:v>40257</c:v>
                </c:pt>
                <c:pt idx="201">
                  <c:v>40258</c:v>
                </c:pt>
                <c:pt idx="202">
                  <c:v>40259</c:v>
                </c:pt>
                <c:pt idx="203">
                  <c:v>40260</c:v>
                </c:pt>
                <c:pt idx="204">
                  <c:v>40261</c:v>
                </c:pt>
                <c:pt idx="205">
                  <c:v>40262</c:v>
                </c:pt>
                <c:pt idx="206">
                  <c:v>40263</c:v>
                </c:pt>
                <c:pt idx="207">
                  <c:v>40264</c:v>
                </c:pt>
                <c:pt idx="208">
                  <c:v>40265</c:v>
                </c:pt>
                <c:pt idx="209">
                  <c:v>40266</c:v>
                </c:pt>
                <c:pt idx="210">
                  <c:v>40267</c:v>
                </c:pt>
                <c:pt idx="211">
                  <c:v>40268</c:v>
                </c:pt>
                <c:pt idx="212">
                  <c:v>40269</c:v>
                </c:pt>
                <c:pt idx="213">
                  <c:v>40270</c:v>
                </c:pt>
                <c:pt idx="214">
                  <c:v>40271</c:v>
                </c:pt>
                <c:pt idx="215">
                  <c:v>40272</c:v>
                </c:pt>
                <c:pt idx="216">
                  <c:v>40273</c:v>
                </c:pt>
                <c:pt idx="217">
                  <c:v>40274</c:v>
                </c:pt>
                <c:pt idx="218">
                  <c:v>40275</c:v>
                </c:pt>
                <c:pt idx="219">
                  <c:v>40276</c:v>
                </c:pt>
                <c:pt idx="220">
                  <c:v>40277</c:v>
                </c:pt>
                <c:pt idx="221">
                  <c:v>40278</c:v>
                </c:pt>
                <c:pt idx="222">
                  <c:v>40279</c:v>
                </c:pt>
                <c:pt idx="223">
                  <c:v>40280</c:v>
                </c:pt>
                <c:pt idx="224">
                  <c:v>40281</c:v>
                </c:pt>
                <c:pt idx="225">
                  <c:v>40282</c:v>
                </c:pt>
                <c:pt idx="226">
                  <c:v>40283</c:v>
                </c:pt>
                <c:pt idx="227">
                  <c:v>40284</c:v>
                </c:pt>
                <c:pt idx="228">
                  <c:v>40285</c:v>
                </c:pt>
                <c:pt idx="229">
                  <c:v>40286</c:v>
                </c:pt>
                <c:pt idx="230">
                  <c:v>40287</c:v>
                </c:pt>
                <c:pt idx="231">
                  <c:v>40288</c:v>
                </c:pt>
                <c:pt idx="232">
                  <c:v>40289</c:v>
                </c:pt>
                <c:pt idx="233">
                  <c:v>40290</c:v>
                </c:pt>
                <c:pt idx="234">
                  <c:v>40291</c:v>
                </c:pt>
                <c:pt idx="235">
                  <c:v>40292</c:v>
                </c:pt>
                <c:pt idx="236">
                  <c:v>40293</c:v>
                </c:pt>
                <c:pt idx="237">
                  <c:v>40294</c:v>
                </c:pt>
                <c:pt idx="238">
                  <c:v>40295</c:v>
                </c:pt>
                <c:pt idx="239">
                  <c:v>40296</c:v>
                </c:pt>
                <c:pt idx="240">
                  <c:v>40297</c:v>
                </c:pt>
                <c:pt idx="241">
                  <c:v>40298</c:v>
                </c:pt>
                <c:pt idx="242">
                  <c:v>40299</c:v>
                </c:pt>
                <c:pt idx="243">
                  <c:v>40300</c:v>
                </c:pt>
                <c:pt idx="244">
                  <c:v>40301</c:v>
                </c:pt>
                <c:pt idx="245">
                  <c:v>40302</c:v>
                </c:pt>
                <c:pt idx="246">
                  <c:v>40303</c:v>
                </c:pt>
                <c:pt idx="247">
                  <c:v>40304</c:v>
                </c:pt>
                <c:pt idx="248">
                  <c:v>40305</c:v>
                </c:pt>
                <c:pt idx="249">
                  <c:v>40306</c:v>
                </c:pt>
                <c:pt idx="250">
                  <c:v>40307</c:v>
                </c:pt>
                <c:pt idx="251">
                  <c:v>40308</c:v>
                </c:pt>
                <c:pt idx="252">
                  <c:v>40309</c:v>
                </c:pt>
                <c:pt idx="253">
                  <c:v>40310</c:v>
                </c:pt>
                <c:pt idx="254">
                  <c:v>40311</c:v>
                </c:pt>
                <c:pt idx="255">
                  <c:v>40312</c:v>
                </c:pt>
                <c:pt idx="256">
                  <c:v>40313</c:v>
                </c:pt>
                <c:pt idx="257">
                  <c:v>40314</c:v>
                </c:pt>
                <c:pt idx="258">
                  <c:v>40315</c:v>
                </c:pt>
                <c:pt idx="259">
                  <c:v>40316</c:v>
                </c:pt>
                <c:pt idx="260">
                  <c:v>40317</c:v>
                </c:pt>
                <c:pt idx="261">
                  <c:v>40318</c:v>
                </c:pt>
                <c:pt idx="262">
                  <c:v>40319</c:v>
                </c:pt>
                <c:pt idx="263">
                  <c:v>40320</c:v>
                </c:pt>
                <c:pt idx="264">
                  <c:v>40321</c:v>
                </c:pt>
                <c:pt idx="265">
                  <c:v>40322</c:v>
                </c:pt>
                <c:pt idx="266">
                  <c:v>40323</c:v>
                </c:pt>
                <c:pt idx="267">
                  <c:v>40324</c:v>
                </c:pt>
                <c:pt idx="268">
                  <c:v>40325</c:v>
                </c:pt>
                <c:pt idx="269">
                  <c:v>40326</c:v>
                </c:pt>
                <c:pt idx="270">
                  <c:v>40327</c:v>
                </c:pt>
                <c:pt idx="271">
                  <c:v>40328</c:v>
                </c:pt>
                <c:pt idx="272">
                  <c:v>40329</c:v>
                </c:pt>
                <c:pt idx="273">
                  <c:v>40330</c:v>
                </c:pt>
                <c:pt idx="274">
                  <c:v>40331</c:v>
                </c:pt>
                <c:pt idx="275">
                  <c:v>40332</c:v>
                </c:pt>
                <c:pt idx="276">
                  <c:v>40333</c:v>
                </c:pt>
                <c:pt idx="277">
                  <c:v>40334</c:v>
                </c:pt>
                <c:pt idx="278">
                  <c:v>40335</c:v>
                </c:pt>
                <c:pt idx="279">
                  <c:v>40336</c:v>
                </c:pt>
                <c:pt idx="280">
                  <c:v>40337</c:v>
                </c:pt>
                <c:pt idx="281">
                  <c:v>40338</c:v>
                </c:pt>
                <c:pt idx="282">
                  <c:v>40339</c:v>
                </c:pt>
                <c:pt idx="283">
                  <c:v>40340</c:v>
                </c:pt>
                <c:pt idx="284">
                  <c:v>40341</c:v>
                </c:pt>
                <c:pt idx="285">
                  <c:v>40342</c:v>
                </c:pt>
                <c:pt idx="286">
                  <c:v>40343</c:v>
                </c:pt>
                <c:pt idx="287">
                  <c:v>40344</c:v>
                </c:pt>
                <c:pt idx="288">
                  <c:v>40345</c:v>
                </c:pt>
                <c:pt idx="289">
                  <c:v>40346</c:v>
                </c:pt>
                <c:pt idx="290">
                  <c:v>40347</c:v>
                </c:pt>
                <c:pt idx="291">
                  <c:v>40348</c:v>
                </c:pt>
                <c:pt idx="292">
                  <c:v>40349</c:v>
                </c:pt>
                <c:pt idx="293">
                  <c:v>40350</c:v>
                </c:pt>
                <c:pt idx="294">
                  <c:v>40351</c:v>
                </c:pt>
                <c:pt idx="295">
                  <c:v>40352</c:v>
                </c:pt>
                <c:pt idx="296">
                  <c:v>40353</c:v>
                </c:pt>
                <c:pt idx="297">
                  <c:v>40354</c:v>
                </c:pt>
                <c:pt idx="298">
                  <c:v>40355</c:v>
                </c:pt>
                <c:pt idx="299">
                  <c:v>40356</c:v>
                </c:pt>
                <c:pt idx="300">
                  <c:v>40357</c:v>
                </c:pt>
                <c:pt idx="301">
                  <c:v>40358</c:v>
                </c:pt>
                <c:pt idx="302">
                  <c:v>40359</c:v>
                </c:pt>
                <c:pt idx="303">
                  <c:v>40360</c:v>
                </c:pt>
                <c:pt idx="304">
                  <c:v>40361</c:v>
                </c:pt>
                <c:pt idx="305">
                  <c:v>40362</c:v>
                </c:pt>
                <c:pt idx="306">
                  <c:v>40363</c:v>
                </c:pt>
                <c:pt idx="307">
                  <c:v>40364</c:v>
                </c:pt>
                <c:pt idx="308">
                  <c:v>40365</c:v>
                </c:pt>
                <c:pt idx="309">
                  <c:v>40366</c:v>
                </c:pt>
                <c:pt idx="310">
                  <c:v>40367</c:v>
                </c:pt>
                <c:pt idx="311">
                  <c:v>40368</c:v>
                </c:pt>
                <c:pt idx="312">
                  <c:v>40369</c:v>
                </c:pt>
                <c:pt idx="313">
                  <c:v>40370</c:v>
                </c:pt>
                <c:pt idx="314">
                  <c:v>40371</c:v>
                </c:pt>
                <c:pt idx="315">
                  <c:v>40372</c:v>
                </c:pt>
                <c:pt idx="316">
                  <c:v>40373</c:v>
                </c:pt>
                <c:pt idx="317">
                  <c:v>40374</c:v>
                </c:pt>
                <c:pt idx="318">
                  <c:v>40375</c:v>
                </c:pt>
                <c:pt idx="319">
                  <c:v>40376</c:v>
                </c:pt>
                <c:pt idx="320">
                  <c:v>40377</c:v>
                </c:pt>
                <c:pt idx="321">
                  <c:v>40378</c:v>
                </c:pt>
                <c:pt idx="322">
                  <c:v>40379</c:v>
                </c:pt>
                <c:pt idx="323">
                  <c:v>40380</c:v>
                </c:pt>
                <c:pt idx="324">
                  <c:v>40381</c:v>
                </c:pt>
                <c:pt idx="325">
                  <c:v>40382</c:v>
                </c:pt>
                <c:pt idx="326">
                  <c:v>40383</c:v>
                </c:pt>
                <c:pt idx="327">
                  <c:v>40384</c:v>
                </c:pt>
                <c:pt idx="328">
                  <c:v>40385</c:v>
                </c:pt>
                <c:pt idx="329">
                  <c:v>40386</c:v>
                </c:pt>
                <c:pt idx="330">
                  <c:v>40387</c:v>
                </c:pt>
                <c:pt idx="331">
                  <c:v>40388</c:v>
                </c:pt>
                <c:pt idx="332">
                  <c:v>40389</c:v>
                </c:pt>
                <c:pt idx="333">
                  <c:v>40390</c:v>
                </c:pt>
                <c:pt idx="334">
                  <c:v>40391</c:v>
                </c:pt>
                <c:pt idx="335">
                  <c:v>40392</c:v>
                </c:pt>
                <c:pt idx="336">
                  <c:v>40393</c:v>
                </c:pt>
                <c:pt idx="337">
                  <c:v>40394</c:v>
                </c:pt>
                <c:pt idx="338">
                  <c:v>40395</c:v>
                </c:pt>
                <c:pt idx="339">
                  <c:v>40396</c:v>
                </c:pt>
                <c:pt idx="340">
                  <c:v>40397</c:v>
                </c:pt>
                <c:pt idx="341">
                  <c:v>40398</c:v>
                </c:pt>
                <c:pt idx="342">
                  <c:v>40399</c:v>
                </c:pt>
                <c:pt idx="343">
                  <c:v>40400</c:v>
                </c:pt>
                <c:pt idx="344">
                  <c:v>40401</c:v>
                </c:pt>
                <c:pt idx="345">
                  <c:v>40402</c:v>
                </c:pt>
                <c:pt idx="346">
                  <c:v>40403</c:v>
                </c:pt>
                <c:pt idx="347">
                  <c:v>40404</c:v>
                </c:pt>
                <c:pt idx="348">
                  <c:v>40405</c:v>
                </c:pt>
                <c:pt idx="349">
                  <c:v>40406</c:v>
                </c:pt>
                <c:pt idx="350">
                  <c:v>40407</c:v>
                </c:pt>
                <c:pt idx="351">
                  <c:v>40408</c:v>
                </c:pt>
                <c:pt idx="352">
                  <c:v>40409</c:v>
                </c:pt>
                <c:pt idx="353">
                  <c:v>40410</c:v>
                </c:pt>
                <c:pt idx="354">
                  <c:v>40411</c:v>
                </c:pt>
                <c:pt idx="355">
                  <c:v>40412</c:v>
                </c:pt>
                <c:pt idx="356">
                  <c:v>40413</c:v>
                </c:pt>
                <c:pt idx="357">
                  <c:v>40414</c:v>
                </c:pt>
                <c:pt idx="358">
                  <c:v>40415</c:v>
                </c:pt>
                <c:pt idx="359">
                  <c:v>40416</c:v>
                </c:pt>
                <c:pt idx="360">
                  <c:v>40417</c:v>
                </c:pt>
                <c:pt idx="361">
                  <c:v>40418</c:v>
                </c:pt>
                <c:pt idx="362">
                  <c:v>40419</c:v>
                </c:pt>
                <c:pt idx="363">
                  <c:v>40420</c:v>
                </c:pt>
                <c:pt idx="364">
                  <c:v>40421</c:v>
                </c:pt>
                <c:pt idx="365">
                  <c:v>40422</c:v>
                </c:pt>
                <c:pt idx="366">
                  <c:v>40423</c:v>
                </c:pt>
                <c:pt idx="367">
                  <c:v>40424</c:v>
                </c:pt>
                <c:pt idx="368">
                  <c:v>40425</c:v>
                </c:pt>
                <c:pt idx="369">
                  <c:v>40426</c:v>
                </c:pt>
                <c:pt idx="370">
                  <c:v>40427</c:v>
                </c:pt>
                <c:pt idx="371">
                  <c:v>40428</c:v>
                </c:pt>
                <c:pt idx="372">
                  <c:v>40429</c:v>
                </c:pt>
                <c:pt idx="373">
                  <c:v>40430</c:v>
                </c:pt>
                <c:pt idx="374">
                  <c:v>40431</c:v>
                </c:pt>
                <c:pt idx="375">
                  <c:v>40432</c:v>
                </c:pt>
                <c:pt idx="376">
                  <c:v>40433</c:v>
                </c:pt>
                <c:pt idx="377">
                  <c:v>40434</c:v>
                </c:pt>
                <c:pt idx="378">
                  <c:v>40435</c:v>
                </c:pt>
                <c:pt idx="379">
                  <c:v>40436</c:v>
                </c:pt>
                <c:pt idx="380">
                  <c:v>40437</c:v>
                </c:pt>
                <c:pt idx="381">
                  <c:v>40438</c:v>
                </c:pt>
                <c:pt idx="382">
                  <c:v>40439</c:v>
                </c:pt>
                <c:pt idx="383">
                  <c:v>40440</c:v>
                </c:pt>
                <c:pt idx="384">
                  <c:v>40441</c:v>
                </c:pt>
                <c:pt idx="385">
                  <c:v>40442</c:v>
                </c:pt>
                <c:pt idx="386">
                  <c:v>40443</c:v>
                </c:pt>
                <c:pt idx="387">
                  <c:v>40444</c:v>
                </c:pt>
                <c:pt idx="388">
                  <c:v>40445</c:v>
                </c:pt>
                <c:pt idx="389">
                  <c:v>40446</c:v>
                </c:pt>
                <c:pt idx="390">
                  <c:v>40447</c:v>
                </c:pt>
                <c:pt idx="391">
                  <c:v>40448</c:v>
                </c:pt>
                <c:pt idx="392">
                  <c:v>40449</c:v>
                </c:pt>
                <c:pt idx="393">
                  <c:v>40450</c:v>
                </c:pt>
                <c:pt idx="394">
                  <c:v>40451</c:v>
                </c:pt>
                <c:pt idx="395">
                  <c:v>40452</c:v>
                </c:pt>
                <c:pt idx="396">
                  <c:v>40453</c:v>
                </c:pt>
                <c:pt idx="397">
                  <c:v>40454</c:v>
                </c:pt>
                <c:pt idx="398">
                  <c:v>40455</c:v>
                </c:pt>
                <c:pt idx="399">
                  <c:v>40456</c:v>
                </c:pt>
                <c:pt idx="400">
                  <c:v>40457</c:v>
                </c:pt>
                <c:pt idx="401">
                  <c:v>40458</c:v>
                </c:pt>
                <c:pt idx="402">
                  <c:v>40459</c:v>
                </c:pt>
                <c:pt idx="403">
                  <c:v>40460</c:v>
                </c:pt>
                <c:pt idx="404">
                  <c:v>40461</c:v>
                </c:pt>
                <c:pt idx="405">
                  <c:v>40462</c:v>
                </c:pt>
                <c:pt idx="406">
                  <c:v>40463</c:v>
                </c:pt>
                <c:pt idx="407">
                  <c:v>40464</c:v>
                </c:pt>
                <c:pt idx="408">
                  <c:v>40465</c:v>
                </c:pt>
                <c:pt idx="409">
                  <c:v>40466</c:v>
                </c:pt>
                <c:pt idx="410">
                  <c:v>40467</c:v>
                </c:pt>
                <c:pt idx="411">
                  <c:v>40468</c:v>
                </c:pt>
                <c:pt idx="412">
                  <c:v>40469</c:v>
                </c:pt>
                <c:pt idx="413">
                  <c:v>40470</c:v>
                </c:pt>
                <c:pt idx="414">
                  <c:v>40471</c:v>
                </c:pt>
                <c:pt idx="415">
                  <c:v>40472</c:v>
                </c:pt>
                <c:pt idx="416">
                  <c:v>40473</c:v>
                </c:pt>
                <c:pt idx="417">
                  <c:v>40474</c:v>
                </c:pt>
                <c:pt idx="418">
                  <c:v>40475</c:v>
                </c:pt>
                <c:pt idx="419">
                  <c:v>40476</c:v>
                </c:pt>
                <c:pt idx="420">
                  <c:v>40477</c:v>
                </c:pt>
                <c:pt idx="421">
                  <c:v>40478</c:v>
                </c:pt>
                <c:pt idx="422">
                  <c:v>40479</c:v>
                </c:pt>
                <c:pt idx="423">
                  <c:v>40480</c:v>
                </c:pt>
                <c:pt idx="424">
                  <c:v>40481</c:v>
                </c:pt>
                <c:pt idx="425">
                  <c:v>40482</c:v>
                </c:pt>
                <c:pt idx="426">
                  <c:v>40483</c:v>
                </c:pt>
                <c:pt idx="427">
                  <c:v>40484</c:v>
                </c:pt>
                <c:pt idx="428">
                  <c:v>40485</c:v>
                </c:pt>
                <c:pt idx="429">
                  <c:v>40486</c:v>
                </c:pt>
                <c:pt idx="430">
                  <c:v>40487</c:v>
                </c:pt>
                <c:pt idx="431">
                  <c:v>40488</c:v>
                </c:pt>
                <c:pt idx="432">
                  <c:v>40489</c:v>
                </c:pt>
                <c:pt idx="433">
                  <c:v>40490</c:v>
                </c:pt>
                <c:pt idx="434">
                  <c:v>40491</c:v>
                </c:pt>
                <c:pt idx="435">
                  <c:v>40492</c:v>
                </c:pt>
                <c:pt idx="436">
                  <c:v>40493</c:v>
                </c:pt>
                <c:pt idx="437">
                  <c:v>40494</c:v>
                </c:pt>
                <c:pt idx="438">
                  <c:v>40495</c:v>
                </c:pt>
                <c:pt idx="439">
                  <c:v>40496</c:v>
                </c:pt>
                <c:pt idx="440">
                  <c:v>40497</c:v>
                </c:pt>
                <c:pt idx="441">
                  <c:v>40498</c:v>
                </c:pt>
                <c:pt idx="442">
                  <c:v>40499</c:v>
                </c:pt>
                <c:pt idx="443">
                  <c:v>40500</c:v>
                </c:pt>
                <c:pt idx="444">
                  <c:v>40501</c:v>
                </c:pt>
                <c:pt idx="445">
                  <c:v>40502</c:v>
                </c:pt>
                <c:pt idx="446">
                  <c:v>40503</c:v>
                </c:pt>
                <c:pt idx="447">
                  <c:v>40504</c:v>
                </c:pt>
                <c:pt idx="448">
                  <c:v>40505</c:v>
                </c:pt>
                <c:pt idx="449">
                  <c:v>40506</c:v>
                </c:pt>
                <c:pt idx="450">
                  <c:v>40507</c:v>
                </c:pt>
                <c:pt idx="451">
                  <c:v>40508</c:v>
                </c:pt>
                <c:pt idx="452">
                  <c:v>40509</c:v>
                </c:pt>
                <c:pt idx="453">
                  <c:v>40510</c:v>
                </c:pt>
                <c:pt idx="454">
                  <c:v>40511</c:v>
                </c:pt>
                <c:pt idx="455">
                  <c:v>40512</c:v>
                </c:pt>
                <c:pt idx="456">
                  <c:v>40513</c:v>
                </c:pt>
                <c:pt idx="457">
                  <c:v>40514</c:v>
                </c:pt>
                <c:pt idx="458">
                  <c:v>40515</c:v>
                </c:pt>
                <c:pt idx="459">
                  <c:v>40516</c:v>
                </c:pt>
                <c:pt idx="460">
                  <c:v>40517</c:v>
                </c:pt>
                <c:pt idx="461">
                  <c:v>40518</c:v>
                </c:pt>
                <c:pt idx="462">
                  <c:v>40519</c:v>
                </c:pt>
                <c:pt idx="463">
                  <c:v>40520</c:v>
                </c:pt>
                <c:pt idx="464">
                  <c:v>40521</c:v>
                </c:pt>
                <c:pt idx="465">
                  <c:v>40522</c:v>
                </c:pt>
                <c:pt idx="466">
                  <c:v>40523</c:v>
                </c:pt>
                <c:pt idx="467">
                  <c:v>40524</c:v>
                </c:pt>
                <c:pt idx="468">
                  <c:v>40525</c:v>
                </c:pt>
                <c:pt idx="469">
                  <c:v>40526</c:v>
                </c:pt>
                <c:pt idx="470">
                  <c:v>40527</c:v>
                </c:pt>
                <c:pt idx="471">
                  <c:v>40528</c:v>
                </c:pt>
                <c:pt idx="472">
                  <c:v>40529</c:v>
                </c:pt>
                <c:pt idx="473">
                  <c:v>40530</c:v>
                </c:pt>
                <c:pt idx="474">
                  <c:v>40531</c:v>
                </c:pt>
                <c:pt idx="475">
                  <c:v>40532</c:v>
                </c:pt>
                <c:pt idx="476">
                  <c:v>40533</c:v>
                </c:pt>
                <c:pt idx="477">
                  <c:v>40534</c:v>
                </c:pt>
                <c:pt idx="478">
                  <c:v>40535</c:v>
                </c:pt>
                <c:pt idx="479">
                  <c:v>40536</c:v>
                </c:pt>
                <c:pt idx="480">
                  <c:v>40537</c:v>
                </c:pt>
                <c:pt idx="481">
                  <c:v>40538</c:v>
                </c:pt>
                <c:pt idx="482">
                  <c:v>40539</c:v>
                </c:pt>
                <c:pt idx="483">
                  <c:v>40540</c:v>
                </c:pt>
                <c:pt idx="484">
                  <c:v>40541</c:v>
                </c:pt>
                <c:pt idx="485">
                  <c:v>40542</c:v>
                </c:pt>
                <c:pt idx="486">
                  <c:v>40543</c:v>
                </c:pt>
                <c:pt idx="487">
                  <c:v>40544</c:v>
                </c:pt>
                <c:pt idx="488">
                  <c:v>40545</c:v>
                </c:pt>
                <c:pt idx="489">
                  <c:v>40546</c:v>
                </c:pt>
                <c:pt idx="490">
                  <c:v>40547</c:v>
                </c:pt>
                <c:pt idx="491">
                  <c:v>40548</c:v>
                </c:pt>
                <c:pt idx="492">
                  <c:v>40549</c:v>
                </c:pt>
                <c:pt idx="493">
                  <c:v>40550</c:v>
                </c:pt>
                <c:pt idx="494">
                  <c:v>40551</c:v>
                </c:pt>
                <c:pt idx="495">
                  <c:v>40552</c:v>
                </c:pt>
                <c:pt idx="496">
                  <c:v>40553</c:v>
                </c:pt>
                <c:pt idx="497">
                  <c:v>40554</c:v>
                </c:pt>
                <c:pt idx="498">
                  <c:v>40555</c:v>
                </c:pt>
                <c:pt idx="499">
                  <c:v>40556</c:v>
                </c:pt>
                <c:pt idx="500">
                  <c:v>40557</c:v>
                </c:pt>
                <c:pt idx="501">
                  <c:v>40558</c:v>
                </c:pt>
                <c:pt idx="502">
                  <c:v>40559</c:v>
                </c:pt>
                <c:pt idx="503">
                  <c:v>40560</c:v>
                </c:pt>
                <c:pt idx="504">
                  <c:v>40561</c:v>
                </c:pt>
                <c:pt idx="505">
                  <c:v>40562</c:v>
                </c:pt>
                <c:pt idx="506">
                  <c:v>40563</c:v>
                </c:pt>
                <c:pt idx="507">
                  <c:v>40564</c:v>
                </c:pt>
                <c:pt idx="508">
                  <c:v>40565</c:v>
                </c:pt>
                <c:pt idx="509">
                  <c:v>40566</c:v>
                </c:pt>
                <c:pt idx="510">
                  <c:v>40567</c:v>
                </c:pt>
                <c:pt idx="511">
                  <c:v>40568</c:v>
                </c:pt>
                <c:pt idx="512">
                  <c:v>40569</c:v>
                </c:pt>
                <c:pt idx="513">
                  <c:v>40570</c:v>
                </c:pt>
                <c:pt idx="514">
                  <c:v>40571</c:v>
                </c:pt>
                <c:pt idx="515">
                  <c:v>40572</c:v>
                </c:pt>
                <c:pt idx="516">
                  <c:v>40573</c:v>
                </c:pt>
                <c:pt idx="517">
                  <c:v>40574</c:v>
                </c:pt>
                <c:pt idx="518">
                  <c:v>40575</c:v>
                </c:pt>
                <c:pt idx="519">
                  <c:v>40576</c:v>
                </c:pt>
                <c:pt idx="520">
                  <c:v>40577</c:v>
                </c:pt>
                <c:pt idx="521">
                  <c:v>40578</c:v>
                </c:pt>
                <c:pt idx="522">
                  <c:v>40579</c:v>
                </c:pt>
                <c:pt idx="523">
                  <c:v>40580</c:v>
                </c:pt>
                <c:pt idx="524">
                  <c:v>40581</c:v>
                </c:pt>
                <c:pt idx="525">
                  <c:v>40582</c:v>
                </c:pt>
                <c:pt idx="526">
                  <c:v>40583</c:v>
                </c:pt>
                <c:pt idx="527">
                  <c:v>40584</c:v>
                </c:pt>
                <c:pt idx="528">
                  <c:v>40585</c:v>
                </c:pt>
                <c:pt idx="529">
                  <c:v>40586</c:v>
                </c:pt>
                <c:pt idx="530">
                  <c:v>40587</c:v>
                </c:pt>
                <c:pt idx="531">
                  <c:v>40588</c:v>
                </c:pt>
                <c:pt idx="532">
                  <c:v>40589</c:v>
                </c:pt>
                <c:pt idx="533">
                  <c:v>40590</c:v>
                </c:pt>
                <c:pt idx="534">
                  <c:v>40591</c:v>
                </c:pt>
                <c:pt idx="535">
                  <c:v>40592</c:v>
                </c:pt>
                <c:pt idx="536">
                  <c:v>40593</c:v>
                </c:pt>
                <c:pt idx="537">
                  <c:v>40594</c:v>
                </c:pt>
                <c:pt idx="538">
                  <c:v>40595</c:v>
                </c:pt>
                <c:pt idx="539">
                  <c:v>40596</c:v>
                </c:pt>
                <c:pt idx="540">
                  <c:v>40597</c:v>
                </c:pt>
                <c:pt idx="541">
                  <c:v>40598</c:v>
                </c:pt>
                <c:pt idx="542">
                  <c:v>40599</c:v>
                </c:pt>
                <c:pt idx="543">
                  <c:v>40600</c:v>
                </c:pt>
                <c:pt idx="544">
                  <c:v>40601</c:v>
                </c:pt>
                <c:pt idx="545">
                  <c:v>40602</c:v>
                </c:pt>
                <c:pt idx="546">
                  <c:v>40603</c:v>
                </c:pt>
                <c:pt idx="547">
                  <c:v>40604</c:v>
                </c:pt>
                <c:pt idx="548">
                  <c:v>40605</c:v>
                </c:pt>
                <c:pt idx="549">
                  <c:v>40606</c:v>
                </c:pt>
                <c:pt idx="550">
                  <c:v>40607</c:v>
                </c:pt>
                <c:pt idx="551">
                  <c:v>40608</c:v>
                </c:pt>
                <c:pt idx="552">
                  <c:v>40609</c:v>
                </c:pt>
                <c:pt idx="553">
                  <c:v>40610</c:v>
                </c:pt>
                <c:pt idx="554">
                  <c:v>40611</c:v>
                </c:pt>
                <c:pt idx="555">
                  <c:v>40612</c:v>
                </c:pt>
                <c:pt idx="556">
                  <c:v>40613</c:v>
                </c:pt>
                <c:pt idx="557">
                  <c:v>40614</c:v>
                </c:pt>
                <c:pt idx="558">
                  <c:v>40615</c:v>
                </c:pt>
                <c:pt idx="559">
                  <c:v>40616</c:v>
                </c:pt>
                <c:pt idx="560">
                  <c:v>40617</c:v>
                </c:pt>
                <c:pt idx="561">
                  <c:v>40618</c:v>
                </c:pt>
                <c:pt idx="562">
                  <c:v>40619</c:v>
                </c:pt>
                <c:pt idx="563">
                  <c:v>40620</c:v>
                </c:pt>
                <c:pt idx="564">
                  <c:v>40621</c:v>
                </c:pt>
                <c:pt idx="565">
                  <c:v>40622</c:v>
                </c:pt>
                <c:pt idx="566">
                  <c:v>40623</c:v>
                </c:pt>
                <c:pt idx="567">
                  <c:v>40624</c:v>
                </c:pt>
                <c:pt idx="568">
                  <c:v>40625</c:v>
                </c:pt>
                <c:pt idx="569">
                  <c:v>40626</c:v>
                </c:pt>
                <c:pt idx="570">
                  <c:v>40627</c:v>
                </c:pt>
                <c:pt idx="571">
                  <c:v>40628</c:v>
                </c:pt>
                <c:pt idx="572">
                  <c:v>40629</c:v>
                </c:pt>
                <c:pt idx="573">
                  <c:v>40630</c:v>
                </c:pt>
                <c:pt idx="574">
                  <c:v>40631</c:v>
                </c:pt>
                <c:pt idx="575">
                  <c:v>40632</c:v>
                </c:pt>
                <c:pt idx="576">
                  <c:v>40633</c:v>
                </c:pt>
                <c:pt idx="577">
                  <c:v>40634</c:v>
                </c:pt>
                <c:pt idx="578">
                  <c:v>40635</c:v>
                </c:pt>
                <c:pt idx="579">
                  <c:v>40636</c:v>
                </c:pt>
                <c:pt idx="580">
                  <c:v>40637</c:v>
                </c:pt>
                <c:pt idx="581">
                  <c:v>40638</c:v>
                </c:pt>
                <c:pt idx="582">
                  <c:v>40639</c:v>
                </c:pt>
                <c:pt idx="583">
                  <c:v>40640</c:v>
                </c:pt>
                <c:pt idx="584">
                  <c:v>40641</c:v>
                </c:pt>
                <c:pt idx="585">
                  <c:v>40642</c:v>
                </c:pt>
                <c:pt idx="586">
                  <c:v>40643</c:v>
                </c:pt>
                <c:pt idx="587">
                  <c:v>40644</c:v>
                </c:pt>
                <c:pt idx="588">
                  <c:v>40645</c:v>
                </c:pt>
                <c:pt idx="589">
                  <c:v>40646</c:v>
                </c:pt>
                <c:pt idx="590">
                  <c:v>40647</c:v>
                </c:pt>
                <c:pt idx="591">
                  <c:v>40648</c:v>
                </c:pt>
                <c:pt idx="592">
                  <c:v>40649</c:v>
                </c:pt>
                <c:pt idx="593">
                  <c:v>40650</c:v>
                </c:pt>
                <c:pt idx="594">
                  <c:v>40651</c:v>
                </c:pt>
                <c:pt idx="595">
                  <c:v>40652</c:v>
                </c:pt>
                <c:pt idx="596">
                  <c:v>40653</c:v>
                </c:pt>
                <c:pt idx="597">
                  <c:v>40654</c:v>
                </c:pt>
                <c:pt idx="598">
                  <c:v>40655</c:v>
                </c:pt>
                <c:pt idx="599">
                  <c:v>40656</c:v>
                </c:pt>
                <c:pt idx="600">
                  <c:v>40657</c:v>
                </c:pt>
                <c:pt idx="601">
                  <c:v>40658</c:v>
                </c:pt>
                <c:pt idx="602">
                  <c:v>40659</c:v>
                </c:pt>
                <c:pt idx="603">
                  <c:v>40660</c:v>
                </c:pt>
                <c:pt idx="604">
                  <c:v>40661</c:v>
                </c:pt>
                <c:pt idx="605">
                  <c:v>40662</c:v>
                </c:pt>
                <c:pt idx="606">
                  <c:v>40663</c:v>
                </c:pt>
                <c:pt idx="607">
                  <c:v>40664</c:v>
                </c:pt>
                <c:pt idx="608">
                  <c:v>40665</c:v>
                </c:pt>
                <c:pt idx="609">
                  <c:v>40666</c:v>
                </c:pt>
                <c:pt idx="610">
                  <c:v>40667</c:v>
                </c:pt>
                <c:pt idx="611">
                  <c:v>40668</c:v>
                </c:pt>
                <c:pt idx="612">
                  <c:v>40669</c:v>
                </c:pt>
                <c:pt idx="613">
                  <c:v>40670</c:v>
                </c:pt>
                <c:pt idx="614">
                  <c:v>40671</c:v>
                </c:pt>
                <c:pt idx="615">
                  <c:v>40672</c:v>
                </c:pt>
                <c:pt idx="616">
                  <c:v>40673</c:v>
                </c:pt>
                <c:pt idx="617">
                  <c:v>40674</c:v>
                </c:pt>
                <c:pt idx="618">
                  <c:v>40675</c:v>
                </c:pt>
                <c:pt idx="619">
                  <c:v>40676</c:v>
                </c:pt>
                <c:pt idx="620">
                  <c:v>40677</c:v>
                </c:pt>
                <c:pt idx="621">
                  <c:v>40678</c:v>
                </c:pt>
                <c:pt idx="622">
                  <c:v>40679</c:v>
                </c:pt>
                <c:pt idx="623">
                  <c:v>40680</c:v>
                </c:pt>
                <c:pt idx="624">
                  <c:v>40681</c:v>
                </c:pt>
                <c:pt idx="625">
                  <c:v>40682</c:v>
                </c:pt>
                <c:pt idx="626">
                  <c:v>40683</c:v>
                </c:pt>
                <c:pt idx="627">
                  <c:v>40684</c:v>
                </c:pt>
                <c:pt idx="628">
                  <c:v>40685</c:v>
                </c:pt>
                <c:pt idx="629">
                  <c:v>40686</c:v>
                </c:pt>
                <c:pt idx="630">
                  <c:v>40687</c:v>
                </c:pt>
                <c:pt idx="631">
                  <c:v>40688</c:v>
                </c:pt>
                <c:pt idx="632">
                  <c:v>40689</c:v>
                </c:pt>
                <c:pt idx="633">
                  <c:v>40690</c:v>
                </c:pt>
                <c:pt idx="634">
                  <c:v>40691</c:v>
                </c:pt>
                <c:pt idx="635">
                  <c:v>40692</c:v>
                </c:pt>
                <c:pt idx="636">
                  <c:v>40693</c:v>
                </c:pt>
                <c:pt idx="637">
                  <c:v>40694</c:v>
                </c:pt>
                <c:pt idx="638">
                  <c:v>40695</c:v>
                </c:pt>
                <c:pt idx="639">
                  <c:v>40696</c:v>
                </c:pt>
                <c:pt idx="640">
                  <c:v>40697</c:v>
                </c:pt>
                <c:pt idx="641">
                  <c:v>40698</c:v>
                </c:pt>
                <c:pt idx="642">
                  <c:v>40699</c:v>
                </c:pt>
                <c:pt idx="643">
                  <c:v>40700</c:v>
                </c:pt>
                <c:pt idx="644">
                  <c:v>40701</c:v>
                </c:pt>
                <c:pt idx="645">
                  <c:v>40702</c:v>
                </c:pt>
                <c:pt idx="646">
                  <c:v>40703</c:v>
                </c:pt>
                <c:pt idx="647">
                  <c:v>40704</c:v>
                </c:pt>
                <c:pt idx="648">
                  <c:v>40705</c:v>
                </c:pt>
                <c:pt idx="649">
                  <c:v>40706</c:v>
                </c:pt>
                <c:pt idx="650">
                  <c:v>40707</c:v>
                </c:pt>
                <c:pt idx="651">
                  <c:v>40708</c:v>
                </c:pt>
                <c:pt idx="652">
                  <c:v>40709</c:v>
                </c:pt>
                <c:pt idx="653">
                  <c:v>40710</c:v>
                </c:pt>
                <c:pt idx="654">
                  <c:v>40711</c:v>
                </c:pt>
                <c:pt idx="655">
                  <c:v>40712</c:v>
                </c:pt>
                <c:pt idx="656">
                  <c:v>40713</c:v>
                </c:pt>
                <c:pt idx="657">
                  <c:v>40714</c:v>
                </c:pt>
                <c:pt idx="658">
                  <c:v>40715</c:v>
                </c:pt>
                <c:pt idx="659">
                  <c:v>40716</c:v>
                </c:pt>
                <c:pt idx="660">
                  <c:v>40717</c:v>
                </c:pt>
                <c:pt idx="661">
                  <c:v>40718</c:v>
                </c:pt>
                <c:pt idx="662">
                  <c:v>40719</c:v>
                </c:pt>
                <c:pt idx="663">
                  <c:v>40720</c:v>
                </c:pt>
                <c:pt idx="664">
                  <c:v>40721</c:v>
                </c:pt>
                <c:pt idx="665">
                  <c:v>40722</c:v>
                </c:pt>
                <c:pt idx="666">
                  <c:v>40723</c:v>
                </c:pt>
                <c:pt idx="667">
                  <c:v>40724</c:v>
                </c:pt>
                <c:pt idx="668">
                  <c:v>40725</c:v>
                </c:pt>
                <c:pt idx="669">
                  <c:v>40726</c:v>
                </c:pt>
                <c:pt idx="670">
                  <c:v>40727</c:v>
                </c:pt>
                <c:pt idx="671">
                  <c:v>40728</c:v>
                </c:pt>
                <c:pt idx="672">
                  <c:v>40729</c:v>
                </c:pt>
                <c:pt idx="673">
                  <c:v>40730</c:v>
                </c:pt>
                <c:pt idx="674">
                  <c:v>40731</c:v>
                </c:pt>
                <c:pt idx="675">
                  <c:v>40732</c:v>
                </c:pt>
                <c:pt idx="676">
                  <c:v>40733</c:v>
                </c:pt>
                <c:pt idx="677">
                  <c:v>40734</c:v>
                </c:pt>
                <c:pt idx="678">
                  <c:v>40735</c:v>
                </c:pt>
                <c:pt idx="679">
                  <c:v>40736</c:v>
                </c:pt>
                <c:pt idx="680">
                  <c:v>40737</c:v>
                </c:pt>
                <c:pt idx="681">
                  <c:v>40738</c:v>
                </c:pt>
                <c:pt idx="682">
                  <c:v>40739</c:v>
                </c:pt>
                <c:pt idx="683">
                  <c:v>40740</c:v>
                </c:pt>
                <c:pt idx="684">
                  <c:v>40741</c:v>
                </c:pt>
                <c:pt idx="685">
                  <c:v>40742</c:v>
                </c:pt>
                <c:pt idx="686">
                  <c:v>40743</c:v>
                </c:pt>
                <c:pt idx="687">
                  <c:v>40744</c:v>
                </c:pt>
                <c:pt idx="688">
                  <c:v>40745</c:v>
                </c:pt>
                <c:pt idx="689">
                  <c:v>40746</c:v>
                </c:pt>
                <c:pt idx="690">
                  <c:v>40747</c:v>
                </c:pt>
                <c:pt idx="691">
                  <c:v>40748</c:v>
                </c:pt>
                <c:pt idx="692">
                  <c:v>40749</c:v>
                </c:pt>
                <c:pt idx="693">
                  <c:v>40750</c:v>
                </c:pt>
                <c:pt idx="694">
                  <c:v>40751</c:v>
                </c:pt>
                <c:pt idx="695">
                  <c:v>40752</c:v>
                </c:pt>
                <c:pt idx="696">
                  <c:v>40753</c:v>
                </c:pt>
                <c:pt idx="697">
                  <c:v>40754</c:v>
                </c:pt>
                <c:pt idx="698">
                  <c:v>40755</c:v>
                </c:pt>
                <c:pt idx="699">
                  <c:v>40756</c:v>
                </c:pt>
                <c:pt idx="700">
                  <c:v>40757</c:v>
                </c:pt>
                <c:pt idx="701">
                  <c:v>40758</c:v>
                </c:pt>
                <c:pt idx="702">
                  <c:v>40759</c:v>
                </c:pt>
                <c:pt idx="703">
                  <c:v>40760</c:v>
                </c:pt>
                <c:pt idx="704">
                  <c:v>40761</c:v>
                </c:pt>
                <c:pt idx="705">
                  <c:v>40762</c:v>
                </c:pt>
                <c:pt idx="706">
                  <c:v>40763</c:v>
                </c:pt>
                <c:pt idx="707">
                  <c:v>40764</c:v>
                </c:pt>
                <c:pt idx="708">
                  <c:v>40765</c:v>
                </c:pt>
                <c:pt idx="709">
                  <c:v>40766</c:v>
                </c:pt>
                <c:pt idx="710">
                  <c:v>40767</c:v>
                </c:pt>
                <c:pt idx="711">
                  <c:v>40768</c:v>
                </c:pt>
                <c:pt idx="712">
                  <c:v>40769</c:v>
                </c:pt>
                <c:pt idx="713">
                  <c:v>40770</c:v>
                </c:pt>
                <c:pt idx="714">
                  <c:v>40771</c:v>
                </c:pt>
                <c:pt idx="715">
                  <c:v>40772</c:v>
                </c:pt>
                <c:pt idx="716">
                  <c:v>40773</c:v>
                </c:pt>
                <c:pt idx="717">
                  <c:v>40774</c:v>
                </c:pt>
                <c:pt idx="718">
                  <c:v>40775</c:v>
                </c:pt>
                <c:pt idx="719">
                  <c:v>40776</c:v>
                </c:pt>
                <c:pt idx="720">
                  <c:v>40777</c:v>
                </c:pt>
                <c:pt idx="721">
                  <c:v>40778</c:v>
                </c:pt>
                <c:pt idx="722">
                  <c:v>40779</c:v>
                </c:pt>
                <c:pt idx="723">
                  <c:v>40780</c:v>
                </c:pt>
                <c:pt idx="724">
                  <c:v>40781</c:v>
                </c:pt>
                <c:pt idx="725">
                  <c:v>40782</c:v>
                </c:pt>
                <c:pt idx="726">
                  <c:v>40783</c:v>
                </c:pt>
                <c:pt idx="727">
                  <c:v>40784</c:v>
                </c:pt>
                <c:pt idx="728">
                  <c:v>40785</c:v>
                </c:pt>
                <c:pt idx="729">
                  <c:v>40786</c:v>
                </c:pt>
                <c:pt idx="730">
                  <c:v>40787</c:v>
                </c:pt>
                <c:pt idx="731">
                  <c:v>40788</c:v>
                </c:pt>
                <c:pt idx="732">
                  <c:v>40789</c:v>
                </c:pt>
                <c:pt idx="733">
                  <c:v>40790</c:v>
                </c:pt>
                <c:pt idx="734">
                  <c:v>40791</c:v>
                </c:pt>
                <c:pt idx="735">
                  <c:v>40792</c:v>
                </c:pt>
                <c:pt idx="736">
                  <c:v>40793</c:v>
                </c:pt>
                <c:pt idx="737">
                  <c:v>40794</c:v>
                </c:pt>
                <c:pt idx="738">
                  <c:v>40795</c:v>
                </c:pt>
                <c:pt idx="739">
                  <c:v>40796</c:v>
                </c:pt>
                <c:pt idx="740">
                  <c:v>40797</c:v>
                </c:pt>
                <c:pt idx="741">
                  <c:v>40798</c:v>
                </c:pt>
                <c:pt idx="742">
                  <c:v>40799</c:v>
                </c:pt>
                <c:pt idx="743">
                  <c:v>40800</c:v>
                </c:pt>
                <c:pt idx="744">
                  <c:v>40801</c:v>
                </c:pt>
                <c:pt idx="745">
                  <c:v>40802</c:v>
                </c:pt>
                <c:pt idx="746">
                  <c:v>40803</c:v>
                </c:pt>
                <c:pt idx="747">
                  <c:v>40804</c:v>
                </c:pt>
                <c:pt idx="748">
                  <c:v>40805</c:v>
                </c:pt>
                <c:pt idx="749">
                  <c:v>40806</c:v>
                </c:pt>
                <c:pt idx="750">
                  <c:v>40807</c:v>
                </c:pt>
                <c:pt idx="751">
                  <c:v>40808</c:v>
                </c:pt>
                <c:pt idx="752">
                  <c:v>40809</c:v>
                </c:pt>
                <c:pt idx="753">
                  <c:v>40810</c:v>
                </c:pt>
                <c:pt idx="754">
                  <c:v>40811</c:v>
                </c:pt>
                <c:pt idx="755">
                  <c:v>40812</c:v>
                </c:pt>
                <c:pt idx="756">
                  <c:v>40813</c:v>
                </c:pt>
                <c:pt idx="757">
                  <c:v>40814</c:v>
                </c:pt>
                <c:pt idx="758">
                  <c:v>40815</c:v>
                </c:pt>
                <c:pt idx="759">
                  <c:v>40816</c:v>
                </c:pt>
                <c:pt idx="760">
                  <c:v>40817</c:v>
                </c:pt>
                <c:pt idx="761">
                  <c:v>40818</c:v>
                </c:pt>
                <c:pt idx="762">
                  <c:v>40819</c:v>
                </c:pt>
                <c:pt idx="763">
                  <c:v>40820</c:v>
                </c:pt>
                <c:pt idx="764">
                  <c:v>40821</c:v>
                </c:pt>
                <c:pt idx="765">
                  <c:v>40822</c:v>
                </c:pt>
                <c:pt idx="766">
                  <c:v>40823</c:v>
                </c:pt>
                <c:pt idx="767">
                  <c:v>40824</c:v>
                </c:pt>
                <c:pt idx="768">
                  <c:v>40825</c:v>
                </c:pt>
                <c:pt idx="769">
                  <c:v>40826</c:v>
                </c:pt>
                <c:pt idx="770">
                  <c:v>40827</c:v>
                </c:pt>
                <c:pt idx="771">
                  <c:v>40828</c:v>
                </c:pt>
                <c:pt idx="772">
                  <c:v>40829</c:v>
                </c:pt>
                <c:pt idx="773">
                  <c:v>40830</c:v>
                </c:pt>
                <c:pt idx="774">
                  <c:v>40831</c:v>
                </c:pt>
                <c:pt idx="775">
                  <c:v>40832</c:v>
                </c:pt>
                <c:pt idx="776">
                  <c:v>40833</c:v>
                </c:pt>
                <c:pt idx="777">
                  <c:v>40834</c:v>
                </c:pt>
                <c:pt idx="778">
                  <c:v>40835</c:v>
                </c:pt>
                <c:pt idx="779">
                  <c:v>40836</c:v>
                </c:pt>
                <c:pt idx="780">
                  <c:v>40837</c:v>
                </c:pt>
                <c:pt idx="781">
                  <c:v>40838</c:v>
                </c:pt>
                <c:pt idx="782">
                  <c:v>40839</c:v>
                </c:pt>
                <c:pt idx="783">
                  <c:v>40840</c:v>
                </c:pt>
                <c:pt idx="784">
                  <c:v>40841</c:v>
                </c:pt>
                <c:pt idx="785">
                  <c:v>40842</c:v>
                </c:pt>
                <c:pt idx="786">
                  <c:v>40843</c:v>
                </c:pt>
                <c:pt idx="787">
                  <c:v>40844</c:v>
                </c:pt>
                <c:pt idx="788">
                  <c:v>40845</c:v>
                </c:pt>
                <c:pt idx="789">
                  <c:v>40846</c:v>
                </c:pt>
                <c:pt idx="790">
                  <c:v>40847</c:v>
                </c:pt>
                <c:pt idx="791">
                  <c:v>40848</c:v>
                </c:pt>
                <c:pt idx="792">
                  <c:v>40849</c:v>
                </c:pt>
                <c:pt idx="793">
                  <c:v>40850</c:v>
                </c:pt>
                <c:pt idx="794">
                  <c:v>40851</c:v>
                </c:pt>
                <c:pt idx="795">
                  <c:v>40852</c:v>
                </c:pt>
                <c:pt idx="796">
                  <c:v>40853</c:v>
                </c:pt>
                <c:pt idx="797">
                  <c:v>40854</c:v>
                </c:pt>
                <c:pt idx="798">
                  <c:v>40855</c:v>
                </c:pt>
                <c:pt idx="799">
                  <c:v>40856</c:v>
                </c:pt>
                <c:pt idx="800">
                  <c:v>40857</c:v>
                </c:pt>
                <c:pt idx="801">
                  <c:v>40858</c:v>
                </c:pt>
                <c:pt idx="802">
                  <c:v>40859</c:v>
                </c:pt>
                <c:pt idx="803">
                  <c:v>40860</c:v>
                </c:pt>
                <c:pt idx="804">
                  <c:v>40861</c:v>
                </c:pt>
                <c:pt idx="805">
                  <c:v>40862</c:v>
                </c:pt>
                <c:pt idx="806">
                  <c:v>40863</c:v>
                </c:pt>
                <c:pt idx="807">
                  <c:v>40864</c:v>
                </c:pt>
                <c:pt idx="808">
                  <c:v>40865</c:v>
                </c:pt>
                <c:pt idx="809">
                  <c:v>40866</c:v>
                </c:pt>
                <c:pt idx="810">
                  <c:v>40867</c:v>
                </c:pt>
                <c:pt idx="811">
                  <c:v>40868</c:v>
                </c:pt>
                <c:pt idx="812">
                  <c:v>40869</c:v>
                </c:pt>
                <c:pt idx="813">
                  <c:v>40870</c:v>
                </c:pt>
                <c:pt idx="814">
                  <c:v>40871</c:v>
                </c:pt>
                <c:pt idx="815">
                  <c:v>40872</c:v>
                </c:pt>
                <c:pt idx="816">
                  <c:v>40873</c:v>
                </c:pt>
                <c:pt idx="817">
                  <c:v>40874</c:v>
                </c:pt>
                <c:pt idx="818">
                  <c:v>40875</c:v>
                </c:pt>
                <c:pt idx="819">
                  <c:v>40876</c:v>
                </c:pt>
                <c:pt idx="820">
                  <c:v>40877</c:v>
                </c:pt>
                <c:pt idx="821">
                  <c:v>40878</c:v>
                </c:pt>
                <c:pt idx="822">
                  <c:v>40879</c:v>
                </c:pt>
                <c:pt idx="823">
                  <c:v>40880</c:v>
                </c:pt>
                <c:pt idx="824">
                  <c:v>40881</c:v>
                </c:pt>
                <c:pt idx="825">
                  <c:v>40882</c:v>
                </c:pt>
                <c:pt idx="826">
                  <c:v>40883</c:v>
                </c:pt>
                <c:pt idx="827">
                  <c:v>40884</c:v>
                </c:pt>
                <c:pt idx="828">
                  <c:v>40885</c:v>
                </c:pt>
                <c:pt idx="829">
                  <c:v>40886</c:v>
                </c:pt>
                <c:pt idx="830">
                  <c:v>40887</c:v>
                </c:pt>
                <c:pt idx="831">
                  <c:v>40888</c:v>
                </c:pt>
                <c:pt idx="832">
                  <c:v>40889</c:v>
                </c:pt>
                <c:pt idx="833">
                  <c:v>40890</c:v>
                </c:pt>
                <c:pt idx="834">
                  <c:v>40891</c:v>
                </c:pt>
                <c:pt idx="835">
                  <c:v>40892</c:v>
                </c:pt>
                <c:pt idx="836">
                  <c:v>40893</c:v>
                </c:pt>
                <c:pt idx="837">
                  <c:v>40894</c:v>
                </c:pt>
                <c:pt idx="838">
                  <c:v>40895</c:v>
                </c:pt>
                <c:pt idx="839">
                  <c:v>40896</c:v>
                </c:pt>
                <c:pt idx="840">
                  <c:v>40897</c:v>
                </c:pt>
                <c:pt idx="841">
                  <c:v>40898</c:v>
                </c:pt>
                <c:pt idx="842">
                  <c:v>40899</c:v>
                </c:pt>
                <c:pt idx="843">
                  <c:v>40900</c:v>
                </c:pt>
                <c:pt idx="844">
                  <c:v>40901</c:v>
                </c:pt>
                <c:pt idx="845">
                  <c:v>40902</c:v>
                </c:pt>
                <c:pt idx="846">
                  <c:v>40903</c:v>
                </c:pt>
                <c:pt idx="847">
                  <c:v>40904</c:v>
                </c:pt>
                <c:pt idx="848">
                  <c:v>40905</c:v>
                </c:pt>
                <c:pt idx="849">
                  <c:v>40906</c:v>
                </c:pt>
                <c:pt idx="850">
                  <c:v>40907</c:v>
                </c:pt>
                <c:pt idx="851">
                  <c:v>40908</c:v>
                </c:pt>
                <c:pt idx="852">
                  <c:v>40909</c:v>
                </c:pt>
                <c:pt idx="853">
                  <c:v>40910</c:v>
                </c:pt>
                <c:pt idx="854">
                  <c:v>40911</c:v>
                </c:pt>
                <c:pt idx="855">
                  <c:v>40912</c:v>
                </c:pt>
                <c:pt idx="856">
                  <c:v>40913</c:v>
                </c:pt>
                <c:pt idx="857">
                  <c:v>40914</c:v>
                </c:pt>
                <c:pt idx="858">
                  <c:v>40915</c:v>
                </c:pt>
                <c:pt idx="859">
                  <c:v>40916</c:v>
                </c:pt>
                <c:pt idx="860">
                  <c:v>40917</c:v>
                </c:pt>
                <c:pt idx="861">
                  <c:v>40918</c:v>
                </c:pt>
                <c:pt idx="862">
                  <c:v>40919</c:v>
                </c:pt>
                <c:pt idx="863">
                  <c:v>40920</c:v>
                </c:pt>
                <c:pt idx="864">
                  <c:v>40921</c:v>
                </c:pt>
                <c:pt idx="865">
                  <c:v>40922</c:v>
                </c:pt>
                <c:pt idx="866">
                  <c:v>40923</c:v>
                </c:pt>
                <c:pt idx="867">
                  <c:v>40924</c:v>
                </c:pt>
                <c:pt idx="868">
                  <c:v>40925</c:v>
                </c:pt>
                <c:pt idx="869">
                  <c:v>40926</c:v>
                </c:pt>
                <c:pt idx="870">
                  <c:v>40927</c:v>
                </c:pt>
                <c:pt idx="871">
                  <c:v>40928</c:v>
                </c:pt>
                <c:pt idx="872">
                  <c:v>40929</c:v>
                </c:pt>
                <c:pt idx="873">
                  <c:v>40930</c:v>
                </c:pt>
                <c:pt idx="874">
                  <c:v>40931</c:v>
                </c:pt>
                <c:pt idx="875">
                  <c:v>40932</c:v>
                </c:pt>
                <c:pt idx="876">
                  <c:v>40933</c:v>
                </c:pt>
                <c:pt idx="877">
                  <c:v>40934</c:v>
                </c:pt>
                <c:pt idx="878">
                  <c:v>40935</c:v>
                </c:pt>
                <c:pt idx="879">
                  <c:v>40936</c:v>
                </c:pt>
                <c:pt idx="880">
                  <c:v>40937</c:v>
                </c:pt>
                <c:pt idx="881">
                  <c:v>40938</c:v>
                </c:pt>
                <c:pt idx="882">
                  <c:v>40939</c:v>
                </c:pt>
                <c:pt idx="883">
                  <c:v>40940</c:v>
                </c:pt>
                <c:pt idx="884">
                  <c:v>40941</c:v>
                </c:pt>
                <c:pt idx="885">
                  <c:v>40942</c:v>
                </c:pt>
                <c:pt idx="886">
                  <c:v>40943</c:v>
                </c:pt>
                <c:pt idx="887">
                  <c:v>40944</c:v>
                </c:pt>
                <c:pt idx="888">
                  <c:v>40945</c:v>
                </c:pt>
                <c:pt idx="889">
                  <c:v>40946</c:v>
                </c:pt>
                <c:pt idx="890">
                  <c:v>40947</c:v>
                </c:pt>
                <c:pt idx="891">
                  <c:v>40948</c:v>
                </c:pt>
                <c:pt idx="892">
                  <c:v>40949</c:v>
                </c:pt>
                <c:pt idx="893">
                  <c:v>40950</c:v>
                </c:pt>
                <c:pt idx="894">
                  <c:v>40951</c:v>
                </c:pt>
                <c:pt idx="895">
                  <c:v>40952</c:v>
                </c:pt>
                <c:pt idx="896">
                  <c:v>40953</c:v>
                </c:pt>
                <c:pt idx="897">
                  <c:v>40954</c:v>
                </c:pt>
                <c:pt idx="898">
                  <c:v>40955</c:v>
                </c:pt>
                <c:pt idx="899">
                  <c:v>40956</c:v>
                </c:pt>
                <c:pt idx="900">
                  <c:v>40957</c:v>
                </c:pt>
                <c:pt idx="901">
                  <c:v>40958</c:v>
                </c:pt>
                <c:pt idx="902">
                  <c:v>40959</c:v>
                </c:pt>
                <c:pt idx="903">
                  <c:v>40960</c:v>
                </c:pt>
                <c:pt idx="904">
                  <c:v>40961</c:v>
                </c:pt>
                <c:pt idx="905">
                  <c:v>40962</c:v>
                </c:pt>
                <c:pt idx="906">
                  <c:v>40963</c:v>
                </c:pt>
                <c:pt idx="907">
                  <c:v>40964</c:v>
                </c:pt>
                <c:pt idx="908">
                  <c:v>40965</c:v>
                </c:pt>
                <c:pt idx="909">
                  <c:v>40966</c:v>
                </c:pt>
                <c:pt idx="910">
                  <c:v>40967</c:v>
                </c:pt>
                <c:pt idx="911">
                  <c:v>40968</c:v>
                </c:pt>
                <c:pt idx="912">
                  <c:v>40969</c:v>
                </c:pt>
                <c:pt idx="913">
                  <c:v>40970</c:v>
                </c:pt>
                <c:pt idx="914">
                  <c:v>40971</c:v>
                </c:pt>
                <c:pt idx="915">
                  <c:v>40972</c:v>
                </c:pt>
                <c:pt idx="916">
                  <c:v>40973</c:v>
                </c:pt>
                <c:pt idx="917">
                  <c:v>40974</c:v>
                </c:pt>
                <c:pt idx="918">
                  <c:v>40975</c:v>
                </c:pt>
                <c:pt idx="919">
                  <c:v>40976</c:v>
                </c:pt>
                <c:pt idx="920">
                  <c:v>40977</c:v>
                </c:pt>
                <c:pt idx="921">
                  <c:v>40978</c:v>
                </c:pt>
                <c:pt idx="922">
                  <c:v>40979</c:v>
                </c:pt>
                <c:pt idx="923">
                  <c:v>40980</c:v>
                </c:pt>
                <c:pt idx="924">
                  <c:v>40981</c:v>
                </c:pt>
                <c:pt idx="925">
                  <c:v>40982</c:v>
                </c:pt>
                <c:pt idx="926">
                  <c:v>40983</c:v>
                </c:pt>
                <c:pt idx="927">
                  <c:v>40984</c:v>
                </c:pt>
                <c:pt idx="928">
                  <c:v>40985</c:v>
                </c:pt>
                <c:pt idx="929">
                  <c:v>40986</c:v>
                </c:pt>
                <c:pt idx="930">
                  <c:v>40987</c:v>
                </c:pt>
                <c:pt idx="931">
                  <c:v>40988</c:v>
                </c:pt>
                <c:pt idx="932">
                  <c:v>40989</c:v>
                </c:pt>
                <c:pt idx="933">
                  <c:v>40990</c:v>
                </c:pt>
                <c:pt idx="934">
                  <c:v>40991</c:v>
                </c:pt>
                <c:pt idx="935">
                  <c:v>40992</c:v>
                </c:pt>
                <c:pt idx="936">
                  <c:v>40993</c:v>
                </c:pt>
                <c:pt idx="937">
                  <c:v>40994</c:v>
                </c:pt>
                <c:pt idx="938">
                  <c:v>40995</c:v>
                </c:pt>
                <c:pt idx="939">
                  <c:v>40996</c:v>
                </c:pt>
                <c:pt idx="940">
                  <c:v>40997</c:v>
                </c:pt>
                <c:pt idx="941">
                  <c:v>40998</c:v>
                </c:pt>
                <c:pt idx="942">
                  <c:v>40999</c:v>
                </c:pt>
                <c:pt idx="943">
                  <c:v>41000</c:v>
                </c:pt>
                <c:pt idx="944">
                  <c:v>41001</c:v>
                </c:pt>
                <c:pt idx="945">
                  <c:v>41002</c:v>
                </c:pt>
                <c:pt idx="946">
                  <c:v>41003</c:v>
                </c:pt>
                <c:pt idx="947">
                  <c:v>41004</c:v>
                </c:pt>
                <c:pt idx="948">
                  <c:v>41005</c:v>
                </c:pt>
                <c:pt idx="949">
                  <c:v>41006</c:v>
                </c:pt>
                <c:pt idx="950">
                  <c:v>41007</c:v>
                </c:pt>
                <c:pt idx="951">
                  <c:v>41008</c:v>
                </c:pt>
                <c:pt idx="952">
                  <c:v>41009</c:v>
                </c:pt>
                <c:pt idx="953">
                  <c:v>41010</c:v>
                </c:pt>
                <c:pt idx="954">
                  <c:v>41011</c:v>
                </c:pt>
                <c:pt idx="955">
                  <c:v>41012</c:v>
                </c:pt>
                <c:pt idx="956">
                  <c:v>41013</c:v>
                </c:pt>
                <c:pt idx="957">
                  <c:v>41014</c:v>
                </c:pt>
                <c:pt idx="958">
                  <c:v>41015</c:v>
                </c:pt>
                <c:pt idx="959">
                  <c:v>41016</c:v>
                </c:pt>
                <c:pt idx="960">
                  <c:v>41017</c:v>
                </c:pt>
                <c:pt idx="961">
                  <c:v>41018</c:v>
                </c:pt>
                <c:pt idx="962">
                  <c:v>41019</c:v>
                </c:pt>
                <c:pt idx="963">
                  <c:v>41020</c:v>
                </c:pt>
                <c:pt idx="964">
                  <c:v>41021</c:v>
                </c:pt>
                <c:pt idx="965">
                  <c:v>41022</c:v>
                </c:pt>
                <c:pt idx="966">
                  <c:v>41023</c:v>
                </c:pt>
                <c:pt idx="967">
                  <c:v>41024</c:v>
                </c:pt>
                <c:pt idx="968">
                  <c:v>41025</c:v>
                </c:pt>
                <c:pt idx="969">
                  <c:v>41026</c:v>
                </c:pt>
                <c:pt idx="970">
                  <c:v>41027</c:v>
                </c:pt>
                <c:pt idx="971">
                  <c:v>41028</c:v>
                </c:pt>
                <c:pt idx="972">
                  <c:v>41029</c:v>
                </c:pt>
                <c:pt idx="973">
                  <c:v>41030</c:v>
                </c:pt>
                <c:pt idx="974">
                  <c:v>41031</c:v>
                </c:pt>
                <c:pt idx="975">
                  <c:v>41032</c:v>
                </c:pt>
                <c:pt idx="976">
                  <c:v>41033</c:v>
                </c:pt>
                <c:pt idx="977">
                  <c:v>41034</c:v>
                </c:pt>
                <c:pt idx="978">
                  <c:v>41035</c:v>
                </c:pt>
                <c:pt idx="979">
                  <c:v>41036</c:v>
                </c:pt>
                <c:pt idx="980">
                  <c:v>41037</c:v>
                </c:pt>
                <c:pt idx="981">
                  <c:v>41038</c:v>
                </c:pt>
                <c:pt idx="982">
                  <c:v>41039</c:v>
                </c:pt>
                <c:pt idx="983">
                  <c:v>41040</c:v>
                </c:pt>
                <c:pt idx="984">
                  <c:v>41041</c:v>
                </c:pt>
                <c:pt idx="985">
                  <c:v>41042</c:v>
                </c:pt>
                <c:pt idx="986">
                  <c:v>41043</c:v>
                </c:pt>
                <c:pt idx="987">
                  <c:v>41044</c:v>
                </c:pt>
                <c:pt idx="988">
                  <c:v>41045</c:v>
                </c:pt>
                <c:pt idx="989">
                  <c:v>41046</c:v>
                </c:pt>
                <c:pt idx="990">
                  <c:v>41047</c:v>
                </c:pt>
                <c:pt idx="991">
                  <c:v>41048</c:v>
                </c:pt>
                <c:pt idx="992">
                  <c:v>41049</c:v>
                </c:pt>
                <c:pt idx="993">
                  <c:v>41050</c:v>
                </c:pt>
                <c:pt idx="994">
                  <c:v>41051</c:v>
                </c:pt>
                <c:pt idx="995">
                  <c:v>41052</c:v>
                </c:pt>
                <c:pt idx="996">
                  <c:v>41053</c:v>
                </c:pt>
                <c:pt idx="997">
                  <c:v>41054</c:v>
                </c:pt>
                <c:pt idx="998">
                  <c:v>41055</c:v>
                </c:pt>
                <c:pt idx="999">
                  <c:v>41056</c:v>
                </c:pt>
                <c:pt idx="1000">
                  <c:v>41057</c:v>
                </c:pt>
                <c:pt idx="1001">
                  <c:v>41058</c:v>
                </c:pt>
                <c:pt idx="1002">
                  <c:v>41059</c:v>
                </c:pt>
                <c:pt idx="1003">
                  <c:v>41060</c:v>
                </c:pt>
                <c:pt idx="1004">
                  <c:v>41061</c:v>
                </c:pt>
                <c:pt idx="1005">
                  <c:v>41062</c:v>
                </c:pt>
                <c:pt idx="1006">
                  <c:v>41063</c:v>
                </c:pt>
                <c:pt idx="1007">
                  <c:v>41064</c:v>
                </c:pt>
                <c:pt idx="1008">
                  <c:v>41065</c:v>
                </c:pt>
                <c:pt idx="1009">
                  <c:v>41066</c:v>
                </c:pt>
                <c:pt idx="1010">
                  <c:v>41067</c:v>
                </c:pt>
                <c:pt idx="1011">
                  <c:v>41068</c:v>
                </c:pt>
                <c:pt idx="1012">
                  <c:v>41069</c:v>
                </c:pt>
                <c:pt idx="1013">
                  <c:v>41070</c:v>
                </c:pt>
                <c:pt idx="1014">
                  <c:v>41071</c:v>
                </c:pt>
                <c:pt idx="1015">
                  <c:v>41072</c:v>
                </c:pt>
                <c:pt idx="1016">
                  <c:v>41073</c:v>
                </c:pt>
                <c:pt idx="1017">
                  <c:v>41074</c:v>
                </c:pt>
                <c:pt idx="1018">
                  <c:v>41075</c:v>
                </c:pt>
                <c:pt idx="1019">
                  <c:v>41076</c:v>
                </c:pt>
                <c:pt idx="1020">
                  <c:v>41077</c:v>
                </c:pt>
                <c:pt idx="1021">
                  <c:v>41078</c:v>
                </c:pt>
                <c:pt idx="1022">
                  <c:v>41079</c:v>
                </c:pt>
                <c:pt idx="1023">
                  <c:v>41080</c:v>
                </c:pt>
                <c:pt idx="1024">
                  <c:v>41081</c:v>
                </c:pt>
                <c:pt idx="1025">
                  <c:v>41082</c:v>
                </c:pt>
                <c:pt idx="1026">
                  <c:v>41083</c:v>
                </c:pt>
                <c:pt idx="1027">
                  <c:v>41084</c:v>
                </c:pt>
                <c:pt idx="1028">
                  <c:v>41085</c:v>
                </c:pt>
                <c:pt idx="1029">
                  <c:v>41086</c:v>
                </c:pt>
                <c:pt idx="1030">
                  <c:v>41087</c:v>
                </c:pt>
                <c:pt idx="1031">
                  <c:v>41088</c:v>
                </c:pt>
                <c:pt idx="1032">
                  <c:v>41089</c:v>
                </c:pt>
                <c:pt idx="1033">
                  <c:v>41090</c:v>
                </c:pt>
                <c:pt idx="1034">
                  <c:v>41091</c:v>
                </c:pt>
                <c:pt idx="1035">
                  <c:v>41092</c:v>
                </c:pt>
                <c:pt idx="1036">
                  <c:v>41093</c:v>
                </c:pt>
                <c:pt idx="1037">
                  <c:v>41094</c:v>
                </c:pt>
                <c:pt idx="1038">
                  <c:v>41095</c:v>
                </c:pt>
                <c:pt idx="1039">
                  <c:v>41096</c:v>
                </c:pt>
                <c:pt idx="1040">
                  <c:v>41097</c:v>
                </c:pt>
                <c:pt idx="1041">
                  <c:v>41098</c:v>
                </c:pt>
                <c:pt idx="1042">
                  <c:v>41099</c:v>
                </c:pt>
                <c:pt idx="1043">
                  <c:v>41100</c:v>
                </c:pt>
                <c:pt idx="1044">
                  <c:v>41101</c:v>
                </c:pt>
                <c:pt idx="1045">
                  <c:v>41102</c:v>
                </c:pt>
                <c:pt idx="1046">
                  <c:v>41103</c:v>
                </c:pt>
                <c:pt idx="1047">
                  <c:v>41104</c:v>
                </c:pt>
                <c:pt idx="1048">
                  <c:v>41105</c:v>
                </c:pt>
                <c:pt idx="1049">
                  <c:v>41106</c:v>
                </c:pt>
                <c:pt idx="1050">
                  <c:v>41107</c:v>
                </c:pt>
                <c:pt idx="1051">
                  <c:v>41108</c:v>
                </c:pt>
                <c:pt idx="1052">
                  <c:v>41109</c:v>
                </c:pt>
                <c:pt idx="1053">
                  <c:v>41110</c:v>
                </c:pt>
                <c:pt idx="1054">
                  <c:v>41111</c:v>
                </c:pt>
                <c:pt idx="1055">
                  <c:v>41112</c:v>
                </c:pt>
                <c:pt idx="1056">
                  <c:v>41113</c:v>
                </c:pt>
                <c:pt idx="1057">
                  <c:v>41114</c:v>
                </c:pt>
                <c:pt idx="1058">
                  <c:v>41115</c:v>
                </c:pt>
                <c:pt idx="1059">
                  <c:v>41116</c:v>
                </c:pt>
                <c:pt idx="1060">
                  <c:v>41117</c:v>
                </c:pt>
                <c:pt idx="1061">
                  <c:v>41118</c:v>
                </c:pt>
                <c:pt idx="1062">
                  <c:v>41119</c:v>
                </c:pt>
                <c:pt idx="1063">
                  <c:v>41120</c:v>
                </c:pt>
                <c:pt idx="1064">
                  <c:v>41121</c:v>
                </c:pt>
                <c:pt idx="1065">
                  <c:v>41122</c:v>
                </c:pt>
                <c:pt idx="1066">
                  <c:v>41123</c:v>
                </c:pt>
                <c:pt idx="1067">
                  <c:v>41124</c:v>
                </c:pt>
                <c:pt idx="1068">
                  <c:v>41125</c:v>
                </c:pt>
                <c:pt idx="1069">
                  <c:v>41126</c:v>
                </c:pt>
                <c:pt idx="1070">
                  <c:v>41127</c:v>
                </c:pt>
                <c:pt idx="1071">
                  <c:v>41128</c:v>
                </c:pt>
                <c:pt idx="1072">
                  <c:v>41129</c:v>
                </c:pt>
                <c:pt idx="1073">
                  <c:v>41130</c:v>
                </c:pt>
                <c:pt idx="1074">
                  <c:v>41131</c:v>
                </c:pt>
                <c:pt idx="1075">
                  <c:v>41132</c:v>
                </c:pt>
                <c:pt idx="1076">
                  <c:v>41133</c:v>
                </c:pt>
                <c:pt idx="1077">
                  <c:v>41134</c:v>
                </c:pt>
                <c:pt idx="1078">
                  <c:v>41135</c:v>
                </c:pt>
                <c:pt idx="1079">
                  <c:v>41136</c:v>
                </c:pt>
                <c:pt idx="1080">
                  <c:v>41137</c:v>
                </c:pt>
                <c:pt idx="1081">
                  <c:v>41138</c:v>
                </c:pt>
                <c:pt idx="1082">
                  <c:v>41139</c:v>
                </c:pt>
                <c:pt idx="1083">
                  <c:v>41140</c:v>
                </c:pt>
                <c:pt idx="1084">
                  <c:v>41141</c:v>
                </c:pt>
                <c:pt idx="1085">
                  <c:v>41142</c:v>
                </c:pt>
                <c:pt idx="1086">
                  <c:v>41143</c:v>
                </c:pt>
                <c:pt idx="1087">
                  <c:v>41144</c:v>
                </c:pt>
                <c:pt idx="1088">
                  <c:v>41145</c:v>
                </c:pt>
                <c:pt idx="1089">
                  <c:v>41146</c:v>
                </c:pt>
                <c:pt idx="1090">
                  <c:v>41147</c:v>
                </c:pt>
                <c:pt idx="1091">
                  <c:v>41148</c:v>
                </c:pt>
                <c:pt idx="1092">
                  <c:v>41149</c:v>
                </c:pt>
                <c:pt idx="1093">
                  <c:v>41150</c:v>
                </c:pt>
                <c:pt idx="1094">
                  <c:v>41151</c:v>
                </c:pt>
                <c:pt idx="1095">
                  <c:v>41152</c:v>
                </c:pt>
                <c:pt idx="1096">
                  <c:v>41153</c:v>
                </c:pt>
                <c:pt idx="1097">
                  <c:v>41154</c:v>
                </c:pt>
                <c:pt idx="1098">
                  <c:v>41155</c:v>
                </c:pt>
                <c:pt idx="1099">
                  <c:v>41156</c:v>
                </c:pt>
                <c:pt idx="1100">
                  <c:v>41157</c:v>
                </c:pt>
                <c:pt idx="1101">
                  <c:v>41158</c:v>
                </c:pt>
                <c:pt idx="1102">
                  <c:v>41159</c:v>
                </c:pt>
                <c:pt idx="1103">
                  <c:v>41160</c:v>
                </c:pt>
                <c:pt idx="1104">
                  <c:v>41161</c:v>
                </c:pt>
                <c:pt idx="1105">
                  <c:v>41162</c:v>
                </c:pt>
                <c:pt idx="1106">
                  <c:v>41163</c:v>
                </c:pt>
                <c:pt idx="1107">
                  <c:v>41164</c:v>
                </c:pt>
                <c:pt idx="1108">
                  <c:v>41165</c:v>
                </c:pt>
                <c:pt idx="1109">
                  <c:v>41166</c:v>
                </c:pt>
                <c:pt idx="1110">
                  <c:v>41167</c:v>
                </c:pt>
                <c:pt idx="1111">
                  <c:v>41168</c:v>
                </c:pt>
                <c:pt idx="1112">
                  <c:v>41169</c:v>
                </c:pt>
                <c:pt idx="1113">
                  <c:v>41170</c:v>
                </c:pt>
                <c:pt idx="1114">
                  <c:v>41171</c:v>
                </c:pt>
                <c:pt idx="1115">
                  <c:v>41172</c:v>
                </c:pt>
                <c:pt idx="1116">
                  <c:v>41173</c:v>
                </c:pt>
                <c:pt idx="1117">
                  <c:v>41174</c:v>
                </c:pt>
                <c:pt idx="1118">
                  <c:v>41175</c:v>
                </c:pt>
                <c:pt idx="1119">
                  <c:v>41176</c:v>
                </c:pt>
                <c:pt idx="1120">
                  <c:v>41177</c:v>
                </c:pt>
                <c:pt idx="1121">
                  <c:v>41178</c:v>
                </c:pt>
                <c:pt idx="1122">
                  <c:v>41179</c:v>
                </c:pt>
                <c:pt idx="1123">
                  <c:v>41180</c:v>
                </c:pt>
                <c:pt idx="1124">
                  <c:v>41181</c:v>
                </c:pt>
                <c:pt idx="1125">
                  <c:v>41182</c:v>
                </c:pt>
                <c:pt idx="1126">
                  <c:v>41183</c:v>
                </c:pt>
                <c:pt idx="1127">
                  <c:v>41184</c:v>
                </c:pt>
                <c:pt idx="1128">
                  <c:v>41185</c:v>
                </c:pt>
                <c:pt idx="1129">
                  <c:v>41186</c:v>
                </c:pt>
                <c:pt idx="1130">
                  <c:v>41187</c:v>
                </c:pt>
                <c:pt idx="1131">
                  <c:v>41188</c:v>
                </c:pt>
                <c:pt idx="1132">
                  <c:v>41189</c:v>
                </c:pt>
                <c:pt idx="1133">
                  <c:v>41190</c:v>
                </c:pt>
                <c:pt idx="1134">
                  <c:v>41191</c:v>
                </c:pt>
                <c:pt idx="1135">
                  <c:v>41192</c:v>
                </c:pt>
                <c:pt idx="1136">
                  <c:v>41193</c:v>
                </c:pt>
                <c:pt idx="1137">
                  <c:v>41194</c:v>
                </c:pt>
                <c:pt idx="1138">
                  <c:v>41195</c:v>
                </c:pt>
                <c:pt idx="1139">
                  <c:v>41196</c:v>
                </c:pt>
                <c:pt idx="1140">
                  <c:v>41197</c:v>
                </c:pt>
                <c:pt idx="1141">
                  <c:v>41198</c:v>
                </c:pt>
                <c:pt idx="1142">
                  <c:v>41199</c:v>
                </c:pt>
                <c:pt idx="1143">
                  <c:v>41200</c:v>
                </c:pt>
                <c:pt idx="1144">
                  <c:v>41201</c:v>
                </c:pt>
                <c:pt idx="1145">
                  <c:v>41202</c:v>
                </c:pt>
                <c:pt idx="1146">
                  <c:v>41203</c:v>
                </c:pt>
                <c:pt idx="1147">
                  <c:v>41204</c:v>
                </c:pt>
                <c:pt idx="1148">
                  <c:v>41205</c:v>
                </c:pt>
                <c:pt idx="1149">
                  <c:v>41206</c:v>
                </c:pt>
                <c:pt idx="1150">
                  <c:v>41207</c:v>
                </c:pt>
                <c:pt idx="1151">
                  <c:v>41208</c:v>
                </c:pt>
                <c:pt idx="1152">
                  <c:v>41209</c:v>
                </c:pt>
                <c:pt idx="1153">
                  <c:v>41210</c:v>
                </c:pt>
                <c:pt idx="1154">
                  <c:v>41211</c:v>
                </c:pt>
                <c:pt idx="1155">
                  <c:v>41212</c:v>
                </c:pt>
                <c:pt idx="1156">
                  <c:v>41213</c:v>
                </c:pt>
                <c:pt idx="1157">
                  <c:v>41214</c:v>
                </c:pt>
                <c:pt idx="1158">
                  <c:v>41215</c:v>
                </c:pt>
                <c:pt idx="1159">
                  <c:v>41216</c:v>
                </c:pt>
                <c:pt idx="1160">
                  <c:v>41217</c:v>
                </c:pt>
                <c:pt idx="1161">
                  <c:v>41218</c:v>
                </c:pt>
                <c:pt idx="1162">
                  <c:v>41219</c:v>
                </c:pt>
                <c:pt idx="1163">
                  <c:v>41220</c:v>
                </c:pt>
                <c:pt idx="1164">
                  <c:v>41221</c:v>
                </c:pt>
                <c:pt idx="1165">
                  <c:v>41222</c:v>
                </c:pt>
                <c:pt idx="1166">
                  <c:v>41223</c:v>
                </c:pt>
                <c:pt idx="1167">
                  <c:v>41224</c:v>
                </c:pt>
                <c:pt idx="1168">
                  <c:v>41225</c:v>
                </c:pt>
                <c:pt idx="1169">
                  <c:v>41226</c:v>
                </c:pt>
                <c:pt idx="1170">
                  <c:v>41227</c:v>
                </c:pt>
                <c:pt idx="1171">
                  <c:v>41228</c:v>
                </c:pt>
                <c:pt idx="1172">
                  <c:v>41229</c:v>
                </c:pt>
                <c:pt idx="1173">
                  <c:v>41230</c:v>
                </c:pt>
                <c:pt idx="1174">
                  <c:v>41231</c:v>
                </c:pt>
                <c:pt idx="1175">
                  <c:v>41232</c:v>
                </c:pt>
                <c:pt idx="1176">
                  <c:v>41233</c:v>
                </c:pt>
                <c:pt idx="1177">
                  <c:v>41234</c:v>
                </c:pt>
                <c:pt idx="1178">
                  <c:v>41235</c:v>
                </c:pt>
                <c:pt idx="1179">
                  <c:v>41236</c:v>
                </c:pt>
                <c:pt idx="1180">
                  <c:v>41237</c:v>
                </c:pt>
                <c:pt idx="1181">
                  <c:v>41238</c:v>
                </c:pt>
                <c:pt idx="1182">
                  <c:v>41239</c:v>
                </c:pt>
                <c:pt idx="1183">
                  <c:v>41240</c:v>
                </c:pt>
                <c:pt idx="1184">
                  <c:v>41241</c:v>
                </c:pt>
                <c:pt idx="1185">
                  <c:v>41242</c:v>
                </c:pt>
                <c:pt idx="1186">
                  <c:v>41243</c:v>
                </c:pt>
                <c:pt idx="1187">
                  <c:v>41244</c:v>
                </c:pt>
                <c:pt idx="1188">
                  <c:v>41245</c:v>
                </c:pt>
                <c:pt idx="1189">
                  <c:v>41246</c:v>
                </c:pt>
                <c:pt idx="1190">
                  <c:v>41247</c:v>
                </c:pt>
                <c:pt idx="1191">
                  <c:v>41248</c:v>
                </c:pt>
                <c:pt idx="1192">
                  <c:v>41249</c:v>
                </c:pt>
                <c:pt idx="1193">
                  <c:v>41250</c:v>
                </c:pt>
                <c:pt idx="1194">
                  <c:v>41251</c:v>
                </c:pt>
                <c:pt idx="1195">
                  <c:v>41252</c:v>
                </c:pt>
                <c:pt idx="1196">
                  <c:v>41253</c:v>
                </c:pt>
                <c:pt idx="1197">
                  <c:v>41254</c:v>
                </c:pt>
                <c:pt idx="1198">
                  <c:v>41255</c:v>
                </c:pt>
                <c:pt idx="1199">
                  <c:v>41256</c:v>
                </c:pt>
                <c:pt idx="1200">
                  <c:v>41257</c:v>
                </c:pt>
                <c:pt idx="1201">
                  <c:v>41258</c:v>
                </c:pt>
                <c:pt idx="1202">
                  <c:v>41259</c:v>
                </c:pt>
                <c:pt idx="1203">
                  <c:v>41260</c:v>
                </c:pt>
                <c:pt idx="1204">
                  <c:v>41261</c:v>
                </c:pt>
                <c:pt idx="1205">
                  <c:v>41262</c:v>
                </c:pt>
                <c:pt idx="1206">
                  <c:v>41263</c:v>
                </c:pt>
                <c:pt idx="1207">
                  <c:v>41264</c:v>
                </c:pt>
                <c:pt idx="1208">
                  <c:v>41265</c:v>
                </c:pt>
                <c:pt idx="1209">
                  <c:v>41266</c:v>
                </c:pt>
                <c:pt idx="1210">
                  <c:v>41267</c:v>
                </c:pt>
                <c:pt idx="1211">
                  <c:v>41268</c:v>
                </c:pt>
                <c:pt idx="1212">
                  <c:v>41269</c:v>
                </c:pt>
                <c:pt idx="1213">
                  <c:v>41270</c:v>
                </c:pt>
                <c:pt idx="1214">
                  <c:v>41271</c:v>
                </c:pt>
                <c:pt idx="1215">
                  <c:v>41272</c:v>
                </c:pt>
                <c:pt idx="1216">
                  <c:v>41273</c:v>
                </c:pt>
                <c:pt idx="1217">
                  <c:v>41274</c:v>
                </c:pt>
                <c:pt idx="1218">
                  <c:v>41275</c:v>
                </c:pt>
                <c:pt idx="1219">
                  <c:v>41276</c:v>
                </c:pt>
                <c:pt idx="1220">
                  <c:v>41277</c:v>
                </c:pt>
                <c:pt idx="1221">
                  <c:v>41278</c:v>
                </c:pt>
                <c:pt idx="1222">
                  <c:v>41279</c:v>
                </c:pt>
                <c:pt idx="1223">
                  <c:v>41280</c:v>
                </c:pt>
                <c:pt idx="1224">
                  <c:v>41281</c:v>
                </c:pt>
                <c:pt idx="1225">
                  <c:v>41282</c:v>
                </c:pt>
                <c:pt idx="1226">
                  <c:v>41283</c:v>
                </c:pt>
                <c:pt idx="1227">
                  <c:v>41284</c:v>
                </c:pt>
                <c:pt idx="1228">
                  <c:v>41285</c:v>
                </c:pt>
                <c:pt idx="1229">
                  <c:v>41286</c:v>
                </c:pt>
                <c:pt idx="1230">
                  <c:v>41287</c:v>
                </c:pt>
                <c:pt idx="1231">
                  <c:v>41288</c:v>
                </c:pt>
                <c:pt idx="1232">
                  <c:v>41289</c:v>
                </c:pt>
                <c:pt idx="1233">
                  <c:v>41290</c:v>
                </c:pt>
                <c:pt idx="1234">
                  <c:v>41291</c:v>
                </c:pt>
                <c:pt idx="1235">
                  <c:v>41292</c:v>
                </c:pt>
                <c:pt idx="1236">
                  <c:v>41293</c:v>
                </c:pt>
                <c:pt idx="1237">
                  <c:v>41294</c:v>
                </c:pt>
                <c:pt idx="1238">
                  <c:v>41295</c:v>
                </c:pt>
                <c:pt idx="1239">
                  <c:v>41296</c:v>
                </c:pt>
                <c:pt idx="1240">
                  <c:v>41297</c:v>
                </c:pt>
                <c:pt idx="1241">
                  <c:v>41298</c:v>
                </c:pt>
                <c:pt idx="1242">
                  <c:v>41299</c:v>
                </c:pt>
                <c:pt idx="1243">
                  <c:v>41300</c:v>
                </c:pt>
                <c:pt idx="1244">
                  <c:v>41301</c:v>
                </c:pt>
                <c:pt idx="1245">
                  <c:v>41302</c:v>
                </c:pt>
                <c:pt idx="1246">
                  <c:v>41303</c:v>
                </c:pt>
                <c:pt idx="1247">
                  <c:v>41304</c:v>
                </c:pt>
                <c:pt idx="1248">
                  <c:v>41305</c:v>
                </c:pt>
                <c:pt idx="1249">
                  <c:v>41306</c:v>
                </c:pt>
                <c:pt idx="1250">
                  <c:v>41307</c:v>
                </c:pt>
                <c:pt idx="1251">
                  <c:v>41308</c:v>
                </c:pt>
                <c:pt idx="1252">
                  <c:v>41309</c:v>
                </c:pt>
                <c:pt idx="1253">
                  <c:v>41310</c:v>
                </c:pt>
                <c:pt idx="1254">
                  <c:v>41311</c:v>
                </c:pt>
                <c:pt idx="1255">
                  <c:v>41312</c:v>
                </c:pt>
                <c:pt idx="1256">
                  <c:v>41313</c:v>
                </c:pt>
                <c:pt idx="1257">
                  <c:v>41314</c:v>
                </c:pt>
                <c:pt idx="1258">
                  <c:v>41315</c:v>
                </c:pt>
                <c:pt idx="1259">
                  <c:v>41316</c:v>
                </c:pt>
                <c:pt idx="1260">
                  <c:v>41317</c:v>
                </c:pt>
                <c:pt idx="1261">
                  <c:v>41318</c:v>
                </c:pt>
                <c:pt idx="1262">
                  <c:v>41319</c:v>
                </c:pt>
                <c:pt idx="1263">
                  <c:v>41320</c:v>
                </c:pt>
                <c:pt idx="1264">
                  <c:v>41321</c:v>
                </c:pt>
                <c:pt idx="1265">
                  <c:v>41322</c:v>
                </c:pt>
                <c:pt idx="1266">
                  <c:v>41323</c:v>
                </c:pt>
                <c:pt idx="1267">
                  <c:v>41324</c:v>
                </c:pt>
                <c:pt idx="1268">
                  <c:v>41325</c:v>
                </c:pt>
                <c:pt idx="1269">
                  <c:v>41326</c:v>
                </c:pt>
                <c:pt idx="1270">
                  <c:v>41327</c:v>
                </c:pt>
                <c:pt idx="1271">
                  <c:v>41328</c:v>
                </c:pt>
                <c:pt idx="1272">
                  <c:v>41329</c:v>
                </c:pt>
                <c:pt idx="1273">
                  <c:v>41330</c:v>
                </c:pt>
                <c:pt idx="1274">
                  <c:v>41331</c:v>
                </c:pt>
                <c:pt idx="1275">
                  <c:v>41332</c:v>
                </c:pt>
                <c:pt idx="1276">
                  <c:v>41333</c:v>
                </c:pt>
                <c:pt idx="1277">
                  <c:v>41334</c:v>
                </c:pt>
                <c:pt idx="1278">
                  <c:v>41335</c:v>
                </c:pt>
                <c:pt idx="1279">
                  <c:v>41336</c:v>
                </c:pt>
                <c:pt idx="1280">
                  <c:v>41337</c:v>
                </c:pt>
                <c:pt idx="1281">
                  <c:v>41338</c:v>
                </c:pt>
                <c:pt idx="1282">
                  <c:v>41339</c:v>
                </c:pt>
                <c:pt idx="1283">
                  <c:v>41340</c:v>
                </c:pt>
                <c:pt idx="1284">
                  <c:v>41341</c:v>
                </c:pt>
                <c:pt idx="1285">
                  <c:v>41342</c:v>
                </c:pt>
                <c:pt idx="1286">
                  <c:v>41343</c:v>
                </c:pt>
                <c:pt idx="1287">
                  <c:v>41344</c:v>
                </c:pt>
                <c:pt idx="1288">
                  <c:v>41345</c:v>
                </c:pt>
                <c:pt idx="1289">
                  <c:v>41346</c:v>
                </c:pt>
                <c:pt idx="1290">
                  <c:v>41347</c:v>
                </c:pt>
                <c:pt idx="1291">
                  <c:v>41348</c:v>
                </c:pt>
                <c:pt idx="1292">
                  <c:v>41349</c:v>
                </c:pt>
                <c:pt idx="1293">
                  <c:v>41350</c:v>
                </c:pt>
                <c:pt idx="1294">
                  <c:v>41351</c:v>
                </c:pt>
                <c:pt idx="1295">
                  <c:v>41352</c:v>
                </c:pt>
                <c:pt idx="1296">
                  <c:v>41353</c:v>
                </c:pt>
                <c:pt idx="1297">
                  <c:v>41354</c:v>
                </c:pt>
                <c:pt idx="1298">
                  <c:v>41355</c:v>
                </c:pt>
                <c:pt idx="1299">
                  <c:v>41356</c:v>
                </c:pt>
                <c:pt idx="1300">
                  <c:v>41357</c:v>
                </c:pt>
                <c:pt idx="1301">
                  <c:v>41358</c:v>
                </c:pt>
                <c:pt idx="1302">
                  <c:v>41359</c:v>
                </c:pt>
                <c:pt idx="1303">
                  <c:v>41360</c:v>
                </c:pt>
                <c:pt idx="1304">
                  <c:v>41361</c:v>
                </c:pt>
                <c:pt idx="1305">
                  <c:v>41362</c:v>
                </c:pt>
                <c:pt idx="1306">
                  <c:v>41363</c:v>
                </c:pt>
                <c:pt idx="1307">
                  <c:v>41364</c:v>
                </c:pt>
                <c:pt idx="1308">
                  <c:v>41365</c:v>
                </c:pt>
                <c:pt idx="1309">
                  <c:v>41366</c:v>
                </c:pt>
                <c:pt idx="1310">
                  <c:v>41367</c:v>
                </c:pt>
                <c:pt idx="1311">
                  <c:v>41368</c:v>
                </c:pt>
                <c:pt idx="1312">
                  <c:v>41369</c:v>
                </c:pt>
                <c:pt idx="1313">
                  <c:v>41370</c:v>
                </c:pt>
                <c:pt idx="1314">
                  <c:v>41371</c:v>
                </c:pt>
                <c:pt idx="1315">
                  <c:v>41372</c:v>
                </c:pt>
                <c:pt idx="1316">
                  <c:v>41373</c:v>
                </c:pt>
                <c:pt idx="1317">
                  <c:v>41374</c:v>
                </c:pt>
                <c:pt idx="1318">
                  <c:v>41375</c:v>
                </c:pt>
                <c:pt idx="1319">
                  <c:v>41376</c:v>
                </c:pt>
                <c:pt idx="1320">
                  <c:v>41377</c:v>
                </c:pt>
                <c:pt idx="1321">
                  <c:v>41378</c:v>
                </c:pt>
                <c:pt idx="1322">
                  <c:v>41379</c:v>
                </c:pt>
                <c:pt idx="1323">
                  <c:v>41380</c:v>
                </c:pt>
                <c:pt idx="1324">
                  <c:v>41381</c:v>
                </c:pt>
                <c:pt idx="1325">
                  <c:v>41382</c:v>
                </c:pt>
                <c:pt idx="1326">
                  <c:v>41383</c:v>
                </c:pt>
                <c:pt idx="1327">
                  <c:v>41384</c:v>
                </c:pt>
                <c:pt idx="1328">
                  <c:v>41385</c:v>
                </c:pt>
                <c:pt idx="1329">
                  <c:v>41386</c:v>
                </c:pt>
                <c:pt idx="1330">
                  <c:v>41387</c:v>
                </c:pt>
                <c:pt idx="1331">
                  <c:v>41388</c:v>
                </c:pt>
                <c:pt idx="1332">
                  <c:v>41389</c:v>
                </c:pt>
                <c:pt idx="1333">
                  <c:v>41390</c:v>
                </c:pt>
                <c:pt idx="1334">
                  <c:v>41391</c:v>
                </c:pt>
                <c:pt idx="1335">
                  <c:v>41392</c:v>
                </c:pt>
                <c:pt idx="1336">
                  <c:v>41393</c:v>
                </c:pt>
                <c:pt idx="1337">
                  <c:v>41394</c:v>
                </c:pt>
                <c:pt idx="1338">
                  <c:v>41395</c:v>
                </c:pt>
                <c:pt idx="1339">
                  <c:v>41396</c:v>
                </c:pt>
                <c:pt idx="1340">
                  <c:v>41397</c:v>
                </c:pt>
                <c:pt idx="1341">
                  <c:v>41398</c:v>
                </c:pt>
                <c:pt idx="1342">
                  <c:v>41399</c:v>
                </c:pt>
                <c:pt idx="1343">
                  <c:v>41400</c:v>
                </c:pt>
                <c:pt idx="1344">
                  <c:v>41401</c:v>
                </c:pt>
                <c:pt idx="1345">
                  <c:v>41402</c:v>
                </c:pt>
                <c:pt idx="1346">
                  <c:v>41403</c:v>
                </c:pt>
                <c:pt idx="1347">
                  <c:v>41404</c:v>
                </c:pt>
                <c:pt idx="1348">
                  <c:v>41405</c:v>
                </c:pt>
                <c:pt idx="1349">
                  <c:v>41406</c:v>
                </c:pt>
                <c:pt idx="1350">
                  <c:v>41407</c:v>
                </c:pt>
                <c:pt idx="1351">
                  <c:v>41408</c:v>
                </c:pt>
                <c:pt idx="1352">
                  <c:v>41409</c:v>
                </c:pt>
                <c:pt idx="1353">
                  <c:v>41410</c:v>
                </c:pt>
                <c:pt idx="1354">
                  <c:v>41411</c:v>
                </c:pt>
                <c:pt idx="1355">
                  <c:v>41412</c:v>
                </c:pt>
                <c:pt idx="1356">
                  <c:v>41413</c:v>
                </c:pt>
                <c:pt idx="1357">
                  <c:v>41414</c:v>
                </c:pt>
                <c:pt idx="1358">
                  <c:v>41415</c:v>
                </c:pt>
                <c:pt idx="1359">
                  <c:v>41416</c:v>
                </c:pt>
                <c:pt idx="1360">
                  <c:v>41417</c:v>
                </c:pt>
                <c:pt idx="1361">
                  <c:v>41418</c:v>
                </c:pt>
                <c:pt idx="1362">
                  <c:v>41419</c:v>
                </c:pt>
                <c:pt idx="1363">
                  <c:v>41420</c:v>
                </c:pt>
                <c:pt idx="1364">
                  <c:v>41421</c:v>
                </c:pt>
                <c:pt idx="1365">
                  <c:v>41422</c:v>
                </c:pt>
                <c:pt idx="1366">
                  <c:v>41423</c:v>
                </c:pt>
                <c:pt idx="1367">
                  <c:v>41424</c:v>
                </c:pt>
                <c:pt idx="1368">
                  <c:v>41425</c:v>
                </c:pt>
                <c:pt idx="1369">
                  <c:v>41426</c:v>
                </c:pt>
                <c:pt idx="1370">
                  <c:v>41427</c:v>
                </c:pt>
                <c:pt idx="1371">
                  <c:v>41428</c:v>
                </c:pt>
                <c:pt idx="1372">
                  <c:v>41429</c:v>
                </c:pt>
                <c:pt idx="1373">
                  <c:v>41430</c:v>
                </c:pt>
                <c:pt idx="1374">
                  <c:v>41431</c:v>
                </c:pt>
                <c:pt idx="1375">
                  <c:v>41432</c:v>
                </c:pt>
                <c:pt idx="1376">
                  <c:v>41433</c:v>
                </c:pt>
                <c:pt idx="1377">
                  <c:v>41434</c:v>
                </c:pt>
                <c:pt idx="1378">
                  <c:v>41435</c:v>
                </c:pt>
                <c:pt idx="1379">
                  <c:v>41436</c:v>
                </c:pt>
                <c:pt idx="1380">
                  <c:v>41437</c:v>
                </c:pt>
                <c:pt idx="1381">
                  <c:v>41438</c:v>
                </c:pt>
                <c:pt idx="1382">
                  <c:v>41439</c:v>
                </c:pt>
                <c:pt idx="1383">
                  <c:v>41440</c:v>
                </c:pt>
                <c:pt idx="1384">
                  <c:v>41441</c:v>
                </c:pt>
                <c:pt idx="1385">
                  <c:v>41442</c:v>
                </c:pt>
                <c:pt idx="1386">
                  <c:v>41443</c:v>
                </c:pt>
                <c:pt idx="1387">
                  <c:v>41444</c:v>
                </c:pt>
                <c:pt idx="1388">
                  <c:v>41445</c:v>
                </c:pt>
                <c:pt idx="1389">
                  <c:v>41446</c:v>
                </c:pt>
                <c:pt idx="1390">
                  <c:v>41447</c:v>
                </c:pt>
                <c:pt idx="1391">
                  <c:v>41448</c:v>
                </c:pt>
                <c:pt idx="1392">
                  <c:v>41449</c:v>
                </c:pt>
                <c:pt idx="1393">
                  <c:v>41450</c:v>
                </c:pt>
                <c:pt idx="1394">
                  <c:v>41451</c:v>
                </c:pt>
                <c:pt idx="1395">
                  <c:v>41452</c:v>
                </c:pt>
                <c:pt idx="1396">
                  <c:v>41453</c:v>
                </c:pt>
                <c:pt idx="1397">
                  <c:v>41454</c:v>
                </c:pt>
                <c:pt idx="1398">
                  <c:v>41455</c:v>
                </c:pt>
                <c:pt idx="1399">
                  <c:v>41456</c:v>
                </c:pt>
                <c:pt idx="1400">
                  <c:v>41457</c:v>
                </c:pt>
                <c:pt idx="1401">
                  <c:v>41458</c:v>
                </c:pt>
                <c:pt idx="1402">
                  <c:v>41459</c:v>
                </c:pt>
                <c:pt idx="1403">
                  <c:v>41460</c:v>
                </c:pt>
                <c:pt idx="1404">
                  <c:v>41461</c:v>
                </c:pt>
                <c:pt idx="1405">
                  <c:v>41462</c:v>
                </c:pt>
                <c:pt idx="1406">
                  <c:v>41463</c:v>
                </c:pt>
                <c:pt idx="1407">
                  <c:v>41464</c:v>
                </c:pt>
                <c:pt idx="1408">
                  <c:v>41465</c:v>
                </c:pt>
                <c:pt idx="1409">
                  <c:v>41466</c:v>
                </c:pt>
                <c:pt idx="1410">
                  <c:v>41467</c:v>
                </c:pt>
                <c:pt idx="1411">
                  <c:v>41468</c:v>
                </c:pt>
                <c:pt idx="1412">
                  <c:v>41469</c:v>
                </c:pt>
                <c:pt idx="1413">
                  <c:v>41470</c:v>
                </c:pt>
                <c:pt idx="1414">
                  <c:v>41471</c:v>
                </c:pt>
                <c:pt idx="1415">
                  <c:v>41472</c:v>
                </c:pt>
                <c:pt idx="1416">
                  <c:v>41473</c:v>
                </c:pt>
                <c:pt idx="1417">
                  <c:v>41474</c:v>
                </c:pt>
                <c:pt idx="1418">
                  <c:v>41475</c:v>
                </c:pt>
                <c:pt idx="1419">
                  <c:v>41476</c:v>
                </c:pt>
                <c:pt idx="1420">
                  <c:v>41477</c:v>
                </c:pt>
                <c:pt idx="1421">
                  <c:v>41478</c:v>
                </c:pt>
                <c:pt idx="1422">
                  <c:v>41479</c:v>
                </c:pt>
                <c:pt idx="1423">
                  <c:v>41480</c:v>
                </c:pt>
                <c:pt idx="1424">
                  <c:v>41481</c:v>
                </c:pt>
                <c:pt idx="1425">
                  <c:v>41482</c:v>
                </c:pt>
                <c:pt idx="1426">
                  <c:v>41483</c:v>
                </c:pt>
                <c:pt idx="1427">
                  <c:v>41484</c:v>
                </c:pt>
                <c:pt idx="1428">
                  <c:v>41485</c:v>
                </c:pt>
                <c:pt idx="1429">
                  <c:v>41486</c:v>
                </c:pt>
                <c:pt idx="1430">
                  <c:v>41487</c:v>
                </c:pt>
                <c:pt idx="1431">
                  <c:v>41488</c:v>
                </c:pt>
                <c:pt idx="1432">
                  <c:v>41489</c:v>
                </c:pt>
                <c:pt idx="1433">
                  <c:v>41490</c:v>
                </c:pt>
                <c:pt idx="1434">
                  <c:v>41491</c:v>
                </c:pt>
                <c:pt idx="1435">
                  <c:v>41492</c:v>
                </c:pt>
                <c:pt idx="1436">
                  <c:v>41493</c:v>
                </c:pt>
                <c:pt idx="1437">
                  <c:v>41494</c:v>
                </c:pt>
                <c:pt idx="1438">
                  <c:v>41495</c:v>
                </c:pt>
                <c:pt idx="1439">
                  <c:v>41496</c:v>
                </c:pt>
                <c:pt idx="1440">
                  <c:v>41497</c:v>
                </c:pt>
                <c:pt idx="1441">
                  <c:v>41498</c:v>
                </c:pt>
                <c:pt idx="1442">
                  <c:v>41499</c:v>
                </c:pt>
                <c:pt idx="1443">
                  <c:v>41500</c:v>
                </c:pt>
                <c:pt idx="1444">
                  <c:v>41501</c:v>
                </c:pt>
                <c:pt idx="1445">
                  <c:v>41502</c:v>
                </c:pt>
                <c:pt idx="1446">
                  <c:v>41503</c:v>
                </c:pt>
                <c:pt idx="1447">
                  <c:v>41504</c:v>
                </c:pt>
                <c:pt idx="1448">
                  <c:v>41505</c:v>
                </c:pt>
                <c:pt idx="1449">
                  <c:v>41506</c:v>
                </c:pt>
                <c:pt idx="1450">
                  <c:v>41507</c:v>
                </c:pt>
                <c:pt idx="1451">
                  <c:v>41508</c:v>
                </c:pt>
                <c:pt idx="1452">
                  <c:v>41509</c:v>
                </c:pt>
                <c:pt idx="1453">
                  <c:v>41510</c:v>
                </c:pt>
                <c:pt idx="1454">
                  <c:v>41511</c:v>
                </c:pt>
                <c:pt idx="1455">
                  <c:v>41512</c:v>
                </c:pt>
                <c:pt idx="1456">
                  <c:v>41513</c:v>
                </c:pt>
                <c:pt idx="1457">
                  <c:v>41514</c:v>
                </c:pt>
                <c:pt idx="1458">
                  <c:v>41515</c:v>
                </c:pt>
                <c:pt idx="1459">
                  <c:v>41516</c:v>
                </c:pt>
              </c:numCache>
            </c:numRef>
          </c:cat>
          <c:val>
            <c:numRef>
              <c:f>'plot1-tc-par-djalk-sedpar-slope'!$T$2:$T$1461</c:f>
              <c:numCache>
                <c:formatCode>General</c:formatCode>
                <c:ptCount val="146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1.9762920000000526E-3</c:v>
                </c:pt>
                <c:pt idx="26">
                  <c:v>1.9762920000000526E-3</c:v>
                </c:pt>
                <c:pt idx="27">
                  <c:v>1.9762920000000526E-3</c:v>
                </c:pt>
                <c:pt idx="28">
                  <c:v>1.9762920000000526E-3</c:v>
                </c:pt>
                <c:pt idx="29">
                  <c:v>1.9762920000000526E-3</c:v>
                </c:pt>
                <c:pt idx="30">
                  <c:v>1.9762920000000526E-3</c:v>
                </c:pt>
                <c:pt idx="31">
                  <c:v>1.9762920000000526E-3</c:v>
                </c:pt>
                <c:pt idx="32">
                  <c:v>1.9762920000000526E-3</c:v>
                </c:pt>
                <c:pt idx="33">
                  <c:v>1.9762920000000526E-3</c:v>
                </c:pt>
                <c:pt idx="34">
                  <c:v>1.9762920000000526E-3</c:v>
                </c:pt>
                <c:pt idx="35">
                  <c:v>1.9762920000000526E-3</c:v>
                </c:pt>
                <c:pt idx="36">
                  <c:v>1.9762920000000526E-3</c:v>
                </c:pt>
                <c:pt idx="37">
                  <c:v>1.9762920000000526E-3</c:v>
                </c:pt>
                <c:pt idx="38">
                  <c:v>1.9762920000000526E-3</c:v>
                </c:pt>
                <c:pt idx="39">
                  <c:v>1.9762920000000526E-3</c:v>
                </c:pt>
                <c:pt idx="40">
                  <c:v>1.9762920000000526E-3</c:v>
                </c:pt>
                <c:pt idx="41">
                  <c:v>1.9762920000000526E-3</c:v>
                </c:pt>
                <c:pt idx="42">
                  <c:v>1.9762920000000526E-3</c:v>
                </c:pt>
                <c:pt idx="43">
                  <c:v>1.9762920000000526E-3</c:v>
                </c:pt>
                <c:pt idx="44">
                  <c:v>1.9762920000000526E-3</c:v>
                </c:pt>
                <c:pt idx="45">
                  <c:v>1.9762920000000526E-3</c:v>
                </c:pt>
                <c:pt idx="46">
                  <c:v>1.9762920000000526E-3</c:v>
                </c:pt>
                <c:pt idx="47">
                  <c:v>1.9762920000000526E-3</c:v>
                </c:pt>
                <c:pt idx="48">
                  <c:v>1.9762920000000526E-3</c:v>
                </c:pt>
                <c:pt idx="49">
                  <c:v>1.9762920000000526E-3</c:v>
                </c:pt>
                <c:pt idx="50">
                  <c:v>1.9762920000000526E-3</c:v>
                </c:pt>
                <c:pt idx="51">
                  <c:v>1.9762920000000526E-3</c:v>
                </c:pt>
                <c:pt idx="52">
                  <c:v>1.9762920000000526E-3</c:v>
                </c:pt>
                <c:pt idx="53">
                  <c:v>1.9762920000000526E-3</c:v>
                </c:pt>
                <c:pt idx="54">
                  <c:v>1.9762920000000526E-3</c:v>
                </c:pt>
                <c:pt idx="55">
                  <c:v>1.9762920000000526E-3</c:v>
                </c:pt>
                <c:pt idx="56">
                  <c:v>1.9762920000000526E-3</c:v>
                </c:pt>
                <c:pt idx="57">
                  <c:v>1.9762920000000526E-3</c:v>
                </c:pt>
                <c:pt idx="58">
                  <c:v>1.9762920000000526E-3</c:v>
                </c:pt>
                <c:pt idx="59">
                  <c:v>1.9762920000000526E-3</c:v>
                </c:pt>
                <c:pt idx="60">
                  <c:v>1.9762920000000526E-3</c:v>
                </c:pt>
                <c:pt idx="61">
                  <c:v>1.9762920000000526E-3</c:v>
                </c:pt>
                <c:pt idx="62">
                  <c:v>1.9762920000000526E-3</c:v>
                </c:pt>
                <c:pt idx="63">
                  <c:v>1.9762920000000526E-3</c:v>
                </c:pt>
                <c:pt idx="64">
                  <c:v>1.9762920000000526E-3</c:v>
                </c:pt>
                <c:pt idx="65">
                  <c:v>1.9762920000000526E-3</c:v>
                </c:pt>
                <c:pt idx="66">
                  <c:v>1.9762920000000526E-3</c:v>
                </c:pt>
                <c:pt idx="67">
                  <c:v>1.9762920000000526E-3</c:v>
                </c:pt>
                <c:pt idx="68">
                  <c:v>1.9762920000000526E-3</c:v>
                </c:pt>
                <c:pt idx="69">
                  <c:v>1.9762920000000526E-3</c:v>
                </c:pt>
                <c:pt idx="70">
                  <c:v>1.9762920000000526E-3</c:v>
                </c:pt>
                <c:pt idx="71">
                  <c:v>1.9762920000000526E-3</c:v>
                </c:pt>
                <c:pt idx="72">
                  <c:v>7.0498680000002827E-3</c:v>
                </c:pt>
                <c:pt idx="73">
                  <c:v>7.0498680000002827E-3</c:v>
                </c:pt>
                <c:pt idx="74">
                  <c:v>7.0498680000002827E-3</c:v>
                </c:pt>
                <c:pt idx="75">
                  <c:v>7.0498680000002827E-3</c:v>
                </c:pt>
                <c:pt idx="76">
                  <c:v>7.0498680000002827E-3</c:v>
                </c:pt>
                <c:pt idx="77">
                  <c:v>7.0498680000002827E-3</c:v>
                </c:pt>
                <c:pt idx="78">
                  <c:v>7.0498680000002827E-3</c:v>
                </c:pt>
                <c:pt idx="79">
                  <c:v>7.0498680000002827E-3</c:v>
                </c:pt>
                <c:pt idx="80">
                  <c:v>7.0498680000002827E-3</c:v>
                </c:pt>
                <c:pt idx="81">
                  <c:v>7.0498680000002827E-3</c:v>
                </c:pt>
                <c:pt idx="82">
                  <c:v>7.0498680000002827E-3</c:v>
                </c:pt>
                <c:pt idx="83">
                  <c:v>7.0498680000002827E-3</c:v>
                </c:pt>
                <c:pt idx="84">
                  <c:v>7.0498680000002827E-3</c:v>
                </c:pt>
                <c:pt idx="85">
                  <c:v>7.0498680000002827E-3</c:v>
                </c:pt>
                <c:pt idx="86">
                  <c:v>7.0498680000002827E-3</c:v>
                </c:pt>
                <c:pt idx="87">
                  <c:v>7.0498680000002827E-3</c:v>
                </c:pt>
                <c:pt idx="88">
                  <c:v>7.0498680000002827E-3</c:v>
                </c:pt>
                <c:pt idx="89">
                  <c:v>7.0498680000002827E-3</c:v>
                </c:pt>
                <c:pt idx="90">
                  <c:v>7.0498680000002827E-3</c:v>
                </c:pt>
                <c:pt idx="91">
                  <c:v>7.0498680000002827E-3</c:v>
                </c:pt>
                <c:pt idx="92">
                  <c:v>7.0498680000002827E-3</c:v>
                </c:pt>
                <c:pt idx="93">
                  <c:v>9.366880000000426E-3</c:v>
                </c:pt>
                <c:pt idx="94">
                  <c:v>9.366880000000426E-3</c:v>
                </c:pt>
                <c:pt idx="95">
                  <c:v>9.366880000000426E-3</c:v>
                </c:pt>
                <c:pt idx="96">
                  <c:v>9.366880000000426E-3</c:v>
                </c:pt>
                <c:pt idx="97">
                  <c:v>9.366880000000426E-3</c:v>
                </c:pt>
                <c:pt idx="98">
                  <c:v>9.366880000000426E-3</c:v>
                </c:pt>
                <c:pt idx="99">
                  <c:v>9.366880000000426E-3</c:v>
                </c:pt>
                <c:pt idx="100">
                  <c:v>9.366880000000426E-3</c:v>
                </c:pt>
                <c:pt idx="101">
                  <c:v>9.8281080000000021E-3</c:v>
                </c:pt>
                <c:pt idx="102">
                  <c:v>9.8281080000000021E-3</c:v>
                </c:pt>
                <c:pt idx="103">
                  <c:v>9.8281080000000021E-3</c:v>
                </c:pt>
                <c:pt idx="104">
                  <c:v>9.8281080000000021E-3</c:v>
                </c:pt>
                <c:pt idx="105">
                  <c:v>9.8281080000000021E-3</c:v>
                </c:pt>
                <c:pt idx="106">
                  <c:v>9.8281080000000021E-3</c:v>
                </c:pt>
                <c:pt idx="107">
                  <c:v>9.8281080000000021E-3</c:v>
                </c:pt>
                <c:pt idx="108">
                  <c:v>1.0123363999999998E-2</c:v>
                </c:pt>
                <c:pt idx="109">
                  <c:v>1.0123363999999998E-2</c:v>
                </c:pt>
                <c:pt idx="110">
                  <c:v>1.0123363999999998E-2</c:v>
                </c:pt>
                <c:pt idx="111">
                  <c:v>1.0123363999999998E-2</c:v>
                </c:pt>
                <c:pt idx="112">
                  <c:v>1.0123363999999998E-2</c:v>
                </c:pt>
                <c:pt idx="113">
                  <c:v>1.0123363999999998E-2</c:v>
                </c:pt>
                <c:pt idx="114">
                  <c:v>1.0123363999999998E-2</c:v>
                </c:pt>
                <c:pt idx="115">
                  <c:v>1.0123363999999998E-2</c:v>
                </c:pt>
                <c:pt idx="116">
                  <c:v>1.0123363999999998E-2</c:v>
                </c:pt>
                <c:pt idx="117">
                  <c:v>1.0123363999999998E-2</c:v>
                </c:pt>
                <c:pt idx="118">
                  <c:v>1.0123363999999998E-2</c:v>
                </c:pt>
                <c:pt idx="119">
                  <c:v>1.0123363999999998E-2</c:v>
                </c:pt>
                <c:pt idx="120">
                  <c:v>1.0123363999999998E-2</c:v>
                </c:pt>
                <c:pt idx="121">
                  <c:v>1.0123363999999998E-2</c:v>
                </c:pt>
                <c:pt idx="122">
                  <c:v>1.0123363999999998E-2</c:v>
                </c:pt>
                <c:pt idx="123">
                  <c:v>1.0123363999999998E-2</c:v>
                </c:pt>
                <c:pt idx="124">
                  <c:v>1.0123363999999998E-2</c:v>
                </c:pt>
                <c:pt idx="125">
                  <c:v>1.0123363999999998E-2</c:v>
                </c:pt>
                <c:pt idx="126">
                  <c:v>1.0123363999999998E-2</c:v>
                </c:pt>
                <c:pt idx="127">
                  <c:v>1.0123363999999998E-2</c:v>
                </c:pt>
                <c:pt idx="128">
                  <c:v>1.5919004E-2</c:v>
                </c:pt>
                <c:pt idx="129">
                  <c:v>1.5919004E-2</c:v>
                </c:pt>
                <c:pt idx="130">
                  <c:v>1.6334656000000003E-2</c:v>
                </c:pt>
                <c:pt idx="131">
                  <c:v>1.6334656000000003E-2</c:v>
                </c:pt>
                <c:pt idx="132">
                  <c:v>1.6334656000000003E-2</c:v>
                </c:pt>
                <c:pt idx="133">
                  <c:v>1.6334656000000003E-2</c:v>
                </c:pt>
                <c:pt idx="134">
                  <c:v>1.6334656000000003E-2</c:v>
                </c:pt>
                <c:pt idx="135">
                  <c:v>1.6334656000000003E-2</c:v>
                </c:pt>
                <c:pt idx="136">
                  <c:v>1.6334656000000003E-2</c:v>
                </c:pt>
                <c:pt idx="137">
                  <c:v>1.6334656000000003E-2</c:v>
                </c:pt>
                <c:pt idx="138">
                  <c:v>1.6334656000000003E-2</c:v>
                </c:pt>
                <c:pt idx="139">
                  <c:v>1.6334656000000003E-2</c:v>
                </c:pt>
                <c:pt idx="140">
                  <c:v>1.6334656000000003E-2</c:v>
                </c:pt>
                <c:pt idx="141">
                  <c:v>1.6334656000000003E-2</c:v>
                </c:pt>
                <c:pt idx="142">
                  <c:v>1.8834512000000001E-2</c:v>
                </c:pt>
                <c:pt idx="143">
                  <c:v>1.8834512000000001E-2</c:v>
                </c:pt>
                <c:pt idx="144">
                  <c:v>1.8834512000000001E-2</c:v>
                </c:pt>
                <c:pt idx="145">
                  <c:v>1.8834512000000001E-2</c:v>
                </c:pt>
                <c:pt idx="146">
                  <c:v>1.8834512000000001E-2</c:v>
                </c:pt>
                <c:pt idx="147">
                  <c:v>1.8834512000000001E-2</c:v>
                </c:pt>
                <c:pt idx="148">
                  <c:v>1.8834512000000001E-2</c:v>
                </c:pt>
                <c:pt idx="149">
                  <c:v>1.8834512000000001E-2</c:v>
                </c:pt>
                <c:pt idx="150">
                  <c:v>2.2404324000000052E-2</c:v>
                </c:pt>
                <c:pt idx="151">
                  <c:v>2.2404324000000052E-2</c:v>
                </c:pt>
                <c:pt idx="152">
                  <c:v>2.2404324000000052E-2</c:v>
                </c:pt>
                <c:pt idx="153">
                  <c:v>2.2404324000000052E-2</c:v>
                </c:pt>
                <c:pt idx="154">
                  <c:v>2.2404324000000052E-2</c:v>
                </c:pt>
                <c:pt idx="155">
                  <c:v>2.2404324000000052E-2</c:v>
                </c:pt>
                <c:pt idx="156">
                  <c:v>2.2404324000000052E-2</c:v>
                </c:pt>
                <c:pt idx="157">
                  <c:v>2.2404324000000052E-2</c:v>
                </c:pt>
                <c:pt idx="158">
                  <c:v>2.4519108000000012E-2</c:v>
                </c:pt>
                <c:pt idx="159">
                  <c:v>2.4519108000000012E-2</c:v>
                </c:pt>
                <c:pt idx="160">
                  <c:v>2.4519108000000012E-2</c:v>
                </c:pt>
                <c:pt idx="161">
                  <c:v>2.4519108000000012E-2</c:v>
                </c:pt>
                <c:pt idx="162">
                  <c:v>2.4519108000000012E-2</c:v>
                </c:pt>
                <c:pt idx="163">
                  <c:v>2.4519108000000012E-2</c:v>
                </c:pt>
                <c:pt idx="164">
                  <c:v>2.4519108000000012E-2</c:v>
                </c:pt>
                <c:pt idx="165">
                  <c:v>2.4519108000000012E-2</c:v>
                </c:pt>
                <c:pt idx="166">
                  <c:v>2.4519108000000012E-2</c:v>
                </c:pt>
                <c:pt idx="167">
                  <c:v>2.4519108000000012E-2</c:v>
                </c:pt>
                <c:pt idx="168">
                  <c:v>2.4519108000000012E-2</c:v>
                </c:pt>
                <c:pt idx="169">
                  <c:v>2.4519108000000012E-2</c:v>
                </c:pt>
                <c:pt idx="170">
                  <c:v>2.5764979999999993E-2</c:v>
                </c:pt>
                <c:pt idx="171">
                  <c:v>2.5764979999999993E-2</c:v>
                </c:pt>
                <c:pt idx="172">
                  <c:v>2.5764979999999993E-2</c:v>
                </c:pt>
                <c:pt idx="173">
                  <c:v>2.5764979999999993E-2</c:v>
                </c:pt>
                <c:pt idx="174">
                  <c:v>2.5764979999999993E-2</c:v>
                </c:pt>
                <c:pt idx="175">
                  <c:v>2.5764979999999993E-2</c:v>
                </c:pt>
                <c:pt idx="176">
                  <c:v>2.6248336000000514E-2</c:v>
                </c:pt>
                <c:pt idx="177">
                  <c:v>2.6248336000000514E-2</c:v>
                </c:pt>
                <c:pt idx="178">
                  <c:v>2.6248336000000514E-2</c:v>
                </c:pt>
                <c:pt idx="179">
                  <c:v>2.6248336000000514E-2</c:v>
                </c:pt>
                <c:pt idx="180">
                  <c:v>2.6248336000000514E-2</c:v>
                </c:pt>
                <c:pt idx="181">
                  <c:v>2.6248336000000514E-2</c:v>
                </c:pt>
                <c:pt idx="182">
                  <c:v>2.6248336000000514E-2</c:v>
                </c:pt>
                <c:pt idx="183">
                  <c:v>2.6248336000000514E-2</c:v>
                </c:pt>
                <c:pt idx="184">
                  <c:v>2.8346787999999998E-2</c:v>
                </c:pt>
                <c:pt idx="185">
                  <c:v>2.8346787999999998E-2</c:v>
                </c:pt>
                <c:pt idx="186">
                  <c:v>2.8346787999999998E-2</c:v>
                </c:pt>
                <c:pt idx="187">
                  <c:v>2.8346787999999998E-2</c:v>
                </c:pt>
                <c:pt idx="188">
                  <c:v>2.8346787999999998E-2</c:v>
                </c:pt>
                <c:pt idx="189">
                  <c:v>2.8346787999999998E-2</c:v>
                </c:pt>
                <c:pt idx="190">
                  <c:v>2.8346787999999998E-2</c:v>
                </c:pt>
                <c:pt idx="191">
                  <c:v>2.8346787999999998E-2</c:v>
                </c:pt>
                <c:pt idx="192">
                  <c:v>2.8346787999999998E-2</c:v>
                </c:pt>
                <c:pt idx="193">
                  <c:v>2.8346787999999998E-2</c:v>
                </c:pt>
                <c:pt idx="194">
                  <c:v>2.8346787999999998E-2</c:v>
                </c:pt>
                <c:pt idx="195">
                  <c:v>2.8346787999999998E-2</c:v>
                </c:pt>
                <c:pt idx="196">
                  <c:v>2.8346787999999998E-2</c:v>
                </c:pt>
                <c:pt idx="197">
                  <c:v>2.8346787999999998E-2</c:v>
                </c:pt>
                <c:pt idx="198">
                  <c:v>2.8956831999999988E-2</c:v>
                </c:pt>
                <c:pt idx="199">
                  <c:v>2.8956831999999988E-2</c:v>
                </c:pt>
                <c:pt idx="200">
                  <c:v>2.8956831999999988E-2</c:v>
                </c:pt>
                <c:pt idx="201">
                  <c:v>2.8956831999999988E-2</c:v>
                </c:pt>
                <c:pt idx="202">
                  <c:v>2.8956831999999988E-2</c:v>
                </c:pt>
                <c:pt idx="203">
                  <c:v>2.8956831999999988E-2</c:v>
                </c:pt>
                <c:pt idx="204">
                  <c:v>2.8956831999999988E-2</c:v>
                </c:pt>
                <c:pt idx="205">
                  <c:v>2.8956831999999988E-2</c:v>
                </c:pt>
                <c:pt idx="206">
                  <c:v>2.8956831999999988E-2</c:v>
                </c:pt>
                <c:pt idx="207">
                  <c:v>2.8956831999999988E-2</c:v>
                </c:pt>
                <c:pt idx="208">
                  <c:v>2.8956831999999988E-2</c:v>
                </c:pt>
                <c:pt idx="209">
                  <c:v>2.8956831999999988E-2</c:v>
                </c:pt>
                <c:pt idx="210">
                  <c:v>2.8956831999999988E-2</c:v>
                </c:pt>
                <c:pt idx="211">
                  <c:v>2.8956831999999988E-2</c:v>
                </c:pt>
                <c:pt idx="212">
                  <c:v>3.1098408000000011E-2</c:v>
                </c:pt>
                <c:pt idx="213">
                  <c:v>3.1098408000000011E-2</c:v>
                </c:pt>
                <c:pt idx="214">
                  <c:v>3.1098408000000011E-2</c:v>
                </c:pt>
                <c:pt idx="215">
                  <c:v>3.1098408000000011E-2</c:v>
                </c:pt>
                <c:pt idx="216">
                  <c:v>3.1098408000000011E-2</c:v>
                </c:pt>
                <c:pt idx="217">
                  <c:v>3.1098408000000011E-2</c:v>
                </c:pt>
                <c:pt idx="218">
                  <c:v>3.1098408000000011E-2</c:v>
                </c:pt>
                <c:pt idx="219">
                  <c:v>3.1098408000000011E-2</c:v>
                </c:pt>
                <c:pt idx="220">
                  <c:v>3.2464080000000006E-2</c:v>
                </c:pt>
                <c:pt idx="221">
                  <c:v>3.2464080000000006E-2</c:v>
                </c:pt>
                <c:pt idx="222">
                  <c:v>3.2464080000000006E-2</c:v>
                </c:pt>
                <c:pt idx="223">
                  <c:v>3.2464080000000006E-2</c:v>
                </c:pt>
                <c:pt idx="224">
                  <c:v>3.2464080000000006E-2</c:v>
                </c:pt>
                <c:pt idx="225">
                  <c:v>3.2464080000000006E-2</c:v>
                </c:pt>
                <c:pt idx="226">
                  <c:v>3.2464080000000006E-2</c:v>
                </c:pt>
                <c:pt idx="227">
                  <c:v>3.8210848000000609E-2</c:v>
                </c:pt>
                <c:pt idx="228">
                  <c:v>3.8210848000000609E-2</c:v>
                </c:pt>
                <c:pt idx="229">
                  <c:v>3.8210848000000609E-2</c:v>
                </c:pt>
                <c:pt idx="230">
                  <c:v>3.8210848000000609E-2</c:v>
                </c:pt>
                <c:pt idx="231">
                  <c:v>3.8210848000000609E-2</c:v>
                </c:pt>
                <c:pt idx="232">
                  <c:v>3.8210848000000609E-2</c:v>
                </c:pt>
                <c:pt idx="233">
                  <c:v>3.8362675999999998E-2</c:v>
                </c:pt>
                <c:pt idx="234">
                  <c:v>3.8362675999999998E-2</c:v>
                </c:pt>
                <c:pt idx="235">
                  <c:v>3.8362675999999998E-2</c:v>
                </c:pt>
                <c:pt idx="236">
                  <c:v>3.8362675999999998E-2</c:v>
                </c:pt>
                <c:pt idx="237">
                  <c:v>3.8362675999999998E-2</c:v>
                </c:pt>
                <c:pt idx="238">
                  <c:v>3.8362675999999998E-2</c:v>
                </c:pt>
                <c:pt idx="239">
                  <c:v>3.8362675999999998E-2</c:v>
                </c:pt>
                <c:pt idx="240">
                  <c:v>3.8362675999999998E-2</c:v>
                </c:pt>
                <c:pt idx="241">
                  <c:v>3.8362675999999998E-2</c:v>
                </c:pt>
                <c:pt idx="242">
                  <c:v>3.8362675999999998E-2</c:v>
                </c:pt>
                <c:pt idx="243">
                  <c:v>3.8362675999999998E-2</c:v>
                </c:pt>
                <c:pt idx="244">
                  <c:v>3.8362675999999998E-2</c:v>
                </c:pt>
                <c:pt idx="245">
                  <c:v>3.8362675999999998E-2</c:v>
                </c:pt>
                <c:pt idx="246">
                  <c:v>3.8362675999999998E-2</c:v>
                </c:pt>
                <c:pt idx="247">
                  <c:v>3.8362675999999998E-2</c:v>
                </c:pt>
                <c:pt idx="248">
                  <c:v>3.8362675999999998E-2</c:v>
                </c:pt>
                <c:pt idx="249">
                  <c:v>3.8362675999999998E-2</c:v>
                </c:pt>
                <c:pt idx="250">
                  <c:v>3.8362675999999998E-2</c:v>
                </c:pt>
                <c:pt idx="251">
                  <c:v>3.8362675999999998E-2</c:v>
                </c:pt>
                <c:pt idx="252">
                  <c:v>3.8362675999999998E-2</c:v>
                </c:pt>
                <c:pt idx="253">
                  <c:v>3.8362675999999998E-2</c:v>
                </c:pt>
                <c:pt idx="254">
                  <c:v>3.8362675999999998E-2</c:v>
                </c:pt>
                <c:pt idx="255">
                  <c:v>3.8362675999999998E-2</c:v>
                </c:pt>
                <c:pt idx="256">
                  <c:v>3.8362675999999998E-2</c:v>
                </c:pt>
                <c:pt idx="257">
                  <c:v>3.8362675999999998E-2</c:v>
                </c:pt>
                <c:pt idx="258">
                  <c:v>3.8362675999999998E-2</c:v>
                </c:pt>
                <c:pt idx="259">
                  <c:v>3.8362675999999998E-2</c:v>
                </c:pt>
                <c:pt idx="260">
                  <c:v>3.8362675999999998E-2</c:v>
                </c:pt>
                <c:pt idx="261">
                  <c:v>3.8362675999999998E-2</c:v>
                </c:pt>
                <c:pt idx="262">
                  <c:v>3.8362675999999998E-2</c:v>
                </c:pt>
                <c:pt idx="263">
                  <c:v>3.8362675999999998E-2</c:v>
                </c:pt>
                <c:pt idx="264">
                  <c:v>3.8362675999999998E-2</c:v>
                </c:pt>
                <c:pt idx="265">
                  <c:v>3.8362675999999998E-2</c:v>
                </c:pt>
                <c:pt idx="266">
                  <c:v>3.8362675999999998E-2</c:v>
                </c:pt>
                <c:pt idx="267">
                  <c:v>3.8362675999999998E-2</c:v>
                </c:pt>
                <c:pt idx="268">
                  <c:v>3.8362675999999998E-2</c:v>
                </c:pt>
                <c:pt idx="269">
                  <c:v>3.8362675999999998E-2</c:v>
                </c:pt>
                <c:pt idx="270">
                  <c:v>3.8362675999999998E-2</c:v>
                </c:pt>
                <c:pt idx="271">
                  <c:v>3.8362675999999998E-2</c:v>
                </c:pt>
                <c:pt idx="272">
                  <c:v>3.8362675999999998E-2</c:v>
                </c:pt>
                <c:pt idx="273">
                  <c:v>3.8362675999999998E-2</c:v>
                </c:pt>
                <c:pt idx="274">
                  <c:v>3.8362675999999998E-2</c:v>
                </c:pt>
                <c:pt idx="275">
                  <c:v>3.8362675999999998E-2</c:v>
                </c:pt>
                <c:pt idx="276">
                  <c:v>3.8362675999999998E-2</c:v>
                </c:pt>
                <c:pt idx="277">
                  <c:v>3.8362675999999998E-2</c:v>
                </c:pt>
                <c:pt idx="278">
                  <c:v>3.8362675999999998E-2</c:v>
                </c:pt>
                <c:pt idx="279">
                  <c:v>3.8362675999999998E-2</c:v>
                </c:pt>
                <c:pt idx="280">
                  <c:v>3.8362675999999998E-2</c:v>
                </c:pt>
                <c:pt idx="281">
                  <c:v>3.8362675999999998E-2</c:v>
                </c:pt>
                <c:pt idx="282">
                  <c:v>3.8362675999999998E-2</c:v>
                </c:pt>
                <c:pt idx="283">
                  <c:v>3.8362675999999998E-2</c:v>
                </c:pt>
                <c:pt idx="284">
                  <c:v>3.8362675999999998E-2</c:v>
                </c:pt>
                <c:pt idx="285">
                  <c:v>3.8362675999999998E-2</c:v>
                </c:pt>
                <c:pt idx="286">
                  <c:v>3.8362675999999998E-2</c:v>
                </c:pt>
                <c:pt idx="287">
                  <c:v>3.8362675999999998E-2</c:v>
                </c:pt>
                <c:pt idx="288">
                  <c:v>3.8362675999999998E-2</c:v>
                </c:pt>
                <c:pt idx="289">
                  <c:v>3.8362675999999998E-2</c:v>
                </c:pt>
                <c:pt idx="290">
                  <c:v>3.8362675999999998E-2</c:v>
                </c:pt>
                <c:pt idx="291">
                  <c:v>3.8362675999999998E-2</c:v>
                </c:pt>
                <c:pt idx="292">
                  <c:v>3.8362675999999998E-2</c:v>
                </c:pt>
                <c:pt idx="293">
                  <c:v>3.8362675999999998E-2</c:v>
                </c:pt>
                <c:pt idx="294">
                  <c:v>3.8362675999999998E-2</c:v>
                </c:pt>
                <c:pt idx="295">
                  <c:v>3.8362675999999998E-2</c:v>
                </c:pt>
                <c:pt idx="296">
                  <c:v>3.8362675999999998E-2</c:v>
                </c:pt>
                <c:pt idx="297">
                  <c:v>3.8362675999999998E-2</c:v>
                </c:pt>
                <c:pt idx="298">
                  <c:v>3.8362675999999998E-2</c:v>
                </c:pt>
                <c:pt idx="299">
                  <c:v>3.8362675999999998E-2</c:v>
                </c:pt>
                <c:pt idx="300">
                  <c:v>3.8362675999999998E-2</c:v>
                </c:pt>
                <c:pt idx="301">
                  <c:v>3.8362675999999998E-2</c:v>
                </c:pt>
                <c:pt idx="302">
                  <c:v>3.8362675999999998E-2</c:v>
                </c:pt>
                <c:pt idx="303">
                  <c:v>3.8362675999999998E-2</c:v>
                </c:pt>
                <c:pt idx="304">
                  <c:v>3.8362675999999998E-2</c:v>
                </c:pt>
                <c:pt idx="305">
                  <c:v>3.8362675999999998E-2</c:v>
                </c:pt>
                <c:pt idx="306">
                  <c:v>3.8362675999999998E-2</c:v>
                </c:pt>
                <c:pt idx="307">
                  <c:v>3.8362675999999998E-2</c:v>
                </c:pt>
                <c:pt idx="308">
                  <c:v>3.8362675999999998E-2</c:v>
                </c:pt>
                <c:pt idx="309">
                  <c:v>3.8362675999999998E-2</c:v>
                </c:pt>
                <c:pt idx="310">
                  <c:v>3.8362675999999998E-2</c:v>
                </c:pt>
                <c:pt idx="311">
                  <c:v>3.8362675999999998E-2</c:v>
                </c:pt>
                <c:pt idx="312">
                  <c:v>3.8362675999999998E-2</c:v>
                </c:pt>
                <c:pt idx="313">
                  <c:v>3.8362675999999998E-2</c:v>
                </c:pt>
                <c:pt idx="314">
                  <c:v>3.8362675999999998E-2</c:v>
                </c:pt>
                <c:pt idx="315">
                  <c:v>3.8362675999999998E-2</c:v>
                </c:pt>
                <c:pt idx="316">
                  <c:v>3.8362675999999998E-2</c:v>
                </c:pt>
                <c:pt idx="317">
                  <c:v>3.8362675999999998E-2</c:v>
                </c:pt>
                <c:pt idx="318">
                  <c:v>3.8362675999999998E-2</c:v>
                </c:pt>
                <c:pt idx="319">
                  <c:v>3.8362675999999998E-2</c:v>
                </c:pt>
                <c:pt idx="320">
                  <c:v>3.8362675999999998E-2</c:v>
                </c:pt>
                <c:pt idx="321">
                  <c:v>3.8362675999999998E-2</c:v>
                </c:pt>
                <c:pt idx="322">
                  <c:v>3.8362675999999998E-2</c:v>
                </c:pt>
                <c:pt idx="323">
                  <c:v>3.8362675999999998E-2</c:v>
                </c:pt>
                <c:pt idx="324">
                  <c:v>3.8362675999999998E-2</c:v>
                </c:pt>
                <c:pt idx="325">
                  <c:v>3.8362675999999998E-2</c:v>
                </c:pt>
                <c:pt idx="326">
                  <c:v>3.8362675999999998E-2</c:v>
                </c:pt>
                <c:pt idx="327">
                  <c:v>3.8362675999999998E-2</c:v>
                </c:pt>
                <c:pt idx="328">
                  <c:v>3.8362675999999998E-2</c:v>
                </c:pt>
                <c:pt idx="329">
                  <c:v>3.8362675999999998E-2</c:v>
                </c:pt>
                <c:pt idx="330">
                  <c:v>3.8362675999999998E-2</c:v>
                </c:pt>
                <c:pt idx="331">
                  <c:v>3.8362675999999998E-2</c:v>
                </c:pt>
                <c:pt idx="332">
                  <c:v>3.8362675999999998E-2</c:v>
                </c:pt>
                <c:pt idx="333">
                  <c:v>3.8362675999999998E-2</c:v>
                </c:pt>
                <c:pt idx="334">
                  <c:v>3.8362675999999998E-2</c:v>
                </c:pt>
                <c:pt idx="335">
                  <c:v>3.8362675999999998E-2</c:v>
                </c:pt>
                <c:pt idx="336">
                  <c:v>3.8362675999999998E-2</c:v>
                </c:pt>
                <c:pt idx="337">
                  <c:v>3.8362675999999998E-2</c:v>
                </c:pt>
                <c:pt idx="338">
                  <c:v>3.8362675999999998E-2</c:v>
                </c:pt>
                <c:pt idx="339">
                  <c:v>3.8362675999999998E-2</c:v>
                </c:pt>
                <c:pt idx="340">
                  <c:v>3.8362675999999998E-2</c:v>
                </c:pt>
                <c:pt idx="341">
                  <c:v>3.8362675999999998E-2</c:v>
                </c:pt>
                <c:pt idx="342">
                  <c:v>3.8362675999999998E-2</c:v>
                </c:pt>
                <c:pt idx="343">
                  <c:v>3.8362675999999998E-2</c:v>
                </c:pt>
                <c:pt idx="344">
                  <c:v>3.8362675999999998E-2</c:v>
                </c:pt>
                <c:pt idx="345">
                  <c:v>3.8362675999999998E-2</c:v>
                </c:pt>
                <c:pt idx="346">
                  <c:v>3.8362675999999998E-2</c:v>
                </c:pt>
                <c:pt idx="347">
                  <c:v>3.8362675999999998E-2</c:v>
                </c:pt>
                <c:pt idx="348">
                  <c:v>3.8362675999999998E-2</c:v>
                </c:pt>
                <c:pt idx="349">
                  <c:v>3.8362675999999998E-2</c:v>
                </c:pt>
                <c:pt idx="350">
                  <c:v>3.8362675999999998E-2</c:v>
                </c:pt>
                <c:pt idx="351">
                  <c:v>3.8362675999999998E-2</c:v>
                </c:pt>
                <c:pt idx="352">
                  <c:v>3.8362675999999998E-2</c:v>
                </c:pt>
                <c:pt idx="353">
                  <c:v>3.8362675999999998E-2</c:v>
                </c:pt>
                <c:pt idx="354">
                  <c:v>3.8362675999999998E-2</c:v>
                </c:pt>
                <c:pt idx="355">
                  <c:v>3.8362675999999998E-2</c:v>
                </c:pt>
                <c:pt idx="356">
                  <c:v>3.8362675999999998E-2</c:v>
                </c:pt>
                <c:pt idx="357">
                  <c:v>3.8362675999999998E-2</c:v>
                </c:pt>
                <c:pt idx="358">
                  <c:v>3.8362675999999998E-2</c:v>
                </c:pt>
                <c:pt idx="359">
                  <c:v>3.8362675999999998E-2</c:v>
                </c:pt>
                <c:pt idx="360">
                  <c:v>3.8362675999999998E-2</c:v>
                </c:pt>
                <c:pt idx="361">
                  <c:v>3.8362675999999998E-2</c:v>
                </c:pt>
                <c:pt idx="362">
                  <c:v>3.8362675999999998E-2</c:v>
                </c:pt>
                <c:pt idx="363">
                  <c:v>3.8362675999999998E-2</c:v>
                </c:pt>
                <c:pt idx="364">
                  <c:v>3.8362675999999998E-2</c:v>
                </c:pt>
                <c:pt idx="365">
                  <c:v>3.8362675999999998E-2</c:v>
                </c:pt>
                <c:pt idx="366">
                  <c:v>3.8362675999999998E-2</c:v>
                </c:pt>
                <c:pt idx="367">
                  <c:v>3.8362675999999998E-2</c:v>
                </c:pt>
                <c:pt idx="368">
                  <c:v>3.8362675999999998E-2</c:v>
                </c:pt>
                <c:pt idx="369">
                  <c:v>3.8362675999999998E-2</c:v>
                </c:pt>
                <c:pt idx="370">
                  <c:v>3.8362675999999998E-2</c:v>
                </c:pt>
                <c:pt idx="371">
                  <c:v>3.8362675999999998E-2</c:v>
                </c:pt>
                <c:pt idx="372">
                  <c:v>3.8888356000000006E-2</c:v>
                </c:pt>
                <c:pt idx="373">
                  <c:v>3.8888356000000006E-2</c:v>
                </c:pt>
                <c:pt idx="374">
                  <c:v>3.8888356000000006E-2</c:v>
                </c:pt>
                <c:pt idx="375">
                  <c:v>3.8888356000000006E-2</c:v>
                </c:pt>
                <c:pt idx="376">
                  <c:v>3.8888356000000006E-2</c:v>
                </c:pt>
                <c:pt idx="377">
                  <c:v>3.8888356000000006E-2</c:v>
                </c:pt>
                <c:pt idx="378">
                  <c:v>3.8888356000000006E-2</c:v>
                </c:pt>
                <c:pt idx="379">
                  <c:v>3.8888356000000006E-2</c:v>
                </c:pt>
                <c:pt idx="380">
                  <c:v>3.8888356000000006E-2</c:v>
                </c:pt>
                <c:pt idx="381">
                  <c:v>3.8888356000000006E-2</c:v>
                </c:pt>
                <c:pt idx="382">
                  <c:v>3.8888356000000006E-2</c:v>
                </c:pt>
                <c:pt idx="383">
                  <c:v>3.8888356000000006E-2</c:v>
                </c:pt>
                <c:pt idx="384">
                  <c:v>3.8888356000000006E-2</c:v>
                </c:pt>
                <c:pt idx="385">
                  <c:v>3.8888356000000006E-2</c:v>
                </c:pt>
                <c:pt idx="386">
                  <c:v>3.8888356000000006E-2</c:v>
                </c:pt>
                <c:pt idx="387">
                  <c:v>3.8888356000000006E-2</c:v>
                </c:pt>
                <c:pt idx="388">
                  <c:v>3.8888356000000006E-2</c:v>
                </c:pt>
                <c:pt idx="389">
                  <c:v>3.8888356000000006E-2</c:v>
                </c:pt>
                <c:pt idx="390">
                  <c:v>3.8888356000000006E-2</c:v>
                </c:pt>
                <c:pt idx="391">
                  <c:v>3.8888356000000006E-2</c:v>
                </c:pt>
                <c:pt idx="392">
                  <c:v>3.8888356000000006E-2</c:v>
                </c:pt>
                <c:pt idx="393">
                  <c:v>3.8888356000000006E-2</c:v>
                </c:pt>
                <c:pt idx="394">
                  <c:v>3.8888356000000006E-2</c:v>
                </c:pt>
                <c:pt idx="395">
                  <c:v>3.8888356000000006E-2</c:v>
                </c:pt>
                <c:pt idx="396">
                  <c:v>3.8888356000000006E-2</c:v>
                </c:pt>
                <c:pt idx="397">
                  <c:v>3.8888356000000006E-2</c:v>
                </c:pt>
                <c:pt idx="398">
                  <c:v>3.8888356000000006E-2</c:v>
                </c:pt>
                <c:pt idx="399">
                  <c:v>3.8888356000000006E-2</c:v>
                </c:pt>
                <c:pt idx="400">
                  <c:v>3.8888356000000006E-2</c:v>
                </c:pt>
                <c:pt idx="401">
                  <c:v>3.8888356000000006E-2</c:v>
                </c:pt>
                <c:pt idx="402">
                  <c:v>3.8888356000000006E-2</c:v>
                </c:pt>
                <c:pt idx="403">
                  <c:v>3.8888356000000006E-2</c:v>
                </c:pt>
                <c:pt idx="404">
                  <c:v>3.8888356000000006E-2</c:v>
                </c:pt>
                <c:pt idx="405">
                  <c:v>3.8888356000000006E-2</c:v>
                </c:pt>
                <c:pt idx="406">
                  <c:v>3.8888356000000006E-2</c:v>
                </c:pt>
                <c:pt idx="407">
                  <c:v>4.2650215999999998E-2</c:v>
                </c:pt>
                <c:pt idx="408">
                  <c:v>4.2650215999999998E-2</c:v>
                </c:pt>
                <c:pt idx="409">
                  <c:v>4.2650215999999998E-2</c:v>
                </c:pt>
                <c:pt idx="410">
                  <c:v>4.2650215999999998E-2</c:v>
                </c:pt>
                <c:pt idx="411">
                  <c:v>4.2650215999999998E-2</c:v>
                </c:pt>
                <c:pt idx="412">
                  <c:v>4.2650215999999998E-2</c:v>
                </c:pt>
                <c:pt idx="413">
                  <c:v>4.2650215999999998E-2</c:v>
                </c:pt>
                <c:pt idx="414">
                  <c:v>4.2650215999999998E-2</c:v>
                </c:pt>
                <c:pt idx="415">
                  <c:v>4.2650215999999998E-2</c:v>
                </c:pt>
                <c:pt idx="416">
                  <c:v>4.2650215999999998E-2</c:v>
                </c:pt>
                <c:pt idx="417">
                  <c:v>4.2650215999999998E-2</c:v>
                </c:pt>
                <c:pt idx="418">
                  <c:v>4.2650215999999998E-2</c:v>
                </c:pt>
                <c:pt idx="419">
                  <c:v>4.2650215999999998E-2</c:v>
                </c:pt>
                <c:pt idx="420">
                  <c:v>4.2650215999999998E-2</c:v>
                </c:pt>
                <c:pt idx="421">
                  <c:v>4.2650215999999998E-2</c:v>
                </c:pt>
                <c:pt idx="422">
                  <c:v>4.2650215999999998E-2</c:v>
                </c:pt>
                <c:pt idx="423">
                  <c:v>4.2650215999999998E-2</c:v>
                </c:pt>
                <c:pt idx="424">
                  <c:v>4.2650215999999998E-2</c:v>
                </c:pt>
                <c:pt idx="425">
                  <c:v>4.2650215999999998E-2</c:v>
                </c:pt>
                <c:pt idx="426">
                  <c:v>4.2650215999999998E-2</c:v>
                </c:pt>
                <c:pt idx="427">
                  <c:v>4.2650215999999998E-2</c:v>
                </c:pt>
                <c:pt idx="428">
                  <c:v>4.2650215999999998E-2</c:v>
                </c:pt>
                <c:pt idx="429">
                  <c:v>4.2650215999999998E-2</c:v>
                </c:pt>
                <c:pt idx="430">
                  <c:v>4.2650215999999998E-2</c:v>
                </c:pt>
                <c:pt idx="431">
                  <c:v>4.2650215999999998E-2</c:v>
                </c:pt>
                <c:pt idx="432">
                  <c:v>4.2650215999999998E-2</c:v>
                </c:pt>
                <c:pt idx="433">
                  <c:v>4.2650215999999998E-2</c:v>
                </c:pt>
                <c:pt idx="434">
                  <c:v>4.2650215999999998E-2</c:v>
                </c:pt>
                <c:pt idx="435">
                  <c:v>4.2650215999999998E-2</c:v>
                </c:pt>
                <c:pt idx="436">
                  <c:v>4.2650215999999998E-2</c:v>
                </c:pt>
                <c:pt idx="437">
                  <c:v>4.2650215999999998E-2</c:v>
                </c:pt>
                <c:pt idx="438">
                  <c:v>4.2650215999999998E-2</c:v>
                </c:pt>
                <c:pt idx="439">
                  <c:v>4.2650215999999998E-2</c:v>
                </c:pt>
                <c:pt idx="440">
                  <c:v>4.2650215999999998E-2</c:v>
                </c:pt>
                <c:pt idx="441">
                  <c:v>4.2650215999999998E-2</c:v>
                </c:pt>
                <c:pt idx="442">
                  <c:v>4.2650215999999998E-2</c:v>
                </c:pt>
                <c:pt idx="443">
                  <c:v>4.2650215999999998E-2</c:v>
                </c:pt>
                <c:pt idx="444">
                  <c:v>4.2650215999999998E-2</c:v>
                </c:pt>
                <c:pt idx="445">
                  <c:v>4.2650215999999998E-2</c:v>
                </c:pt>
                <c:pt idx="446">
                  <c:v>4.2650215999999998E-2</c:v>
                </c:pt>
                <c:pt idx="447">
                  <c:v>4.2650215999999998E-2</c:v>
                </c:pt>
                <c:pt idx="448">
                  <c:v>4.2650215999999998E-2</c:v>
                </c:pt>
                <c:pt idx="449">
                  <c:v>4.2650215999999998E-2</c:v>
                </c:pt>
                <c:pt idx="450">
                  <c:v>4.6025127999999985E-2</c:v>
                </c:pt>
                <c:pt idx="451">
                  <c:v>4.6025127999999985E-2</c:v>
                </c:pt>
                <c:pt idx="452">
                  <c:v>4.6025127999999985E-2</c:v>
                </c:pt>
                <c:pt idx="453">
                  <c:v>4.6025127999999985E-2</c:v>
                </c:pt>
                <c:pt idx="454">
                  <c:v>4.6025127999999985E-2</c:v>
                </c:pt>
                <c:pt idx="455">
                  <c:v>4.6025127999999985E-2</c:v>
                </c:pt>
                <c:pt idx="456">
                  <c:v>4.6025127999999985E-2</c:v>
                </c:pt>
                <c:pt idx="457">
                  <c:v>4.6025127999999985E-2</c:v>
                </c:pt>
                <c:pt idx="458">
                  <c:v>4.6025127999999985E-2</c:v>
                </c:pt>
                <c:pt idx="459">
                  <c:v>4.6025127999999985E-2</c:v>
                </c:pt>
                <c:pt idx="460">
                  <c:v>4.6025127999999985E-2</c:v>
                </c:pt>
                <c:pt idx="461">
                  <c:v>4.6025127999999985E-2</c:v>
                </c:pt>
                <c:pt idx="462">
                  <c:v>4.6025127999999985E-2</c:v>
                </c:pt>
                <c:pt idx="463">
                  <c:v>4.6025127999999985E-2</c:v>
                </c:pt>
                <c:pt idx="464">
                  <c:v>4.6025127999999985E-2</c:v>
                </c:pt>
                <c:pt idx="465">
                  <c:v>4.6025127999999985E-2</c:v>
                </c:pt>
                <c:pt idx="466">
                  <c:v>4.6025127999999985E-2</c:v>
                </c:pt>
                <c:pt idx="467">
                  <c:v>4.6025127999999985E-2</c:v>
                </c:pt>
                <c:pt idx="468">
                  <c:v>4.6025127999999985E-2</c:v>
                </c:pt>
                <c:pt idx="469">
                  <c:v>4.6025127999999985E-2</c:v>
                </c:pt>
                <c:pt idx="470">
                  <c:v>4.6025127999999985E-2</c:v>
                </c:pt>
                <c:pt idx="471">
                  <c:v>4.7735764000001228E-2</c:v>
                </c:pt>
                <c:pt idx="472">
                  <c:v>4.7735764000001228E-2</c:v>
                </c:pt>
                <c:pt idx="473">
                  <c:v>4.7735764000001228E-2</c:v>
                </c:pt>
                <c:pt idx="474">
                  <c:v>4.7735764000001228E-2</c:v>
                </c:pt>
                <c:pt idx="475">
                  <c:v>4.7735764000001228E-2</c:v>
                </c:pt>
                <c:pt idx="476">
                  <c:v>4.7735764000001228E-2</c:v>
                </c:pt>
                <c:pt idx="477">
                  <c:v>4.7735764000001228E-2</c:v>
                </c:pt>
                <c:pt idx="478">
                  <c:v>4.7735764000001228E-2</c:v>
                </c:pt>
                <c:pt idx="479">
                  <c:v>4.7735764000001228E-2</c:v>
                </c:pt>
                <c:pt idx="480">
                  <c:v>4.7735764000001228E-2</c:v>
                </c:pt>
                <c:pt idx="481">
                  <c:v>4.7735764000001228E-2</c:v>
                </c:pt>
                <c:pt idx="482">
                  <c:v>4.7735764000001228E-2</c:v>
                </c:pt>
                <c:pt idx="483">
                  <c:v>4.7735764000001228E-2</c:v>
                </c:pt>
                <c:pt idx="484">
                  <c:v>4.7735764000001228E-2</c:v>
                </c:pt>
                <c:pt idx="485">
                  <c:v>4.7735764000001228E-2</c:v>
                </c:pt>
                <c:pt idx="486">
                  <c:v>4.7735764000001228E-2</c:v>
                </c:pt>
                <c:pt idx="487">
                  <c:v>4.7735764000001228E-2</c:v>
                </c:pt>
                <c:pt idx="488">
                  <c:v>4.7735764000001228E-2</c:v>
                </c:pt>
                <c:pt idx="489">
                  <c:v>4.7735764000001228E-2</c:v>
                </c:pt>
                <c:pt idx="490">
                  <c:v>4.7735764000001228E-2</c:v>
                </c:pt>
                <c:pt idx="491">
                  <c:v>4.7735764000001228E-2</c:v>
                </c:pt>
                <c:pt idx="492">
                  <c:v>4.7735764000001228E-2</c:v>
                </c:pt>
                <c:pt idx="493">
                  <c:v>4.7735764000001228E-2</c:v>
                </c:pt>
                <c:pt idx="494">
                  <c:v>5.0335648000000004E-2</c:v>
                </c:pt>
                <c:pt idx="495">
                  <c:v>5.0335648000000004E-2</c:v>
                </c:pt>
                <c:pt idx="496">
                  <c:v>5.0335648000000004E-2</c:v>
                </c:pt>
                <c:pt idx="497">
                  <c:v>5.0335648000000004E-2</c:v>
                </c:pt>
                <c:pt idx="498">
                  <c:v>5.0335648000000004E-2</c:v>
                </c:pt>
                <c:pt idx="499">
                  <c:v>5.0335648000000004E-2</c:v>
                </c:pt>
                <c:pt idx="500">
                  <c:v>5.0335648000000004E-2</c:v>
                </c:pt>
                <c:pt idx="501">
                  <c:v>5.0335648000000004E-2</c:v>
                </c:pt>
                <c:pt idx="502">
                  <c:v>5.0335648000000004E-2</c:v>
                </c:pt>
                <c:pt idx="503">
                  <c:v>5.0335648000000004E-2</c:v>
                </c:pt>
                <c:pt idx="504">
                  <c:v>5.0335648000000004E-2</c:v>
                </c:pt>
                <c:pt idx="505">
                  <c:v>5.0335648000000004E-2</c:v>
                </c:pt>
                <c:pt idx="506">
                  <c:v>5.0335648000000004E-2</c:v>
                </c:pt>
                <c:pt idx="507">
                  <c:v>5.0335648000000004E-2</c:v>
                </c:pt>
                <c:pt idx="508">
                  <c:v>5.0335648000000004E-2</c:v>
                </c:pt>
                <c:pt idx="509">
                  <c:v>5.0335648000000004E-2</c:v>
                </c:pt>
                <c:pt idx="510">
                  <c:v>5.0335648000000004E-2</c:v>
                </c:pt>
                <c:pt idx="511">
                  <c:v>5.0335648000000004E-2</c:v>
                </c:pt>
                <c:pt idx="512">
                  <c:v>5.0335648000000004E-2</c:v>
                </c:pt>
                <c:pt idx="513">
                  <c:v>5.0335648000000004E-2</c:v>
                </c:pt>
                <c:pt idx="514">
                  <c:v>5.0335648000000004E-2</c:v>
                </c:pt>
                <c:pt idx="515">
                  <c:v>5.0335648000000004E-2</c:v>
                </c:pt>
                <c:pt idx="516">
                  <c:v>5.0335648000000004E-2</c:v>
                </c:pt>
                <c:pt idx="517">
                  <c:v>5.0335648000000004E-2</c:v>
                </c:pt>
                <c:pt idx="518">
                  <c:v>5.2898452000000915E-2</c:v>
                </c:pt>
                <c:pt idx="519">
                  <c:v>5.2898452000000915E-2</c:v>
                </c:pt>
                <c:pt idx="520">
                  <c:v>5.2898452000000915E-2</c:v>
                </c:pt>
                <c:pt idx="521">
                  <c:v>5.2898452000000915E-2</c:v>
                </c:pt>
                <c:pt idx="522">
                  <c:v>5.2898452000000915E-2</c:v>
                </c:pt>
                <c:pt idx="523">
                  <c:v>5.2898452000000915E-2</c:v>
                </c:pt>
                <c:pt idx="524">
                  <c:v>5.2898452000000915E-2</c:v>
                </c:pt>
                <c:pt idx="525">
                  <c:v>5.2898452000000915E-2</c:v>
                </c:pt>
                <c:pt idx="526">
                  <c:v>5.2898452000000915E-2</c:v>
                </c:pt>
                <c:pt idx="527">
                  <c:v>5.2898452000000915E-2</c:v>
                </c:pt>
                <c:pt idx="528">
                  <c:v>5.2898452000000915E-2</c:v>
                </c:pt>
                <c:pt idx="529">
                  <c:v>5.2898452000000915E-2</c:v>
                </c:pt>
                <c:pt idx="530">
                  <c:v>5.2898452000000915E-2</c:v>
                </c:pt>
                <c:pt idx="531">
                  <c:v>5.2898452000000915E-2</c:v>
                </c:pt>
                <c:pt idx="532">
                  <c:v>5.2898452000000915E-2</c:v>
                </c:pt>
                <c:pt idx="533">
                  <c:v>5.2898452000000915E-2</c:v>
                </c:pt>
                <c:pt idx="534">
                  <c:v>5.2898452000000915E-2</c:v>
                </c:pt>
                <c:pt idx="535">
                  <c:v>5.2898452000000915E-2</c:v>
                </c:pt>
                <c:pt idx="536">
                  <c:v>5.2898452000000915E-2</c:v>
                </c:pt>
                <c:pt idx="537">
                  <c:v>5.2898452000000915E-2</c:v>
                </c:pt>
                <c:pt idx="538">
                  <c:v>5.2898452000000915E-2</c:v>
                </c:pt>
                <c:pt idx="539">
                  <c:v>5.2898452000000915E-2</c:v>
                </c:pt>
                <c:pt idx="540">
                  <c:v>5.2898452000000915E-2</c:v>
                </c:pt>
                <c:pt idx="541">
                  <c:v>5.2898452000000915E-2</c:v>
                </c:pt>
                <c:pt idx="542">
                  <c:v>5.7269988000000022E-2</c:v>
                </c:pt>
                <c:pt idx="543">
                  <c:v>5.7269988000000022E-2</c:v>
                </c:pt>
                <c:pt idx="544">
                  <c:v>5.7269988000000022E-2</c:v>
                </c:pt>
                <c:pt idx="545">
                  <c:v>5.7269988000000022E-2</c:v>
                </c:pt>
                <c:pt idx="546">
                  <c:v>5.7269988000000022E-2</c:v>
                </c:pt>
                <c:pt idx="547">
                  <c:v>5.7269988000000022E-2</c:v>
                </c:pt>
                <c:pt idx="548">
                  <c:v>5.7269988000000022E-2</c:v>
                </c:pt>
                <c:pt idx="549">
                  <c:v>5.7269988000000022E-2</c:v>
                </c:pt>
                <c:pt idx="550">
                  <c:v>5.7269988000000022E-2</c:v>
                </c:pt>
                <c:pt idx="551">
                  <c:v>5.7269988000000022E-2</c:v>
                </c:pt>
                <c:pt idx="552">
                  <c:v>5.7269988000000022E-2</c:v>
                </c:pt>
                <c:pt idx="553">
                  <c:v>5.7269988000000022E-2</c:v>
                </c:pt>
                <c:pt idx="554">
                  <c:v>5.7950892000000032E-2</c:v>
                </c:pt>
                <c:pt idx="555">
                  <c:v>5.7950892000000032E-2</c:v>
                </c:pt>
                <c:pt idx="556">
                  <c:v>5.7950892000000032E-2</c:v>
                </c:pt>
                <c:pt idx="557">
                  <c:v>5.7950892000000032E-2</c:v>
                </c:pt>
                <c:pt idx="558">
                  <c:v>5.7950892000000032E-2</c:v>
                </c:pt>
                <c:pt idx="559">
                  <c:v>5.7950892000000032E-2</c:v>
                </c:pt>
                <c:pt idx="560">
                  <c:v>5.7950892000000032E-2</c:v>
                </c:pt>
                <c:pt idx="561">
                  <c:v>5.7950892000000032E-2</c:v>
                </c:pt>
                <c:pt idx="562">
                  <c:v>5.7950892000000032E-2</c:v>
                </c:pt>
                <c:pt idx="563">
                  <c:v>5.7950892000000032E-2</c:v>
                </c:pt>
                <c:pt idx="564">
                  <c:v>5.7950892000000032E-2</c:v>
                </c:pt>
                <c:pt idx="565">
                  <c:v>5.7950892000000032E-2</c:v>
                </c:pt>
                <c:pt idx="566">
                  <c:v>5.7950892000000032E-2</c:v>
                </c:pt>
                <c:pt idx="567">
                  <c:v>5.7950892000000032E-2</c:v>
                </c:pt>
                <c:pt idx="568">
                  <c:v>5.7950892000000032E-2</c:v>
                </c:pt>
                <c:pt idx="569">
                  <c:v>5.7950892000000032E-2</c:v>
                </c:pt>
                <c:pt idx="570">
                  <c:v>5.7950892000000032E-2</c:v>
                </c:pt>
                <c:pt idx="571">
                  <c:v>5.7950892000000032E-2</c:v>
                </c:pt>
                <c:pt idx="572">
                  <c:v>5.7950892000000032E-2</c:v>
                </c:pt>
                <c:pt idx="573">
                  <c:v>5.7950892000000032E-2</c:v>
                </c:pt>
                <c:pt idx="574">
                  <c:v>5.7950892000000032E-2</c:v>
                </c:pt>
                <c:pt idx="575">
                  <c:v>5.7950892000000032E-2</c:v>
                </c:pt>
                <c:pt idx="576">
                  <c:v>5.7950892000000032E-2</c:v>
                </c:pt>
                <c:pt idx="577">
                  <c:v>5.9586660000002248E-2</c:v>
                </c:pt>
                <c:pt idx="578">
                  <c:v>5.9586660000002248E-2</c:v>
                </c:pt>
                <c:pt idx="579">
                  <c:v>5.9586660000002248E-2</c:v>
                </c:pt>
                <c:pt idx="580">
                  <c:v>5.9586660000002248E-2</c:v>
                </c:pt>
                <c:pt idx="581">
                  <c:v>5.9586660000002248E-2</c:v>
                </c:pt>
                <c:pt idx="582">
                  <c:v>5.9586660000002248E-2</c:v>
                </c:pt>
                <c:pt idx="583">
                  <c:v>5.9586660000002248E-2</c:v>
                </c:pt>
                <c:pt idx="584">
                  <c:v>5.9586660000002248E-2</c:v>
                </c:pt>
                <c:pt idx="585">
                  <c:v>5.9586660000002248E-2</c:v>
                </c:pt>
                <c:pt idx="586">
                  <c:v>5.9586660000002248E-2</c:v>
                </c:pt>
                <c:pt idx="587">
                  <c:v>5.9586660000002248E-2</c:v>
                </c:pt>
                <c:pt idx="588">
                  <c:v>5.9586660000002248E-2</c:v>
                </c:pt>
                <c:pt idx="589">
                  <c:v>5.9586660000002248E-2</c:v>
                </c:pt>
                <c:pt idx="590">
                  <c:v>5.9586660000002248E-2</c:v>
                </c:pt>
                <c:pt idx="591">
                  <c:v>5.9586660000002248E-2</c:v>
                </c:pt>
                <c:pt idx="592">
                  <c:v>5.9586660000002248E-2</c:v>
                </c:pt>
                <c:pt idx="593">
                  <c:v>5.9586660000002248E-2</c:v>
                </c:pt>
                <c:pt idx="594">
                  <c:v>5.9586660000002248E-2</c:v>
                </c:pt>
                <c:pt idx="595">
                  <c:v>5.9586660000002248E-2</c:v>
                </c:pt>
                <c:pt idx="596">
                  <c:v>5.9586660000002248E-2</c:v>
                </c:pt>
                <c:pt idx="597">
                  <c:v>6.0571516000000006E-2</c:v>
                </c:pt>
                <c:pt idx="598">
                  <c:v>6.0571516000000006E-2</c:v>
                </c:pt>
                <c:pt idx="599">
                  <c:v>6.0571516000000006E-2</c:v>
                </c:pt>
                <c:pt idx="600">
                  <c:v>6.0642020000000123E-2</c:v>
                </c:pt>
                <c:pt idx="601">
                  <c:v>6.0642020000000123E-2</c:v>
                </c:pt>
                <c:pt idx="602">
                  <c:v>6.0642020000000123E-2</c:v>
                </c:pt>
                <c:pt idx="603">
                  <c:v>6.0642020000000123E-2</c:v>
                </c:pt>
                <c:pt idx="604">
                  <c:v>6.0642020000000123E-2</c:v>
                </c:pt>
                <c:pt idx="605">
                  <c:v>6.0642020000000123E-2</c:v>
                </c:pt>
                <c:pt idx="606">
                  <c:v>6.0642020000000123E-2</c:v>
                </c:pt>
                <c:pt idx="607">
                  <c:v>6.0642020000000123E-2</c:v>
                </c:pt>
                <c:pt idx="608">
                  <c:v>6.0642020000000123E-2</c:v>
                </c:pt>
                <c:pt idx="609">
                  <c:v>6.0642020000000123E-2</c:v>
                </c:pt>
                <c:pt idx="610">
                  <c:v>6.0642020000000123E-2</c:v>
                </c:pt>
                <c:pt idx="611">
                  <c:v>6.0642020000000123E-2</c:v>
                </c:pt>
                <c:pt idx="612">
                  <c:v>6.0642020000000123E-2</c:v>
                </c:pt>
                <c:pt idx="613">
                  <c:v>6.0642020000000123E-2</c:v>
                </c:pt>
                <c:pt idx="614">
                  <c:v>6.0642020000000123E-2</c:v>
                </c:pt>
                <c:pt idx="615">
                  <c:v>6.0642020000000123E-2</c:v>
                </c:pt>
                <c:pt idx="616">
                  <c:v>6.0642020000000123E-2</c:v>
                </c:pt>
                <c:pt idx="617">
                  <c:v>6.0642020000000123E-2</c:v>
                </c:pt>
                <c:pt idx="618">
                  <c:v>6.0642020000000123E-2</c:v>
                </c:pt>
                <c:pt idx="619">
                  <c:v>6.0642020000000123E-2</c:v>
                </c:pt>
                <c:pt idx="620">
                  <c:v>6.0642020000000123E-2</c:v>
                </c:pt>
                <c:pt idx="621">
                  <c:v>6.0642020000000123E-2</c:v>
                </c:pt>
                <c:pt idx="622">
                  <c:v>6.0642020000000123E-2</c:v>
                </c:pt>
                <c:pt idx="623">
                  <c:v>6.0642020000000123E-2</c:v>
                </c:pt>
                <c:pt idx="624">
                  <c:v>6.0642020000000123E-2</c:v>
                </c:pt>
                <c:pt idx="625">
                  <c:v>6.0642020000000123E-2</c:v>
                </c:pt>
                <c:pt idx="626">
                  <c:v>6.0642020000000123E-2</c:v>
                </c:pt>
                <c:pt idx="627">
                  <c:v>6.0642020000000123E-2</c:v>
                </c:pt>
                <c:pt idx="628">
                  <c:v>6.0642020000000123E-2</c:v>
                </c:pt>
                <c:pt idx="629">
                  <c:v>6.0642020000000123E-2</c:v>
                </c:pt>
                <c:pt idx="630">
                  <c:v>6.0642020000000123E-2</c:v>
                </c:pt>
                <c:pt idx="631">
                  <c:v>6.0642020000000123E-2</c:v>
                </c:pt>
                <c:pt idx="632">
                  <c:v>6.0642020000000123E-2</c:v>
                </c:pt>
                <c:pt idx="633">
                  <c:v>6.0642020000000123E-2</c:v>
                </c:pt>
                <c:pt idx="634">
                  <c:v>6.0642020000000123E-2</c:v>
                </c:pt>
                <c:pt idx="635">
                  <c:v>6.0642020000000123E-2</c:v>
                </c:pt>
                <c:pt idx="636">
                  <c:v>6.0642020000000123E-2</c:v>
                </c:pt>
                <c:pt idx="637">
                  <c:v>6.0642020000000123E-2</c:v>
                </c:pt>
                <c:pt idx="638">
                  <c:v>6.0642020000000123E-2</c:v>
                </c:pt>
                <c:pt idx="639">
                  <c:v>6.0642020000000123E-2</c:v>
                </c:pt>
                <c:pt idx="640">
                  <c:v>6.0642020000000123E-2</c:v>
                </c:pt>
                <c:pt idx="641">
                  <c:v>6.0642020000000123E-2</c:v>
                </c:pt>
                <c:pt idx="642">
                  <c:v>6.0642020000000123E-2</c:v>
                </c:pt>
                <c:pt idx="643">
                  <c:v>6.0642020000000123E-2</c:v>
                </c:pt>
                <c:pt idx="644">
                  <c:v>6.0642020000000123E-2</c:v>
                </c:pt>
                <c:pt idx="645">
                  <c:v>6.0642020000000123E-2</c:v>
                </c:pt>
                <c:pt idx="646">
                  <c:v>6.0642020000000123E-2</c:v>
                </c:pt>
                <c:pt idx="647">
                  <c:v>6.0642020000000123E-2</c:v>
                </c:pt>
                <c:pt idx="648">
                  <c:v>6.0642020000000123E-2</c:v>
                </c:pt>
                <c:pt idx="649">
                  <c:v>6.0642020000000123E-2</c:v>
                </c:pt>
                <c:pt idx="650">
                  <c:v>6.0642020000000123E-2</c:v>
                </c:pt>
                <c:pt idx="651">
                  <c:v>6.0642020000000123E-2</c:v>
                </c:pt>
                <c:pt idx="652">
                  <c:v>6.0642020000000123E-2</c:v>
                </c:pt>
                <c:pt idx="653">
                  <c:v>6.0642020000000123E-2</c:v>
                </c:pt>
                <c:pt idx="654">
                  <c:v>6.0642020000000123E-2</c:v>
                </c:pt>
                <c:pt idx="655">
                  <c:v>6.0642020000000123E-2</c:v>
                </c:pt>
                <c:pt idx="656">
                  <c:v>6.0642020000000123E-2</c:v>
                </c:pt>
                <c:pt idx="657">
                  <c:v>6.0642020000000123E-2</c:v>
                </c:pt>
                <c:pt idx="658">
                  <c:v>6.0642020000000123E-2</c:v>
                </c:pt>
                <c:pt idx="659">
                  <c:v>6.0642020000000123E-2</c:v>
                </c:pt>
                <c:pt idx="660">
                  <c:v>6.0642020000000123E-2</c:v>
                </c:pt>
                <c:pt idx="661">
                  <c:v>6.0642020000000123E-2</c:v>
                </c:pt>
                <c:pt idx="662">
                  <c:v>6.0642020000000123E-2</c:v>
                </c:pt>
                <c:pt idx="663">
                  <c:v>6.0642020000000123E-2</c:v>
                </c:pt>
                <c:pt idx="664">
                  <c:v>6.0642020000000123E-2</c:v>
                </c:pt>
                <c:pt idx="665">
                  <c:v>6.0642020000000123E-2</c:v>
                </c:pt>
                <c:pt idx="666">
                  <c:v>6.0642020000000123E-2</c:v>
                </c:pt>
                <c:pt idx="667">
                  <c:v>6.0642020000000123E-2</c:v>
                </c:pt>
                <c:pt idx="668">
                  <c:v>6.0642020000000123E-2</c:v>
                </c:pt>
                <c:pt idx="669">
                  <c:v>6.0642020000000123E-2</c:v>
                </c:pt>
                <c:pt idx="670">
                  <c:v>6.0642020000000123E-2</c:v>
                </c:pt>
                <c:pt idx="671">
                  <c:v>6.0642020000000123E-2</c:v>
                </c:pt>
                <c:pt idx="672">
                  <c:v>6.0642020000000123E-2</c:v>
                </c:pt>
                <c:pt idx="673">
                  <c:v>6.0642020000000123E-2</c:v>
                </c:pt>
                <c:pt idx="674">
                  <c:v>6.0642020000000123E-2</c:v>
                </c:pt>
                <c:pt idx="675">
                  <c:v>6.0642020000000123E-2</c:v>
                </c:pt>
                <c:pt idx="676">
                  <c:v>6.0642020000000123E-2</c:v>
                </c:pt>
                <c:pt idx="677">
                  <c:v>6.0642020000000123E-2</c:v>
                </c:pt>
                <c:pt idx="678">
                  <c:v>6.0642020000000123E-2</c:v>
                </c:pt>
                <c:pt idx="679">
                  <c:v>6.0642020000000123E-2</c:v>
                </c:pt>
                <c:pt idx="680">
                  <c:v>6.0642020000000123E-2</c:v>
                </c:pt>
                <c:pt idx="681">
                  <c:v>6.0642020000000123E-2</c:v>
                </c:pt>
                <c:pt idx="682">
                  <c:v>6.0642020000000123E-2</c:v>
                </c:pt>
                <c:pt idx="683">
                  <c:v>6.0642020000000123E-2</c:v>
                </c:pt>
                <c:pt idx="684">
                  <c:v>6.0642020000000123E-2</c:v>
                </c:pt>
                <c:pt idx="685">
                  <c:v>6.0642020000000123E-2</c:v>
                </c:pt>
                <c:pt idx="686">
                  <c:v>6.0642020000000123E-2</c:v>
                </c:pt>
                <c:pt idx="687">
                  <c:v>6.0642020000000123E-2</c:v>
                </c:pt>
                <c:pt idx="688">
                  <c:v>6.0642020000000123E-2</c:v>
                </c:pt>
                <c:pt idx="689">
                  <c:v>6.0642020000000123E-2</c:v>
                </c:pt>
                <c:pt idx="690">
                  <c:v>6.0642020000000123E-2</c:v>
                </c:pt>
                <c:pt idx="691">
                  <c:v>6.0642020000000123E-2</c:v>
                </c:pt>
                <c:pt idx="692">
                  <c:v>6.0642020000000123E-2</c:v>
                </c:pt>
                <c:pt idx="693">
                  <c:v>6.0642020000000123E-2</c:v>
                </c:pt>
                <c:pt idx="694">
                  <c:v>6.0642020000000123E-2</c:v>
                </c:pt>
                <c:pt idx="695">
                  <c:v>6.0642020000000123E-2</c:v>
                </c:pt>
                <c:pt idx="696">
                  <c:v>6.0642020000000123E-2</c:v>
                </c:pt>
                <c:pt idx="697">
                  <c:v>6.0642020000000123E-2</c:v>
                </c:pt>
                <c:pt idx="698">
                  <c:v>6.0642020000000123E-2</c:v>
                </c:pt>
                <c:pt idx="699">
                  <c:v>6.0642020000000123E-2</c:v>
                </c:pt>
                <c:pt idx="700">
                  <c:v>6.0642020000000123E-2</c:v>
                </c:pt>
                <c:pt idx="701">
                  <c:v>6.0642020000000123E-2</c:v>
                </c:pt>
                <c:pt idx="702">
                  <c:v>6.0642020000000123E-2</c:v>
                </c:pt>
                <c:pt idx="703">
                  <c:v>6.0642020000000123E-2</c:v>
                </c:pt>
                <c:pt idx="704">
                  <c:v>6.0642020000000123E-2</c:v>
                </c:pt>
                <c:pt idx="705">
                  <c:v>6.0642020000000123E-2</c:v>
                </c:pt>
                <c:pt idx="706">
                  <c:v>6.0642020000000123E-2</c:v>
                </c:pt>
                <c:pt idx="707">
                  <c:v>6.0642020000000123E-2</c:v>
                </c:pt>
                <c:pt idx="708">
                  <c:v>6.0642020000000123E-2</c:v>
                </c:pt>
                <c:pt idx="709">
                  <c:v>6.0642020000000123E-2</c:v>
                </c:pt>
                <c:pt idx="710">
                  <c:v>6.0642020000000123E-2</c:v>
                </c:pt>
                <c:pt idx="711">
                  <c:v>6.0642020000000123E-2</c:v>
                </c:pt>
                <c:pt idx="712">
                  <c:v>6.0642020000000123E-2</c:v>
                </c:pt>
                <c:pt idx="713">
                  <c:v>6.0642020000000123E-2</c:v>
                </c:pt>
                <c:pt idx="714">
                  <c:v>6.0642020000000123E-2</c:v>
                </c:pt>
                <c:pt idx="715">
                  <c:v>6.0642020000000123E-2</c:v>
                </c:pt>
                <c:pt idx="716">
                  <c:v>6.0642020000000123E-2</c:v>
                </c:pt>
                <c:pt idx="717">
                  <c:v>6.0642020000000123E-2</c:v>
                </c:pt>
                <c:pt idx="718">
                  <c:v>6.0642020000000123E-2</c:v>
                </c:pt>
                <c:pt idx="719">
                  <c:v>6.0642020000000123E-2</c:v>
                </c:pt>
                <c:pt idx="720">
                  <c:v>6.0642020000000123E-2</c:v>
                </c:pt>
                <c:pt idx="721">
                  <c:v>6.0642020000000123E-2</c:v>
                </c:pt>
                <c:pt idx="722">
                  <c:v>6.0642020000000123E-2</c:v>
                </c:pt>
                <c:pt idx="723">
                  <c:v>6.0642020000000123E-2</c:v>
                </c:pt>
                <c:pt idx="724">
                  <c:v>6.0642020000000123E-2</c:v>
                </c:pt>
                <c:pt idx="725">
                  <c:v>6.0642020000000123E-2</c:v>
                </c:pt>
                <c:pt idx="726">
                  <c:v>6.0642020000000123E-2</c:v>
                </c:pt>
                <c:pt idx="727">
                  <c:v>6.0642020000000123E-2</c:v>
                </c:pt>
                <c:pt idx="728">
                  <c:v>6.0642020000000123E-2</c:v>
                </c:pt>
                <c:pt idx="729">
                  <c:v>6.0642020000000123E-2</c:v>
                </c:pt>
                <c:pt idx="730">
                  <c:v>6.0642020000000123E-2</c:v>
                </c:pt>
                <c:pt idx="731">
                  <c:v>6.0642020000000123E-2</c:v>
                </c:pt>
                <c:pt idx="732">
                  <c:v>6.0642020000000123E-2</c:v>
                </c:pt>
                <c:pt idx="733">
                  <c:v>6.0642020000000123E-2</c:v>
                </c:pt>
                <c:pt idx="734">
                  <c:v>6.0642020000000123E-2</c:v>
                </c:pt>
                <c:pt idx="735">
                  <c:v>6.0642020000000123E-2</c:v>
                </c:pt>
                <c:pt idx="736">
                  <c:v>6.0642020000000123E-2</c:v>
                </c:pt>
                <c:pt idx="737">
                  <c:v>6.0642020000000123E-2</c:v>
                </c:pt>
                <c:pt idx="738">
                  <c:v>6.0642020000000123E-2</c:v>
                </c:pt>
                <c:pt idx="739">
                  <c:v>6.0642020000000123E-2</c:v>
                </c:pt>
                <c:pt idx="740">
                  <c:v>6.0642020000000123E-2</c:v>
                </c:pt>
                <c:pt idx="741">
                  <c:v>6.0642020000000123E-2</c:v>
                </c:pt>
                <c:pt idx="742">
                  <c:v>6.0642020000000123E-2</c:v>
                </c:pt>
                <c:pt idx="743">
                  <c:v>6.0642020000000123E-2</c:v>
                </c:pt>
                <c:pt idx="744">
                  <c:v>6.0642020000000123E-2</c:v>
                </c:pt>
                <c:pt idx="745">
                  <c:v>6.0642020000000123E-2</c:v>
                </c:pt>
                <c:pt idx="746">
                  <c:v>6.0642020000000123E-2</c:v>
                </c:pt>
                <c:pt idx="747">
                  <c:v>6.0642020000000123E-2</c:v>
                </c:pt>
                <c:pt idx="748">
                  <c:v>6.0642020000000123E-2</c:v>
                </c:pt>
                <c:pt idx="749">
                  <c:v>6.0642020000000123E-2</c:v>
                </c:pt>
                <c:pt idx="750">
                  <c:v>6.0642020000000123E-2</c:v>
                </c:pt>
                <c:pt idx="751">
                  <c:v>6.0642020000000123E-2</c:v>
                </c:pt>
                <c:pt idx="752">
                  <c:v>6.0642020000000123E-2</c:v>
                </c:pt>
                <c:pt idx="753">
                  <c:v>6.0642020000000123E-2</c:v>
                </c:pt>
                <c:pt idx="754">
                  <c:v>6.0642020000000123E-2</c:v>
                </c:pt>
                <c:pt idx="755">
                  <c:v>6.0642020000000123E-2</c:v>
                </c:pt>
                <c:pt idx="756">
                  <c:v>6.0642020000000123E-2</c:v>
                </c:pt>
                <c:pt idx="757">
                  <c:v>6.0642020000000123E-2</c:v>
                </c:pt>
                <c:pt idx="758">
                  <c:v>6.0642020000000123E-2</c:v>
                </c:pt>
                <c:pt idx="759">
                  <c:v>6.0642020000000123E-2</c:v>
                </c:pt>
                <c:pt idx="760">
                  <c:v>6.0642020000000123E-2</c:v>
                </c:pt>
                <c:pt idx="761">
                  <c:v>6.0642020000000123E-2</c:v>
                </c:pt>
                <c:pt idx="762">
                  <c:v>6.0642020000000123E-2</c:v>
                </c:pt>
                <c:pt idx="763">
                  <c:v>6.0642020000000123E-2</c:v>
                </c:pt>
                <c:pt idx="764">
                  <c:v>6.0642020000000123E-2</c:v>
                </c:pt>
                <c:pt idx="765">
                  <c:v>6.0642020000000123E-2</c:v>
                </c:pt>
                <c:pt idx="766">
                  <c:v>6.0642020000000123E-2</c:v>
                </c:pt>
                <c:pt idx="767">
                  <c:v>6.0642020000000123E-2</c:v>
                </c:pt>
                <c:pt idx="768">
                  <c:v>6.0642020000000123E-2</c:v>
                </c:pt>
                <c:pt idx="769">
                  <c:v>6.0642020000000123E-2</c:v>
                </c:pt>
                <c:pt idx="770">
                  <c:v>6.0642020000000123E-2</c:v>
                </c:pt>
                <c:pt idx="771">
                  <c:v>6.0642020000000123E-2</c:v>
                </c:pt>
                <c:pt idx="772">
                  <c:v>6.0642020000000123E-2</c:v>
                </c:pt>
                <c:pt idx="773">
                  <c:v>6.0642020000000123E-2</c:v>
                </c:pt>
                <c:pt idx="774">
                  <c:v>6.0642020000000123E-2</c:v>
                </c:pt>
                <c:pt idx="775">
                  <c:v>6.0642020000000123E-2</c:v>
                </c:pt>
                <c:pt idx="776">
                  <c:v>6.0642020000000123E-2</c:v>
                </c:pt>
                <c:pt idx="777">
                  <c:v>6.0642020000000123E-2</c:v>
                </c:pt>
                <c:pt idx="778">
                  <c:v>6.0642020000000123E-2</c:v>
                </c:pt>
                <c:pt idx="779">
                  <c:v>6.0642020000000123E-2</c:v>
                </c:pt>
                <c:pt idx="780">
                  <c:v>6.0642020000000123E-2</c:v>
                </c:pt>
                <c:pt idx="781">
                  <c:v>6.0642020000000123E-2</c:v>
                </c:pt>
                <c:pt idx="782">
                  <c:v>6.0642020000000123E-2</c:v>
                </c:pt>
                <c:pt idx="783">
                  <c:v>6.0642020000000123E-2</c:v>
                </c:pt>
                <c:pt idx="784">
                  <c:v>6.0642020000000123E-2</c:v>
                </c:pt>
                <c:pt idx="785">
                  <c:v>6.0642020000000123E-2</c:v>
                </c:pt>
                <c:pt idx="786">
                  <c:v>6.0642020000000123E-2</c:v>
                </c:pt>
                <c:pt idx="787">
                  <c:v>6.0642020000000123E-2</c:v>
                </c:pt>
                <c:pt idx="788">
                  <c:v>6.1158264000000032E-2</c:v>
                </c:pt>
                <c:pt idx="789">
                  <c:v>6.1158264000000032E-2</c:v>
                </c:pt>
                <c:pt idx="790">
                  <c:v>6.1158264000000032E-2</c:v>
                </c:pt>
                <c:pt idx="791">
                  <c:v>6.1158264000000032E-2</c:v>
                </c:pt>
                <c:pt idx="792">
                  <c:v>6.1158264000000032E-2</c:v>
                </c:pt>
                <c:pt idx="793">
                  <c:v>6.1158264000000032E-2</c:v>
                </c:pt>
                <c:pt idx="794">
                  <c:v>6.1158264000000032E-2</c:v>
                </c:pt>
                <c:pt idx="795">
                  <c:v>6.1158264000000032E-2</c:v>
                </c:pt>
                <c:pt idx="796">
                  <c:v>6.1158264000000032E-2</c:v>
                </c:pt>
                <c:pt idx="797">
                  <c:v>6.1158264000000032E-2</c:v>
                </c:pt>
                <c:pt idx="798">
                  <c:v>6.1158264000000032E-2</c:v>
                </c:pt>
                <c:pt idx="799">
                  <c:v>6.1158264000000032E-2</c:v>
                </c:pt>
                <c:pt idx="800">
                  <c:v>6.1158264000000032E-2</c:v>
                </c:pt>
                <c:pt idx="801">
                  <c:v>6.1158264000000032E-2</c:v>
                </c:pt>
                <c:pt idx="802">
                  <c:v>6.1158264000000032E-2</c:v>
                </c:pt>
                <c:pt idx="803">
                  <c:v>6.1158264000000032E-2</c:v>
                </c:pt>
                <c:pt idx="804">
                  <c:v>6.1158264000000032E-2</c:v>
                </c:pt>
                <c:pt idx="805">
                  <c:v>6.1158264000000032E-2</c:v>
                </c:pt>
                <c:pt idx="806">
                  <c:v>6.1158264000000032E-2</c:v>
                </c:pt>
                <c:pt idx="807">
                  <c:v>6.1158264000000032E-2</c:v>
                </c:pt>
                <c:pt idx="808">
                  <c:v>6.1158264000000032E-2</c:v>
                </c:pt>
                <c:pt idx="809">
                  <c:v>6.1158264000000032E-2</c:v>
                </c:pt>
                <c:pt idx="810">
                  <c:v>6.1158264000000032E-2</c:v>
                </c:pt>
                <c:pt idx="811">
                  <c:v>6.1158264000000032E-2</c:v>
                </c:pt>
                <c:pt idx="812">
                  <c:v>6.1158264000000032E-2</c:v>
                </c:pt>
                <c:pt idx="813">
                  <c:v>6.1158264000000032E-2</c:v>
                </c:pt>
                <c:pt idx="814">
                  <c:v>6.1158264000000032E-2</c:v>
                </c:pt>
                <c:pt idx="815">
                  <c:v>6.1158264000000032E-2</c:v>
                </c:pt>
                <c:pt idx="816">
                  <c:v>6.1158264000000032E-2</c:v>
                </c:pt>
                <c:pt idx="817">
                  <c:v>6.1158264000000032E-2</c:v>
                </c:pt>
                <c:pt idx="818">
                  <c:v>6.1158264000000032E-2</c:v>
                </c:pt>
                <c:pt idx="819">
                  <c:v>6.1158264000000032E-2</c:v>
                </c:pt>
                <c:pt idx="820">
                  <c:v>6.1158264000000032E-2</c:v>
                </c:pt>
                <c:pt idx="821">
                  <c:v>6.3976988000000012E-2</c:v>
                </c:pt>
                <c:pt idx="822">
                  <c:v>6.3976988000000012E-2</c:v>
                </c:pt>
                <c:pt idx="823">
                  <c:v>6.3976988000000012E-2</c:v>
                </c:pt>
                <c:pt idx="824">
                  <c:v>6.3976988000000012E-2</c:v>
                </c:pt>
                <c:pt idx="825">
                  <c:v>6.3976988000000012E-2</c:v>
                </c:pt>
                <c:pt idx="826">
                  <c:v>6.3976988000000012E-2</c:v>
                </c:pt>
                <c:pt idx="827">
                  <c:v>6.3976988000000012E-2</c:v>
                </c:pt>
                <c:pt idx="828">
                  <c:v>6.3976988000000012E-2</c:v>
                </c:pt>
                <c:pt idx="829">
                  <c:v>6.3976988000000012E-2</c:v>
                </c:pt>
                <c:pt idx="830">
                  <c:v>6.3976988000000012E-2</c:v>
                </c:pt>
                <c:pt idx="831">
                  <c:v>6.3976988000000012E-2</c:v>
                </c:pt>
                <c:pt idx="832">
                  <c:v>6.3976988000000012E-2</c:v>
                </c:pt>
                <c:pt idx="833">
                  <c:v>6.3976988000000012E-2</c:v>
                </c:pt>
                <c:pt idx="834">
                  <c:v>6.3976988000000012E-2</c:v>
                </c:pt>
                <c:pt idx="835">
                  <c:v>6.3976988000000012E-2</c:v>
                </c:pt>
                <c:pt idx="836">
                  <c:v>6.3976988000000012E-2</c:v>
                </c:pt>
                <c:pt idx="837">
                  <c:v>6.3976988000000012E-2</c:v>
                </c:pt>
                <c:pt idx="838">
                  <c:v>6.3976988000000012E-2</c:v>
                </c:pt>
                <c:pt idx="839">
                  <c:v>6.3976988000000012E-2</c:v>
                </c:pt>
                <c:pt idx="840">
                  <c:v>6.3976988000000012E-2</c:v>
                </c:pt>
                <c:pt idx="841">
                  <c:v>6.6026520000000033E-2</c:v>
                </c:pt>
                <c:pt idx="842">
                  <c:v>6.6026520000000033E-2</c:v>
                </c:pt>
                <c:pt idx="843">
                  <c:v>6.6026520000000033E-2</c:v>
                </c:pt>
                <c:pt idx="844">
                  <c:v>6.6026520000000033E-2</c:v>
                </c:pt>
                <c:pt idx="845">
                  <c:v>6.6026520000000033E-2</c:v>
                </c:pt>
                <c:pt idx="846">
                  <c:v>6.6026520000000033E-2</c:v>
                </c:pt>
                <c:pt idx="847">
                  <c:v>6.6026520000000033E-2</c:v>
                </c:pt>
                <c:pt idx="848">
                  <c:v>6.6026520000000033E-2</c:v>
                </c:pt>
                <c:pt idx="849">
                  <c:v>6.6026520000000033E-2</c:v>
                </c:pt>
                <c:pt idx="850">
                  <c:v>6.6026520000000033E-2</c:v>
                </c:pt>
                <c:pt idx="851">
                  <c:v>6.6026520000000033E-2</c:v>
                </c:pt>
                <c:pt idx="852">
                  <c:v>6.6026520000000033E-2</c:v>
                </c:pt>
                <c:pt idx="853">
                  <c:v>6.6026520000000033E-2</c:v>
                </c:pt>
                <c:pt idx="854">
                  <c:v>6.6026520000000033E-2</c:v>
                </c:pt>
                <c:pt idx="855">
                  <c:v>6.6026520000000033E-2</c:v>
                </c:pt>
                <c:pt idx="856">
                  <c:v>6.6026520000000033E-2</c:v>
                </c:pt>
                <c:pt idx="857">
                  <c:v>6.8050968000000003E-2</c:v>
                </c:pt>
                <c:pt idx="858">
                  <c:v>6.8050968000000003E-2</c:v>
                </c:pt>
                <c:pt idx="859">
                  <c:v>6.8050968000000003E-2</c:v>
                </c:pt>
                <c:pt idx="860">
                  <c:v>6.8050968000000003E-2</c:v>
                </c:pt>
                <c:pt idx="861">
                  <c:v>6.8050968000000003E-2</c:v>
                </c:pt>
                <c:pt idx="862">
                  <c:v>6.8050968000000003E-2</c:v>
                </c:pt>
                <c:pt idx="863">
                  <c:v>6.8050968000000003E-2</c:v>
                </c:pt>
                <c:pt idx="864">
                  <c:v>6.8050968000000003E-2</c:v>
                </c:pt>
                <c:pt idx="865">
                  <c:v>6.8050968000000003E-2</c:v>
                </c:pt>
                <c:pt idx="866">
                  <c:v>6.8050968000000003E-2</c:v>
                </c:pt>
                <c:pt idx="867">
                  <c:v>6.8050968000000003E-2</c:v>
                </c:pt>
                <c:pt idx="868">
                  <c:v>6.8050968000000003E-2</c:v>
                </c:pt>
                <c:pt idx="869">
                  <c:v>6.8050968000000003E-2</c:v>
                </c:pt>
                <c:pt idx="870">
                  <c:v>6.8050968000000003E-2</c:v>
                </c:pt>
                <c:pt idx="871">
                  <c:v>6.8050968000000003E-2</c:v>
                </c:pt>
                <c:pt idx="872">
                  <c:v>6.8050968000000003E-2</c:v>
                </c:pt>
                <c:pt idx="873">
                  <c:v>6.8050968000000003E-2</c:v>
                </c:pt>
                <c:pt idx="874">
                  <c:v>6.8050968000000003E-2</c:v>
                </c:pt>
                <c:pt idx="875">
                  <c:v>6.8590824000000133E-2</c:v>
                </c:pt>
                <c:pt idx="876">
                  <c:v>6.8590824000000133E-2</c:v>
                </c:pt>
                <c:pt idx="877">
                  <c:v>6.8590824000000133E-2</c:v>
                </c:pt>
                <c:pt idx="878">
                  <c:v>6.8590824000000133E-2</c:v>
                </c:pt>
                <c:pt idx="879">
                  <c:v>6.8590824000000133E-2</c:v>
                </c:pt>
                <c:pt idx="880">
                  <c:v>6.8590824000000133E-2</c:v>
                </c:pt>
                <c:pt idx="881">
                  <c:v>6.8590824000000133E-2</c:v>
                </c:pt>
                <c:pt idx="882">
                  <c:v>6.8590824000000133E-2</c:v>
                </c:pt>
                <c:pt idx="883">
                  <c:v>6.8590824000000133E-2</c:v>
                </c:pt>
                <c:pt idx="884">
                  <c:v>6.8590824000000133E-2</c:v>
                </c:pt>
                <c:pt idx="885">
                  <c:v>6.8590824000000133E-2</c:v>
                </c:pt>
                <c:pt idx="886">
                  <c:v>6.8590824000000133E-2</c:v>
                </c:pt>
                <c:pt idx="887">
                  <c:v>6.8590824000000133E-2</c:v>
                </c:pt>
                <c:pt idx="888">
                  <c:v>6.8590824000000133E-2</c:v>
                </c:pt>
                <c:pt idx="889">
                  <c:v>6.8590824000000133E-2</c:v>
                </c:pt>
                <c:pt idx="890">
                  <c:v>6.8590824000000133E-2</c:v>
                </c:pt>
                <c:pt idx="891">
                  <c:v>6.8590824000000133E-2</c:v>
                </c:pt>
                <c:pt idx="892">
                  <c:v>6.8590824000000133E-2</c:v>
                </c:pt>
                <c:pt idx="893">
                  <c:v>6.8590824000000133E-2</c:v>
                </c:pt>
                <c:pt idx="894">
                  <c:v>6.8590824000000133E-2</c:v>
                </c:pt>
                <c:pt idx="895">
                  <c:v>6.8590824000000133E-2</c:v>
                </c:pt>
                <c:pt idx="896">
                  <c:v>6.8590824000000133E-2</c:v>
                </c:pt>
                <c:pt idx="897">
                  <c:v>6.8590824000000133E-2</c:v>
                </c:pt>
                <c:pt idx="898">
                  <c:v>6.8590824000000133E-2</c:v>
                </c:pt>
                <c:pt idx="899">
                  <c:v>7.0358820000000113E-2</c:v>
                </c:pt>
                <c:pt idx="900">
                  <c:v>7.0358820000000113E-2</c:v>
                </c:pt>
                <c:pt idx="901">
                  <c:v>7.0358820000000113E-2</c:v>
                </c:pt>
                <c:pt idx="902">
                  <c:v>7.0358820000000113E-2</c:v>
                </c:pt>
                <c:pt idx="903">
                  <c:v>7.0358820000000113E-2</c:v>
                </c:pt>
                <c:pt idx="904">
                  <c:v>7.0358820000000113E-2</c:v>
                </c:pt>
                <c:pt idx="905">
                  <c:v>7.0358820000000113E-2</c:v>
                </c:pt>
                <c:pt idx="906">
                  <c:v>7.0358820000000113E-2</c:v>
                </c:pt>
                <c:pt idx="907">
                  <c:v>7.0358820000000113E-2</c:v>
                </c:pt>
                <c:pt idx="908">
                  <c:v>7.0358820000000113E-2</c:v>
                </c:pt>
                <c:pt idx="909">
                  <c:v>7.0358820000000113E-2</c:v>
                </c:pt>
                <c:pt idx="910">
                  <c:v>7.0358820000000113E-2</c:v>
                </c:pt>
                <c:pt idx="911">
                  <c:v>7.0358820000000113E-2</c:v>
                </c:pt>
                <c:pt idx="912">
                  <c:v>7.0358820000000113E-2</c:v>
                </c:pt>
                <c:pt idx="913">
                  <c:v>7.0358820000000113E-2</c:v>
                </c:pt>
                <c:pt idx="914">
                  <c:v>7.0358820000000113E-2</c:v>
                </c:pt>
                <c:pt idx="915">
                  <c:v>7.0358820000000113E-2</c:v>
                </c:pt>
                <c:pt idx="916">
                  <c:v>7.0358820000000113E-2</c:v>
                </c:pt>
                <c:pt idx="917">
                  <c:v>7.0358820000000113E-2</c:v>
                </c:pt>
                <c:pt idx="918">
                  <c:v>7.0358820000000113E-2</c:v>
                </c:pt>
                <c:pt idx="919">
                  <c:v>7.1017788000000123E-2</c:v>
                </c:pt>
                <c:pt idx="920">
                  <c:v>7.1017788000000123E-2</c:v>
                </c:pt>
                <c:pt idx="921">
                  <c:v>7.1017788000000123E-2</c:v>
                </c:pt>
                <c:pt idx="922">
                  <c:v>7.1017788000000123E-2</c:v>
                </c:pt>
                <c:pt idx="923">
                  <c:v>7.1017788000000123E-2</c:v>
                </c:pt>
                <c:pt idx="924">
                  <c:v>7.1017788000000123E-2</c:v>
                </c:pt>
                <c:pt idx="925">
                  <c:v>7.1017788000000123E-2</c:v>
                </c:pt>
                <c:pt idx="926">
                  <c:v>7.1017788000000123E-2</c:v>
                </c:pt>
                <c:pt idx="927">
                  <c:v>7.1017788000000123E-2</c:v>
                </c:pt>
                <c:pt idx="928">
                  <c:v>7.1017788000000123E-2</c:v>
                </c:pt>
                <c:pt idx="929">
                  <c:v>7.1017788000000123E-2</c:v>
                </c:pt>
                <c:pt idx="930">
                  <c:v>7.1017788000000123E-2</c:v>
                </c:pt>
                <c:pt idx="931">
                  <c:v>7.1017788000000123E-2</c:v>
                </c:pt>
                <c:pt idx="932">
                  <c:v>7.1017788000000123E-2</c:v>
                </c:pt>
                <c:pt idx="933">
                  <c:v>7.1017788000000123E-2</c:v>
                </c:pt>
                <c:pt idx="934">
                  <c:v>7.1017788000000123E-2</c:v>
                </c:pt>
                <c:pt idx="935">
                  <c:v>7.1017788000000123E-2</c:v>
                </c:pt>
                <c:pt idx="936">
                  <c:v>7.1017788000000123E-2</c:v>
                </c:pt>
                <c:pt idx="937">
                  <c:v>7.1017788000000123E-2</c:v>
                </c:pt>
                <c:pt idx="938">
                  <c:v>7.1017788000000123E-2</c:v>
                </c:pt>
                <c:pt idx="939">
                  <c:v>7.1017788000000123E-2</c:v>
                </c:pt>
                <c:pt idx="940">
                  <c:v>7.1017788000000123E-2</c:v>
                </c:pt>
                <c:pt idx="941">
                  <c:v>7.2372132000001241E-2</c:v>
                </c:pt>
                <c:pt idx="942">
                  <c:v>7.2372132000001241E-2</c:v>
                </c:pt>
                <c:pt idx="943">
                  <c:v>7.2372132000001241E-2</c:v>
                </c:pt>
                <c:pt idx="944">
                  <c:v>7.2372132000001241E-2</c:v>
                </c:pt>
                <c:pt idx="945">
                  <c:v>7.2372132000001241E-2</c:v>
                </c:pt>
                <c:pt idx="946">
                  <c:v>7.2372132000001241E-2</c:v>
                </c:pt>
                <c:pt idx="947">
                  <c:v>7.2372132000001241E-2</c:v>
                </c:pt>
                <c:pt idx="948">
                  <c:v>7.2372132000001241E-2</c:v>
                </c:pt>
                <c:pt idx="949">
                  <c:v>7.2372132000001241E-2</c:v>
                </c:pt>
                <c:pt idx="950">
                  <c:v>7.2372132000001241E-2</c:v>
                </c:pt>
                <c:pt idx="951">
                  <c:v>7.2372132000001241E-2</c:v>
                </c:pt>
                <c:pt idx="952">
                  <c:v>7.2372132000001241E-2</c:v>
                </c:pt>
                <c:pt idx="953">
                  <c:v>7.2372132000001241E-2</c:v>
                </c:pt>
                <c:pt idx="954">
                  <c:v>7.2372132000001241E-2</c:v>
                </c:pt>
                <c:pt idx="955">
                  <c:v>7.2372132000001241E-2</c:v>
                </c:pt>
                <c:pt idx="956">
                  <c:v>7.2372132000001241E-2</c:v>
                </c:pt>
                <c:pt idx="957">
                  <c:v>7.2372132000001241E-2</c:v>
                </c:pt>
                <c:pt idx="958">
                  <c:v>7.2372132000001241E-2</c:v>
                </c:pt>
                <c:pt idx="959">
                  <c:v>7.2372132000001241E-2</c:v>
                </c:pt>
                <c:pt idx="960">
                  <c:v>7.2372132000001241E-2</c:v>
                </c:pt>
                <c:pt idx="961">
                  <c:v>7.2372132000001241E-2</c:v>
                </c:pt>
                <c:pt idx="962">
                  <c:v>7.2372132000001241E-2</c:v>
                </c:pt>
                <c:pt idx="963">
                  <c:v>7.2372132000001241E-2</c:v>
                </c:pt>
                <c:pt idx="964">
                  <c:v>7.2372132000001241E-2</c:v>
                </c:pt>
                <c:pt idx="965">
                  <c:v>7.2372132000001241E-2</c:v>
                </c:pt>
                <c:pt idx="966">
                  <c:v>7.2372132000001241E-2</c:v>
                </c:pt>
                <c:pt idx="967">
                  <c:v>7.2372132000001241E-2</c:v>
                </c:pt>
                <c:pt idx="968">
                  <c:v>7.2372132000001241E-2</c:v>
                </c:pt>
                <c:pt idx="969">
                  <c:v>7.2372132000001241E-2</c:v>
                </c:pt>
                <c:pt idx="970">
                  <c:v>7.2372132000001241E-2</c:v>
                </c:pt>
                <c:pt idx="971">
                  <c:v>7.2372132000001241E-2</c:v>
                </c:pt>
                <c:pt idx="972">
                  <c:v>7.2372132000001241E-2</c:v>
                </c:pt>
                <c:pt idx="973">
                  <c:v>7.2372132000001241E-2</c:v>
                </c:pt>
                <c:pt idx="974">
                  <c:v>7.2372132000001241E-2</c:v>
                </c:pt>
                <c:pt idx="975">
                  <c:v>7.2372132000001241E-2</c:v>
                </c:pt>
                <c:pt idx="976">
                  <c:v>7.2372132000001241E-2</c:v>
                </c:pt>
                <c:pt idx="977">
                  <c:v>7.2372132000001241E-2</c:v>
                </c:pt>
                <c:pt idx="978">
                  <c:v>7.2372132000001241E-2</c:v>
                </c:pt>
                <c:pt idx="979">
                  <c:v>7.2372132000001241E-2</c:v>
                </c:pt>
                <c:pt idx="980">
                  <c:v>7.2372132000001241E-2</c:v>
                </c:pt>
                <c:pt idx="981">
                  <c:v>7.2372132000001241E-2</c:v>
                </c:pt>
                <c:pt idx="982">
                  <c:v>7.2372132000001241E-2</c:v>
                </c:pt>
                <c:pt idx="983">
                  <c:v>7.2372132000001241E-2</c:v>
                </c:pt>
                <c:pt idx="984">
                  <c:v>7.2372132000001241E-2</c:v>
                </c:pt>
                <c:pt idx="985">
                  <c:v>7.2372132000001241E-2</c:v>
                </c:pt>
                <c:pt idx="986">
                  <c:v>7.2372132000001241E-2</c:v>
                </c:pt>
                <c:pt idx="987">
                  <c:v>7.2372132000001241E-2</c:v>
                </c:pt>
                <c:pt idx="988">
                  <c:v>7.2372132000001241E-2</c:v>
                </c:pt>
                <c:pt idx="989">
                  <c:v>7.2372132000001241E-2</c:v>
                </c:pt>
                <c:pt idx="990">
                  <c:v>7.2372132000001241E-2</c:v>
                </c:pt>
                <c:pt idx="991">
                  <c:v>7.2372132000001241E-2</c:v>
                </c:pt>
                <c:pt idx="992">
                  <c:v>7.2372132000001241E-2</c:v>
                </c:pt>
                <c:pt idx="993">
                  <c:v>7.2372132000001241E-2</c:v>
                </c:pt>
                <c:pt idx="994">
                  <c:v>7.2372132000001241E-2</c:v>
                </c:pt>
                <c:pt idx="995">
                  <c:v>7.2372132000001241E-2</c:v>
                </c:pt>
                <c:pt idx="996">
                  <c:v>7.2372132000001241E-2</c:v>
                </c:pt>
                <c:pt idx="997">
                  <c:v>7.2372132000001241E-2</c:v>
                </c:pt>
                <c:pt idx="998">
                  <c:v>7.2372132000001241E-2</c:v>
                </c:pt>
                <c:pt idx="999">
                  <c:v>7.2372132000001241E-2</c:v>
                </c:pt>
                <c:pt idx="1000">
                  <c:v>7.2372132000001241E-2</c:v>
                </c:pt>
                <c:pt idx="1001">
                  <c:v>7.2372132000001241E-2</c:v>
                </c:pt>
                <c:pt idx="1002">
                  <c:v>7.2372132000001241E-2</c:v>
                </c:pt>
                <c:pt idx="1003">
                  <c:v>7.2372132000001241E-2</c:v>
                </c:pt>
                <c:pt idx="1004">
                  <c:v>7.2372132000001241E-2</c:v>
                </c:pt>
                <c:pt idx="1005">
                  <c:v>7.2372132000001241E-2</c:v>
                </c:pt>
                <c:pt idx="1006">
                  <c:v>7.2372132000001241E-2</c:v>
                </c:pt>
                <c:pt idx="1007">
                  <c:v>7.2372132000001241E-2</c:v>
                </c:pt>
                <c:pt idx="1008">
                  <c:v>7.2372132000001241E-2</c:v>
                </c:pt>
                <c:pt idx="1009">
                  <c:v>7.2372132000001241E-2</c:v>
                </c:pt>
                <c:pt idx="1010">
                  <c:v>7.2372132000001241E-2</c:v>
                </c:pt>
                <c:pt idx="1011">
                  <c:v>7.2372132000001241E-2</c:v>
                </c:pt>
                <c:pt idx="1012">
                  <c:v>7.2372132000001241E-2</c:v>
                </c:pt>
                <c:pt idx="1013">
                  <c:v>7.2372132000001241E-2</c:v>
                </c:pt>
                <c:pt idx="1014">
                  <c:v>7.2372132000001241E-2</c:v>
                </c:pt>
                <c:pt idx="1015">
                  <c:v>7.2372132000001241E-2</c:v>
                </c:pt>
                <c:pt idx="1016">
                  <c:v>7.2372132000001241E-2</c:v>
                </c:pt>
                <c:pt idx="1017">
                  <c:v>7.2372132000001241E-2</c:v>
                </c:pt>
                <c:pt idx="1018">
                  <c:v>7.2372132000001241E-2</c:v>
                </c:pt>
                <c:pt idx="1019">
                  <c:v>7.2372132000001241E-2</c:v>
                </c:pt>
                <c:pt idx="1020">
                  <c:v>7.2372132000001241E-2</c:v>
                </c:pt>
                <c:pt idx="1021">
                  <c:v>7.2372132000001241E-2</c:v>
                </c:pt>
                <c:pt idx="1022">
                  <c:v>7.2372132000001241E-2</c:v>
                </c:pt>
                <c:pt idx="1023">
                  <c:v>7.2372132000001241E-2</c:v>
                </c:pt>
                <c:pt idx="1024">
                  <c:v>7.317494799999999E-2</c:v>
                </c:pt>
                <c:pt idx="1025">
                  <c:v>7.317494799999999E-2</c:v>
                </c:pt>
                <c:pt idx="1026">
                  <c:v>7.317494799999999E-2</c:v>
                </c:pt>
                <c:pt idx="1027">
                  <c:v>7.317494799999999E-2</c:v>
                </c:pt>
                <c:pt idx="1028">
                  <c:v>7.317494799999999E-2</c:v>
                </c:pt>
                <c:pt idx="1029">
                  <c:v>7.317494799999999E-2</c:v>
                </c:pt>
                <c:pt idx="1030">
                  <c:v>7.317494799999999E-2</c:v>
                </c:pt>
                <c:pt idx="1031">
                  <c:v>7.317494799999999E-2</c:v>
                </c:pt>
                <c:pt idx="1032">
                  <c:v>7.317494799999999E-2</c:v>
                </c:pt>
                <c:pt idx="1033">
                  <c:v>7.317494799999999E-2</c:v>
                </c:pt>
                <c:pt idx="1034">
                  <c:v>7.317494799999999E-2</c:v>
                </c:pt>
                <c:pt idx="1035">
                  <c:v>7.317494799999999E-2</c:v>
                </c:pt>
                <c:pt idx="1036">
                  <c:v>7.317494799999999E-2</c:v>
                </c:pt>
                <c:pt idx="1037">
                  <c:v>7.317494799999999E-2</c:v>
                </c:pt>
                <c:pt idx="1038">
                  <c:v>7.317494799999999E-2</c:v>
                </c:pt>
                <c:pt idx="1039">
                  <c:v>7.317494799999999E-2</c:v>
                </c:pt>
                <c:pt idx="1040">
                  <c:v>7.317494799999999E-2</c:v>
                </c:pt>
                <c:pt idx="1041">
                  <c:v>7.317494799999999E-2</c:v>
                </c:pt>
                <c:pt idx="1042">
                  <c:v>7.317494799999999E-2</c:v>
                </c:pt>
                <c:pt idx="1043">
                  <c:v>7.317494799999999E-2</c:v>
                </c:pt>
                <c:pt idx="1044">
                  <c:v>7.317494799999999E-2</c:v>
                </c:pt>
                <c:pt idx="1045">
                  <c:v>7.317494799999999E-2</c:v>
                </c:pt>
                <c:pt idx="1046">
                  <c:v>7.317494799999999E-2</c:v>
                </c:pt>
                <c:pt idx="1047">
                  <c:v>7.317494799999999E-2</c:v>
                </c:pt>
                <c:pt idx="1048">
                  <c:v>7.317494799999999E-2</c:v>
                </c:pt>
                <c:pt idx="1049">
                  <c:v>7.317494799999999E-2</c:v>
                </c:pt>
                <c:pt idx="1050">
                  <c:v>7.317494799999999E-2</c:v>
                </c:pt>
                <c:pt idx="1051">
                  <c:v>7.317494799999999E-2</c:v>
                </c:pt>
                <c:pt idx="1052">
                  <c:v>7.317494799999999E-2</c:v>
                </c:pt>
                <c:pt idx="1053">
                  <c:v>7.317494799999999E-2</c:v>
                </c:pt>
                <c:pt idx="1054">
                  <c:v>7.317494799999999E-2</c:v>
                </c:pt>
                <c:pt idx="1055">
                  <c:v>7.317494799999999E-2</c:v>
                </c:pt>
                <c:pt idx="1056">
                  <c:v>7.317494799999999E-2</c:v>
                </c:pt>
                <c:pt idx="1057">
                  <c:v>7.317494799999999E-2</c:v>
                </c:pt>
                <c:pt idx="1058">
                  <c:v>7.317494799999999E-2</c:v>
                </c:pt>
                <c:pt idx="1059">
                  <c:v>7.317494799999999E-2</c:v>
                </c:pt>
                <c:pt idx="1060">
                  <c:v>7.317494799999999E-2</c:v>
                </c:pt>
                <c:pt idx="1061">
                  <c:v>7.317494799999999E-2</c:v>
                </c:pt>
                <c:pt idx="1062">
                  <c:v>7.317494799999999E-2</c:v>
                </c:pt>
                <c:pt idx="1063">
                  <c:v>7.317494799999999E-2</c:v>
                </c:pt>
                <c:pt idx="1064">
                  <c:v>7.317494799999999E-2</c:v>
                </c:pt>
                <c:pt idx="1065">
                  <c:v>7.317494799999999E-2</c:v>
                </c:pt>
                <c:pt idx="1066">
                  <c:v>7.317494799999999E-2</c:v>
                </c:pt>
                <c:pt idx="1067">
                  <c:v>7.317494799999999E-2</c:v>
                </c:pt>
                <c:pt idx="1068">
                  <c:v>7.317494799999999E-2</c:v>
                </c:pt>
                <c:pt idx="1069">
                  <c:v>7.317494799999999E-2</c:v>
                </c:pt>
                <c:pt idx="1070">
                  <c:v>7.317494799999999E-2</c:v>
                </c:pt>
                <c:pt idx="1071">
                  <c:v>7.317494799999999E-2</c:v>
                </c:pt>
                <c:pt idx="1072">
                  <c:v>7.317494799999999E-2</c:v>
                </c:pt>
                <c:pt idx="1073">
                  <c:v>7.317494799999999E-2</c:v>
                </c:pt>
                <c:pt idx="1074">
                  <c:v>7.317494799999999E-2</c:v>
                </c:pt>
                <c:pt idx="1075">
                  <c:v>7.317494799999999E-2</c:v>
                </c:pt>
                <c:pt idx="1076">
                  <c:v>7.317494799999999E-2</c:v>
                </c:pt>
                <c:pt idx="1077">
                  <c:v>7.317494799999999E-2</c:v>
                </c:pt>
                <c:pt idx="1078">
                  <c:v>7.317494799999999E-2</c:v>
                </c:pt>
                <c:pt idx="1079">
                  <c:v>7.317494799999999E-2</c:v>
                </c:pt>
                <c:pt idx="1080">
                  <c:v>7.317494799999999E-2</c:v>
                </c:pt>
                <c:pt idx="1081">
                  <c:v>7.317494799999999E-2</c:v>
                </c:pt>
                <c:pt idx="1082">
                  <c:v>7.317494799999999E-2</c:v>
                </c:pt>
                <c:pt idx="1083">
                  <c:v>7.317494799999999E-2</c:v>
                </c:pt>
                <c:pt idx="1084">
                  <c:v>7.317494799999999E-2</c:v>
                </c:pt>
                <c:pt idx="1085">
                  <c:v>7.317494799999999E-2</c:v>
                </c:pt>
                <c:pt idx="1086">
                  <c:v>7.317494799999999E-2</c:v>
                </c:pt>
                <c:pt idx="1087">
                  <c:v>7.317494799999999E-2</c:v>
                </c:pt>
                <c:pt idx="1088">
                  <c:v>7.317494799999999E-2</c:v>
                </c:pt>
                <c:pt idx="1089">
                  <c:v>7.317494799999999E-2</c:v>
                </c:pt>
                <c:pt idx="1090">
                  <c:v>7.317494799999999E-2</c:v>
                </c:pt>
                <c:pt idx="1091">
                  <c:v>7.317494799999999E-2</c:v>
                </c:pt>
                <c:pt idx="1092">
                  <c:v>7.317494799999999E-2</c:v>
                </c:pt>
                <c:pt idx="1093">
                  <c:v>7.317494799999999E-2</c:v>
                </c:pt>
                <c:pt idx="1094">
                  <c:v>7.317494799999999E-2</c:v>
                </c:pt>
                <c:pt idx="1095">
                  <c:v>7.317494799999999E-2</c:v>
                </c:pt>
                <c:pt idx="1096">
                  <c:v>7.317494799999999E-2</c:v>
                </c:pt>
                <c:pt idx="1097">
                  <c:v>7.317494799999999E-2</c:v>
                </c:pt>
                <c:pt idx="1098">
                  <c:v>7.317494799999999E-2</c:v>
                </c:pt>
                <c:pt idx="1099">
                  <c:v>7.317494799999999E-2</c:v>
                </c:pt>
                <c:pt idx="1100">
                  <c:v>7.317494799999999E-2</c:v>
                </c:pt>
                <c:pt idx="1101">
                  <c:v>7.317494799999999E-2</c:v>
                </c:pt>
                <c:pt idx="1102">
                  <c:v>7.317494799999999E-2</c:v>
                </c:pt>
                <c:pt idx="1103">
                  <c:v>7.317494799999999E-2</c:v>
                </c:pt>
                <c:pt idx="1104">
                  <c:v>7.317494799999999E-2</c:v>
                </c:pt>
                <c:pt idx="1105">
                  <c:v>7.317494799999999E-2</c:v>
                </c:pt>
                <c:pt idx="1106">
                  <c:v>7.317494799999999E-2</c:v>
                </c:pt>
                <c:pt idx="1107">
                  <c:v>7.317494799999999E-2</c:v>
                </c:pt>
                <c:pt idx="1108">
                  <c:v>7.317494799999999E-2</c:v>
                </c:pt>
                <c:pt idx="1109">
                  <c:v>7.317494799999999E-2</c:v>
                </c:pt>
                <c:pt idx="1110">
                  <c:v>7.317494799999999E-2</c:v>
                </c:pt>
                <c:pt idx="1111">
                  <c:v>7.317494799999999E-2</c:v>
                </c:pt>
                <c:pt idx="1112">
                  <c:v>7.317494799999999E-2</c:v>
                </c:pt>
                <c:pt idx="1113">
                  <c:v>7.317494799999999E-2</c:v>
                </c:pt>
                <c:pt idx="1114">
                  <c:v>7.317494799999999E-2</c:v>
                </c:pt>
                <c:pt idx="1115">
                  <c:v>7.317494799999999E-2</c:v>
                </c:pt>
                <c:pt idx="1116">
                  <c:v>7.317494799999999E-2</c:v>
                </c:pt>
                <c:pt idx="1117">
                  <c:v>7.317494799999999E-2</c:v>
                </c:pt>
                <c:pt idx="1118">
                  <c:v>7.317494799999999E-2</c:v>
                </c:pt>
                <c:pt idx="1119">
                  <c:v>7.317494799999999E-2</c:v>
                </c:pt>
                <c:pt idx="1120">
                  <c:v>7.317494799999999E-2</c:v>
                </c:pt>
                <c:pt idx="1121">
                  <c:v>7.317494799999999E-2</c:v>
                </c:pt>
                <c:pt idx="1122">
                  <c:v>7.317494799999999E-2</c:v>
                </c:pt>
                <c:pt idx="1123">
                  <c:v>7.317494799999999E-2</c:v>
                </c:pt>
                <c:pt idx="1124">
                  <c:v>7.317494799999999E-2</c:v>
                </c:pt>
                <c:pt idx="1125">
                  <c:v>7.317494799999999E-2</c:v>
                </c:pt>
                <c:pt idx="1126">
                  <c:v>7.317494799999999E-2</c:v>
                </c:pt>
                <c:pt idx="1127">
                  <c:v>7.317494799999999E-2</c:v>
                </c:pt>
                <c:pt idx="1128">
                  <c:v>7.317494799999999E-2</c:v>
                </c:pt>
                <c:pt idx="1129">
                  <c:v>7.317494799999999E-2</c:v>
                </c:pt>
                <c:pt idx="1130">
                  <c:v>7.317494799999999E-2</c:v>
                </c:pt>
                <c:pt idx="1131">
                  <c:v>7.317494799999999E-2</c:v>
                </c:pt>
                <c:pt idx="1132">
                  <c:v>7.317494799999999E-2</c:v>
                </c:pt>
                <c:pt idx="1133">
                  <c:v>7.317494799999999E-2</c:v>
                </c:pt>
                <c:pt idx="1134">
                  <c:v>7.317494799999999E-2</c:v>
                </c:pt>
                <c:pt idx="1135">
                  <c:v>7.317494799999999E-2</c:v>
                </c:pt>
                <c:pt idx="1136">
                  <c:v>7.317494799999999E-2</c:v>
                </c:pt>
                <c:pt idx="1137">
                  <c:v>7.317494799999999E-2</c:v>
                </c:pt>
                <c:pt idx="1138">
                  <c:v>7.317494799999999E-2</c:v>
                </c:pt>
                <c:pt idx="1139">
                  <c:v>7.317494799999999E-2</c:v>
                </c:pt>
                <c:pt idx="1140">
                  <c:v>7.317494799999999E-2</c:v>
                </c:pt>
                <c:pt idx="1141">
                  <c:v>7.317494799999999E-2</c:v>
                </c:pt>
                <c:pt idx="1142">
                  <c:v>7.317494799999999E-2</c:v>
                </c:pt>
                <c:pt idx="1143">
                  <c:v>7.3952443999999992E-2</c:v>
                </c:pt>
                <c:pt idx="1144">
                  <c:v>7.3952443999999992E-2</c:v>
                </c:pt>
                <c:pt idx="1145">
                  <c:v>7.3952443999999992E-2</c:v>
                </c:pt>
                <c:pt idx="1146">
                  <c:v>7.3952443999999992E-2</c:v>
                </c:pt>
                <c:pt idx="1147">
                  <c:v>7.3952443999999992E-2</c:v>
                </c:pt>
                <c:pt idx="1148">
                  <c:v>7.3952443999999992E-2</c:v>
                </c:pt>
                <c:pt idx="1149">
                  <c:v>7.3952443999999992E-2</c:v>
                </c:pt>
                <c:pt idx="1150">
                  <c:v>7.3952443999999992E-2</c:v>
                </c:pt>
                <c:pt idx="1151">
                  <c:v>7.3952443999999992E-2</c:v>
                </c:pt>
                <c:pt idx="1152">
                  <c:v>7.3952443999999992E-2</c:v>
                </c:pt>
                <c:pt idx="1153">
                  <c:v>7.3952443999999992E-2</c:v>
                </c:pt>
                <c:pt idx="1154">
                  <c:v>7.3952443999999992E-2</c:v>
                </c:pt>
                <c:pt idx="1155">
                  <c:v>7.3952443999999992E-2</c:v>
                </c:pt>
                <c:pt idx="1156">
                  <c:v>7.3952443999999992E-2</c:v>
                </c:pt>
                <c:pt idx="1157">
                  <c:v>7.3952443999999992E-2</c:v>
                </c:pt>
                <c:pt idx="1158">
                  <c:v>7.3952443999999992E-2</c:v>
                </c:pt>
                <c:pt idx="1159">
                  <c:v>7.3952443999999992E-2</c:v>
                </c:pt>
                <c:pt idx="1160">
                  <c:v>7.3952443999999992E-2</c:v>
                </c:pt>
                <c:pt idx="1161">
                  <c:v>7.3952443999999992E-2</c:v>
                </c:pt>
                <c:pt idx="1162">
                  <c:v>7.3952443999999992E-2</c:v>
                </c:pt>
                <c:pt idx="1163">
                  <c:v>7.3952443999999992E-2</c:v>
                </c:pt>
                <c:pt idx="1164">
                  <c:v>7.3952443999999992E-2</c:v>
                </c:pt>
                <c:pt idx="1165">
                  <c:v>7.3952443999999992E-2</c:v>
                </c:pt>
                <c:pt idx="1166">
                  <c:v>7.3952443999999992E-2</c:v>
                </c:pt>
                <c:pt idx="1167">
                  <c:v>7.3952443999999992E-2</c:v>
                </c:pt>
                <c:pt idx="1168">
                  <c:v>7.3952443999999992E-2</c:v>
                </c:pt>
                <c:pt idx="1169">
                  <c:v>7.3952443999999992E-2</c:v>
                </c:pt>
                <c:pt idx="1170">
                  <c:v>7.3952443999999992E-2</c:v>
                </c:pt>
                <c:pt idx="1171">
                  <c:v>7.3952443999999992E-2</c:v>
                </c:pt>
                <c:pt idx="1172">
                  <c:v>7.3952443999999992E-2</c:v>
                </c:pt>
                <c:pt idx="1173">
                  <c:v>7.3952443999999992E-2</c:v>
                </c:pt>
                <c:pt idx="1174">
                  <c:v>7.3952443999999992E-2</c:v>
                </c:pt>
                <c:pt idx="1175">
                  <c:v>7.3952443999999992E-2</c:v>
                </c:pt>
                <c:pt idx="1176">
                  <c:v>7.3952443999999992E-2</c:v>
                </c:pt>
                <c:pt idx="1177">
                  <c:v>7.3952443999999992E-2</c:v>
                </c:pt>
                <c:pt idx="1178">
                  <c:v>7.3952443999999992E-2</c:v>
                </c:pt>
                <c:pt idx="1179">
                  <c:v>7.4956113000001212E-2</c:v>
                </c:pt>
                <c:pt idx="1180">
                  <c:v>7.4956113000001212E-2</c:v>
                </c:pt>
                <c:pt idx="1181">
                  <c:v>7.4956113000001212E-2</c:v>
                </c:pt>
                <c:pt idx="1182">
                  <c:v>7.4956113000001212E-2</c:v>
                </c:pt>
                <c:pt idx="1183">
                  <c:v>7.4956113000001212E-2</c:v>
                </c:pt>
                <c:pt idx="1184">
                  <c:v>7.4956113000001212E-2</c:v>
                </c:pt>
                <c:pt idx="1185">
                  <c:v>7.4956113000001212E-2</c:v>
                </c:pt>
                <c:pt idx="1186">
                  <c:v>7.4956113000001212E-2</c:v>
                </c:pt>
                <c:pt idx="1187">
                  <c:v>7.4956113000001212E-2</c:v>
                </c:pt>
                <c:pt idx="1188">
                  <c:v>7.4956113000001212E-2</c:v>
                </c:pt>
                <c:pt idx="1189">
                  <c:v>7.4956113000001212E-2</c:v>
                </c:pt>
                <c:pt idx="1190">
                  <c:v>7.4956113000001212E-2</c:v>
                </c:pt>
                <c:pt idx="1191">
                  <c:v>7.4956113000001212E-2</c:v>
                </c:pt>
                <c:pt idx="1192">
                  <c:v>7.4956113000001212E-2</c:v>
                </c:pt>
                <c:pt idx="1193">
                  <c:v>7.4956113000001212E-2</c:v>
                </c:pt>
                <c:pt idx="1194">
                  <c:v>7.4956113000001212E-2</c:v>
                </c:pt>
                <c:pt idx="1195">
                  <c:v>7.4956113000001212E-2</c:v>
                </c:pt>
                <c:pt idx="1196">
                  <c:v>7.4956113000001212E-2</c:v>
                </c:pt>
                <c:pt idx="1197">
                  <c:v>7.4956113000001212E-2</c:v>
                </c:pt>
                <c:pt idx="1198">
                  <c:v>7.4956113000001212E-2</c:v>
                </c:pt>
                <c:pt idx="1199">
                  <c:v>7.4956113000001212E-2</c:v>
                </c:pt>
                <c:pt idx="1200">
                  <c:v>7.4956113000001212E-2</c:v>
                </c:pt>
                <c:pt idx="1201">
                  <c:v>7.4956113000001212E-2</c:v>
                </c:pt>
                <c:pt idx="1202">
                  <c:v>7.4956113000001212E-2</c:v>
                </c:pt>
                <c:pt idx="1203">
                  <c:v>7.4956113000001212E-2</c:v>
                </c:pt>
                <c:pt idx="1204">
                  <c:v>7.4956113000001212E-2</c:v>
                </c:pt>
                <c:pt idx="1205">
                  <c:v>7.4956113000001212E-2</c:v>
                </c:pt>
                <c:pt idx="1206">
                  <c:v>7.7393073000002602E-2</c:v>
                </c:pt>
                <c:pt idx="1207">
                  <c:v>7.7393073000002602E-2</c:v>
                </c:pt>
                <c:pt idx="1208">
                  <c:v>7.7393073000002602E-2</c:v>
                </c:pt>
                <c:pt idx="1209">
                  <c:v>7.7393073000002602E-2</c:v>
                </c:pt>
                <c:pt idx="1210">
                  <c:v>7.7393073000002602E-2</c:v>
                </c:pt>
                <c:pt idx="1211">
                  <c:v>7.7393073000002602E-2</c:v>
                </c:pt>
                <c:pt idx="1212">
                  <c:v>7.7393073000002602E-2</c:v>
                </c:pt>
                <c:pt idx="1213">
                  <c:v>7.7393073000002602E-2</c:v>
                </c:pt>
                <c:pt idx="1214">
                  <c:v>7.7393073000002602E-2</c:v>
                </c:pt>
                <c:pt idx="1215">
                  <c:v>7.7393073000002602E-2</c:v>
                </c:pt>
                <c:pt idx="1216">
                  <c:v>7.7393073000002602E-2</c:v>
                </c:pt>
                <c:pt idx="1217">
                  <c:v>7.7393073000002602E-2</c:v>
                </c:pt>
                <c:pt idx="1218">
                  <c:v>7.7393073000002602E-2</c:v>
                </c:pt>
                <c:pt idx="1219">
                  <c:v>7.7393073000002602E-2</c:v>
                </c:pt>
                <c:pt idx="1220">
                  <c:v>7.7393073000002602E-2</c:v>
                </c:pt>
                <c:pt idx="1221">
                  <c:v>7.7393073000002602E-2</c:v>
                </c:pt>
                <c:pt idx="1222">
                  <c:v>7.7393073000002602E-2</c:v>
                </c:pt>
                <c:pt idx="1223">
                  <c:v>7.7393073000002602E-2</c:v>
                </c:pt>
                <c:pt idx="1224">
                  <c:v>7.7393073000002602E-2</c:v>
                </c:pt>
                <c:pt idx="1225">
                  <c:v>7.7393073000002602E-2</c:v>
                </c:pt>
                <c:pt idx="1226">
                  <c:v>7.7393073000002602E-2</c:v>
                </c:pt>
                <c:pt idx="1227">
                  <c:v>7.8494612000001476E-2</c:v>
                </c:pt>
                <c:pt idx="1228">
                  <c:v>7.8494612000001476E-2</c:v>
                </c:pt>
                <c:pt idx="1229">
                  <c:v>7.8494612000001476E-2</c:v>
                </c:pt>
                <c:pt idx="1230">
                  <c:v>7.8494612000001476E-2</c:v>
                </c:pt>
                <c:pt idx="1231">
                  <c:v>7.8494612000001476E-2</c:v>
                </c:pt>
                <c:pt idx="1232">
                  <c:v>7.8494612000001476E-2</c:v>
                </c:pt>
                <c:pt idx="1233">
                  <c:v>7.8494612000001476E-2</c:v>
                </c:pt>
                <c:pt idx="1234">
                  <c:v>7.8494612000001476E-2</c:v>
                </c:pt>
                <c:pt idx="1235">
                  <c:v>7.8494612000001476E-2</c:v>
                </c:pt>
                <c:pt idx="1236">
                  <c:v>7.8494612000001476E-2</c:v>
                </c:pt>
                <c:pt idx="1237">
                  <c:v>7.8494612000001476E-2</c:v>
                </c:pt>
                <c:pt idx="1238">
                  <c:v>7.8494612000001476E-2</c:v>
                </c:pt>
                <c:pt idx="1239">
                  <c:v>7.8494612000001476E-2</c:v>
                </c:pt>
                <c:pt idx="1240">
                  <c:v>7.8494612000001476E-2</c:v>
                </c:pt>
                <c:pt idx="1241">
                  <c:v>7.8494612000001476E-2</c:v>
                </c:pt>
                <c:pt idx="1242">
                  <c:v>7.8494612000001476E-2</c:v>
                </c:pt>
                <c:pt idx="1243">
                  <c:v>7.8494612000001476E-2</c:v>
                </c:pt>
                <c:pt idx="1244">
                  <c:v>7.8494612000001476E-2</c:v>
                </c:pt>
                <c:pt idx="1245">
                  <c:v>7.8494612000001476E-2</c:v>
                </c:pt>
                <c:pt idx="1246">
                  <c:v>7.8494612000001476E-2</c:v>
                </c:pt>
                <c:pt idx="1247">
                  <c:v>7.8494612000001476E-2</c:v>
                </c:pt>
                <c:pt idx="1248">
                  <c:v>7.8494612000001476E-2</c:v>
                </c:pt>
                <c:pt idx="1249">
                  <c:v>8.0324381000000208E-2</c:v>
                </c:pt>
                <c:pt idx="1250">
                  <c:v>8.0324381000000208E-2</c:v>
                </c:pt>
                <c:pt idx="1251">
                  <c:v>8.0324381000000208E-2</c:v>
                </c:pt>
                <c:pt idx="1252">
                  <c:v>8.0324381000000208E-2</c:v>
                </c:pt>
                <c:pt idx="1253">
                  <c:v>8.0324381000000208E-2</c:v>
                </c:pt>
                <c:pt idx="1254">
                  <c:v>8.0324381000000208E-2</c:v>
                </c:pt>
                <c:pt idx="1255">
                  <c:v>8.0324381000000208E-2</c:v>
                </c:pt>
                <c:pt idx="1256">
                  <c:v>8.0324381000000208E-2</c:v>
                </c:pt>
                <c:pt idx="1257">
                  <c:v>8.0324381000000208E-2</c:v>
                </c:pt>
                <c:pt idx="1258">
                  <c:v>8.0324381000000208E-2</c:v>
                </c:pt>
                <c:pt idx="1259">
                  <c:v>8.0324381000000208E-2</c:v>
                </c:pt>
                <c:pt idx="1260">
                  <c:v>8.0324381000000208E-2</c:v>
                </c:pt>
                <c:pt idx="1261">
                  <c:v>8.0324381000000208E-2</c:v>
                </c:pt>
                <c:pt idx="1262">
                  <c:v>8.0324381000000208E-2</c:v>
                </c:pt>
                <c:pt idx="1263">
                  <c:v>8.0324381000000208E-2</c:v>
                </c:pt>
                <c:pt idx="1264">
                  <c:v>8.0324381000000208E-2</c:v>
                </c:pt>
                <c:pt idx="1265">
                  <c:v>8.0324381000000208E-2</c:v>
                </c:pt>
                <c:pt idx="1266">
                  <c:v>8.0324381000000208E-2</c:v>
                </c:pt>
                <c:pt idx="1267">
                  <c:v>8.0324381000000208E-2</c:v>
                </c:pt>
                <c:pt idx="1268">
                  <c:v>8.0324381000000208E-2</c:v>
                </c:pt>
                <c:pt idx="1269">
                  <c:v>8.0984933999999995E-2</c:v>
                </c:pt>
                <c:pt idx="1270">
                  <c:v>8.0984933999999995E-2</c:v>
                </c:pt>
                <c:pt idx="1271">
                  <c:v>8.0984933999999995E-2</c:v>
                </c:pt>
                <c:pt idx="1272">
                  <c:v>8.0984933999999995E-2</c:v>
                </c:pt>
                <c:pt idx="1273">
                  <c:v>8.0984933999999995E-2</c:v>
                </c:pt>
                <c:pt idx="1274">
                  <c:v>8.0984933999999995E-2</c:v>
                </c:pt>
                <c:pt idx="1275">
                  <c:v>8.0984933999999995E-2</c:v>
                </c:pt>
                <c:pt idx="1276">
                  <c:v>8.0984933999999995E-2</c:v>
                </c:pt>
                <c:pt idx="1277">
                  <c:v>8.0984933999999995E-2</c:v>
                </c:pt>
                <c:pt idx="1278">
                  <c:v>8.0984933999999995E-2</c:v>
                </c:pt>
                <c:pt idx="1279">
                  <c:v>8.0984933999999995E-2</c:v>
                </c:pt>
                <c:pt idx="1280">
                  <c:v>8.0984933999999995E-2</c:v>
                </c:pt>
                <c:pt idx="1281">
                  <c:v>8.0984933999999995E-2</c:v>
                </c:pt>
                <c:pt idx="1282">
                  <c:v>8.0984933999999995E-2</c:v>
                </c:pt>
                <c:pt idx="1283">
                  <c:v>8.0984933999999995E-2</c:v>
                </c:pt>
                <c:pt idx="1284">
                  <c:v>8.0984933999999995E-2</c:v>
                </c:pt>
                <c:pt idx="1285">
                  <c:v>8.0984933999999995E-2</c:v>
                </c:pt>
                <c:pt idx="1286">
                  <c:v>8.0984933999999995E-2</c:v>
                </c:pt>
                <c:pt idx="1287">
                  <c:v>8.0984933999999995E-2</c:v>
                </c:pt>
                <c:pt idx="1288">
                  <c:v>8.0984933999999995E-2</c:v>
                </c:pt>
                <c:pt idx="1289">
                  <c:v>8.0984933999999995E-2</c:v>
                </c:pt>
                <c:pt idx="1290">
                  <c:v>8.0984933999999995E-2</c:v>
                </c:pt>
                <c:pt idx="1291">
                  <c:v>8.1342180999999986E-2</c:v>
                </c:pt>
                <c:pt idx="1292">
                  <c:v>8.1342180999999986E-2</c:v>
                </c:pt>
                <c:pt idx="1293">
                  <c:v>8.1342180999999986E-2</c:v>
                </c:pt>
                <c:pt idx="1294">
                  <c:v>8.1342180999999986E-2</c:v>
                </c:pt>
                <c:pt idx="1295">
                  <c:v>8.1342180999999986E-2</c:v>
                </c:pt>
                <c:pt idx="1296">
                  <c:v>8.1342180999999986E-2</c:v>
                </c:pt>
                <c:pt idx="1297">
                  <c:v>8.1342180999999986E-2</c:v>
                </c:pt>
                <c:pt idx="1298">
                  <c:v>8.1342180999999986E-2</c:v>
                </c:pt>
                <c:pt idx="1299">
                  <c:v>8.1342180999999986E-2</c:v>
                </c:pt>
                <c:pt idx="1300">
                  <c:v>8.1342180999999986E-2</c:v>
                </c:pt>
                <c:pt idx="1301">
                  <c:v>8.1342180999999986E-2</c:v>
                </c:pt>
                <c:pt idx="1302">
                  <c:v>8.1342180999999986E-2</c:v>
                </c:pt>
                <c:pt idx="1303">
                  <c:v>8.1342180999999986E-2</c:v>
                </c:pt>
                <c:pt idx="1304">
                  <c:v>8.1342180999999986E-2</c:v>
                </c:pt>
                <c:pt idx="1305">
                  <c:v>8.1342180999999986E-2</c:v>
                </c:pt>
                <c:pt idx="1306">
                  <c:v>8.1342180999999986E-2</c:v>
                </c:pt>
                <c:pt idx="1307">
                  <c:v>8.1342180999999986E-2</c:v>
                </c:pt>
                <c:pt idx="1308">
                  <c:v>8.1342180999999986E-2</c:v>
                </c:pt>
                <c:pt idx="1309">
                  <c:v>8.1342180999999986E-2</c:v>
                </c:pt>
                <c:pt idx="1310">
                  <c:v>8.1342180999999986E-2</c:v>
                </c:pt>
                <c:pt idx="1311">
                  <c:v>8.2961937000000013E-2</c:v>
                </c:pt>
                <c:pt idx="1312">
                  <c:v>8.2961937000000013E-2</c:v>
                </c:pt>
                <c:pt idx="1313">
                  <c:v>8.2961937000000013E-2</c:v>
                </c:pt>
                <c:pt idx="1314">
                  <c:v>8.2961937000000013E-2</c:v>
                </c:pt>
                <c:pt idx="1315">
                  <c:v>8.2961937000000013E-2</c:v>
                </c:pt>
                <c:pt idx="1316">
                  <c:v>8.2961937000000013E-2</c:v>
                </c:pt>
                <c:pt idx="1317">
                  <c:v>8.2961937000000013E-2</c:v>
                </c:pt>
                <c:pt idx="1318">
                  <c:v>8.2961937000000013E-2</c:v>
                </c:pt>
                <c:pt idx="1319">
                  <c:v>8.2961937000000013E-2</c:v>
                </c:pt>
                <c:pt idx="1320">
                  <c:v>8.2961937000000013E-2</c:v>
                </c:pt>
                <c:pt idx="1321">
                  <c:v>8.2961937000000013E-2</c:v>
                </c:pt>
                <c:pt idx="1322">
                  <c:v>8.2961937000000013E-2</c:v>
                </c:pt>
                <c:pt idx="1323">
                  <c:v>8.2961937000000013E-2</c:v>
                </c:pt>
                <c:pt idx="1324">
                  <c:v>8.2961937000000013E-2</c:v>
                </c:pt>
                <c:pt idx="1325">
                  <c:v>8.2961937000000013E-2</c:v>
                </c:pt>
                <c:pt idx="1326">
                  <c:v>8.2961937000000013E-2</c:v>
                </c:pt>
                <c:pt idx="1327">
                  <c:v>8.2961937000000013E-2</c:v>
                </c:pt>
                <c:pt idx="1328">
                  <c:v>8.2961937000000013E-2</c:v>
                </c:pt>
                <c:pt idx="1329">
                  <c:v>8.2961937000000013E-2</c:v>
                </c:pt>
                <c:pt idx="1330">
                  <c:v>8.2961937000000013E-2</c:v>
                </c:pt>
                <c:pt idx="1331">
                  <c:v>8.2961937000000013E-2</c:v>
                </c:pt>
                <c:pt idx="1332">
                  <c:v>8.2961937000000013E-2</c:v>
                </c:pt>
                <c:pt idx="1333">
                  <c:v>8.2961937000000013E-2</c:v>
                </c:pt>
                <c:pt idx="1334">
                  <c:v>8.2961937000000013E-2</c:v>
                </c:pt>
                <c:pt idx="1335">
                  <c:v>8.2961937000000013E-2</c:v>
                </c:pt>
                <c:pt idx="1336">
                  <c:v>8.2961937000000013E-2</c:v>
                </c:pt>
                <c:pt idx="1337">
                  <c:v>8.2961937000000013E-2</c:v>
                </c:pt>
                <c:pt idx="1338">
                  <c:v>8.2961937000000013E-2</c:v>
                </c:pt>
                <c:pt idx="1339">
                  <c:v>8.2961937000000013E-2</c:v>
                </c:pt>
                <c:pt idx="1340">
                  <c:v>8.2961937000000013E-2</c:v>
                </c:pt>
                <c:pt idx="1341">
                  <c:v>8.2961937000000013E-2</c:v>
                </c:pt>
                <c:pt idx="1342">
                  <c:v>8.2961937000000013E-2</c:v>
                </c:pt>
                <c:pt idx="1343">
                  <c:v>8.2961937000000013E-2</c:v>
                </c:pt>
                <c:pt idx="1344">
                  <c:v>8.2961937000000013E-2</c:v>
                </c:pt>
                <c:pt idx="1345">
                  <c:v>8.2961937000000013E-2</c:v>
                </c:pt>
                <c:pt idx="1346">
                  <c:v>8.2961937000000013E-2</c:v>
                </c:pt>
                <c:pt idx="1347">
                  <c:v>8.2961937000000013E-2</c:v>
                </c:pt>
                <c:pt idx="1348">
                  <c:v>8.2961937000000013E-2</c:v>
                </c:pt>
                <c:pt idx="1349">
                  <c:v>8.2961937000000013E-2</c:v>
                </c:pt>
                <c:pt idx="1350">
                  <c:v>8.2961937000000013E-2</c:v>
                </c:pt>
                <c:pt idx="1351">
                  <c:v>8.2961937000000013E-2</c:v>
                </c:pt>
                <c:pt idx="1352">
                  <c:v>8.2961937000000013E-2</c:v>
                </c:pt>
                <c:pt idx="1353">
                  <c:v>8.2961937000000013E-2</c:v>
                </c:pt>
                <c:pt idx="1354">
                  <c:v>8.2961937000000013E-2</c:v>
                </c:pt>
                <c:pt idx="1355">
                  <c:v>8.2961937000000013E-2</c:v>
                </c:pt>
                <c:pt idx="1356">
                  <c:v>8.2961937000000013E-2</c:v>
                </c:pt>
                <c:pt idx="1357">
                  <c:v>8.2961937000000013E-2</c:v>
                </c:pt>
                <c:pt idx="1358">
                  <c:v>8.2961937000000013E-2</c:v>
                </c:pt>
                <c:pt idx="1359">
                  <c:v>8.2961937000000013E-2</c:v>
                </c:pt>
                <c:pt idx="1360">
                  <c:v>8.2961937000000013E-2</c:v>
                </c:pt>
                <c:pt idx="1361">
                  <c:v>8.2961937000000013E-2</c:v>
                </c:pt>
                <c:pt idx="1362">
                  <c:v>8.2961937000000013E-2</c:v>
                </c:pt>
                <c:pt idx="1363">
                  <c:v>8.2961937000000013E-2</c:v>
                </c:pt>
                <c:pt idx="1364">
                  <c:v>8.2961937000000013E-2</c:v>
                </c:pt>
                <c:pt idx="1365">
                  <c:v>8.2961937000000013E-2</c:v>
                </c:pt>
                <c:pt idx="1366">
                  <c:v>8.3380014000000002E-2</c:v>
                </c:pt>
                <c:pt idx="1367">
                  <c:v>8.3380014000000002E-2</c:v>
                </c:pt>
                <c:pt idx="1368">
                  <c:v>8.3380014000000002E-2</c:v>
                </c:pt>
                <c:pt idx="1369">
                  <c:v>8.3380014000000002E-2</c:v>
                </c:pt>
                <c:pt idx="1370">
                  <c:v>8.3380014000000002E-2</c:v>
                </c:pt>
                <c:pt idx="1371">
                  <c:v>8.3380014000000002E-2</c:v>
                </c:pt>
                <c:pt idx="1372">
                  <c:v>8.3380014000000002E-2</c:v>
                </c:pt>
                <c:pt idx="1373">
                  <c:v>8.3380014000000002E-2</c:v>
                </c:pt>
                <c:pt idx="1374">
                  <c:v>8.3380014000000002E-2</c:v>
                </c:pt>
                <c:pt idx="1375">
                  <c:v>8.3380014000000002E-2</c:v>
                </c:pt>
                <c:pt idx="1376">
                  <c:v>8.3380014000000002E-2</c:v>
                </c:pt>
                <c:pt idx="1377">
                  <c:v>8.3380014000000002E-2</c:v>
                </c:pt>
                <c:pt idx="1378">
                  <c:v>8.3380014000000002E-2</c:v>
                </c:pt>
                <c:pt idx="1379">
                  <c:v>8.3380014000000002E-2</c:v>
                </c:pt>
                <c:pt idx="1380">
                  <c:v>8.3380014000000002E-2</c:v>
                </c:pt>
                <c:pt idx="1381">
                  <c:v>8.3380014000000002E-2</c:v>
                </c:pt>
                <c:pt idx="1382">
                  <c:v>8.3380014000000002E-2</c:v>
                </c:pt>
                <c:pt idx="1383">
                  <c:v>8.3380014000000002E-2</c:v>
                </c:pt>
                <c:pt idx="1384">
                  <c:v>8.3380014000000002E-2</c:v>
                </c:pt>
                <c:pt idx="1385">
                  <c:v>8.3380014000000002E-2</c:v>
                </c:pt>
                <c:pt idx="1386">
                  <c:v>8.3380014000000002E-2</c:v>
                </c:pt>
                <c:pt idx="1387">
                  <c:v>8.3380014000000002E-2</c:v>
                </c:pt>
                <c:pt idx="1388">
                  <c:v>8.3380014000000002E-2</c:v>
                </c:pt>
                <c:pt idx="1389">
                  <c:v>8.3380014000000002E-2</c:v>
                </c:pt>
                <c:pt idx="1390">
                  <c:v>8.3380014000000002E-2</c:v>
                </c:pt>
                <c:pt idx="1391">
                  <c:v>8.3380014000000002E-2</c:v>
                </c:pt>
                <c:pt idx="1392">
                  <c:v>8.3380014000000002E-2</c:v>
                </c:pt>
                <c:pt idx="1393">
                  <c:v>8.3380014000000002E-2</c:v>
                </c:pt>
                <c:pt idx="1394">
                  <c:v>8.3380014000000002E-2</c:v>
                </c:pt>
                <c:pt idx="1395">
                  <c:v>8.3380014000000002E-2</c:v>
                </c:pt>
                <c:pt idx="1396">
                  <c:v>8.3380014000000002E-2</c:v>
                </c:pt>
                <c:pt idx="1397">
                  <c:v>8.3380014000000002E-2</c:v>
                </c:pt>
                <c:pt idx="1398">
                  <c:v>8.3380014000000002E-2</c:v>
                </c:pt>
                <c:pt idx="1399">
                  <c:v>8.3380014000000002E-2</c:v>
                </c:pt>
                <c:pt idx="1400">
                  <c:v>8.3380014000000002E-2</c:v>
                </c:pt>
                <c:pt idx="1401">
                  <c:v>8.3380014000000002E-2</c:v>
                </c:pt>
                <c:pt idx="1402">
                  <c:v>8.3380014000000002E-2</c:v>
                </c:pt>
                <c:pt idx="1403">
                  <c:v>8.3380014000000002E-2</c:v>
                </c:pt>
                <c:pt idx="1404">
                  <c:v>8.3380014000000002E-2</c:v>
                </c:pt>
                <c:pt idx="1405">
                  <c:v>8.3380014000000002E-2</c:v>
                </c:pt>
                <c:pt idx="1406">
                  <c:v>8.3380014000000002E-2</c:v>
                </c:pt>
                <c:pt idx="1407">
                  <c:v>8.3380014000000002E-2</c:v>
                </c:pt>
                <c:pt idx="1408">
                  <c:v>8.3380014000000002E-2</c:v>
                </c:pt>
                <c:pt idx="1409">
                  <c:v>8.3380014000000002E-2</c:v>
                </c:pt>
                <c:pt idx="1410">
                  <c:v>8.3380014000000002E-2</c:v>
                </c:pt>
                <c:pt idx="1411">
                  <c:v>8.3380014000000002E-2</c:v>
                </c:pt>
                <c:pt idx="1412">
                  <c:v>8.3380014000000002E-2</c:v>
                </c:pt>
                <c:pt idx="1413">
                  <c:v>8.3380014000000002E-2</c:v>
                </c:pt>
                <c:pt idx="1414">
                  <c:v>8.3380014000000002E-2</c:v>
                </c:pt>
                <c:pt idx="1415">
                  <c:v>8.3380014000000002E-2</c:v>
                </c:pt>
                <c:pt idx="1416">
                  <c:v>8.3380014000000002E-2</c:v>
                </c:pt>
                <c:pt idx="1417">
                  <c:v>8.3380014000000002E-2</c:v>
                </c:pt>
                <c:pt idx="1418">
                  <c:v>8.3380014000000002E-2</c:v>
                </c:pt>
                <c:pt idx="1419">
                  <c:v>8.3380014000000002E-2</c:v>
                </c:pt>
                <c:pt idx="1420">
                  <c:v>8.3380014000000002E-2</c:v>
                </c:pt>
                <c:pt idx="1421">
                  <c:v>8.3380014000000002E-2</c:v>
                </c:pt>
                <c:pt idx="1422">
                  <c:v>8.3380014000000002E-2</c:v>
                </c:pt>
                <c:pt idx="1423">
                  <c:v>8.3380014000000002E-2</c:v>
                </c:pt>
                <c:pt idx="1424">
                  <c:v>8.3380014000000002E-2</c:v>
                </c:pt>
                <c:pt idx="1425">
                  <c:v>8.3380014000000002E-2</c:v>
                </c:pt>
                <c:pt idx="1426">
                  <c:v>8.3380014000000002E-2</c:v>
                </c:pt>
                <c:pt idx="1427">
                  <c:v>8.3380014000000002E-2</c:v>
                </c:pt>
                <c:pt idx="1428">
                  <c:v>8.3380014000000002E-2</c:v>
                </c:pt>
                <c:pt idx="1429">
                  <c:v>8.3380014000000002E-2</c:v>
                </c:pt>
                <c:pt idx="1430">
                  <c:v>8.3380014000000002E-2</c:v>
                </c:pt>
                <c:pt idx="1431">
                  <c:v>8.3380014000000002E-2</c:v>
                </c:pt>
                <c:pt idx="1432">
                  <c:v>8.3380014000000002E-2</c:v>
                </c:pt>
                <c:pt idx="1433">
                  <c:v>8.3380014000000002E-2</c:v>
                </c:pt>
                <c:pt idx="1434">
                  <c:v>8.3380014000000002E-2</c:v>
                </c:pt>
                <c:pt idx="1435">
                  <c:v>8.3380014000000002E-2</c:v>
                </c:pt>
                <c:pt idx="1436">
                  <c:v>8.3380014000000002E-2</c:v>
                </c:pt>
                <c:pt idx="1437">
                  <c:v>8.3380014000000002E-2</c:v>
                </c:pt>
                <c:pt idx="1438">
                  <c:v>8.3380014000000002E-2</c:v>
                </c:pt>
                <c:pt idx="1439">
                  <c:v>8.3380014000000002E-2</c:v>
                </c:pt>
                <c:pt idx="1440">
                  <c:v>8.3380014000000002E-2</c:v>
                </c:pt>
                <c:pt idx="1441">
                  <c:v>8.3380014000000002E-2</c:v>
                </c:pt>
                <c:pt idx="1442">
                  <c:v>8.3380014000000002E-2</c:v>
                </c:pt>
                <c:pt idx="1443">
                  <c:v>8.3380014000000002E-2</c:v>
                </c:pt>
                <c:pt idx="1444">
                  <c:v>8.3380014000000002E-2</c:v>
                </c:pt>
                <c:pt idx="1445">
                  <c:v>8.3380014000000002E-2</c:v>
                </c:pt>
                <c:pt idx="1446">
                  <c:v>8.3380014000000002E-2</c:v>
                </c:pt>
                <c:pt idx="1447">
                  <c:v>8.3380014000000002E-2</c:v>
                </c:pt>
                <c:pt idx="1448">
                  <c:v>8.3380014000000002E-2</c:v>
                </c:pt>
                <c:pt idx="1449">
                  <c:v>8.3380014000000002E-2</c:v>
                </c:pt>
                <c:pt idx="1450">
                  <c:v>8.3380014000000002E-2</c:v>
                </c:pt>
                <c:pt idx="1451">
                  <c:v>8.3380014000000002E-2</c:v>
                </c:pt>
                <c:pt idx="1452">
                  <c:v>8.3380014000000002E-2</c:v>
                </c:pt>
                <c:pt idx="1453">
                  <c:v>8.3380014000000002E-2</c:v>
                </c:pt>
                <c:pt idx="1454">
                  <c:v>8.3380014000000002E-2</c:v>
                </c:pt>
                <c:pt idx="1455">
                  <c:v>8.3380014000000002E-2</c:v>
                </c:pt>
                <c:pt idx="1456">
                  <c:v>8.3380014000000002E-2</c:v>
                </c:pt>
                <c:pt idx="1457">
                  <c:v>8.3380014000000002E-2</c:v>
                </c:pt>
                <c:pt idx="1458">
                  <c:v>8.3380014000000002E-2</c:v>
                </c:pt>
                <c:pt idx="1459">
                  <c:v>8.3380014000000002E-2</c:v>
                </c:pt>
              </c:numCache>
            </c:numRef>
          </c:val>
        </c:ser>
        <c:dLbls/>
        <c:marker val="1"/>
        <c:axId val="131082496"/>
        <c:axId val="133734784"/>
      </c:lineChart>
      <c:dateAx>
        <c:axId val="131082496"/>
        <c:scaling>
          <c:orientation val="minMax"/>
        </c:scaling>
        <c:axPos val="b"/>
        <c:title>
          <c:tx>
            <c:rich>
              <a:bodyPr/>
              <a:lstStyle/>
              <a:p>
                <a:pPr>
                  <a:defRPr/>
                </a:pPr>
                <a:r>
                  <a:rPr lang="en-US"/>
                  <a:t>Date</a:t>
                </a:r>
              </a:p>
            </c:rich>
          </c:tx>
        </c:title>
        <c:numFmt formatCode="d/mm/yyyy" sourceLinked="1"/>
        <c:tickLblPos val="nextTo"/>
        <c:txPr>
          <a:bodyPr rot="-5400000" vert="horz"/>
          <a:lstStyle/>
          <a:p>
            <a:pPr>
              <a:defRPr/>
            </a:pPr>
            <a:endParaRPr lang="en-US"/>
          </a:p>
        </c:txPr>
        <c:crossAx val="133734784"/>
        <c:crosses val="autoZero"/>
        <c:auto val="1"/>
        <c:lblOffset val="100"/>
        <c:baseTimeUnit val="days"/>
      </c:dateAx>
      <c:valAx>
        <c:axId val="133734784"/>
        <c:scaling>
          <c:orientation val="minMax"/>
        </c:scaling>
        <c:axPos val="l"/>
        <c:title>
          <c:tx>
            <c:rich>
              <a:bodyPr rot="-5400000" vert="horz"/>
              <a:lstStyle/>
              <a:p>
                <a:pPr>
                  <a:defRPr/>
                </a:pPr>
                <a:r>
                  <a:rPr lang="en-US"/>
                  <a:t>Sediment yield (m</a:t>
                </a:r>
                <a:r>
                  <a:rPr lang="en-US" baseline="30000"/>
                  <a:t>3</a:t>
                </a:r>
                <a:r>
                  <a:rPr lang="en-US"/>
                  <a:t>)</a:t>
                </a:r>
              </a:p>
            </c:rich>
          </c:tx>
          <c:layout>
            <c:manualLayout>
              <c:xMode val="edge"/>
              <c:yMode val="edge"/>
              <c:x val="0"/>
              <c:y val="0.20474048542714293"/>
            </c:manualLayout>
          </c:layout>
        </c:title>
        <c:numFmt formatCode="General" sourceLinked="1"/>
        <c:tickLblPos val="nextTo"/>
        <c:crossAx val="131082496"/>
        <c:crosses val="autoZero"/>
        <c:crossBetween val="between"/>
      </c:valAx>
    </c:plotArea>
    <c:legend>
      <c:legendPos val="r"/>
      <c:layout>
        <c:manualLayout>
          <c:xMode val="edge"/>
          <c:yMode val="edge"/>
          <c:x val="0.57637852155068625"/>
          <c:y val="0.38885467131743934"/>
          <c:w val="0.40917409101854896"/>
          <c:h val="0.22229036724915188"/>
        </c:manualLayout>
      </c:layout>
    </c:legend>
    <c:plotVisOnly val="1"/>
    <c:dispBlanksAs val="gap"/>
  </c:chart>
  <c:externalData r:id="rId2"/>
</c:chartSpace>
</file>

<file path=word/charts/chart2.xml><?xml version="1.0" encoding="utf-8"?>
<c:chartSpace xmlns:c="http://schemas.openxmlformats.org/drawingml/2006/chart" xmlns:a="http://schemas.openxmlformats.org/drawingml/2006/main" xmlns:r="http://schemas.openxmlformats.org/officeDocument/2006/relationships">
  <c:lang val="en-A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2591715058598996"/>
          <c:y val="2.3172079158030483E-2"/>
          <c:w val="0.85770389162980565"/>
          <c:h val="0.83185710254710865"/>
        </c:manualLayout>
      </c:layout>
      <c:lineChart>
        <c:grouping val="standard"/>
        <c:ser>
          <c:idx val="0"/>
          <c:order val="0"/>
          <c:tx>
            <c:strRef>
              <c:f>'plot2-prt1'!$P$1</c:f>
              <c:strCache>
                <c:ptCount val="1"/>
                <c:pt idx="0">
                  <c:v>CumulativeModelBedload</c:v>
                </c:pt>
              </c:strCache>
            </c:strRef>
          </c:tx>
          <c:spPr>
            <a:ln>
              <a:prstDash val="sysDash"/>
            </a:ln>
          </c:spPr>
          <c:marker>
            <c:symbol val="none"/>
          </c:marker>
          <c:cat>
            <c:numRef>
              <c:f>'plot2-prt1'!$O$2:$O$1461</c:f>
              <c:numCache>
                <c:formatCode>d/mm/yyyy</c:formatCode>
                <c:ptCount val="1460"/>
                <c:pt idx="0">
                  <c:v>40057</c:v>
                </c:pt>
                <c:pt idx="1">
                  <c:v>40058</c:v>
                </c:pt>
                <c:pt idx="2">
                  <c:v>40059</c:v>
                </c:pt>
                <c:pt idx="3">
                  <c:v>40060</c:v>
                </c:pt>
                <c:pt idx="4">
                  <c:v>40061</c:v>
                </c:pt>
                <c:pt idx="5">
                  <c:v>40062</c:v>
                </c:pt>
                <c:pt idx="6">
                  <c:v>40063</c:v>
                </c:pt>
                <c:pt idx="7">
                  <c:v>40064</c:v>
                </c:pt>
                <c:pt idx="8">
                  <c:v>40065</c:v>
                </c:pt>
                <c:pt idx="9">
                  <c:v>40066</c:v>
                </c:pt>
                <c:pt idx="10">
                  <c:v>40067</c:v>
                </c:pt>
                <c:pt idx="11">
                  <c:v>40068</c:v>
                </c:pt>
                <c:pt idx="12">
                  <c:v>40069</c:v>
                </c:pt>
                <c:pt idx="13">
                  <c:v>40070</c:v>
                </c:pt>
                <c:pt idx="14">
                  <c:v>40071</c:v>
                </c:pt>
                <c:pt idx="15">
                  <c:v>40072</c:v>
                </c:pt>
                <c:pt idx="16">
                  <c:v>40073</c:v>
                </c:pt>
                <c:pt idx="17">
                  <c:v>40074</c:v>
                </c:pt>
                <c:pt idx="18">
                  <c:v>40075</c:v>
                </c:pt>
                <c:pt idx="19">
                  <c:v>40076</c:v>
                </c:pt>
                <c:pt idx="20">
                  <c:v>40077</c:v>
                </c:pt>
                <c:pt idx="21">
                  <c:v>40078</c:v>
                </c:pt>
                <c:pt idx="22">
                  <c:v>40079</c:v>
                </c:pt>
                <c:pt idx="23">
                  <c:v>40080</c:v>
                </c:pt>
                <c:pt idx="24">
                  <c:v>40081</c:v>
                </c:pt>
                <c:pt idx="25">
                  <c:v>40082</c:v>
                </c:pt>
                <c:pt idx="26">
                  <c:v>40083</c:v>
                </c:pt>
                <c:pt idx="27">
                  <c:v>40084</c:v>
                </c:pt>
                <c:pt idx="28">
                  <c:v>40085</c:v>
                </c:pt>
                <c:pt idx="29">
                  <c:v>40086</c:v>
                </c:pt>
                <c:pt idx="30">
                  <c:v>40087</c:v>
                </c:pt>
                <c:pt idx="31">
                  <c:v>40088</c:v>
                </c:pt>
                <c:pt idx="32">
                  <c:v>40089</c:v>
                </c:pt>
                <c:pt idx="33">
                  <c:v>40090</c:v>
                </c:pt>
                <c:pt idx="34">
                  <c:v>40091</c:v>
                </c:pt>
                <c:pt idx="35">
                  <c:v>40092</c:v>
                </c:pt>
                <c:pt idx="36">
                  <c:v>40093</c:v>
                </c:pt>
                <c:pt idx="37">
                  <c:v>40094</c:v>
                </c:pt>
                <c:pt idx="38">
                  <c:v>40095</c:v>
                </c:pt>
                <c:pt idx="39">
                  <c:v>40096</c:v>
                </c:pt>
                <c:pt idx="40">
                  <c:v>40097</c:v>
                </c:pt>
                <c:pt idx="41">
                  <c:v>40098</c:v>
                </c:pt>
                <c:pt idx="42">
                  <c:v>40099</c:v>
                </c:pt>
                <c:pt idx="43">
                  <c:v>40100</c:v>
                </c:pt>
                <c:pt idx="44">
                  <c:v>40101</c:v>
                </c:pt>
                <c:pt idx="45">
                  <c:v>40102</c:v>
                </c:pt>
                <c:pt idx="46">
                  <c:v>40103</c:v>
                </c:pt>
                <c:pt idx="47">
                  <c:v>40104</c:v>
                </c:pt>
                <c:pt idx="48">
                  <c:v>40105</c:v>
                </c:pt>
                <c:pt idx="49">
                  <c:v>40106</c:v>
                </c:pt>
                <c:pt idx="50">
                  <c:v>40107</c:v>
                </c:pt>
                <c:pt idx="51">
                  <c:v>40108</c:v>
                </c:pt>
                <c:pt idx="52">
                  <c:v>40109</c:v>
                </c:pt>
                <c:pt idx="53">
                  <c:v>40110</c:v>
                </c:pt>
                <c:pt idx="54">
                  <c:v>40111</c:v>
                </c:pt>
                <c:pt idx="55">
                  <c:v>40112</c:v>
                </c:pt>
                <c:pt idx="56">
                  <c:v>40113</c:v>
                </c:pt>
                <c:pt idx="57">
                  <c:v>40114</c:v>
                </c:pt>
                <c:pt idx="58">
                  <c:v>40115</c:v>
                </c:pt>
                <c:pt idx="59">
                  <c:v>40116</c:v>
                </c:pt>
                <c:pt idx="60">
                  <c:v>40117</c:v>
                </c:pt>
                <c:pt idx="61">
                  <c:v>40118</c:v>
                </c:pt>
                <c:pt idx="62">
                  <c:v>40119</c:v>
                </c:pt>
                <c:pt idx="63">
                  <c:v>40120</c:v>
                </c:pt>
                <c:pt idx="64">
                  <c:v>40121</c:v>
                </c:pt>
                <c:pt idx="65">
                  <c:v>40122</c:v>
                </c:pt>
                <c:pt idx="66">
                  <c:v>40123</c:v>
                </c:pt>
                <c:pt idx="67">
                  <c:v>40124</c:v>
                </c:pt>
                <c:pt idx="68">
                  <c:v>40125</c:v>
                </c:pt>
                <c:pt idx="69">
                  <c:v>40126</c:v>
                </c:pt>
                <c:pt idx="70">
                  <c:v>40127</c:v>
                </c:pt>
                <c:pt idx="71">
                  <c:v>40128</c:v>
                </c:pt>
                <c:pt idx="72">
                  <c:v>40129</c:v>
                </c:pt>
                <c:pt idx="73">
                  <c:v>40130</c:v>
                </c:pt>
                <c:pt idx="74">
                  <c:v>40131</c:v>
                </c:pt>
                <c:pt idx="75">
                  <c:v>40132</c:v>
                </c:pt>
                <c:pt idx="76">
                  <c:v>40133</c:v>
                </c:pt>
                <c:pt idx="77">
                  <c:v>40134</c:v>
                </c:pt>
                <c:pt idx="78">
                  <c:v>40135</c:v>
                </c:pt>
                <c:pt idx="79">
                  <c:v>40136</c:v>
                </c:pt>
                <c:pt idx="80">
                  <c:v>40137</c:v>
                </c:pt>
                <c:pt idx="81">
                  <c:v>40138</c:v>
                </c:pt>
                <c:pt idx="82">
                  <c:v>40139</c:v>
                </c:pt>
                <c:pt idx="83">
                  <c:v>40140</c:v>
                </c:pt>
                <c:pt idx="84">
                  <c:v>40141</c:v>
                </c:pt>
                <c:pt idx="85">
                  <c:v>40142</c:v>
                </c:pt>
                <c:pt idx="86">
                  <c:v>40143</c:v>
                </c:pt>
                <c:pt idx="87">
                  <c:v>40144</c:v>
                </c:pt>
                <c:pt idx="88">
                  <c:v>40145</c:v>
                </c:pt>
                <c:pt idx="89">
                  <c:v>40146</c:v>
                </c:pt>
                <c:pt idx="90">
                  <c:v>40147</c:v>
                </c:pt>
                <c:pt idx="91">
                  <c:v>40148</c:v>
                </c:pt>
                <c:pt idx="92">
                  <c:v>40149</c:v>
                </c:pt>
                <c:pt idx="93">
                  <c:v>40150</c:v>
                </c:pt>
                <c:pt idx="94">
                  <c:v>40151</c:v>
                </c:pt>
                <c:pt idx="95">
                  <c:v>40152</c:v>
                </c:pt>
                <c:pt idx="96">
                  <c:v>40153</c:v>
                </c:pt>
                <c:pt idx="97">
                  <c:v>40154</c:v>
                </c:pt>
                <c:pt idx="98">
                  <c:v>40155</c:v>
                </c:pt>
                <c:pt idx="99">
                  <c:v>40156</c:v>
                </c:pt>
                <c:pt idx="100">
                  <c:v>40157</c:v>
                </c:pt>
                <c:pt idx="101">
                  <c:v>40158</c:v>
                </c:pt>
                <c:pt idx="102">
                  <c:v>40159</c:v>
                </c:pt>
                <c:pt idx="103">
                  <c:v>40160</c:v>
                </c:pt>
                <c:pt idx="104">
                  <c:v>40161</c:v>
                </c:pt>
                <c:pt idx="105">
                  <c:v>40162</c:v>
                </c:pt>
                <c:pt idx="106">
                  <c:v>40163</c:v>
                </c:pt>
                <c:pt idx="107">
                  <c:v>40164</c:v>
                </c:pt>
                <c:pt idx="108">
                  <c:v>40165</c:v>
                </c:pt>
                <c:pt idx="109">
                  <c:v>40166</c:v>
                </c:pt>
                <c:pt idx="110">
                  <c:v>40167</c:v>
                </c:pt>
                <c:pt idx="111">
                  <c:v>40168</c:v>
                </c:pt>
                <c:pt idx="112">
                  <c:v>40169</c:v>
                </c:pt>
                <c:pt idx="113">
                  <c:v>40170</c:v>
                </c:pt>
                <c:pt idx="114">
                  <c:v>40171</c:v>
                </c:pt>
                <c:pt idx="115">
                  <c:v>40172</c:v>
                </c:pt>
                <c:pt idx="116">
                  <c:v>40173</c:v>
                </c:pt>
                <c:pt idx="117">
                  <c:v>40174</c:v>
                </c:pt>
                <c:pt idx="118">
                  <c:v>40175</c:v>
                </c:pt>
                <c:pt idx="119">
                  <c:v>40176</c:v>
                </c:pt>
                <c:pt idx="120">
                  <c:v>40177</c:v>
                </c:pt>
                <c:pt idx="121">
                  <c:v>40178</c:v>
                </c:pt>
                <c:pt idx="122">
                  <c:v>40179</c:v>
                </c:pt>
                <c:pt idx="123">
                  <c:v>40180</c:v>
                </c:pt>
                <c:pt idx="124">
                  <c:v>40181</c:v>
                </c:pt>
                <c:pt idx="125">
                  <c:v>40182</c:v>
                </c:pt>
                <c:pt idx="126">
                  <c:v>40183</c:v>
                </c:pt>
                <c:pt idx="127">
                  <c:v>40184</c:v>
                </c:pt>
                <c:pt idx="128">
                  <c:v>40185</c:v>
                </c:pt>
                <c:pt idx="129">
                  <c:v>40186</c:v>
                </c:pt>
                <c:pt idx="130">
                  <c:v>40187</c:v>
                </c:pt>
                <c:pt idx="131">
                  <c:v>40188</c:v>
                </c:pt>
                <c:pt idx="132">
                  <c:v>40189</c:v>
                </c:pt>
                <c:pt idx="133">
                  <c:v>40190</c:v>
                </c:pt>
                <c:pt idx="134">
                  <c:v>40191</c:v>
                </c:pt>
                <c:pt idx="135">
                  <c:v>40192</c:v>
                </c:pt>
                <c:pt idx="136">
                  <c:v>40193</c:v>
                </c:pt>
                <c:pt idx="137">
                  <c:v>40194</c:v>
                </c:pt>
                <c:pt idx="138">
                  <c:v>40195</c:v>
                </c:pt>
                <c:pt idx="139">
                  <c:v>40196</c:v>
                </c:pt>
                <c:pt idx="140">
                  <c:v>40197</c:v>
                </c:pt>
                <c:pt idx="141">
                  <c:v>40198</c:v>
                </c:pt>
                <c:pt idx="142">
                  <c:v>40199</c:v>
                </c:pt>
                <c:pt idx="143">
                  <c:v>40200</c:v>
                </c:pt>
                <c:pt idx="144">
                  <c:v>40201</c:v>
                </c:pt>
                <c:pt idx="145">
                  <c:v>40202</c:v>
                </c:pt>
                <c:pt idx="146">
                  <c:v>40203</c:v>
                </c:pt>
                <c:pt idx="147">
                  <c:v>40204</c:v>
                </c:pt>
                <c:pt idx="148">
                  <c:v>40205</c:v>
                </c:pt>
                <c:pt idx="149">
                  <c:v>40206</c:v>
                </c:pt>
                <c:pt idx="150">
                  <c:v>40207</c:v>
                </c:pt>
                <c:pt idx="151">
                  <c:v>40208</c:v>
                </c:pt>
                <c:pt idx="152">
                  <c:v>40209</c:v>
                </c:pt>
                <c:pt idx="153">
                  <c:v>40210</c:v>
                </c:pt>
                <c:pt idx="154">
                  <c:v>40211</c:v>
                </c:pt>
                <c:pt idx="155">
                  <c:v>40212</c:v>
                </c:pt>
                <c:pt idx="156">
                  <c:v>40213</c:v>
                </c:pt>
                <c:pt idx="157">
                  <c:v>40214</c:v>
                </c:pt>
                <c:pt idx="158">
                  <c:v>40215</c:v>
                </c:pt>
                <c:pt idx="159">
                  <c:v>40216</c:v>
                </c:pt>
                <c:pt idx="160">
                  <c:v>40217</c:v>
                </c:pt>
                <c:pt idx="161">
                  <c:v>40218</c:v>
                </c:pt>
                <c:pt idx="162">
                  <c:v>40219</c:v>
                </c:pt>
                <c:pt idx="163">
                  <c:v>40220</c:v>
                </c:pt>
                <c:pt idx="164">
                  <c:v>40221</c:v>
                </c:pt>
                <c:pt idx="165">
                  <c:v>40222</c:v>
                </c:pt>
                <c:pt idx="166">
                  <c:v>40223</c:v>
                </c:pt>
                <c:pt idx="167">
                  <c:v>40224</c:v>
                </c:pt>
                <c:pt idx="168">
                  <c:v>40225</c:v>
                </c:pt>
                <c:pt idx="169">
                  <c:v>40226</c:v>
                </c:pt>
                <c:pt idx="170">
                  <c:v>40227</c:v>
                </c:pt>
                <c:pt idx="171">
                  <c:v>40228</c:v>
                </c:pt>
                <c:pt idx="172">
                  <c:v>40229</c:v>
                </c:pt>
                <c:pt idx="173">
                  <c:v>40230</c:v>
                </c:pt>
                <c:pt idx="174">
                  <c:v>40231</c:v>
                </c:pt>
                <c:pt idx="175">
                  <c:v>40232</c:v>
                </c:pt>
                <c:pt idx="176">
                  <c:v>40233</c:v>
                </c:pt>
                <c:pt idx="177">
                  <c:v>40234</c:v>
                </c:pt>
                <c:pt idx="178">
                  <c:v>40235</c:v>
                </c:pt>
                <c:pt idx="179">
                  <c:v>40236</c:v>
                </c:pt>
                <c:pt idx="180">
                  <c:v>40237</c:v>
                </c:pt>
                <c:pt idx="181">
                  <c:v>40238</c:v>
                </c:pt>
                <c:pt idx="182">
                  <c:v>40239</c:v>
                </c:pt>
                <c:pt idx="183">
                  <c:v>40240</c:v>
                </c:pt>
                <c:pt idx="184">
                  <c:v>40241</c:v>
                </c:pt>
                <c:pt idx="185">
                  <c:v>40242</c:v>
                </c:pt>
                <c:pt idx="186">
                  <c:v>40243</c:v>
                </c:pt>
                <c:pt idx="187">
                  <c:v>40244</c:v>
                </c:pt>
                <c:pt idx="188">
                  <c:v>40245</c:v>
                </c:pt>
                <c:pt idx="189">
                  <c:v>40246</c:v>
                </c:pt>
                <c:pt idx="190">
                  <c:v>40247</c:v>
                </c:pt>
                <c:pt idx="191">
                  <c:v>40248</c:v>
                </c:pt>
                <c:pt idx="192">
                  <c:v>40249</c:v>
                </c:pt>
                <c:pt idx="193">
                  <c:v>40250</c:v>
                </c:pt>
                <c:pt idx="194">
                  <c:v>40251</c:v>
                </c:pt>
                <c:pt idx="195">
                  <c:v>40252</c:v>
                </c:pt>
                <c:pt idx="196">
                  <c:v>40253</c:v>
                </c:pt>
                <c:pt idx="197">
                  <c:v>40254</c:v>
                </c:pt>
                <c:pt idx="198">
                  <c:v>40255</c:v>
                </c:pt>
                <c:pt idx="199">
                  <c:v>40256</c:v>
                </c:pt>
                <c:pt idx="200">
                  <c:v>40257</c:v>
                </c:pt>
                <c:pt idx="201">
                  <c:v>40258</c:v>
                </c:pt>
                <c:pt idx="202">
                  <c:v>40259</c:v>
                </c:pt>
                <c:pt idx="203">
                  <c:v>40260</c:v>
                </c:pt>
                <c:pt idx="204">
                  <c:v>40261</c:v>
                </c:pt>
                <c:pt idx="205">
                  <c:v>40262</c:v>
                </c:pt>
                <c:pt idx="206">
                  <c:v>40263</c:v>
                </c:pt>
                <c:pt idx="207">
                  <c:v>40264</c:v>
                </c:pt>
                <c:pt idx="208">
                  <c:v>40265</c:v>
                </c:pt>
                <c:pt idx="209">
                  <c:v>40266</c:v>
                </c:pt>
                <c:pt idx="210">
                  <c:v>40267</c:v>
                </c:pt>
                <c:pt idx="211">
                  <c:v>40268</c:v>
                </c:pt>
                <c:pt idx="212">
                  <c:v>40269</c:v>
                </c:pt>
                <c:pt idx="213">
                  <c:v>40270</c:v>
                </c:pt>
                <c:pt idx="214">
                  <c:v>40271</c:v>
                </c:pt>
                <c:pt idx="215">
                  <c:v>40272</c:v>
                </c:pt>
                <c:pt idx="216">
                  <c:v>40273</c:v>
                </c:pt>
                <c:pt idx="217">
                  <c:v>40274</c:v>
                </c:pt>
                <c:pt idx="218">
                  <c:v>40275</c:v>
                </c:pt>
                <c:pt idx="219">
                  <c:v>40276</c:v>
                </c:pt>
                <c:pt idx="220">
                  <c:v>40277</c:v>
                </c:pt>
                <c:pt idx="221">
                  <c:v>40278</c:v>
                </c:pt>
                <c:pt idx="222">
                  <c:v>40279</c:v>
                </c:pt>
                <c:pt idx="223">
                  <c:v>40280</c:v>
                </c:pt>
                <c:pt idx="224">
                  <c:v>40281</c:v>
                </c:pt>
                <c:pt idx="225">
                  <c:v>40282</c:v>
                </c:pt>
                <c:pt idx="226">
                  <c:v>40283</c:v>
                </c:pt>
                <c:pt idx="227">
                  <c:v>40284</c:v>
                </c:pt>
                <c:pt idx="228">
                  <c:v>40285</c:v>
                </c:pt>
                <c:pt idx="229">
                  <c:v>40286</c:v>
                </c:pt>
                <c:pt idx="230">
                  <c:v>40287</c:v>
                </c:pt>
                <c:pt idx="231">
                  <c:v>40288</c:v>
                </c:pt>
                <c:pt idx="232">
                  <c:v>40289</c:v>
                </c:pt>
                <c:pt idx="233">
                  <c:v>40290</c:v>
                </c:pt>
                <c:pt idx="234">
                  <c:v>40291</c:v>
                </c:pt>
                <c:pt idx="235">
                  <c:v>40292</c:v>
                </c:pt>
                <c:pt idx="236">
                  <c:v>40293</c:v>
                </c:pt>
                <c:pt idx="237">
                  <c:v>40294</c:v>
                </c:pt>
                <c:pt idx="238">
                  <c:v>40295</c:v>
                </c:pt>
                <c:pt idx="239">
                  <c:v>40296</c:v>
                </c:pt>
                <c:pt idx="240">
                  <c:v>40297</c:v>
                </c:pt>
                <c:pt idx="241">
                  <c:v>40298</c:v>
                </c:pt>
                <c:pt idx="242">
                  <c:v>40299</c:v>
                </c:pt>
                <c:pt idx="243">
                  <c:v>40300</c:v>
                </c:pt>
                <c:pt idx="244">
                  <c:v>40301</c:v>
                </c:pt>
                <c:pt idx="245">
                  <c:v>40302</c:v>
                </c:pt>
                <c:pt idx="246">
                  <c:v>40303</c:v>
                </c:pt>
                <c:pt idx="247">
                  <c:v>40304</c:v>
                </c:pt>
                <c:pt idx="248">
                  <c:v>40305</c:v>
                </c:pt>
                <c:pt idx="249">
                  <c:v>40306</c:v>
                </c:pt>
                <c:pt idx="250">
                  <c:v>40307</c:v>
                </c:pt>
                <c:pt idx="251">
                  <c:v>40308</c:v>
                </c:pt>
                <c:pt idx="252">
                  <c:v>40309</c:v>
                </c:pt>
                <c:pt idx="253">
                  <c:v>40310</c:v>
                </c:pt>
                <c:pt idx="254">
                  <c:v>40311</c:v>
                </c:pt>
                <c:pt idx="255">
                  <c:v>40312</c:v>
                </c:pt>
                <c:pt idx="256">
                  <c:v>40313</c:v>
                </c:pt>
                <c:pt idx="257">
                  <c:v>40314</c:v>
                </c:pt>
                <c:pt idx="258">
                  <c:v>40315</c:v>
                </c:pt>
                <c:pt idx="259">
                  <c:v>40316</c:v>
                </c:pt>
                <c:pt idx="260">
                  <c:v>40317</c:v>
                </c:pt>
                <c:pt idx="261">
                  <c:v>40318</c:v>
                </c:pt>
                <c:pt idx="262">
                  <c:v>40319</c:v>
                </c:pt>
                <c:pt idx="263">
                  <c:v>40320</c:v>
                </c:pt>
                <c:pt idx="264">
                  <c:v>40321</c:v>
                </c:pt>
                <c:pt idx="265">
                  <c:v>40322</c:v>
                </c:pt>
                <c:pt idx="266">
                  <c:v>40323</c:v>
                </c:pt>
                <c:pt idx="267">
                  <c:v>40324</c:v>
                </c:pt>
                <c:pt idx="268">
                  <c:v>40325</c:v>
                </c:pt>
                <c:pt idx="269">
                  <c:v>40326</c:v>
                </c:pt>
                <c:pt idx="270">
                  <c:v>40327</c:v>
                </c:pt>
                <c:pt idx="271">
                  <c:v>40328</c:v>
                </c:pt>
                <c:pt idx="272">
                  <c:v>40329</c:v>
                </c:pt>
                <c:pt idx="273">
                  <c:v>40330</c:v>
                </c:pt>
                <c:pt idx="274">
                  <c:v>40331</c:v>
                </c:pt>
                <c:pt idx="275">
                  <c:v>40332</c:v>
                </c:pt>
                <c:pt idx="276">
                  <c:v>40333</c:v>
                </c:pt>
                <c:pt idx="277">
                  <c:v>40334</c:v>
                </c:pt>
                <c:pt idx="278">
                  <c:v>40335</c:v>
                </c:pt>
                <c:pt idx="279">
                  <c:v>40336</c:v>
                </c:pt>
                <c:pt idx="280">
                  <c:v>40337</c:v>
                </c:pt>
                <c:pt idx="281">
                  <c:v>40338</c:v>
                </c:pt>
                <c:pt idx="282">
                  <c:v>40339</c:v>
                </c:pt>
                <c:pt idx="283">
                  <c:v>40340</c:v>
                </c:pt>
                <c:pt idx="284">
                  <c:v>40341</c:v>
                </c:pt>
                <c:pt idx="285">
                  <c:v>40342</c:v>
                </c:pt>
                <c:pt idx="286">
                  <c:v>40343</c:v>
                </c:pt>
                <c:pt idx="287">
                  <c:v>40344</c:v>
                </c:pt>
                <c:pt idx="288">
                  <c:v>40345</c:v>
                </c:pt>
                <c:pt idx="289">
                  <c:v>40346</c:v>
                </c:pt>
                <c:pt idx="290">
                  <c:v>40347</c:v>
                </c:pt>
                <c:pt idx="291">
                  <c:v>40348</c:v>
                </c:pt>
                <c:pt idx="292">
                  <c:v>40349</c:v>
                </c:pt>
                <c:pt idx="293">
                  <c:v>40350</c:v>
                </c:pt>
                <c:pt idx="294">
                  <c:v>40351</c:v>
                </c:pt>
                <c:pt idx="295">
                  <c:v>40352</c:v>
                </c:pt>
                <c:pt idx="296">
                  <c:v>40353</c:v>
                </c:pt>
                <c:pt idx="297">
                  <c:v>40354</c:v>
                </c:pt>
                <c:pt idx="298">
                  <c:v>40355</c:v>
                </c:pt>
                <c:pt idx="299">
                  <c:v>40356</c:v>
                </c:pt>
                <c:pt idx="300">
                  <c:v>40357</c:v>
                </c:pt>
                <c:pt idx="301">
                  <c:v>40358</c:v>
                </c:pt>
                <c:pt idx="302">
                  <c:v>40359</c:v>
                </c:pt>
                <c:pt idx="303">
                  <c:v>40360</c:v>
                </c:pt>
                <c:pt idx="304">
                  <c:v>40361</c:v>
                </c:pt>
                <c:pt idx="305">
                  <c:v>40362</c:v>
                </c:pt>
                <c:pt idx="306">
                  <c:v>40363</c:v>
                </c:pt>
                <c:pt idx="307">
                  <c:v>40364</c:v>
                </c:pt>
                <c:pt idx="308">
                  <c:v>40365</c:v>
                </c:pt>
                <c:pt idx="309">
                  <c:v>40366</c:v>
                </c:pt>
                <c:pt idx="310">
                  <c:v>40367</c:v>
                </c:pt>
                <c:pt idx="311">
                  <c:v>40368</c:v>
                </c:pt>
                <c:pt idx="312">
                  <c:v>40369</c:v>
                </c:pt>
                <c:pt idx="313">
                  <c:v>40370</c:v>
                </c:pt>
                <c:pt idx="314">
                  <c:v>40371</c:v>
                </c:pt>
                <c:pt idx="315">
                  <c:v>40372</c:v>
                </c:pt>
                <c:pt idx="316">
                  <c:v>40373</c:v>
                </c:pt>
                <c:pt idx="317">
                  <c:v>40374</c:v>
                </c:pt>
                <c:pt idx="318">
                  <c:v>40375</c:v>
                </c:pt>
                <c:pt idx="319">
                  <c:v>40376</c:v>
                </c:pt>
                <c:pt idx="320">
                  <c:v>40377</c:v>
                </c:pt>
                <c:pt idx="321">
                  <c:v>40378</c:v>
                </c:pt>
                <c:pt idx="322">
                  <c:v>40379</c:v>
                </c:pt>
                <c:pt idx="323">
                  <c:v>40380</c:v>
                </c:pt>
                <c:pt idx="324">
                  <c:v>40381</c:v>
                </c:pt>
                <c:pt idx="325">
                  <c:v>40382</c:v>
                </c:pt>
                <c:pt idx="326">
                  <c:v>40383</c:v>
                </c:pt>
                <c:pt idx="327">
                  <c:v>40384</c:v>
                </c:pt>
                <c:pt idx="328">
                  <c:v>40385</c:v>
                </c:pt>
                <c:pt idx="329">
                  <c:v>40386</c:v>
                </c:pt>
                <c:pt idx="330">
                  <c:v>40387</c:v>
                </c:pt>
                <c:pt idx="331">
                  <c:v>40388</c:v>
                </c:pt>
                <c:pt idx="332">
                  <c:v>40389</c:v>
                </c:pt>
                <c:pt idx="333">
                  <c:v>40390</c:v>
                </c:pt>
                <c:pt idx="334">
                  <c:v>40391</c:v>
                </c:pt>
                <c:pt idx="335">
                  <c:v>40392</c:v>
                </c:pt>
                <c:pt idx="336">
                  <c:v>40393</c:v>
                </c:pt>
                <c:pt idx="337">
                  <c:v>40394</c:v>
                </c:pt>
                <c:pt idx="338">
                  <c:v>40395</c:v>
                </c:pt>
                <c:pt idx="339">
                  <c:v>40396</c:v>
                </c:pt>
                <c:pt idx="340">
                  <c:v>40397</c:v>
                </c:pt>
                <c:pt idx="341">
                  <c:v>40398</c:v>
                </c:pt>
                <c:pt idx="342">
                  <c:v>40399</c:v>
                </c:pt>
                <c:pt idx="343">
                  <c:v>40400</c:v>
                </c:pt>
                <c:pt idx="344">
                  <c:v>40401</c:v>
                </c:pt>
                <c:pt idx="345">
                  <c:v>40402</c:v>
                </c:pt>
                <c:pt idx="346">
                  <c:v>40403</c:v>
                </c:pt>
                <c:pt idx="347">
                  <c:v>40404</c:v>
                </c:pt>
                <c:pt idx="348">
                  <c:v>40405</c:v>
                </c:pt>
                <c:pt idx="349">
                  <c:v>40406</c:v>
                </c:pt>
                <c:pt idx="350">
                  <c:v>40407</c:v>
                </c:pt>
                <c:pt idx="351">
                  <c:v>40408</c:v>
                </c:pt>
                <c:pt idx="352">
                  <c:v>40409</c:v>
                </c:pt>
                <c:pt idx="353">
                  <c:v>40410</c:v>
                </c:pt>
                <c:pt idx="354">
                  <c:v>40411</c:v>
                </c:pt>
                <c:pt idx="355">
                  <c:v>40412</c:v>
                </c:pt>
                <c:pt idx="356">
                  <c:v>40413</c:v>
                </c:pt>
                <c:pt idx="357">
                  <c:v>40414</c:v>
                </c:pt>
                <c:pt idx="358">
                  <c:v>40415</c:v>
                </c:pt>
                <c:pt idx="359">
                  <c:v>40416</c:v>
                </c:pt>
                <c:pt idx="360">
                  <c:v>40417</c:v>
                </c:pt>
                <c:pt idx="361">
                  <c:v>40418</c:v>
                </c:pt>
                <c:pt idx="362">
                  <c:v>40419</c:v>
                </c:pt>
                <c:pt idx="363">
                  <c:v>40420</c:v>
                </c:pt>
                <c:pt idx="364">
                  <c:v>40421</c:v>
                </c:pt>
                <c:pt idx="365">
                  <c:v>40422</c:v>
                </c:pt>
                <c:pt idx="366">
                  <c:v>40423</c:v>
                </c:pt>
                <c:pt idx="367">
                  <c:v>40424</c:v>
                </c:pt>
                <c:pt idx="368">
                  <c:v>40425</c:v>
                </c:pt>
                <c:pt idx="369">
                  <c:v>40426</c:v>
                </c:pt>
                <c:pt idx="370">
                  <c:v>40427</c:v>
                </c:pt>
                <c:pt idx="371">
                  <c:v>40428</c:v>
                </c:pt>
                <c:pt idx="372">
                  <c:v>40429</c:v>
                </c:pt>
                <c:pt idx="373">
                  <c:v>40430</c:v>
                </c:pt>
                <c:pt idx="374">
                  <c:v>40431</c:v>
                </c:pt>
                <c:pt idx="375">
                  <c:v>40432</c:v>
                </c:pt>
                <c:pt idx="376">
                  <c:v>40433</c:v>
                </c:pt>
                <c:pt idx="377">
                  <c:v>40434</c:v>
                </c:pt>
                <c:pt idx="378">
                  <c:v>40435</c:v>
                </c:pt>
                <c:pt idx="379">
                  <c:v>40436</c:v>
                </c:pt>
                <c:pt idx="380">
                  <c:v>40437</c:v>
                </c:pt>
                <c:pt idx="381">
                  <c:v>40438</c:v>
                </c:pt>
                <c:pt idx="382">
                  <c:v>40439</c:v>
                </c:pt>
                <c:pt idx="383">
                  <c:v>40440</c:v>
                </c:pt>
                <c:pt idx="384">
                  <c:v>40441</c:v>
                </c:pt>
                <c:pt idx="385">
                  <c:v>40442</c:v>
                </c:pt>
                <c:pt idx="386">
                  <c:v>40443</c:v>
                </c:pt>
                <c:pt idx="387">
                  <c:v>40444</c:v>
                </c:pt>
                <c:pt idx="388">
                  <c:v>40445</c:v>
                </c:pt>
                <c:pt idx="389">
                  <c:v>40446</c:v>
                </c:pt>
                <c:pt idx="390">
                  <c:v>40447</c:v>
                </c:pt>
                <c:pt idx="391">
                  <c:v>40448</c:v>
                </c:pt>
                <c:pt idx="392">
                  <c:v>40449</c:v>
                </c:pt>
                <c:pt idx="393">
                  <c:v>40450</c:v>
                </c:pt>
                <c:pt idx="394">
                  <c:v>40451</c:v>
                </c:pt>
                <c:pt idx="395">
                  <c:v>40452</c:v>
                </c:pt>
                <c:pt idx="396">
                  <c:v>40453</c:v>
                </c:pt>
                <c:pt idx="397">
                  <c:v>40454</c:v>
                </c:pt>
                <c:pt idx="398">
                  <c:v>40455</c:v>
                </c:pt>
                <c:pt idx="399">
                  <c:v>40456</c:v>
                </c:pt>
                <c:pt idx="400">
                  <c:v>40457</c:v>
                </c:pt>
                <c:pt idx="401">
                  <c:v>40458</c:v>
                </c:pt>
                <c:pt idx="402">
                  <c:v>40459</c:v>
                </c:pt>
                <c:pt idx="403">
                  <c:v>40460</c:v>
                </c:pt>
                <c:pt idx="404">
                  <c:v>40461</c:v>
                </c:pt>
                <c:pt idx="405">
                  <c:v>40462</c:v>
                </c:pt>
                <c:pt idx="406">
                  <c:v>40463</c:v>
                </c:pt>
                <c:pt idx="407">
                  <c:v>40464</c:v>
                </c:pt>
                <c:pt idx="408">
                  <c:v>40465</c:v>
                </c:pt>
                <c:pt idx="409">
                  <c:v>40466</c:v>
                </c:pt>
                <c:pt idx="410">
                  <c:v>40467</c:v>
                </c:pt>
                <c:pt idx="411">
                  <c:v>40468</c:v>
                </c:pt>
                <c:pt idx="412">
                  <c:v>40469</c:v>
                </c:pt>
                <c:pt idx="413">
                  <c:v>40470</c:v>
                </c:pt>
                <c:pt idx="414">
                  <c:v>40471</c:v>
                </c:pt>
                <c:pt idx="415">
                  <c:v>40472</c:v>
                </c:pt>
                <c:pt idx="416">
                  <c:v>40473</c:v>
                </c:pt>
                <c:pt idx="417">
                  <c:v>40474</c:v>
                </c:pt>
                <c:pt idx="418">
                  <c:v>40475</c:v>
                </c:pt>
                <c:pt idx="419">
                  <c:v>40476</c:v>
                </c:pt>
                <c:pt idx="420">
                  <c:v>40477</c:v>
                </c:pt>
                <c:pt idx="421">
                  <c:v>40478</c:v>
                </c:pt>
                <c:pt idx="422">
                  <c:v>40479</c:v>
                </c:pt>
                <c:pt idx="423">
                  <c:v>40480</c:v>
                </c:pt>
                <c:pt idx="424">
                  <c:v>40481</c:v>
                </c:pt>
                <c:pt idx="425">
                  <c:v>40482</c:v>
                </c:pt>
                <c:pt idx="426">
                  <c:v>40483</c:v>
                </c:pt>
                <c:pt idx="427">
                  <c:v>40484</c:v>
                </c:pt>
                <c:pt idx="428">
                  <c:v>40485</c:v>
                </c:pt>
                <c:pt idx="429">
                  <c:v>40486</c:v>
                </c:pt>
                <c:pt idx="430">
                  <c:v>40487</c:v>
                </c:pt>
                <c:pt idx="431">
                  <c:v>40488</c:v>
                </c:pt>
                <c:pt idx="432">
                  <c:v>40489</c:v>
                </c:pt>
                <c:pt idx="433">
                  <c:v>40490</c:v>
                </c:pt>
                <c:pt idx="434">
                  <c:v>40491</c:v>
                </c:pt>
                <c:pt idx="435">
                  <c:v>40492</c:v>
                </c:pt>
                <c:pt idx="436">
                  <c:v>40493</c:v>
                </c:pt>
                <c:pt idx="437">
                  <c:v>40494</c:v>
                </c:pt>
                <c:pt idx="438">
                  <c:v>40495</c:v>
                </c:pt>
                <c:pt idx="439">
                  <c:v>40496</c:v>
                </c:pt>
                <c:pt idx="440">
                  <c:v>40497</c:v>
                </c:pt>
                <c:pt idx="441">
                  <c:v>40498</c:v>
                </c:pt>
                <c:pt idx="442">
                  <c:v>40499</c:v>
                </c:pt>
                <c:pt idx="443">
                  <c:v>40500</c:v>
                </c:pt>
                <c:pt idx="444">
                  <c:v>40501</c:v>
                </c:pt>
                <c:pt idx="445">
                  <c:v>40502</c:v>
                </c:pt>
                <c:pt idx="446">
                  <c:v>40503</c:v>
                </c:pt>
                <c:pt idx="447">
                  <c:v>40504</c:v>
                </c:pt>
                <c:pt idx="448">
                  <c:v>40505</c:v>
                </c:pt>
                <c:pt idx="449">
                  <c:v>40506</c:v>
                </c:pt>
                <c:pt idx="450">
                  <c:v>40507</c:v>
                </c:pt>
                <c:pt idx="451">
                  <c:v>40508</c:v>
                </c:pt>
                <c:pt idx="452">
                  <c:v>40509</c:v>
                </c:pt>
                <c:pt idx="453">
                  <c:v>40510</c:v>
                </c:pt>
                <c:pt idx="454">
                  <c:v>40511</c:v>
                </c:pt>
                <c:pt idx="455">
                  <c:v>40512</c:v>
                </c:pt>
                <c:pt idx="456">
                  <c:v>40513</c:v>
                </c:pt>
                <c:pt idx="457">
                  <c:v>40514</c:v>
                </c:pt>
                <c:pt idx="458">
                  <c:v>40515</c:v>
                </c:pt>
                <c:pt idx="459">
                  <c:v>40516</c:v>
                </c:pt>
                <c:pt idx="460">
                  <c:v>40517</c:v>
                </c:pt>
                <c:pt idx="461">
                  <c:v>40518</c:v>
                </c:pt>
                <c:pt idx="462">
                  <c:v>40519</c:v>
                </c:pt>
                <c:pt idx="463">
                  <c:v>40520</c:v>
                </c:pt>
                <c:pt idx="464">
                  <c:v>40521</c:v>
                </c:pt>
                <c:pt idx="465">
                  <c:v>40522</c:v>
                </c:pt>
                <c:pt idx="466">
                  <c:v>40523</c:v>
                </c:pt>
                <c:pt idx="467">
                  <c:v>40524</c:v>
                </c:pt>
                <c:pt idx="468">
                  <c:v>40525</c:v>
                </c:pt>
                <c:pt idx="469">
                  <c:v>40526</c:v>
                </c:pt>
                <c:pt idx="470">
                  <c:v>40527</c:v>
                </c:pt>
                <c:pt idx="471">
                  <c:v>40528</c:v>
                </c:pt>
                <c:pt idx="472">
                  <c:v>40529</c:v>
                </c:pt>
                <c:pt idx="473">
                  <c:v>40530</c:v>
                </c:pt>
                <c:pt idx="474">
                  <c:v>40531</c:v>
                </c:pt>
                <c:pt idx="475">
                  <c:v>40532</c:v>
                </c:pt>
                <c:pt idx="476">
                  <c:v>40533</c:v>
                </c:pt>
                <c:pt idx="477">
                  <c:v>40534</c:v>
                </c:pt>
                <c:pt idx="478">
                  <c:v>40535</c:v>
                </c:pt>
                <c:pt idx="479">
                  <c:v>40536</c:v>
                </c:pt>
                <c:pt idx="480">
                  <c:v>40537</c:v>
                </c:pt>
                <c:pt idx="481">
                  <c:v>40538</c:v>
                </c:pt>
                <c:pt idx="482">
                  <c:v>40539</c:v>
                </c:pt>
                <c:pt idx="483">
                  <c:v>40540</c:v>
                </c:pt>
                <c:pt idx="484">
                  <c:v>40541</c:v>
                </c:pt>
                <c:pt idx="485">
                  <c:v>40542</c:v>
                </c:pt>
                <c:pt idx="486">
                  <c:v>40543</c:v>
                </c:pt>
                <c:pt idx="487">
                  <c:v>40544</c:v>
                </c:pt>
                <c:pt idx="488">
                  <c:v>40545</c:v>
                </c:pt>
                <c:pt idx="489">
                  <c:v>40546</c:v>
                </c:pt>
                <c:pt idx="490">
                  <c:v>40547</c:v>
                </c:pt>
                <c:pt idx="491">
                  <c:v>40548</c:v>
                </c:pt>
                <c:pt idx="492">
                  <c:v>40549</c:v>
                </c:pt>
                <c:pt idx="493">
                  <c:v>40550</c:v>
                </c:pt>
                <c:pt idx="494">
                  <c:v>40551</c:v>
                </c:pt>
                <c:pt idx="495">
                  <c:v>40552</c:v>
                </c:pt>
                <c:pt idx="496">
                  <c:v>40553</c:v>
                </c:pt>
                <c:pt idx="497">
                  <c:v>40554</c:v>
                </c:pt>
                <c:pt idx="498">
                  <c:v>40555</c:v>
                </c:pt>
                <c:pt idx="499">
                  <c:v>40556</c:v>
                </c:pt>
                <c:pt idx="500">
                  <c:v>40557</c:v>
                </c:pt>
                <c:pt idx="501">
                  <c:v>40558</c:v>
                </c:pt>
                <c:pt idx="502">
                  <c:v>40559</c:v>
                </c:pt>
                <c:pt idx="503">
                  <c:v>40560</c:v>
                </c:pt>
                <c:pt idx="504">
                  <c:v>40561</c:v>
                </c:pt>
                <c:pt idx="505">
                  <c:v>40562</c:v>
                </c:pt>
                <c:pt idx="506">
                  <c:v>40563</c:v>
                </c:pt>
                <c:pt idx="507">
                  <c:v>40564</c:v>
                </c:pt>
                <c:pt idx="508">
                  <c:v>40565</c:v>
                </c:pt>
                <c:pt idx="509">
                  <c:v>40566</c:v>
                </c:pt>
                <c:pt idx="510">
                  <c:v>40567</c:v>
                </c:pt>
                <c:pt idx="511">
                  <c:v>40568</c:v>
                </c:pt>
                <c:pt idx="512">
                  <c:v>40569</c:v>
                </c:pt>
                <c:pt idx="513">
                  <c:v>40570</c:v>
                </c:pt>
                <c:pt idx="514">
                  <c:v>40571</c:v>
                </c:pt>
                <c:pt idx="515">
                  <c:v>40572</c:v>
                </c:pt>
                <c:pt idx="516">
                  <c:v>40573</c:v>
                </c:pt>
                <c:pt idx="517">
                  <c:v>40574</c:v>
                </c:pt>
                <c:pt idx="518">
                  <c:v>40575</c:v>
                </c:pt>
                <c:pt idx="519">
                  <c:v>40576</c:v>
                </c:pt>
                <c:pt idx="520">
                  <c:v>40577</c:v>
                </c:pt>
                <c:pt idx="521">
                  <c:v>40578</c:v>
                </c:pt>
                <c:pt idx="522">
                  <c:v>40579</c:v>
                </c:pt>
                <c:pt idx="523">
                  <c:v>40580</c:v>
                </c:pt>
                <c:pt idx="524">
                  <c:v>40581</c:v>
                </c:pt>
                <c:pt idx="525">
                  <c:v>40582</c:v>
                </c:pt>
                <c:pt idx="526">
                  <c:v>40583</c:v>
                </c:pt>
                <c:pt idx="527">
                  <c:v>40584</c:v>
                </c:pt>
                <c:pt idx="528">
                  <c:v>40585</c:v>
                </c:pt>
                <c:pt idx="529">
                  <c:v>40586</c:v>
                </c:pt>
                <c:pt idx="530">
                  <c:v>40587</c:v>
                </c:pt>
                <c:pt idx="531">
                  <c:v>40588</c:v>
                </c:pt>
                <c:pt idx="532">
                  <c:v>40589</c:v>
                </c:pt>
                <c:pt idx="533">
                  <c:v>40590</c:v>
                </c:pt>
                <c:pt idx="534">
                  <c:v>40591</c:v>
                </c:pt>
                <c:pt idx="535">
                  <c:v>40592</c:v>
                </c:pt>
                <c:pt idx="536">
                  <c:v>40593</c:v>
                </c:pt>
                <c:pt idx="537">
                  <c:v>40594</c:v>
                </c:pt>
                <c:pt idx="538">
                  <c:v>40595</c:v>
                </c:pt>
                <c:pt idx="539">
                  <c:v>40596</c:v>
                </c:pt>
                <c:pt idx="540">
                  <c:v>40597</c:v>
                </c:pt>
                <c:pt idx="541">
                  <c:v>40598</c:v>
                </c:pt>
                <c:pt idx="542">
                  <c:v>40599</c:v>
                </c:pt>
                <c:pt idx="543">
                  <c:v>40600</c:v>
                </c:pt>
                <c:pt idx="544">
                  <c:v>40601</c:v>
                </c:pt>
                <c:pt idx="545">
                  <c:v>40602</c:v>
                </c:pt>
                <c:pt idx="546">
                  <c:v>40603</c:v>
                </c:pt>
                <c:pt idx="547">
                  <c:v>40604</c:v>
                </c:pt>
                <c:pt idx="548">
                  <c:v>40605</c:v>
                </c:pt>
                <c:pt idx="549">
                  <c:v>40606</c:v>
                </c:pt>
                <c:pt idx="550">
                  <c:v>40607</c:v>
                </c:pt>
                <c:pt idx="551">
                  <c:v>40608</c:v>
                </c:pt>
                <c:pt idx="552">
                  <c:v>40609</c:v>
                </c:pt>
                <c:pt idx="553">
                  <c:v>40610</c:v>
                </c:pt>
                <c:pt idx="554">
                  <c:v>40611</c:v>
                </c:pt>
                <c:pt idx="555">
                  <c:v>40612</c:v>
                </c:pt>
                <c:pt idx="556">
                  <c:v>40613</c:v>
                </c:pt>
                <c:pt idx="557">
                  <c:v>40614</c:v>
                </c:pt>
                <c:pt idx="558">
                  <c:v>40615</c:v>
                </c:pt>
                <c:pt idx="559">
                  <c:v>40616</c:v>
                </c:pt>
                <c:pt idx="560">
                  <c:v>40617</c:v>
                </c:pt>
                <c:pt idx="561">
                  <c:v>40618</c:v>
                </c:pt>
                <c:pt idx="562">
                  <c:v>40619</c:v>
                </c:pt>
                <c:pt idx="563">
                  <c:v>40620</c:v>
                </c:pt>
                <c:pt idx="564">
                  <c:v>40621</c:v>
                </c:pt>
                <c:pt idx="565">
                  <c:v>40622</c:v>
                </c:pt>
                <c:pt idx="566">
                  <c:v>40623</c:v>
                </c:pt>
                <c:pt idx="567">
                  <c:v>40624</c:v>
                </c:pt>
                <c:pt idx="568">
                  <c:v>40625</c:v>
                </c:pt>
                <c:pt idx="569">
                  <c:v>40626</c:v>
                </c:pt>
                <c:pt idx="570">
                  <c:v>40627</c:v>
                </c:pt>
                <c:pt idx="571">
                  <c:v>40628</c:v>
                </c:pt>
                <c:pt idx="572">
                  <c:v>40629</c:v>
                </c:pt>
                <c:pt idx="573">
                  <c:v>40630</c:v>
                </c:pt>
                <c:pt idx="574">
                  <c:v>40631</c:v>
                </c:pt>
                <c:pt idx="575">
                  <c:v>40632</c:v>
                </c:pt>
                <c:pt idx="576">
                  <c:v>40633</c:v>
                </c:pt>
                <c:pt idx="577">
                  <c:v>40634</c:v>
                </c:pt>
                <c:pt idx="578">
                  <c:v>40635</c:v>
                </c:pt>
                <c:pt idx="579">
                  <c:v>40636</c:v>
                </c:pt>
                <c:pt idx="580">
                  <c:v>40637</c:v>
                </c:pt>
                <c:pt idx="581">
                  <c:v>40638</c:v>
                </c:pt>
                <c:pt idx="582">
                  <c:v>40639</c:v>
                </c:pt>
                <c:pt idx="583">
                  <c:v>40640</c:v>
                </c:pt>
                <c:pt idx="584">
                  <c:v>40641</c:v>
                </c:pt>
                <c:pt idx="585">
                  <c:v>40642</c:v>
                </c:pt>
                <c:pt idx="586">
                  <c:v>40643</c:v>
                </c:pt>
                <c:pt idx="587">
                  <c:v>40644</c:v>
                </c:pt>
                <c:pt idx="588">
                  <c:v>40645</c:v>
                </c:pt>
                <c:pt idx="589">
                  <c:v>40646</c:v>
                </c:pt>
                <c:pt idx="590">
                  <c:v>40647</c:v>
                </c:pt>
                <c:pt idx="591">
                  <c:v>40648</c:v>
                </c:pt>
                <c:pt idx="592">
                  <c:v>40649</c:v>
                </c:pt>
                <c:pt idx="593">
                  <c:v>40650</c:v>
                </c:pt>
                <c:pt idx="594">
                  <c:v>40651</c:v>
                </c:pt>
                <c:pt idx="595">
                  <c:v>40652</c:v>
                </c:pt>
                <c:pt idx="596">
                  <c:v>40653</c:v>
                </c:pt>
                <c:pt idx="597">
                  <c:v>40654</c:v>
                </c:pt>
                <c:pt idx="598">
                  <c:v>40655</c:v>
                </c:pt>
                <c:pt idx="599">
                  <c:v>40656</c:v>
                </c:pt>
                <c:pt idx="600">
                  <c:v>40657</c:v>
                </c:pt>
                <c:pt idx="601">
                  <c:v>40658</c:v>
                </c:pt>
                <c:pt idx="602">
                  <c:v>40659</c:v>
                </c:pt>
                <c:pt idx="603">
                  <c:v>40660</c:v>
                </c:pt>
                <c:pt idx="604">
                  <c:v>40661</c:v>
                </c:pt>
                <c:pt idx="605">
                  <c:v>40662</c:v>
                </c:pt>
                <c:pt idx="606">
                  <c:v>40663</c:v>
                </c:pt>
                <c:pt idx="607">
                  <c:v>40664</c:v>
                </c:pt>
                <c:pt idx="608">
                  <c:v>40665</c:v>
                </c:pt>
                <c:pt idx="609">
                  <c:v>40666</c:v>
                </c:pt>
                <c:pt idx="610">
                  <c:v>40667</c:v>
                </c:pt>
                <c:pt idx="611">
                  <c:v>40668</c:v>
                </c:pt>
                <c:pt idx="612">
                  <c:v>40669</c:v>
                </c:pt>
                <c:pt idx="613">
                  <c:v>40670</c:v>
                </c:pt>
                <c:pt idx="614">
                  <c:v>40671</c:v>
                </c:pt>
                <c:pt idx="615">
                  <c:v>40672</c:v>
                </c:pt>
                <c:pt idx="616">
                  <c:v>40673</c:v>
                </c:pt>
                <c:pt idx="617">
                  <c:v>40674</c:v>
                </c:pt>
                <c:pt idx="618">
                  <c:v>40675</c:v>
                </c:pt>
                <c:pt idx="619">
                  <c:v>40676</c:v>
                </c:pt>
                <c:pt idx="620">
                  <c:v>40677</c:v>
                </c:pt>
                <c:pt idx="621">
                  <c:v>40678</c:v>
                </c:pt>
                <c:pt idx="622">
                  <c:v>40679</c:v>
                </c:pt>
                <c:pt idx="623">
                  <c:v>40680</c:v>
                </c:pt>
                <c:pt idx="624">
                  <c:v>40681</c:v>
                </c:pt>
                <c:pt idx="625">
                  <c:v>40682</c:v>
                </c:pt>
                <c:pt idx="626">
                  <c:v>40683</c:v>
                </c:pt>
                <c:pt idx="627">
                  <c:v>40684</c:v>
                </c:pt>
                <c:pt idx="628">
                  <c:v>40685</c:v>
                </c:pt>
                <c:pt idx="629">
                  <c:v>40686</c:v>
                </c:pt>
                <c:pt idx="630">
                  <c:v>40687</c:v>
                </c:pt>
                <c:pt idx="631">
                  <c:v>40688</c:v>
                </c:pt>
                <c:pt idx="632">
                  <c:v>40689</c:v>
                </c:pt>
                <c:pt idx="633">
                  <c:v>40690</c:v>
                </c:pt>
                <c:pt idx="634">
                  <c:v>40691</c:v>
                </c:pt>
                <c:pt idx="635">
                  <c:v>40692</c:v>
                </c:pt>
                <c:pt idx="636">
                  <c:v>40693</c:v>
                </c:pt>
                <c:pt idx="637">
                  <c:v>40694</c:v>
                </c:pt>
                <c:pt idx="638">
                  <c:v>40695</c:v>
                </c:pt>
                <c:pt idx="639">
                  <c:v>40696</c:v>
                </c:pt>
                <c:pt idx="640">
                  <c:v>40697</c:v>
                </c:pt>
                <c:pt idx="641">
                  <c:v>40698</c:v>
                </c:pt>
                <c:pt idx="642">
                  <c:v>40699</c:v>
                </c:pt>
                <c:pt idx="643">
                  <c:v>40700</c:v>
                </c:pt>
                <c:pt idx="644">
                  <c:v>40701</c:v>
                </c:pt>
                <c:pt idx="645">
                  <c:v>40702</c:v>
                </c:pt>
                <c:pt idx="646">
                  <c:v>40703</c:v>
                </c:pt>
                <c:pt idx="647">
                  <c:v>40704</c:v>
                </c:pt>
                <c:pt idx="648">
                  <c:v>40705</c:v>
                </c:pt>
                <c:pt idx="649">
                  <c:v>40706</c:v>
                </c:pt>
                <c:pt idx="650">
                  <c:v>40707</c:v>
                </c:pt>
                <c:pt idx="651">
                  <c:v>40708</c:v>
                </c:pt>
                <c:pt idx="652">
                  <c:v>40709</c:v>
                </c:pt>
                <c:pt idx="653">
                  <c:v>40710</c:v>
                </c:pt>
                <c:pt idx="654">
                  <c:v>40711</c:v>
                </c:pt>
                <c:pt idx="655">
                  <c:v>40712</c:v>
                </c:pt>
                <c:pt idx="656">
                  <c:v>40713</c:v>
                </c:pt>
                <c:pt idx="657">
                  <c:v>40714</c:v>
                </c:pt>
                <c:pt idx="658">
                  <c:v>40715</c:v>
                </c:pt>
                <c:pt idx="659">
                  <c:v>40716</c:v>
                </c:pt>
                <c:pt idx="660">
                  <c:v>40717</c:v>
                </c:pt>
                <c:pt idx="661">
                  <c:v>40718</c:v>
                </c:pt>
                <c:pt idx="662">
                  <c:v>40719</c:v>
                </c:pt>
                <c:pt idx="663">
                  <c:v>40720</c:v>
                </c:pt>
                <c:pt idx="664">
                  <c:v>40721</c:v>
                </c:pt>
                <c:pt idx="665">
                  <c:v>40722</c:v>
                </c:pt>
                <c:pt idx="666">
                  <c:v>40723</c:v>
                </c:pt>
                <c:pt idx="667">
                  <c:v>40724</c:v>
                </c:pt>
                <c:pt idx="668">
                  <c:v>40725</c:v>
                </c:pt>
                <c:pt idx="669">
                  <c:v>40726</c:v>
                </c:pt>
                <c:pt idx="670">
                  <c:v>40727</c:v>
                </c:pt>
                <c:pt idx="671">
                  <c:v>40728</c:v>
                </c:pt>
                <c:pt idx="672">
                  <c:v>40729</c:v>
                </c:pt>
                <c:pt idx="673">
                  <c:v>40730</c:v>
                </c:pt>
                <c:pt idx="674">
                  <c:v>40731</c:v>
                </c:pt>
                <c:pt idx="675">
                  <c:v>40732</c:v>
                </c:pt>
                <c:pt idx="676">
                  <c:v>40733</c:v>
                </c:pt>
                <c:pt idx="677">
                  <c:v>40734</c:v>
                </c:pt>
                <c:pt idx="678">
                  <c:v>40735</c:v>
                </c:pt>
                <c:pt idx="679">
                  <c:v>40736</c:v>
                </c:pt>
                <c:pt idx="680">
                  <c:v>40737</c:v>
                </c:pt>
                <c:pt idx="681">
                  <c:v>40738</c:v>
                </c:pt>
                <c:pt idx="682">
                  <c:v>40739</c:v>
                </c:pt>
                <c:pt idx="683">
                  <c:v>40740</c:v>
                </c:pt>
                <c:pt idx="684">
                  <c:v>40741</c:v>
                </c:pt>
                <c:pt idx="685">
                  <c:v>40742</c:v>
                </c:pt>
                <c:pt idx="686">
                  <c:v>40743</c:v>
                </c:pt>
                <c:pt idx="687">
                  <c:v>40744</c:v>
                </c:pt>
                <c:pt idx="688">
                  <c:v>40745</c:v>
                </c:pt>
                <c:pt idx="689">
                  <c:v>40746</c:v>
                </c:pt>
                <c:pt idx="690">
                  <c:v>40747</c:v>
                </c:pt>
                <c:pt idx="691">
                  <c:v>40748</c:v>
                </c:pt>
                <c:pt idx="692">
                  <c:v>40749</c:v>
                </c:pt>
                <c:pt idx="693">
                  <c:v>40750</c:v>
                </c:pt>
                <c:pt idx="694">
                  <c:v>40751</c:v>
                </c:pt>
                <c:pt idx="695">
                  <c:v>40752</c:v>
                </c:pt>
                <c:pt idx="696">
                  <c:v>40753</c:v>
                </c:pt>
                <c:pt idx="697">
                  <c:v>40754</c:v>
                </c:pt>
                <c:pt idx="698">
                  <c:v>40755</c:v>
                </c:pt>
                <c:pt idx="699">
                  <c:v>40756</c:v>
                </c:pt>
                <c:pt idx="700">
                  <c:v>40757</c:v>
                </c:pt>
                <c:pt idx="701">
                  <c:v>40758</c:v>
                </c:pt>
                <c:pt idx="702">
                  <c:v>40759</c:v>
                </c:pt>
                <c:pt idx="703">
                  <c:v>40760</c:v>
                </c:pt>
                <c:pt idx="704">
                  <c:v>40761</c:v>
                </c:pt>
                <c:pt idx="705">
                  <c:v>40762</c:v>
                </c:pt>
                <c:pt idx="706">
                  <c:v>40763</c:v>
                </c:pt>
                <c:pt idx="707">
                  <c:v>40764</c:v>
                </c:pt>
                <c:pt idx="708">
                  <c:v>40765</c:v>
                </c:pt>
                <c:pt idx="709">
                  <c:v>40766</c:v>
                </c:pt>
                <c:pt idx="710">
                  <c:v>40767</c:v>
                </c:pt>
                <c:pt idx="711">
                  <c:v>40768</c:v>
                </c:pt>
                <c:pt idx="712">
                  <c:v>40769</c:v>
                </c:pt>
                <c:pt idx="713">
                  <c:v>40770</c:v>
                </c:pt>
                <c:pt idx="714">
                  <c:v>40771</c:v>
                </c:pt>
                <c:pt idx="715">
                  <c:v>40772</c:v>
                </c:pt>
                <c:pt idx="716">
                  <c:v>40773</c:v>
                </c:pt>
                <c:pt idx="717">
                  <c:v>40774</c:v>
                </c:pt>
                <c:pt idx="718">
                  <c:v>40775</c:v>
                </c:pt>
                <c:pt idx="719">
                  <c:v>40776</c:v>
                </c:pt>
                <c:pt idx="720">
                  <c:v>40777</c:v>
                </c:pt>
                <c:pt idx="721">
                  <c:v>40778</c:v>
                </c:pt>
                <c:pt idx="722">
                  <c:v>40779</c:v>
                </c:pt>
                <c:pt idx="723">
                  <c:v>40780</c:v>
                </c:pt>
                <c:pt idx="724">
                  <c:v>40781</c:v>
                </c:pt>
                <c:pt idx="725">
                  <c:v>40782</c:v>
                </c:pt>
                <c:pt idx="726">
                  <c:v>40783</c:v>
                </c:pt>
                <c:pt idx="727">
                  <c:v>40784</c:v>
                </c:pt>
                <c:pt idx="728">
                  <c:v>40785</c:v>
                </c:pt>
                <c:pt idx="729">
                  <c:v>40786</c:v>
                </c:pt>
                <c:pt idx="730">
                  <c:v>40787</c:v>
                </c:pt>
                <c:pt idx="731">
                  <c:v>40788</c:v>
                </c:pt>
                <c:pt idx="732">
                  <c:v>40789</c:v>
                </c:pt>
                <c:pt idx="733">
                  <c:v>40790</c:v>
                </c:pt>
                <c:pt idx="734">
                  <c:v>40791</c:v>
                </c:pt>
                <c:pt idx="735">
                  <c:v>40792</c:v>
                </c:pt>
                <c:pt idx="736">
                  <c:v>40793</c:v>
                </c:pt>
                <c:pt idx="737">
                  <c:v>40794</c:v>
                </c:pt>
                <c:pt idx="738">
                  <c:v>40795</c:v>
                </c:pt>
                <c:pt idx="739">
                  <c:v>40796</c:v>
                </c:pt>
                <c:pt idx="740">
                  <c:v>40797</c:v>
                </c:pt>
                <c:pt idx="741">
                  <c:v>40798</c:v>
                </c:pt>
                <c:pt idx="742">
                  <c:v>40799</c:v>
                </c:pt>
                <c:pt idx="743">
                  <c:v>40800</c:v>
                </c:pt>
                <c:pt idx="744">
                  <c:v>40801</c:v>
                </c:pt>
                <c:pt idx="745">
                  <c:v>40802</c:v>
                </c:pt>
                <c:pt idx="746">
                  <c:v>40803</c:v>
                </c:pt>
                <c:pt idx="747">
                  <c:v>40804</c:v>
                </c:pt>
                <c:pt idx="748">
                  <c:v>40805</c:v>
                </c:pt>
                <c:pt idx="749">
                  <c:v>40806</c:v>
                </c:pt>
                <c:pt idx="750">
                  <c:v>40807</c:v>
                </c:pt>
                <c:pt idx="751">
                  <c:v>40808</c:v>
                </c:pt>
                <c:pt idx="752">
                  <c:v>40809</c:v>
                </c:pt>
                <c:pt idx="753">
                  <c:v>40810</c:v>
                </c:pt>
                <c:pt idx="754">
                  <c:v>40811</c:v>
                </c:pt>
                <c:pt idx="755">
                  <c:v>40812</c:v>
                </c:pt>
                <c:pt idx="756">
                  <c:v>40813</c:v>
                </c:pt>
                <c:pt idx="757">
                  <c:v>40814</c:v>
                </c:pt>
                <c:pt idx="758">
                  <c:v>40815</c:v>
                </c:pt>
                <c:pt idx="759">
                  <c:v>40816</c:v>
                </c:pt>
                <c:pt idx="760">
                  <c:v>40817</c:v>
                </c:pt>
                <c:pt idx="761">
                  <c:v>40818</c:v>
                </c:pt>
                <c:pt idx="762">
                  <c:v>40819</c:v>
                </c:pt>
                <c:pt idx="763">
                  <c:v>40820</c:v>
                </c:pt>
                <c:pt idx="764">
                  <c:v>40821</c:v>
                </c:pt>
                <c:pt idx="765">
                  <c:v>40822</c:v>
                </c:pt>
                <c:pt idx="766">
                  <c:v>40823</c:v>
                </c:pt>
                <c:pt idx="767">
                  <c:v>40824</c:v>
                </c:pt>
                <c:pt idx="768">
                  <c:v>40825</c:v>
                </c:pt>
                <c:pt idx="769">
                  <c:v>40826</c:v>
                </c:pt>
                <c:pt idx="770">
                  <c:v>40827</c:v>
                </c:pt>
                <c:pt idx="771">
                  <c:v>40828</c:v>
                </c:pt>
                <c:pt idx="772">
                  <c:v>40829</c:v>
                </c:pt>
                <c:pt idx="773">
                  <c:v>40830</c:v>
                </c:pt>
                <c:pt idx="774">
                  <c:v>40831</c:v>
                </c:pt>
                <c:pt idx="775">
                  <c:v>40832</c:v>
                </c:pt>
                <c:pt idx="776">
                  <c:v>40833</c:v>
                </c:pt>
                <c:pt idx="777">
                  <c:v>40834</c:v>
                </c:pt>
                <c:pt idx="778">
                  <c:v>40835</c:v>
                </c:pt>
                <c:pt idx="779">
                  <c:v>40836</c:v>
                </c:pt>
                <c:pt idx="780">
                  <c:v>40837</c:v>
                </c:pt>
                <c:pt idx="781">
                  <c:v>40838</c:v>
                </c:pt>
                <c:pt idx="782">
                  <c:v>40839</c:v>
                </c:pt>
                <c:pt idx="783">
                  <c:v>40840</c:v>
                </c:pt>
                <c:pt idx="784">
                  <c:v>40841</c:v>
                </c:pt>
                <c:pt idx="785">
                  <c:v>40842</c:v>
                </c:pt>
                <c:pt idx="786">
                  <c:v>40843</c:v>
                </c:pt>
                <c:pt idx="787">
                  <c:v>40844</c:v>
                </c:pt>
                <c:pt idx="788">
                  <c:v>40845</c:v>
                </c:pt>
                <c:pt idx="789">
                  <c:v>40846</c:v>
                </c:pt>
                <c:pt idx="790">
                  <c:v>40847</c:v>
                </c:pt>
                <c:pt idx="791">
                  <c:v>40848</c:v>
                </c:pt>
                <c:pt idx="792">
                  <c:v>40849</c:v>
                </c:pt>
                <c:pt idx="793">
                  <c:v>40850</c:v>
                </c:pt>
                <c:pt idx="794">
                  <c:v>40851</c:v>
                </c:pt>
                <c:pt idx="795">
                  <c:v>40852</c:v>
                </c:pt>
                <c:pt idx="796">
                  <c:v>40853</c:v>
                </c:pt>
                <c:pt idx="797">
                  <c:v>40854</c:v>
                </c:pt>
                <c:pt idx="798">
                  <c:v>40855</c:v>
                </c:pt>
                <c:pt idx="799">
                  <c:v>40856</c:v>
                </c:pt>
                <c:pt idx="800">
                  <c:v>40857</c:v>
                </c:pt>
                <c:pt idx="801">
                  <c:v>40858</c:v>
                </c:pt>
                <c:pt idx="802">
                  <c:v>40859</c:v>
                </c:pt>
                <c:pt idx="803">
                  <c:v>40860</c:v>
                </c:pt>
                <c:pt idx="804">
                  <c:v>40861</c:v>
                </c:pt>
                <c:pt idx="805">
                  <c:v>40862</c:v>
                </c:pt>
                <c:pt idx="806">
                  <c:v>40863</c:v>
                </c:pt>
                <c:pt idx="807">
                  <c:v>40864</c:v>
                </c:pt>
                <c:pt idx="808">
                  <c:v>40865</c:v>
                </c:pt>
                <c:pt idx="809">
                  <c:v>40866</c:v>
                </c:pt>
                <c:pt idx="810">
                  <c:v>40867</c:v>
                </c:pt>
                <c:pt idx="811">
                  <c:v>40868</c:v>
                </c:pt>
                <c:pt idx="812">
                  <c:v>40869</c:v>
                </c:pt>
                <c:pt idx="813">
                  <c:v>40870</c:v>
                </c:pt>
                <c:pt idx="814">
                  <c:v>40871</c:v>
                </c:pt>
                <c:pt idx="815">
                  <c:v>40872</c:v>
                </c:pt>
                <c:pt idx="816">
                  <c:v>40873</c:v>
                </c:pt>
                <c:pt idx="817">
                  <c:v>40874</c:v>
                </c:pt>
                <c:pt idx="818">
                  <c:v>40875</c:v>
                </c:pt>
                <c:pt idx="819">
                  <c:v>40876</c:v>
                </c:pt>
                <c:pt idx="820">
                  <c:v>40877</c:v>
                </c:pt>
                <c:pt idx="821">
                  <c:v>40878</c:v>
                </c:pt>
                <c:pt idx="822">
                  <c:v>40879</c:v>
                </c:pt>
                <c:pt idx="823">
                  <c:v>40880</c:v>
                </c:pt>
                <c:pt idx="824">
                  <c:v>40881</c:v>
                </c:pt>
                <c:pt idx="825">
                  <c:v>40882</c:v>
                </c:pt>
                <c:pt idx="826">
                  <c:v>40883</c:v>
                </c:pt>
                <c:pt idx="827">
                  <c:v>40884</c:v>
                </c:pt>
                <c:pt idx="828">
                  <c:v>40885</c:v>
                </c:pt>
                <c:pt idx="829">
                  <c:v>40886</c:v>
                </c:pt>
                <c:pt idx="830">
                  <c:v>40887</c:v>
                </c:pt>
                <c:pt idx="831">
                  <c:v>40888</c:v>
                </c:pt>
                <c:pt idx="832">
                  <c:v>40889</c:v>
                </c:pt>
                <c:pt idx="833">
                  <c:v>40890</c:v>
                </c:pt>
                <c:pt idx="834">
                  <c:v>40891</c:v>
                </c:pt>
                <c:pt idx="835">
                  <c:v>40892</c:v>
                </c:pt>
                <c:pt idx="836">
                  <c:v>40893</c:v>
                </c:pt>
                <c:pt idx="837">
                  <c:v>40894</c:v>
                </c:pt>
                <c:pt idx="838">
                  <c:v>40895</c:v>
                </c:pt>
                <c:pt idx="839">
                  <c:v>40896</c:v>
                </c:pt>
                <c:pt idx="840">
                  <c:v>40897</c:v>
                </c:pt>
                <c:pt idx="841">
                  <c:v>40898</c:v>
                </c:pt>
                <c:pt idx="842">
                  <c:v>40899</c:v>
                </c:pt>
                <c:pt idx="843">
                  <c:v>40900</c:v>
                </c:pt>
                <c:pt idx="844">
                  <c:v>40901</c:v>
                </c:pt>
                <c:pt idx="845">
                  <c:v>40902</c:v>
                </c:pt>
                <c:pt idx="846">
                  <c:v>40903</c:v>
                </c:pt>
                <c:pt idx="847">
                  <c:v>40904</c:v>
                </c:pt>
                <c:pt idx="848">
                  <c:v>40905</c:v>
                </c:pt>
                <c:pt idx="849">
                  <c:v>40906</c:v>
                </c:pt>
                <c:pt idx="850">
                  <c:v>40907</c:v>
                </c:pt>
                <c:pt idx="851">
                  <c:v>40908</c:v>
                </c:pt>
                <c:pt idx="852">
                  <c:v>40909</c:v>
                </c:pt>
                <c:pt idx="853">
                  <c:v>40910</c:v>
                </c:pt>
                <c:pt idx="854">
                  <c:v>40911</c:v>
                </c:pt>
                <c:pt idx="855">
                  <c:v>40912</c:v>
                </c:pt>
                <c:pt idx="856">
                  <c:v>40913</c:v>
                </c:pt>
                <c:pt idx="857">
                  <c:v>40914</c:v>
                </c:pt>
                <c:pt idx="858">
                  <c:v>40915</c:v>
                </c:pt>
                <c:pt idx="859">
                  <c:v>40916</c:v>
                </c:pt>
                <c:pt idx="860">
                  <c:v>40917</c:v>
                </c:pt>
                <c:pt idx="861">
                  <c:v>40918</c:v>
                </c:pt>
                <c:pt idx="862">
                  <c:v>40919</c:v>
                </c:pt>
                <c:pt idx="863">
                  <c:v>40920</c:v>
                </c:pt>
                <c:pt idx="864">
                  <c:v>40921</c:v>
                </c:pt>
                <c:pt idx="865">
                  <c:v>40922</c:v>
                </c:pt>
                <c:pt idx="866">
                  <c:v>40923</c:v>
                </c:pt>
                <c:pt idx="867">
                  <c:v>40924</c:v>
                </c:pt>
                <c:pt idx="868">
                  <c:v>40925</c:v>
                </c:pt>
                <c:pt idx="869">
                  <c:v>40926</c:v>
                </c:pt>
                <c:pt idx="870">
                  <c:v>40927</c:v>
                </c:pt>
                <c:pt idx="871">
                  <c:v>40928</c:v>
                </c:pt>
                <c:pt idx="872">
                  <c:v>40929</c:v>
                </c:pt>
                <c:pt idx="873">
                  <c:v>40930</c:v>
                </c:pt>
                <c:pt idx="874">
                  <c:v>40931</c:v>
                </c:pt>
                <c:pt idx="875">
                  <c:v>40932</c:v>
                </c:pt>
                <c:pt idx="876">
                  <c:v>40933</c:v>
                </c:pt>
                <c:pt idx="877">
                  <c:v>40934</c:v>
                </c:pt>
                <c:pt idx="878">
                  <c:v>40935</c:v>
                </c:pt>
                <c:pt idx="879">
                  <c:v>40936</c:v>
                </c:pt>
                <c:pt idx="880">
                  <c:v>40937</c:v>
                </c:pt>
                <c:pt idx="881">
                  <c:v>40938</c:v>
                </c:pt>
                <c:pt idx="882">
                  <c:v>40939</c:v>
                </c:pt>
                <c:pt idx="883">
                  <c:v>40940</c:v>
                </c:pt>
                <c:pt idx="884">
                  <c:v>40941</c:v>
                </c:pt>
                <c:pt idx="885">
                  <c:v>40942</c:v>
                </c:pt>
                <c:pt idx="886">
                  <c:v>40943</c:v>
                </c:pt>
                <c:pt idx="887">
                  <c:v>40944</c:v>
                </c:pt>
                <c:pt idx="888">
                  <c:v>40945</c:v>
                </c:pt>
                <c:pt idx="889">
                  <c:v>40946</c:v>
                </c:pt>
                <c:pt idx="890">
                  <c:v>40947</c:v>
                </c:pt>
                <c:pt idx="891">
                  <c:v>40948</c:v>
                </c:pt>
                <c:pt idx="892">
                  <c:v>40949</c:v>
                </c:pt>
                <c:pt idx="893">
                  <c:v>40950</c:v>
                </c:pt>
                <c:pt idx="894">
                  <c:v>40951</c:v>
                </c:pt>
                <c:pt idx="895">
                  <c:v>40952</c:v>
                </c:pt>
                <c:pt idx="896">
                  <c:v>40953</c:v>
                </c:pt>
                <c:pt idx="897">
                  <c:v>40954</c:v>
                </c:pt>
                <c:pt idx="898">
                  <c:v>40955</c:v>
                </c:pt>
                <c:pt idx="899">
                  <c:v>40956</c:v>
                </c:pt>
                <c:pt idx="900">
                  <c:v>40957</c:v>
                </c:pt>
                <c:pt idx="901">
                  <c:v>40958</c:v>
                </c:pt>
                <c:pt idx="902">
                  <c:v>40959</c:v>
                </c:pt>
                <c:pt idx="903">
                  <c:v>40960</c:v>
                </c:pt>
                <c:pt idx="904">
                  <c:v>40961</c:v>
                </c:pt>
                <c:pt idx="905">
                  <c:v>40962</c:v>
                </c:pt>
                <c:pt idx="906">
                  <c:v>40963</c:v>
                </c:pt>
                <c:pt idx="907">
                  <c:v>40964</c:v>
                </c:pt>
                <c:pt idx="908">
                  <c:v>40965</c:v>
                </c:pt>
                <c:pt idx="909">
                  <c:v>40966</c:v>
                </c:pt>
                <c:pt idx="910">
                  <c:v>40967</c:v>
                </c:pt>
                <c:pt idx="911">
                  <c:v>40968</c:v>
                </c:pt>
                <c:pt idx="912">
                  <c:v>40969</c:v>
                </c:pt>
                <c:pt idx="913">
                  <c:v>40970</c:v>
                </c:pt>
                <c:pt idx="914">
                  <c:v>40971</c:v>
                </c:pt>
                <c:pt idx="915">
                  <c:v>40972</c:v>
                </c:pt>
                <c:pt idx="916">
                  <c:v>40973</c:v>
                </c:pt>
                <c:pt idx="917">
                  <c:v>40974</c:v>
                </c:pt>
                <c:pt idx="918">
                  <c:v>40975</c:v>
                </c:pt>
                <c:pt idx="919">
                  <c:v>40976</c:v>
                </c:pt>
                <c:pt idx="920">
                  <c:v>40977</c:v>
                </c:pt>
                <c:pt idx="921">
                  <c:v>40978</c:v>
                </c:pt>
                <c:pt idx="922">
                  <c:v>40979</c:v>
                </c:pt>
                <c:pt idx="923">
                  <c:v>40980</c:v>
                </c:pt>
                <c:pt idx="924">
                  <c:v>40981</c:v>
                </c:pt>
                <c:pt idx="925">
                  <c:v>40982</c:v>
                </c:pt>
                <c:pt idx="926">
                  <c:v>40983</c:v>
                </c:pt>
                <c:pt idx="927">
                  <c:v>40984</c:v>
                </c:pt>
                <c:pt idx="928">
                  <c:v>40985</c:v>
                </c:pt>
                <c:pt idx="929">
                  <c:v>40986</c:v>
                </c:pt>
                <c:pt idx="930">
                  <c:v>40987</c:v>
                </c:pt>
                <c:pt idx="931">
                  <c:v>40988</c:v>
                </c:pt>
                <c:pt idx="932">
                  <c:v>40989</c:v>
                </c:pt>
                <c:pt idx="933">
                  <c:v>40990</c:v>
                </c:pt>
                <c:pt idx="934">
                  <c:v>40991</c:v>
                </c:pt>
                <c:pt idx="935">
                  <c:v>40992</c:v>
                </c:pt>
                <c:pt idx="936">
                  <c:v>40993</c:v>
                </c:pt>
                <c:pt idx="937">
                  <c:v>40994</c:v>
                </c:pt>
                <c:pt idx="938">
                  <c:v>40995</c:v>
                </c:pt>
                <c:pt idx="939">
                  <c:v>40996</c:v>
                </c:pt>
                <c:pt idx="940">
                  <c:v>40997</c:v>
                </c:pt>
                <c:pt idx="941">
                  <c:v>40998</c:v>
                </c:pt>
                <c:pt idx="942">
                  <c:v>40999</c:v>
                </c:pt>
                <c:pt idx="943">
                  <c:v>41000</c:v>
                </c:pt>
                <c:pt idx="944">
                  <c:v>41001</c:v>
                </c:pt>
                <c:pt idx="945">
                  <c:v>41002</c:v>
                </c:pt>
                <c:pt idx="946">
                  <c:v>41003</c:v>
                </c:pt>
                <c:pt idx="947">
                  <c:v>41004</c:v>
                </c:pt>
                <c:pt idx="948">
                  <c:v>41005</c:v>
                </c:pt>
                <c:pt idx="949">
                  <c:v>41006</c:v>
                </c:pt>
                <c:pt idx="950">
                  <c:v>41007</c:v>
                </c:pt>
                <c:pt idx="951">
                  <c:v>41008</c:v>
                </c:pt>
                <c:pt idx="952">
                  <c:v>41009</c:v>
                </c:pt>
                <c:pt idx="953">
                  <c:v>41010</c:v>
                </c:pt>
                <c:pt idx="954">
                  <c:v>41011</c:v>
                </c:pt>
                <c:pt idx="955">
                  <c:v>41012</c:v>
                </c:pt>
                <c:pt idx="956">
                  <c:v>41013</c:v>
                </c:pt>
                <c:pt idx="957">
                  <c:v>41014</c:v>
                </c:pt>
                <c:pt idx="958">
                  <c:v>41015</c:v>
                </c:pt>
                <c:pt idx="959">
                  <c:v>41016</c:v>
                </c:pt>
                <c:pt idx="960">
                  <c:v>41017</c:v>
                </c:pt>
                <c:pt idx="961">
                  <c:v>41018</c:v>
                </c:pt>
                <c:pt idx="962">
                  <c:v>41019</c:v>
                </c:pt>
                <c:pt idx="963">
                  <c:v>41020</c:v>
                </c:pt>
                <c:pt idx="964">
                  <c:v>41021</c:v>
                </c:pt>
                <c:pt idx="965">
                  <c:v>41022</c:v>
                </c:pt>
                <c:pt idx="966">
                  <c:v>41023</c:v>
                </c:pt>
                <c:pt idx="967">
                  <c:v>41024</c:v>
                </c:pt>
                <c:pt idx="968">
                  <c:v>41025</c:v>
                </c:pt>
                <c:pt idx="969">
                  <c:v>41026</c:v>
                </c:pt>
                <c:pt idx="970">
                  <c:v>41027</c:v>
                </c:pt>
                <c:pt idx="971">
                  <c:v>41028</c:v>
                </c:pt>
                <c:pt idx="972">
                  <c:v>41029</c:v>
                </c:pt>
                <c:pt idx="973">
                  <c:v>41030</c:v>
                </c:pt>
                <c:pt idx="974">
                  <c:v>41031</c:v>
                </c:pt>
                <c:pt idx="975">
                  <c:v>41032</c:v>
                </c:pt>
                <c:pt idx="976">
                  <c:v>41033</c:v>
                </c:pt>
                <c:pt idx="977">
                  <c:v>41034</c:v>
                </c:pt>
                <c:pt idx="978">
                  <c:v>41035</c:v>
                </c:pt>
                <c:pt idx="979">
                  <c:v>41036</c:v>
                </c:pt>
                <c:pt idx="980">
                  <c:v>41037</c:v>
                </c:pt>
                <c:pt idx="981">
                  <c:v>41038</c:v>
                </c:pt>
                <c:pt idx="982">
                  <c:v>41039</c:v>
                </c:pt>
                <c:pt idx="983">
                  <c:v>41040</c:v>
                </c:pt>
                <c:pt idx="984">
                  <c:v>41041</c:v>
                </c:pt>
                <c:pt idx="985">
                  <c:v>41042</c:v>
                </c:pt>
                <c:pt idx="986">
                  <c:v>41043</c:v>
                </c:pt>
                <c:pt idx="987">
                  <c:v>41044</c:v>
                </c:pt>
                <c:pt idx="988">
                  <c:v>41045</c:v>
                </c:pt>
                <c:pt idx="989">
                  <c:v>41046</c:v>
                </c:pt>
                <c:pt idx="990">
                  <c:v>41047</c:v>
                </c:pt>
                <c:pt idx="991">
                  <c:v>41048</c:v>
                </c:pt>
                <c:pt idx="992">
                  <c:v>41049</c:v>
                </c:pt>
                <c:pt idx="993">
                  <c:v>41050</c:v>
                </c:pt>
                <c:pt idx="994">
                  <c:v>41051</c:v>
                </c:pt>
                <c:pt idx="995">
                  <c:v>41052</c:v>
                </c:pt>
                <c:pt idx="996">
                  <c:v>41053</c:v>
                </c:pt>
                <c:pt idx="997">
                  <c:v>41054</c:v>
                </c:pt>
                <c:pt idx="998">
                  <c:v>41055</c:v>
                </c:pt>
                <c:pt idx="999">
                  <c:v>41056</c:v>
                </c:pt>
                <c:pt idx="1000">
                  <c:v>41057</c:v>
                </c:pt>
                <c:pt idx="1001">
                  <c:v>41058</c:v>
                </c:pt>
                <c:pt idx="1002">
                  <c:v>41059</c:v>
                </c:pt>
                <c:pt idx="1003">
                  <c:v>41060</c:v>
                </c:pt>
                <c:pt idx="1004">
                  <c:v>41061</c:v>
                </c:pt>
                <c:pt idx="1005">
                  <c:v>41062</c:v>
                </c:pt>
                <c:pt idx="1006">
                  <c:v>41063</c:v>
                </c:pt>
                <c:pt idx="1007">
                  <c:v>41064</c:v>
                </c:pt>
                <c:pt idx="1008">
                  <c:v>41065</c:v>
                </c:pt>
                <c:pt idx="1009">
                  <c:v>41066</c:v>
                </c:pt>
                <c:pt idx="1010">
                  <c:v>41067</c:v>
                </c:pt>
                <c:pt idx="1011">
                  <c:v>41068</c:v>
                </c:pt>
                <c:pt idx="1012">
                  <c:v>41069</c:v>
                </c:pt>
                <c:pt idx="1013">
                  <c:v>41070</c:v>
                </c:pt>
                <c:pt idx="1014">
                  <c:v>41071</c:v>
                </c:pt>
                <c:pt idx="1015">
                  <c:v>41072</c:v>
                </c:pt>
                <c:pt idx="1016">
                  <c:v>41073</c:v>
                </c:pt>
                <c:pt idx="1017">
                  <c:v>41074</c:v>
                </c:pt>
                <c:pt idx="1018">
                  <c:v>41075</c:v>
                </c:pt>
                <c:pt idx="1019">
                  <c:v>41076</c:v>
                </c:pt>
                <c:pt idx="1020">
                  <c:v>41077</c:v>
                </c:pt>
                <c:pt idx="1021">
                  <c:v>41078</c:v>
                </c:pt>
                <c:pt idx="1022">
                  <c:v>41079</c:v>
                </c:pt>
                <c:pt idx="1023">
                  <c:v>41080</c:v>
                </c:pt>
                <c:pt idx="1024">
                  <c:v>41081</c:v>
                </c:pt>
                <c:pt idx="1025">
                  <c:v>41082</c:v>
                </c:pt>
                <c:pt idx="1026">
                  <c:v>41083</c:v>
                </c:pt>
                <c:pt idx="1027">
                  <c:v>41084</c:v>
                </c:pt>
                <c:pt idx="1028">
                  <c:v>41085</c:v>
                </c:pt>
                <c:pt idx="1029">
                  <c:v>41086</c:v>
                </c:pt>
                <c:pt idx="1030">
                  <c:v>41087</c:v>
                </c:pt>
                <c:pt idx="1031">
                  <c:v>41088</c:v>
                </c:pt>
                <c:pt idx="1032">
                  <c:v>41089</c:v>
                </c:pt>
                <c:pt idx="1033">
                  <c:v>41090</c:v>
                </c:pt>
                <c:pt idx="1034">
                  <c:v>41091</c:v>
                </c:pt>
                <c:pt idx="1035">
                  <c:v>41092</c:v>
                </c:pt>
                <c:pt idx="1036">
                  <c:v>41093</c:v>
                </c:pt>
                <c:pt idx="1037">
                  <c:v>41094</c:v>
                </c:pt>
                <c:pt idx="1038">
                  <c:v>41095</c:v>
                </c:pt>
                <c:pt idx="1039">
                  <c:v>41096</c:v>
                </c:pt>
                <c:pt idx="1040">
                  <c:v>41097</c:v>
                </c:pt>
                <c:pt idx="1041">
                  <c:v>41098</c:v>
                </c:pt>
                <c:pt idx="1042">
                  <c:v>41099</c:v>
                </c:pt>
                <c:pt idx="1043">
                  <c:v>41100</c:v>
                </c:pt>
                <c:pt idx="1044">
                  <c:v>41101</c:v>
                </c:pt>
                <c:pt idx="1045">
                  <c:v>41102</c:v>
                </c:pt>
                <c:pt idx="1046">
                  <c:v>41103</c:v>
                </c:pt>
                <c:pt idx="1047">
                  <c:v>41104</c:v>
                </c:pt>
                <c:pt idx="1048">
                  <c:v>41105</c:v>
                </c:pt>
                <c:pt idx="1049">
                  <c:v>41106</c:v>
                </c:pt>
                <c:pt idx="1050">
                  <c:v>41107</c:v>
                </c:pt>
                <c:pt idx="1051">
                  <c:v>41108</c:v>
                </c:pt>
                <c:pt idx="1052">
                  <c:v>41109</c:v>
                </c:pt>
                <c:pt idx="1053">
                  <c:v>41110</c:v>
                </c:pt>
                <c:pt idx="1054">
                  <c:v>41111</c:v>
                </c:pt>
                <c:pt idx="1055">
                  <c:v>41112</c:v>
                </c:pt>
                <c:pt idx="1056">
                  <c:v>41113</c:v>
                </c:pt>
                <c:pt idx="1057">
                  <c:v>41114</c:v>
                </c:pt>
                <c:pt idx="1058">
                  <c:v>41115</c:v>
                </c:pt>
                <c:pt idx="1059">
                  <c:v>41116</c:v>
                </c:pt>
                <c:pt idx="1060">
                  <c:v>41117</c:v>
                </c:pt>
                <c:pt idx="1061">
                  <c:v>41118</c:v>
                </c:pt>
                <c:pt idx="1062">
                  <c:v>41119</c:v>
                </c:pt>
                <c:pt idx="1063">
                  <c:v>41120</c:v>
                </c:pt>
                <c:pt idx="1064">
                  <c:v>41121</c:v>
                </c:pt>
                <c:pt idx="1065">
                  <c:v>41122</c:v>
                </c:pt>
                <c:pt idx="1066">
                  <c:v>41123</c:v>
                </c:pt>
                <c:pt idx="1067">
                  <c:v>41124</c:v>
                </c:pt>
                <c:pt idx="1068">
                  <c:v>41125</c:v>
                </c:pt>
                <c:pt idx="1069">
                  <c:v>41126</c:v>
                </c:pt>
                <c:pt idx="1070">
                  <c:v>41127</c:v>
                </c:pt>
                <c:pt idx="1071">
                  <c:v>41128</c:v>
                </c:pt>
                <c:pt idx="1072">
                  <c:v>41129</c:v>
                </c:pt>
                <c:pt idx="1073">
                  <c:v>41130</c:v>
                </c:pt>
                <c:pt idx="1074">
                  <c:v>41131</c:v>
                </c:pt>
                <c:pt idx="1075">
                  <c:v>41132</c:v>
                </c:pt>
                <c:pt idx="1076">
                  <c:v>41133</c:v>
                </c:pt>
                <c:pt idx="1077">
                  <c:v>41134</c:v>
                </c:pt>
                <c:pt idx="1078">
                  <c:v>41135</c:v>
                </c:pt>
                <c:pt idx="1079">
                  <c:v>41136</c:v>
                </c:pt>
                <c:pt idx="1080">
                  <c:v>41137</c:v>
                </c:pt>
                <c:pt idx="1081">
                  <c:v>41138</c:v>
                </c:pt>
                <c:pt idx="1082">
                  <c:v>41139</c:v>
                </c:pt>
                <c:pt idx="1083">
                  <c:v>41140</c:v>
                </c:pt>
                <c:pt idx="1084">
                  <c:v>41141</c:v>
                </c:pt>
                <c:pt idx="1085">
                  <c:v>41142</c:v>
                </c:pt>
                <c:pt idx="1086">
                  <c:v>41143</c:v>
                </c:pt>
                <c:pt idx="1087">
                  <c:v>41144</c:v>
                </c:pt>
                <c:pt idx="1088">
                  <c:v>41145</c:v>
                </c:pt>
                <c:pt idx="1089">
                  <c:v>41146</c:v>
                </c:pt>
                <c:pt idx="1090">
                  <c:v>41147</c:v>
                </c:pt>
                <c:pt idx="1091">
                  <c:v>41148</c:v>
                </c:pt>
                <c:pt idx="1092">
                  <c:v>41149</c:v>
                </c:pt>
                <c:pt idx="1093">
                  <c:v>41150</c:v>
                </c:pt>
                <c:pt idx="1094">
                  <c:v>41151</c:v>
                </c:pt>
                <c:pt idx="1095">
                  <c:v>41152</c:v>
                </c:pt>
                <c:pt idx="1096">
                  <c:v>41153</c:v>
                </c:pt>
                <c:pt idx="1097">
                  <c:v>41154</c:v>
                </c:pt>
                <c:pt idx="1098">
                  <c:v>41155</c:v>
                </c:pt>
                <c:pt idx="1099">
                  <c:v>41156</c:v>
                </c:pt>
                <c:pt idx="1100">
                  <c:v>41157</c:v>
                </c:pt>
                <c:pt idx="1101">
                  <c:v>41158</c:v>
                </c:pt>
                <c:pt idx="1102">
                  <c:v>41159</c:v>
                </c:pt>
                <c:pt idx="1103">
                  <c:v>41160</c:v>
                </c:pt>
                <c:pt idx="1104">
                  <c:v>41161</c:v>
                </c:pt>
                <c:pt idx="1105">
                  <c:v>41162</c:v>
                </c:pt>
                <c:pt idx="1106">
                  <c:v>41163</c:v>
                </c:pt>
                <c:pt idx="1107">
                  <c:v>41164</c:v>
                </c:pt>
                <c:pt idx="1108">
                  <c:v>41165</c:v>
                </c:pt>
                <c:pt idx="1109">
                  <c:v>41166</c:v>
                </c:pt>
                <c:pt idx="1110">
                  <c:v>41167</c:v>
                </c:pt>
                <c:pt idx="1111">
                  <c:v>41168</c:v>
                </c:pt>
                <c:pt idx="1112">
                  <c:v>41169</c:v>
                </c:pt>
                <c:pt idx="1113">
                  <c:v>41170</c:v>
                </c:pt>
                <c:pt idx="1114">
                  <c:v>41171</c:v>
                </c:pt>
                <c:pt idx="1115">
                  <c:v>41172</c:v>
                </c:pt>
                <c:pt idx="1116">
                  <c:v>41173</c:v>
                </c:pt>
                <c:pt idx="1117">
                  <c:v>41174</c:v>
                </c:pt>
                <c:pt idx="1118">
                  <c:v>41175</c:v>
                </c:pt>
                <c:pt idx="1119">
                  <c:v>41176</c:v>
                </c:pt>
                <c:pt idx="1120">
                  <c:v>41177</c:v>
                </c:pt>
                <c:pt idx="1121">
                  <c:v>41178</c:v>
                </c:pt>
                <c:pt idx="1122">
                  <c:v>41179</c:v>
                </c:pt>
                <c:pt idx="1123">
                  <c:v>41180</c:v>
                </c:pt>
                <c:pt idx="1124">
                  <c:v>41181</c:v>
                </c:pt>
                <c:pt idx="1125">
                  <c:v>41182</c:v>
                </c:pt>
                <c:pt idx="1126">
                  <c:v>41183</c:v>
                </c:pt>
                <c:pt idx="1127">
                  <c:v>41184</c:v>
                </c:pt>
                <c:pt idx="1128">
                  <c:v>41185</c:v>
                </c:pt>
                <c:pt idx="1129">
                  <c:v>41186</c:v>
                </c:pt>
                <c:pt idx="1130">
                  <c:v>41187</c:v>
                </c:pt>
                <c:pt idx="1131">
                  <c:v>41188</c:v>
                </c:pt>
                <c:pt idx="1132">
                  <c:v>41189</c:v>
                </c:pt>
                <c:pt idx="1133">
                  <c:v>41190</c:v>
                </c:pt>
                <c:pt idx="1134">
                  <c:v>41191</c:v>
                </c:pt>
                <c:pt idx="1135">
                  <c:v>41192</c:v>
                </c:pt>
                <c:pt idx="1136">
                  <c:v>41193</c:v>
                </c:pt>
                <c:pt idx="1137">
                  <c:v>41194</c:v>
                </c:pt>
                <c:pt idx="1138">
                  <c:v>41195</c:v>
                </c:pt>
                <c:pt idx="1139">
                  <c:v>41196</c:v>
                </c:pt>
                <c:pt idx="1140">
                  <c:v>41197</c:v>
                </c:pt>
                <c:pt idx="1141">
                  <c:v>41198</c:v>
                </c:pt>
                <c:pt idx="1142">
                  <c:v>41199</c:v>
                </c:pt>
                <c:pt idx="1143">
                  <c:v>41200</c:v>
                </c:pt>
                <c:pt idx="1144">
                  <c:v>41201</c:v>
                </c:pt>
                <c:pt idx="1145">
                  <c:v>41202</c:v>
                </c:pt>
                <c:pt idx="1146">
                  <c:v>41203</c:v>
                </c:pt>
                <c:pt idx="1147">
                  <c:v>41204</c:v>
                </c:pt>
                <c:pt idx="1148">
                  <c:v>41205</c:v>
                </c:pt>
                <c:pt idx="1149">
                  <c:v>41206</c:v>
                </c:pt>
                <c:pt idx="1150">
                  <c:v>41207</c:v>
                </c:pt>
                <c:pt idx="1151">
                  <c:v>41208</c:v>
                </c:pt>
                <c:pt idx="1152">
                  <c:v>41209</c:v>
                </c:pt>
                <c:pt idx="1153">
                  <c:v>41210</c:v>
                </c:pt>
                <c:pt idx="1154">
                  <c:v>41211</c:v>
                </c:pt>
                <c:pt idx="1155">
                  <c:v>41212</c:v>
                </c:pt>
                <c:pt idx="1156">
                  <c:v>41213</c:v>
                </c:pt>
                <c:pt idx="1157">
                  <c:v>41214</c:v>
                </c:pt>
                <c:pt idx="1158">
                  <c:v>41215</c:v>
                </c:pt>
                <c:pt idx="1159">
                  <c:v>41216</c:v>
                </c:pt>
                <c:pt idx="1160">
                  <c:v>41217</c:v>
                </c:pt>
                <c:pt idx="1161">
                  <c:v>41218</c:v>
                </c:pt>
                <c:pt idx="1162">
                  <c:v>41219</c:v>
                </c:pt>
                <c:pt idx="1163">
                  <c:v>41220</c:v>
                </c:pt>
                <c:pt idx="1164">
                  <c:v>41221</c:v>
                </c:pt>
                <c:pt idx="1165">
                  <c:v>41222</c:v>
                </c:pt>
                <c:pt idx="1166">
                  <c:v>41223</c:v>
                </c:pt>
                <c:pt idx="1167">
                  <c:v>41224</c:v>
                </c:pt>
                <c:pt idx="1168">
                  <c:v>41225</c:v>
                </c:pt>
                <c:pt idx="1169">
                  <c:v>41226</c:v>
                </c:pt>
                <c:pt idx="1170">
                  <c:v>41227</c:v>
                </c:pt>
                <c:pt idx="1171">
                  <c:v>41228</c:v>
                </c:pt>
                <c:pt idx="1172">
                  <c:v>41229</c:v>
                </c:pt>
                <c:pt idx="1173">
                  <c:v>41230</c:v>
                </c:pt>
                <c:pt idx="1174">
                  <c:v>41231</c:v>
                </c:pt>
                <c:pt idx="1175">
                  <c:v>41232</c:v>
                </c:pt>
                <c:pt idx="1176">
                  <c:v>41233</c:v>
                </c:pt>
                <c:pt idx="1177">
                  <c:v>41234</c:v>
                </c:pt>
                <c:pt idx="1178">
                  <c:v>41235</c:v>
                </c:pt>
                <c:pt idx="1179">
                  <c:v>41236</c:v>
                </c:pt>
                <c:pt idx="1180">
                  <c:v>41237</c:v>
                </c:pt>
                <c:pt idx="1181">
                  <c:v>41238</c:v>
                </c:pt>
                <c:pt idx="1182">
                  <c:v>41239</c:v>
                </c:pt>
                <c:pt idx="1183">
                  <c:v>41240</c:v>
                </c:pt>
                <c:pt idx="1184">
                  <c:v>41241</c:v>
                </c:pt>
                <c:pt idx="1185">
                  <c:v>41242</c:v>
                </c:pt>
                <c:pt idx="1186">
                  <c:v>41243</c:v>
                </c:pt>
                <c:pt idx="1187">
                  <c:v>41244</c:v>
                </c:pt>
                <c:pt idx="1188">
                  <c:v>41245</c:v>
                </c:pt>
                <c:pt idx="1189">
                  <c:v>41246</c:v>
                </c:pt>
                <c:pt idx="1190">
                  <c:v>41247</c:v>
                </c:pt>
                <c:pt idx="1191">
                  <c:v>41248</c:v>
                </c:pt>
                <c:pt idx="1192">
                  <c:v>41249</c:v>
                </c:pt>
                <c:pt idx="1193">
                  <c:v>41250</c:v>
                </c:pt>
                <c:pt idx="1194">
                  <c:v>41251</c:v>
                </c:pt>
                <c:pt idx="1195">
                  <c:v>41252</c:v>
                </c:pt>
                <c:pt idx="1196">
                  <c:v>41253</c:v>
                </c:pt>
                <c:pt idx="1197">
                  <c:v>41254</c:v>
                </c:pt>
                <c:pt idx="1198">
                  <c:v>41255</c:v>
                </c:pt>
                <c:pt idx="1199">
                  <c:v>41256</c:v>
                </c:pt>
                <c:pt idx="1200">
                  <c:v>41257</c:v>
                </c:pt>
                <c:pt idx="1201">
                  <c:v>41258</c:v>
                </c:pt>
                <c:pt idx="1202">
                  <c:v>41259</c:v>
                </c:pt>
                <c:pt idx="1203">
                  <c:v>41260</c:v>
                </c:pt>
                <c:pt idx="1204">
                  <c:v>41261</c:v>
                </c:pt>
                <c:pt idx="1205">
                  <c:v>41262</c:v>
                </c:pt>
                <c:pt idx="1206">
                  <c:v>41263</c:v>
                </c:pt>
                <c:pt idx="1207">
                  <c:v>41264</c:v>
                </c:pt>
                <c:pt idx="1208">
                  <c:v>41265</c:v>
                </c:pt>
                <c:pt idx="1209">
                  <c:v>41266</c:v>
                </c:pt>
                <c:pt idx="1210">
                  <c:v>41267</c:v>
                </c:pt>
                <c:pt idx="1211">
                  <c:v>41268</c:v>
                </c:pt>
                <c:pt idx="1212">
                  <c:v>41269</c:v>
                </c:pt>
                <c:pt idx="1213">
                  <c:v>41270</c:v>
                </c:pt>
                <c:pt idx="1214">
                  <c:v>41271</c:v>
                </c:pt>
                <c:pt idx="1215">
                  <c:v>41272</c:v>
                </c:pt>
                <c:pt idx="1216">
                  <c:v>41273</c:v>
                </c:pt>
                <c:pt idx="1217">
                  <c:v>41274</c:v>
                </c:pt>
                <c:pt idx="1218">
                  <c:v>41275</c:v>
                </c:pt>
                <c:pt idx="1219">
                  <c:v>41276</c:v>
                </c:pt>
                <c:pt idx="1220">
                  <c:v>41277</c:v>
                </c:pt>
                <c:pt idx="1221">
                  <c:v>41278</c:v>
                </c:pt>
                <c:pt idx="1222">
                  <c:v>41279</c:v>
                </c:pt>
                <c:pt idx="1223">
                  <c:v>41280</c:v>
                </c:pt>
                <c:pt idx="1224">
                  <c:v>41281</c:v>
                </c:pt>
                <c:pt idx="1225">
                  <c:v>41282</c:v>
                </c:pt>
                <c:pt idx="1226">
                  <c:v>41283</c:v>
                </c:pt>
                <c:pt idx="1227">
                  <c:v>41284</c:v>
                </c:pt>
                <c:pt idx="1228">
                  <c:v>41285</c:v>
                </c:pt>
                <c:pt idx="1229">
                  <c:v>41286</c:v>
                </c:pt>
                <c:pt idx="1230">
                  <c:v>41287</c:v>
                </c:pt>
                <c:pt idx="1231">
                  <c:v>41288</c:v>
                </c:pt>
                <c:pt idx="1232">
                  <c:v>41289</c:v>
                </c:pt>
                <c:pt idx="1233">
                  <c:v>41290</c:v>
                </c:pt>
                <c:pt idx="1234">
                  <c:v>41291</c:v>
                </c:pt>
                <c:pt idx="1235">
                  <c:v>41292</c:v>
                </c:pt>
                <c:pt idx="1236">
                  <c:v>41293</c:v>
                </c:pt>
                <c:pt idx="1237">
                  <c:v>41294</c:v>
                </c:pt>
                <c:pt idx="1238">
                  <c:v>41295</c:v>
                </c:pt>
                <c:pt idx="1239">
                  <c:v>41296</c:v>
                </c:pt>
                <c:pt idx="1240">
                  <c:v>41297</c:v>
                </c:pt>
                <c:pt idx="1241">
                  <c:v>41298</c:v>
                </c:pt>
                <c:pt idx="1242">
                  <c:v>41299</c:v>
                </c:pt>
                <c:pt idx="1243">
                  <c:v>41300</c:v>
                </c:pt>
                <c:pt idx="1244">
                  <c:v>41301</c:v>
                </c:pt>
                <c:pt idx="1245">
                  <c:v>41302</c:v>
                </c:pt>
                <c:pt idx="1246">
                  <c:v>41303</c:v>
                </c:pt>
                <c:pt idx="1247">
                  <c:v>41304</c:v>
                </c:pt>
                <c:pt idx="1248">
                  <c:v>41305</c:v>
                </c:pt>
                <c:pt idx="1249">
                  <c:v>41306</c:v>
                </c:pt>
                <c:pt idx="1250">
                  <c:v>41307</c:v>
                </c:pt>
                <c:pt idx="1251">
                  <c:v>41308</c:v>
                </c:pt>
                <c:pt idx="1252">
                  <c:v>41309</c:v>
                </c:pt>
                <c:pt idx="1253">
                  <c:v>41310</c:v>
                </c:pt>
                <c:pt idx="1254">
                  <c:v>41311</c:v>
                </c:pt>
                <c:pt idx="1255">
                  <c:v>41312</c:v>
                </c:pt>
                <c:pt idx="1256">
                  <c:v>41313</c:v>
                </c:pt>
                <c:pt idx="1257">
                  <c:v>41314</c:v>
                </c:pt>
                <c:pt idx="1258">
                  <c:v>41315</c:v>
                </c:pt>
                <c:pt idx="1259">
                  <c:v>41316</c:v>
                </c:pt>
                <c:pt idx="1260">
                  <c:v>41317</c:v>
                </c:pt>
                <c:pt idx="1261">
                  <c:v>41318</c:v>
                </c:pt>
                <c:pt idx="1262">
                  <c:v>41319</c:v>
                </c:pt>
                <c:pt idx="1263">
                  <c:v>41320</c:v>
                </c:pt>
                <c:pt idx="1264">
                  <c:v>41321</c:v>
                </c:pt>
                <c:pt idx="1265">
                  <c:v>41322</c:v>
                </c:pt>
                <c:pt idx="1266">
                  <c:v>41323</c:v>
                </c:pt>
                <c:pt idx="1267">
                  <c:v>41324</c:v>
                </c:pt>
                <c:pt idx="1268">
                  <c:v>41325</c:v>
                </c:pt>
                <c:pt idx="1269">
                  <c:v>41326</c:v>
                </c:pt>
                <c:pt idx="1270">
                  <c:v>41327</c:v>
                </c:pt>
                <c:pt idx="1271">
                  <c:v>41328</c:v>
                </c:pt>
                <c:pt idx="1272">
                  <c:v>41329</c:v>
                </c:pt>
                <c:pt idx="1273">
                  <c:v>41330</c:v>
                </c:pt>
                <c:pt idx="1274">
                  <c:v>41331</c:v>
                </c:pt>
                <c:pt idx="1275">
                  <c:v>41332</c:v>
                </c:pt>
                <c:pt idx="1276">
                  <c:v>41333</c:v>
                </c:pt>
                <c:pt idx="1277">
                  <c:v>41334</c:v>
                </c:pt>
                <c:pt idx="1278">
                  <c:v>41335</c:v>
                </c:pt>
                <c:pt idx="1279">
                  <c:v>41336</c:v>
                </c:pt>
                <c:pt idx="1280">
                  <c:v>41337</c:v>
                </c:pt>
                <c:pt idx="1281">
                  <c:v>41338</c:v>
                </c:pt>
                <c:pt idx="1282">
                  <c:v>41339</c:v>
                </c:pt>
                <c:pt idx="1283">
                  <c:v>41340</c:v>
                </c:pt>
                <c:pt idx="1284">
                  <c:v>41341</c:v>
                </c:pt>
                <c:pt idx="1285">
                  <c:v>41342</c:v>
                </c:pt>
                <c:pt idx="1286">
                  <c:v>41343</c:v>
                </c:pt>
                <c:pt idx="1287">
                  <c:v>41344</c:v>
                </c:pt>
                <c:pt idx="1288">
                  <c:v>41345</c:v>
                </c:pt>
                <c:pt idx="1289">
                  <c:v>41346</c:v>
                </c:pt>
                <c:pt idx="1290">
                  <c:v>41347</c:v>
                </c:pt>
                <c:pt idx="1291">
                  <c:v>41348</c:v>
                </c:pt>
                <c:pt idx="1292">
                  <c:v>41349</c:v>
                </c:pt>
                <c:pt idx="1293">
                  <c:v>41350</c:v>
                </c:pt>
                <c:pt idx="1294">
                  <c:v>41351</c:v>
                </c:pt>
                <c:pt idx="1295">
                  <c:v>41352</c:v>
                </c:pt>
                <c:pt idx="1296">
                  <c:v>41353</c:v>
                </c:pt>
                <c:pt idx="1297">
                  <c:v>41354</c:v>
                </c:pt>
                <c:pt idx="1298">
                  <c:v>41355</c:v>
                </c:pt>
                <c:pt idx="1299">
                  <c:v>41356</c:v>
                </c:pt>
                <c:pt idx="1300">
                  <c:v>41357</c:v>
                </c:pt>
                <c:pt idx="1301">
                  <c:v>41358</c:v>
                </c:pt>
                <c:pt idx="1302">
                  <c:v>41359</c:v>
                </c:pt>
                <c:pt idx="1303">
                  <c:v>41360</c:v>
                </c:pt>
                <c:pt idx="1304">
                  <c:v>41361</c:v>
                </c:pt>
                <c:pt idx="1305">
                  <c:v>41362</c:v>
                </c:pt>
                <c:pt idx="1306">
                  <c:v>41363</c:v>
                </c:pt>
                <c:pt idx="1307">
                  <c:v>41364</c:v>
                </c:pt>
                <c:pt idx="1308">
                  <c:v>41365</c:v>
                </c:pt>
                <c:pt idx="1309">
                  <c:v>41366</c:v>
                </c:pt>
                <c:pt idx="1310">
                  <c:v>41367</c:v>
                </c:pt>
                <c:pt idx="1311">
                  <c:v>41368</c:v>
                </c:pt>
                <c:pt idx="1312">
                  <c:v>41369</c:v>
                </c:pt>
                <c:pt idx="1313">
                  <c:v>41370</c:v>
                </c:pt>
                <c:pt idx="1314">
                  <c:v>41371</c:v>
                </c:pt>
                <c:pt idx="1315">
                  <c:v>41372</c:v>
                </c:pt>
                <c:pt idx="1316">
                  <c:v>41373</c:v>
                </c:pt>
                <c:pt idx="1317">
                  <c:v>41374</c:v>
                </c:pt>
                <c:pt idx="1318">
                  <c:v>41375</c:v>
                </c:pt>
                <c:pt idx="1319">
                  <c:v>41376</c:v>
                </c:pt>
                <c:pt idx="1320">
                  <c:v>41377</c:v>
                </c:pt>
                <c:pt idx="1321">
                  <c:v>41378</c:v>
                </c:pt>
                <c:pt idx="1322">
                  <c:v>41379</c:v>
                </c:pt>
                <c:pt idx="1323">
                  <c:v>41380</c:v>
                </c:pt>
                <c:pt idx="1324">
                  <c:v>41381</c:v>
                </c:pt>
                <c:pt idx="1325">
                  <c:v>41382</c:v>
                </c:pt>
                <c:pt idx="1326">
                  <c:v>41383</c:v>
                </c:pt>
                <c:pt idx="1327">
                  <c:v>41384</c:v>
                </c:pt>
                <c:pt idx="1328">
                  <c:v>41385</c:v>
                </c:pt>
                <c:pt idx="1329">
                  <c:v>41386</c:v>
                </c:pt>
                <c:pt idx="1330">
                  <c:v>41387</c:v>
                </c:pt>
                <c:pt idx="1331">
                  <c:v>41388</c:v>
                </c:pt>
                <c:pt idx="1332">
                  <c:v>41389</c:v>
                </c:pt>
                <c:pt idx="1333">
                  <c:v>41390</c:v>
                </c:pt>
                <c:pt idx="1334">
                  <c:v>41391</c:v>
                </c:pt>
                <c:pt idx="1335">
                  <c:v>41392</c:v>
                </c:pt>
                <c:pt idx="1336">
                  <c:v>41393</c:v>
                </c:pt>
                <c:pt idx="1337">
                  <c:v>41394</c:v>
                </c:pt>
                <c:pt idx="1338">
                  <c:v>41395</c:v>
                </c:pt>
                <c:pt idx="1339">
                  <c:v>41396</c:v>
                </c:pt>
                <c:pt idx="1340">
                  <c:v>41397</c:v>
                </c:pt>
                <c:pt idx="1341">
                  <c:v>41398</c:v>
                </c:pt>
                <c:pt idx="1342">
                  <c:v>41399</c:v>
                </c:pt>
                <c:pt idx="1343">
                  <c:v>41400</c:v>
                </c:pt>
                <c:pt idx="1344">
                  <c:v>41401</c:v>
                </c:pt>
                <c:pt idx="1345">
                  <c:v>41402</c:v>
                </c:pt>
                <c:pt idx="1346">
                  <c:v>41403</c:v>
                </c:pt>
                <c:pt idx="1347">
                  <c:v>41404</c:v>
                </c:pt>
                <c:pt idx="1348">
                  <c:v>41405</c:v>
                </c:pt>
                <c:pt idx="1349">
                  <c:v>41406</c:v>
                </c:pt>
                <c:pt idx="1350">
                  <c:v>41407</c:v>
                </c:pt>
                <c:pt idx="1351">
                  <c:v>41408</c:v>
                </c:pt>
                <c:pt idx="1352">
                  <c:v>41409</c:v>
                </c:pt>
                <c:pt idx="1353">
                  <c:v>41410</c:v>
                </c:pt>
                <c:pt idx="1354">
                  <c:v>41411</c:v>
                </c:pt>
                <c:pt idx="1355">
                  <c:v>41412</c:v>
                </c:pt>
                <c:pt idx="1356">
                  <c:v>41413</c:v>
                </c:pt>
                <c:pt idx="1357">
                  <c:v>41414</c:v>
                </c:pt>
                <c:pt idx="1358">
                  <c:v>41415</c:v>
                </c:pt>
                <c:pt idx="1359">
                  <c:v>41416</c:v>
                </c:pt>
                <c:pt idx="1360">
                  <c:v>41417</c:v>
                </c:pt>
                <c:pt idx="1361">
                  <c:v>41418</c:v>
                </c:pt>
                <c:pt idx="1362">
                  <c:v>41419</c:v>
                </c:pt>
                <c:pt idx="1363">
                  <c:v>41420</c:v>
                </c:pt>
                <c:pt idx="1364">
                  <c:v>41421</c:v>
                </c:pt>
                <c:pt idx="1365">
                  <c:v>41422</c:v>
                </c:pt>
                <c:pt idx="1366">
                  <c:v>41423</c:v>
                </c:pt>
                <c:pt idx="1367">
                  <c:v>41424</c:v>
                </c:pt>
                <c:pt idx="1368">
                  <c:v>41425</c:v>
                </c:pt>
                <c:pt idx="1369">
                  <c:v>41426</c:v>
                </c:pt>
                <c:pt idx="1370">
                  <c:v>41427</c:v>
                </c:pt>
                <c:pt idx="1371">
                  <c:v>41428</c:v>
                </c:pt>
                <c:pt idx="1372">
                  <c:v>41429</c:v>
                </c:pt>
                <c:pt idx="1373">
                  <c:v>41430</c:v>
                </c:pt>
                <c:pt idx="1374">
                  <c:v>41431</c:v>
                </c:pt>
                <c:pt idx="1375">
                  <c:v>41432</c:v>
                </c:pt>
                <c:pt idx="1376">
                  <c:v>41433</c:v>
                </c:pt>
                <c:pt idx="1377">
                  <c:v>41434</c:v>
                </c:pt>
                <c:pt idx="1378">
                  <c:v>41435</c:v>
                </c:pt>
                <c:pt idx="1379">
                  <c:v>41436</c:v>
                </c:pt>
                <c:pt idx="1380">
                  <c:v>41437</c:v>
                </c:pt>
                <c:pt idx="1381">
                  <c:v>41438</c:v>
                </c:pt>
                <c:pt idx="1382">
                  <c:v>41439</c:v>
                </c:pt>
                <c:pt idx="1383">
                  <c:v>41440</c:v>
                </c:pt>
                <c:pt idx="1384">
                  <c:v>41441</c:v>
                </c:pt>
                <c:pt idx="1385">
                  <c:v>41442</c:v>
                </c:pt>
                <c:pt idx="1386">
                  <c:v>41443</c:v>
                </c:pt>
                <c:pt idx="1387">
                  <c:v>41444</c:v>
                </c:pt>
                <c:pt idx="1388">
                  <c:v>41445</c:v>
                </c:pt>
                <c:pt idx="1389">
                  <c:v>41446</c:v>
                </c:pt>
                <c:pt idx="1390">
                  <c:v>41447</c:v>
                </c:pt>
                <c:pt idx="1391">
                  <c:v>41448</c:v>
                </c:pt>
                <c:pt idx="1392">
                  <c:v>41449</c:v>
                </c:pt>
                <c:pt idx="1393">
                  <c:v>41450</c:v>
                </c:pt>
                <c:pt idx="1394">
                  <c:v>41451</c:v>
                </c:pt>
                <c:pt idx="1395">
                  <c:v>41452</c:v>
                </c:pt>
                <c:pt idx="1396">
                  <c:v>41453</c:v>
                </c:pt>
                <c:pt idx="1397">
                  <c:v>41454</c:v>
                </c:pt>
                <c:pt idx="1398">
                  <c:v>41455</c:v>
                </c:pt>
                <c:pt idx="1399">
                  <c:v>41456</c:v>
                </c:pt>
                <c:pt idx="1400">
                  <c:v>41457</c:v>
                </c:pt>
                <c:pt idx="1401">
                  <c:v>41458</c:v>
                </c:pt>
                <c:pt idx="1402">
                  <c:v>41459</c:v>
                </c:pt>
                <c:pt idx="1403">
                  <c:v>41460</c:v>
                </c:pt>
                <c:pt idx="1404">
                  <c:v>41461</c:v>
                </c:pt>
                <c:pt idx="1405">
                  <c:v>41462</c:v>
                </c:pt>
                <c:pt idx="1406">
                  <c:v>41463</c:v>
                </c:pt>
                <c:pt idx="1407">
                  <c:v>41464</c:v>
                </c:pt>
                <c:pt idx="1408">
                  <c:v>41465</c:v>
                </c:pt>
                <c:pt idx="1409">
                  <c:v>41466</c:v>
                </c:pt>
                <c:pt idx="1410">
                  <c:v>41467</c:v>
                </c:pt>
                <c:pt idx="1411">
                  <c:v>41468</c:v>
                </c:pt>
                <c:pt idx="1412">
                  <c:v>41469</c:v>
                </c:pt>
                <c:pt idx="1413">
                  <c:v>41470</c:v>
                </c:pt>
                <c:pt idx="1414">
                  <c:v>41471</c:v>
                </c:pt>
                <c:pt idx="1415">
                  <c:v>41472</c:v>
                </c:pt>
                <c:pt idx="1416">
                  <c:v>41473</c:v>
                </c:pt>
                <c:pt idx="1417">
                  <c:v>41474</c:v>
                </c:pt>
                <c:pt idx="1418">
                  <c:v>41475</c:v>
                </c:pt>
                <c:pt idx="1419">
                  <c:v>41476</c:v>
                </c:pt>
                <c:pt idx="1420">
                  <c:v>41477</c:v>
                </c:pt>
                <c:pt idx="1421">
                  <c:v>41478</c:v>
                </c:pt>
                <c:pt idx="1422">
                  <c:v>41479</c:v>
                </c:pt>
                <c:pt idx="1423">
                  <c:v>41480</c:v>
                </c:pt>
                <c:pt idx="1424">
                  <c:v>41481</c:v>
                </c:pt>
                <c:pt idx="1425">
                  <c:v>41482</c:v>
                </c:pt>
                <c:pt idx="1426">
                  <c:v>41483</c:v>
                </c:pt>
                <c:pt idx="1427">
                  <c:v>41484</c:v>
                </c:pt>
                <c:pt idx="1428">
                  <c:v>41485</c:v>
                </c:pt>
                <c:pt idx="1429">
                  <c:v>41486</c:v>
                </c:pt>
                <c:pt idx="1430">
                  <c:v>41487</c:v>
                </c:pt>
                <c:pt idx="1431">
                  <c:v>41488</c:v>
                </c:pt>
                <c:pt idx="1432">
                  <c:v>41489</c:v>
                </c:pt>
                <c:pt idx="1433">
                  <c:v>41490</c:v>
                </c:pt>
                <c:pt idx="1434">
                  <c:v>41491</c:v>
                </c:pt>
                <c:pt idx="1435">
                  <c:v>41492</c:v>
                </c:pt>
                <c:pt idx="1436">
                  <c:v>41493</c:v>
                </c:pt>
                <c:pt idx="1437">
                  <c:v>41494</c:v>
                </c:pt>
                <c:pt idx="1438">
                  <c:v>41495</c:v>
                </c:pt>
                <c:pt idx="1439">
                  <c:v>41496</c:v>
                </c:pt>
                <c:pt idx="1440">
                  <c:v>41497</c:v>
                </c:pt>
                <c:pt idx="1441">
                  <c:v>41498</c:v>
                </c:pt>
                <c:pt idx="1442">
                  <c:v>41499</c:v>
                </c:pt>
                <c:pt idx="1443">
                  <c:v>41500</c:v>
                </c:pt>
                <c:pt idx="1444">
                  <c:v>41501</c:v>
                </c:pt>
                <c:pt idx="1445">
                  <c:v>41502</c:v>
                </c:pt>
                <c:pt idx="1446">
                  <c:v>41503</c:v>
                </c:pt>
                <c:pt idx="1447">
                  <c:v>41504</c:v>
                </c:pt>
                <c:pt idx="1448">
                  <c:v>41505</c:v>
                </c:pt>
                <c:pt idx="1449">
                  <c:v>41506</c:v>
                </c:pt>
                <c:pt idx="1450">
                  <c:v>41507</c:v>
                </c:pt>
                <c:pt idx="1451">
                  <c:v>41508</c:v>
                </c:pt>
                <c:pt idx="1452">
                  <c:v>41509</c:v>
                </c:pt>
                <c:pt idx="1453">
                  <c:v>41510</c:v>
                </c:pt>
                <c:pt idx="1454">
                  <c:v>41511</c:v>
                </c:pt>
                <c:pt idx="1455">
                  <c:v>41512</c:v>
                </c:pt>
                <c:pt idx="1456">
                  <c:v>41513</c:v>
                </c:pt>
                <c:pt idx="1457">
                  <c:v>41514</c:v>
                </c:pt>
                <c:pt idx="1458">
                  <c:v>41515</c:v>
                </c:pt>
                <c:pt idx="1459">
                  <c:v>41516</c:v>
                </c:pt>
              </c:numCache>
            </c:numRef>
          </c:cat>
          <c:val>
            <c:numRef>
              <c:f>'plot2-prt1'!$P$2:$P$1461</c:f>
              <c:numCache>
                <c:formatCode>General</c:formatCode>
                <c:ptCount val="146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0</c:v>
                </c:pt>
                <c:pt idx="26">
                  <c:v>0</c:v>
                </c:pt>
                <c:pt idx="27">
                  <c:v>0</c:v>
                </c:pt>
                <c:pt idx="28">
                  <c:v>0</c:v>
                </c:pt>
                <c:pt idx="29">
                  <c:v>0</c:v>
                </c:pt>
                <c:pt idx="30">
                  <c:v>0</c:v>
                </c:pt>
                <c:pt idx="31">
                  <c:v>0</c:v>
                </c:pt>
                <c:pt idx="32">
                  <c:v>0</c:v>
                </c:pt>
                <c:pt idx="33">
                  <c:v>0</c:v>
                </c:pt>
                <c:pt idx="34">
                  <c:v>0</c:v>
                </c:pt>
                <c:pt idx="35">
                  <c:v>0</c:v>
                </c:pt>
                <c:pt idx="36">
                  <c:v>0</c:v>
                </c:pt>
                <c:pt idx="37">
                  <c:v>0</c:v>
                </c:pt>
                <c:pt idx="38">
                  <c:v>0</c:v>
                </c:pt>
                <c:pt idx="39">
                  <c:v>0</c:v>
                </c:pt>
                <c:pt idx="40">
                  <c:v>0</c:v>
                </c:pt>
                <c:pt idx="41">
                  <c:v>0</c:v>
                </c:pt>
                <c:pt idx="42">
                  <c:v>0</c:v>
                </c:pt>
                <c:pt idx="43">
                  <c:v>0</c:v>
                </c:pt>
                <c:pt idx="44">
                  <c:v>0</c:v>
                </c:pt>
                <c:pt idx="45">
                  <c:v>0</c:v>
                </c:pt>
                <c:pt idx="46">
                  <c:v>0</c:v>
                </c:pt>
                <c:pt idx="47">
                  <c:v>0</c:v>
                </c:pt>
                <c:pt idx="48">
                  <c:v>0</c:v>
                </c:pt>
                <c:pt idx="49">
                  <c:v>0</c:v>
                </c:pt>
                <c:pt idx="50">
                  <c:v>0</c:v>
                </c:pt>
                <c:pt idx="51">
                  <c:v>0</c:v>
                </c:pt>
                <c:pt idx="52">
                  <c:v>0</c:v>
                </c:pt>
                <c:pt idx="53">
                  <c:v>0</c:v>
                </c:pt>
                <c:pt idx="54">
                  <c:v>0</c:v>
                </c:pt>
                <c:pt idx="55">
                  <c:v>0</c:v>
                </c:pt>
                <c:pt idx="56">
                  <c:v>0</c:v>
                </c:pt>
                <c:pt idx="57">
                  <c:v>0</c:v>
                </c:pt>
                <c:pt idx="58">
                  <c:v>0</c:v>
                </c:pt>
                <c:pt idx="59">
                  <c:v>0</c:v>
                </c:pt>
                <c:pt idx="60">
                  <c:v>0</c:v>
                </c:pt>
                <c:pt idx="61">
                  <c:v>0</c:v>
                </c:pt>
                <c:pt idx="62">
                  <c:v>0</c:v>
                </c:pt>
                <c:pt idx="63">
                  <c:v>0</c:v>
                </c:pt>
                <c:pt idx="64">
                  <c:v>0</c:v>
                </c:pt>
                <c:pt idx="65">
                  <c:v>0</c:v>
                </c:pt>
                <c:pt idx="66">
                  <c:v>0</c:v>
                </c:pt>
                <c:pt idx="67">
                  <c:v>0</c:v>
                </c:pt>
                <c:pt idx="68">
                  <c:v>0</c:v>
                </c:pt>
                <c:pt idx="69">
                  <c:v>0</c:v>
                </c:pt>
                <c:pt idx="70">
                  <c:v>0</c:v>
                </c:pt>
                <c:pt idx="71">
                  <c:v>0</c:v>
                </c:pt>
                <c:pt idx="72">
                  <c:v>0</c:v>
                </c:pt>
                <c:pt idx="73">
                  <c:v>0</c:v>
                </c:pt>
                <c:pt idx="74">
                  <c:v>0</c:v>
                </c:pt>
                <c:pt idx="75">
                  <c:v>0</c:v>
                </c:pt>
                <c:pt idx="76">
                  <c:v>0</c:v>
                </c:pt>
                <c:pt idx="77">
                  <c:v>0</c:v>
                </c:pt>
                <c:pt idx="78">
                  <c:v>0</c:v>
                </c:pt>
                <c:pt idx="79">
                  <c:v>0</c:v>
                </c:pt>
                <c:pt idx="80">
                  <c:v>0</c:v>
                </c:pt>
                <c:pt idx="81">
                  <c:v>0</c:v>
                </c:pt>
                <c:pt idx="82">
                  <c:v>0</c:v>
                </c:pt>
                <c:pt idx="83">
                  <c:v>0</c:v>
                </c:pt>
                <c:pt idx="84">
                  <c:v>0</c:v>
                </c:pt>
                <c:pt idx="85">
                  <c:v>0</c:v>
                </c:pt>
                <c:pt idx="86">
                  <c:v>0</c:v>
                </c:pt>
                <c:pt idx="87">
                  <c:v>0</c:v>
                </c:pt>
                <c:pt idx="88">
                  <c:v>0</c:v>
                </c:pt>
                <c:pt idx="89">
                  <c:v>0</c:v>
                </c:pt>
                <c:pt idx="90">
                  <c:v>0</c:v>
                </c:pt>
                <c:pt idx="91">
                  <c:v>0</c:v>
                </c:pt>
                <c:pt idx="92">
                  <c:v>0</c:v>
                </c:pt>
                <c:pt idx="93">
                  <c:v>0</c:v>
                </c:pt>
                <c:pt idx="94">
                  <c:v>0</c:v>
                </c:pt>
                <c:pt idx="95">
                  <c:v>0</c:v>
                </c:pt>
                <c:pt idx="96">
                  <c:v>0</c:v>
                </c:pt>
                <c:pt idx="97">
                  <c:v>0</c:v>
                </c:pt>
                <c:pt idx="98">
                  <c:v>0</c:v>
                </c:pt>
                <c:pt idx="99">
                  <c:v>0</c:v>
                </c:pt>
                <c:pt idx="100">
                  <c:v>0</c:v>
                </c:pt>
                <c:pt idx="101">
                  <c:v>0</c:v>
                </c:pt>
                <c:pt idx="102">
                  <c:v>0</c:v>
                </c:pt>
                <c:pt idx="103">
                  <c:v>0</c:v>
                </c:pt>
                <c:pt idx="104">
                  <c:v>0</c:v>
                </c:pt>
                <c:pt idx="105">
                  <c:v>0</c:v>
                </c:pt>
                <c:pt idx="106">
                  <c:v>0</c:v>
                </c:pt>
                <c:pt idx="107">
                  <c:v>0</c:v>
                </c:pt>
                <c:pt idx="108">
                  <c:v>0</c:v>
                </c:pt>
                <c:pt idx="109">
                  <c:v>0</c:v>
                </c:pt>
                <c:pt idx="110">
                  <c:v>0</c:v>
                </c:pt>
                <c:pt idx="111">
                  <c:v>0</c:v>
                </c:pt>
                <c:pt idx="112">
                  <c:v>0</c:v>
                </c:pt>
                <c:pt idx="113">
                  <c:v>5.7215495000000104E-3</c:v>
                </c:pt>
                <c:pt idx="114">
                  <c:v>1.0244534200000403E-2</c:v>
                </c:pt>
                <c:pt idx="115">
                  <c:v>1.1289149100000001E-2</c:v>
                </c:pt>
                <c:pt idx="116">
                  <c:v>1.17336674E-2</c:v>
                </c:pt>
                <c:pt idx="117">
                  <c:v>1.1893373600000376E-2</c:v>
                </c:pt>
                <c:pt idx="118">
                  <c:v>1.1955072300000001E-2</c:v>
                </c:pt>
                <c:pt idx="119">
                  <c:v>1.197157520000079E-2</c:v>
                </c:pt>
                <c:pt idx="120">
                  <c:v>1.1974413199999999E-2</c:v>
                </c:pt>
                <c:pt idx="121">
                  <c:v>1.19748124E-2</c:v>
                </c:pt>
                <c:pt idx="122">
                  <c:v>1.1974815000000001E-2</c:v>
                </c:pt>
                <c:pt idx="123">
                  <c:v>1.1974815000000001E-2</c:v>
                </c:pt>
                <c:pt idx="124">
                  <c:v>1.1974815000000001E-2</c:v>
                </c:pt>
                <c:pt idx="125">
                  <c:v>1.1974815000000001E-2</c:v>
                </c:pt>
                <c:pt idx="126">
                  <c:v>1.9741504500000628E-2</c:v>
                </c:pt>
                <c:pt idx="127">
                  <c:v>2.0464888999999997E-2</c:v>
                </c:pt>
                <c:pt idx="128">
                  <c:v>2.0733381200000001E-2</c:v>
                </c:pt>
                <c:pt idx="129">
                  <c:v>2.0803407100000056E-2</c:v>
                </c:pt>
                <c:pt idx="130">
                  <c:v>2.0805671000000012E-2</c:v>
                </c:pt>
                <c:pt idx="131">
                  <c:v>2.0806453000000003E-2</c:v>
                </c:pt>
                <c:pt idx="132">
                  <c:v>2.0806470000000011E-2</c:v>
                </c:pt>
                <c:pt idx="133">
                  <c:v>2.0806472700000012E-2</c:v>
                </c:pt>
                <c:pt idx="134">
                  <c:v>2.0806472700000012E-2</c:v>
                </c:pt>
                <c:pt idx="135">
                  <c:v>2.0806472700000012E-2</c:v>
                </c:pt>
                <c:pt idx="136">
                  <c:v>2.0806472700000012E-2</c:v>
                </c:pt>
                <c:pt idx="137">
                  <c:v>2.0806472700000012E-2</c:v>
                </c:pt>
                <c:pt idx="138">
                  <c:v>2.0806472700000012E-2</c:v>
                </c:pt>
                <c:pt idx="139">
                  <c:v>2.0806472700000012E-2</c:v>
                </c:pt>
                <c:pt idx="140">
                  <c:v>2.1637398800001113E-2</c:v>
                </c:pt>
                <c:pt idx="141">
                  <c:v>2.2043412100001002E-2</c:v>
                </c:pt>
                <c:pt idx="142">
                  <c:v>2.2190870600000016E-2</c:v>
                </c:pt>
                <c:pt idx="143">
                  <c:v>2.2223634400000011E-2</c:v>
                </c:pt>
                <c:pt idx="144">
                  <c:v>2.4800237100000212E-2</c:v>
                </c:pt>
                <c:pt idx="145">
                  <c:v>2.4922057099999999E-2</c:v>
                </c:pt>
                <c:pt idx="146">
                  <c:v>2.5009703300000005E-2</c:v>
                </c:pt>
                <c:pt idx="147">
                  <c:v>2.5107698200000004E-2</c:v>
                </c:pt>
                <c:pt idx="148">
                  <c:v>2.5146846600000005E-2</c:v>
                </c:pt>
                <c:pt idx="149">
                  <c:v>2.5185892000000012E-2</c:v>
                </c:pt>
                <c:pt idx="150">
                  <c:v>2.5318634099999987E-2</c:v>
                </c:pt>
                <c:pt idx="151">
                  <c:v>2.5384941900000006E-2</c:v>
                </c:pt>
                <c:pt idx="152">
                  <c:v>2.5396108000000004E-2</c:v>
                </c:pt>
                <c:pt idx="153">
                  <c:v>2.8841388900000011E-2</c:v>
                </c:pt>
                <c:pt idx="154">
                  <c:v>2.8885305500001211E-2</c:v>
                </c:pt>
                <c:pt idx="155">
                  <c:v>2.8907615200000011E-2</c:v>
                </c:pt>
                <c:pt idx="156">
                  <c:v>2.8909360000000005E-2</c:v>
                </c:pt>
                <c:pt idx="157">
                  <c:v>2.8910704899999997E-2</c:v>
                </c:pt>
                <c:pt idx="158">
                  <c:v>2.8910776199999998E-2</c:v>
                </c:pt>
                <c:pt idx="159">
                  <c:v>2.8910792600000006E-2</c:v>
                </c:pt>
                <c:pt idx="160">
                  <c:v>2.8910792700000007E-2</c:v>
                </c:pt>
                <c:pt idx="161">
                  <c:v>2.8910792700000007E-2</c:v>
                </c:pt>
                <c:pt idx="162">
                  <c:v>2.8910792700000007E-2</c:v>
                </c:pt>
                <c:pt idx="163">
                  <c:v>2.8910792700000007E-2</c:v>
                </c:pt>
                <c:pt idx="164">
                  <c:v>2.8910792700000007E-2</c:v>
                </c:pt>
                <c:pt idx="165">
                  <c:v>2.8910792700000007E-2</c:v>
                </c:pt>
                <c:pt idx="166">
                  <c:v>2.8910792700000007E-2</c:v>
                </c:pt>
                <c:pt idx="167">
                  <c:v>2.8910792700000007E-2</c:v>
                </c:pt>
                <c:pt idx="168">
                  <c:v>2.8910792700000007E-2</c:v>
                </c:pt>
                <c:pt idx="169">
                  <c:v>2.8910792700000007E-2</c:v>
                </c:pt>
                <c:pt idx="170">
                  <c:v>2.8910792700000007E-2</c:v>
                </c:pt>
                <c:pt idx="171">
                  <c:v>2.8910792700000007E-2</c:v>
                </c:pt>
                <c:pt idx="172">
                  <c:v>2.8910792700000007E-2</c:v>
                </c:pt>
                <c:pt idx="173">
                  <c:v>2.8910792700000007E-2</c:v>
                </c:pt>
                <c:pt idx="174">
                  <c:v>2.8910792700000007E-2</c:v>
                </c:pt>
                <c:pt idx="175">
                  <c:v>2.8910792700000007E-2</c:v>
                </c:pt>
                <c:pt idx="176">
                  <c:v>2.8910792700000007E-2</c:v>
                </c:pt>
                <c:pt idx="177">
                  <c:v>2.8927332800000011E-2</c:v>
                </c:pt>
                <c:pt idx="178">
                  <c:v>2.9596488299999977E-2</c:v>
                </c:pt>
                <c:pt idx="179">
                  <c:v>3.0645284500000012E-2</c:v>
                </c:pt>
                <c:pt idx="180">
                  <c:v>3.0763139900000007E-2</c:v>
                </c:pt>
                <c:pt idx="181">
                  <c:v>3.0776821000000003E-2</c:v>
                </c:pt>
                <c:pt idx="182">
                  <c:v>3.0782161300000003E-2</c:v>
                </c:pt>
                <c:pt idx="183">
                  <c:v>3.0783477400001025E-2</c:v>
                </c:pt>
                <c:pt idx="184">
                  <c:v>3.0783520800000005E-2</c:v>
                </c:pt>
                <c:pt idx="185">
                  <c:v>3.0783576500000052E-2</c:v>
                </c:pt>
                <c:pt idx="186">
                  <c:v>3.0783576900000005E-2</c:v>
                </c:pt>
                <c:pt idx="187">
                  <c:v>3.0783576900000005E-2</c:v>
                </c:pt>
                <c:pt idx="188">
                  <c:v>3.0783576900000005E-2</c:v>
                </c:pt>
                <c:pt idx="189">
                  <c:v>3.0783576900000005E-2</c:v>
                </c:pt>
                <c:pt idx="190">
                  <c:v>3.0783576900000005E-2</c:v>
                </c:pt>
                <c:pt idx="191">
                  <c:v>3.0783576900000005E-2</c:v>
                </c:pt>
                <c:pt idx="192">
                  <c:v>3.0783576900000005E-2</c:v>
                </c:pt>
                <c:pt idx="193">
                  <c:v>3.0783576900000005E-2</c:v>
                </c:pt>
                <c:pt idx="194">
                  <c:v>3.0783576900000005E-2</c:v>
                </c:pt>
                <c:pt idx="195">
                  <c:v>3.0783576900000005E-2</c:v>
                </c:pt>
                <c:pt idx="196">
                  <c:v>3.0783576900000005E-2</c:v>
                </c:pt>
                <c:pt idx="197">
                  <c:v>3.0783576900000005E-2</c:v>
                </c:pt>
                <c:pt idx="198">
                  <c:v>3.0783576900000005E-2</c:v>
                </c:pt>
                <c:pt idx="199">
                  <c:v>3.0783576900000005E-2</c:v>
                </c:pt>
                <c:pt idx="200">
                  <c:v>3.0783576900000005E-2</c:v>
                </c:pt>
                <c:pt idx="201">
                  <c:v>3.0783576900000005E-2</c:v>
                </c:pt>
                <c:pt idx="202">
                  <c:v>3.0783576900000005E-2</c:v>
                </c:pt>
                <c:pt idx="203">
                  <c:v>3.0783576900000005E-2</c:v>
                </c:pt>
                <c:pt idx="204">
                  <c:v>3.0783576900000005E-2</c:v>
                </c:pt>
                <c:pt idx="205">
                  <c:v>3.0783576900000005E-2</c:v>
                </c:pt>
                <c:pt idx="206">
                  <c:v>3.0783576900000005E-2</c:v>
                </c:pt>
                <c:pt idx="207">
                  <c:v>3.0783576900000005E-2</c:v>
                </c:pt>
                <c:pt idx="208">
                  <c:v>3.0783576900000005E-2</c:v>
                </c:pt>
                <c:pt idx="209">
                  <c:v>3.0783576900000005E-2</c:v>
                </c:pt>
                <c:pt idx="210">
                  <c:v>3.0783576900000005E-2</c:v>
                </c:pt>
                <c:pt idx="211">
                  <c:v>3.0783576900000005E-2</c:v>
                </c:pt>
                <c:pt idx="212">
                  <c:v>3.0783576900000005E-2</c:v>
                </c:pt>
                <c:pt idx="213">
                  <c:v>3.0783576900000005E-2</c:v>
                </c:pt>
                <c:pt idx="214">
                  <c:v>3.0783576900000005E-2</c:v>
                </c:pt>
                <c:pt idx="215">
                  <c:v>3.0783576900000005E-2</c:v>
                </c:pt>
                <c:pt idx="216">
                  <c:v>3.0783576900000005E-2</c:v>
                </c:pt>
                <c:pt idx="217">
                  <c:v>3.0783576900000005E-2</c:v>
                </c:pt>
                <c:pt idx="218">
                  <c:v>3.0783576900000005E-2</c:v>
                </c:pt>
                <c:pt idx="219">
                  <c:v>3.0783576900000005E-2</c:v>
                </c:pt>
                <c:pt idx="220">
                  <c:v>3.2887726800000051E-2</c:v>
                </c:pt>
                <c:pt idx="221">
                  <c:v>3.3011650100000005E-2</c:v>
                </c:pt>
                <c:pt idx="222">
                  <c:v>3.3034540100000002E-2</c:v>
                </c:pt>
                <c:pt idx="223">
                  <c:v>3.413979360000001E-2</c:v>
                </c:pt>
                <c:pt idx="224">
                  <c:v>3.4926297000000002E-2</c:v>
                </c:pt>
                <c:pt idx="225">
                  <c:v>3.5487756200000005E-2</c:v>
                </c:pt>
                <c:pt idx="226">
                  <c:v>3.5957103400000016E-2</c:v>
                </c:pt>
                <c:pt idx="227">
                  <c:v>3.5975001200000002E-2</c:v>
                </c:pt>
                <c:pt idx="228">
                  <c:v>3.5978309800000011E-2</c:v>
                </c:pt>
                <c:pt idx="229">
                  <c:v>3.5978377100000652E-2</c:v>
                </c:pt>
                <c:pt idx="230">
                  <c:v>3.5978391000000005E-2</c:v>
                </c:pt>
                <c:pt idx="231">
                  <c:v>3.5978409400000008E-2</c:v>
                </c:pt>
                <c:pt idx="232">
                  <c:v>3.597841840000001E-2</c:v>
                </c:pt>
                <c:pt idx="233">
                  <c:v>3.597841840000001E-2</c:v>
                </c:pt>
                <c:pt idx="234">
                  <c:v>3.597841840000001E-2</c:v>
                </c:pt>
                <c:pt idx="235">
                  <c:v>3.597841840000001E-2</c:v>
                </c:pt>
                <c:pt idx="236">
                  <c:v>3.597841840000001E-2</c:v>
                </c:pt>
                <c:pt idx="237">
                  <c:v>3.597841840000001E-2</c:v>
                </c:pt>
                <c:pt idx="238">
                  <c:v>3.597841840000001E-2</c:v>
                </c:pt>
                <c:pt idx="239">
                  <c:v>3.597841840000001E-2</c:v>
                </c:pt>
                <c:pt idx="240">
                  <c:v>3.597841840000001E-2</c:v>
                </c:pt>
                <c:pt idx="241">
                  <c:v>3.597841840000001E-2</c:v>
                </c:pt>
                <c:pt idx="242">
                  <c:v>3.597841840000001E-2</c:v>
                </c:pt>
                <c:pt idx="243">
                  <c:v>3.597841840000001E-2</c:v>
                </c:pt>
                <c:pt idx="244">
                  <c:v>3.597841840000001E-2</c:v>
                </c:pt>
                <c:pt idx="245">
                  <c:v>3.597841840000001E-2</c:v>
                </c:pt>
                <c:pt idx="246">
                  <c:v>3.597841840000001E-2</c:v>
                </c:pt>
                <c:pt idx="247">
                  <c:v>3.597841840000001E-2</c:v>
                </c:pt>
                <c:pt idx="248">
                  <c:v>3.597841840000001E-2</c:v>
                </c:pt>
                <c:pt idx="249">
                  <c:v>3.597841840000001E-2</c:v>
                </c:pt>
                <c:pt idx="250">
                  <c:v>3.597841840000001E-2</c:v>
                </c:pt>
                <c:pt idx="251">
                  <c:v>3.597841840000001E-2</c:v>
                </c:pt>
                <c:pt idx="252">
                  <c:v>3.597841840000001E-2</c:v>
                </c:pt>
                <c:pt idx="253">
                  <c:v>3.597841840000001E-2</c:v>
                </c:pt>
                <c:pt idx="254">
                  <c:v>3.597841840000001E-2</c:v>
                </c:pt>
                <c:pt idx="255">
                  <c:v>3.597841840000001E-2</c:v>
                </c:pt>
                <c:pt idx="256">
                  <c:v>3.597841840000001E-2</c:v>
                </c:pt>
                <c:pt idx="257">
                  <c:v>3.597841840000001E-2</c:v>
                </c:pt>
                <c:pt idx="258">
                  <c:v>3.597841840000001E-2</c:v>
                </c:pt>
                <c:pt idx="259">
                  <c:v>3.597841840000001E-2</c:v>
                </c:pt>
                <c:pt idx="260">
                  <c:v>3.597841840000001E-2</c:v>
                </c:pt>
                <c:pt idx="261">
                  <c:v>3.597841840000001E-2</c:v>
                </c:pt>
                <c:pt idx="262">
                  <c:v>3.597841840000001E-2</c:v>
                </c:pt>
                <c:pt idx="263">
                  <c:v>3.597841840000001E-2</c:v>
                </c:pt>
                <c:pt idx="264">
                  <c:v>3.597841840000001E-2</c:v>
                </c:pt>
                <c:pt idx="265">
                  <c:v>3.597841840000001E-2</c:v>
                </c:pt>
                <c:pt idx="266">
                  <c:v>3.597841840000001E-2</c:v>
                </c:pt>
                <c:pt idx="267">
                  <c:v>3.597841840000001E-2</c:v>
                </c:pt>
                <c:pt idx="268">
                  <c:v>3.597841840000001E-2</c:v>
                </c:pt>
                <c:pt idx="269">
                  <c:v>3.597841840000001E-2</c:v>
                </c:pt>
                <c:pt idx="270">
                  <c:v>3.597841840000001E-2</c:v>
                </c:pt>
                <c:pt idx="271">
                  <c:v>3.597841840000001E-2</c:v>
                </c:pt>
                <c:pt idx="272">
                  <c:v>3.597841840000001E-2</c:v>
                </c:pt>
                <c:pt idx="273">
                  <c:v>3.597841840000001E-2</c:v>
                </c:pt>
                <c:pt idx="274">
                  <c:v>3.597841840000001E-2</c:v>
                </c:pt>
                <c:pt idx="275">
                  <c:v>3.597841840000001E-2</c:v>
                </c:pt>
                <c:pt idx="276">
                  <c:v>3.597841840000001E-2</c:v>
                </c:pt>
                <c:pt idx="277">
                  <c:v>3.597841840000001E-2</c:v>
                </c:pt>
                <c:pt idx="278">
                  <c:v>3.597841840000001E-2</c:v>
                </c:pt>
                <c:pt idx="279">
                  <c:v>3.597841840000001E-2</c:v>
                </c:pt>
                <c:pt idx="280">
                  <c:v>3.597841840000001E-2</c:v>
                </c:pt>
                <c:pt idx="281">
                  <c:v>3.597841840000001E-2</c:v>
                </c:pt>
                <c:pt idx="282">
                  <c:v>3.597841840000001E-2</c:v>
                </c:pt>
                <c:pt idx="283">
                  <c:v>3.597841840000001E-2</c:v>
                </c:pt>
                <c:pt idx="284">
                  <c:v>3.597841840000001E-2</c:v>
                </c:pt>
                <c:pt idx="285">
                  <c:v>3.597841840000001E-2</c:v>
                </c:pt>
                <c:pt idx="286">
                  <c:v>3.597841840000001E-2</c:v>
                </c:pt>
                <c:pt idx="287">
                  <c:v>3.597841840000001E-2</c:v>
                </c:pt>
                <c:pt idx="288">
                  <c:v>3.597841840000001E-2</c:v>
                </c:pt>
                <c:pt idx="289">
                  <c:v>3.597841840000001E-2</c:v>
                </c:pt>
                <c:pt idx="290">
                  <c:v>3.597841840000001E-2</c:v>
                </c:pt>
                <c:pt idx="291">
                  <c:v>3.597841840000001E-2</c:v>
                </c:pt>
                <c:pt idx="292">
                  <c:v>3.597841840000001E-2</c:v>
                </c:pt>
                <c:pt idx="293">
                  <c:v>3.597841840000001E-2</c:v>
                </c:pt>
                <c:pt idx="294">
                  <c:v>3.597841840000001E-2</c:v>
                </c:pt>
                <c:pt idx="295">
                  <c:v>3.597841840000001E-2</c:v>
                </c:pt>
                <c:pt idx="296">
                  <c:v>3.597841840000001E-2</c:v>
                </c:pt>
                <c:pt idx="297">
                  <c:v>3.597841840000001E-2</c:v>
                </c:pt>
                <c:pt idx="298">
                  <c:v>3.597841840000001E-2</c:v>
                </c:pt>
                <c:pt idx="299">
                  <c:v>3.597841840000001E-2</c:v>
                </c:pt>
                <c:pt idx="300">
                  <c:v>3.597841840000001E-2</c:v>
                </c:pt>
                <c:pt idx="301">
                  <c:v>3.597841840000001E-2</c:v>
                </c:pt>
                <c:pt idx="302">
                  <c:v>3.597841840000001E-2</c:v>
                </c:pt>
                <c:pt idx="303">
                  <c:v>3.597841840000001E-2</c:v>
                </c:pt>
                <c:pt idx="304">
                  <c:v>3.597841840000001E-2</c:v>
                </c:pt>
                <c:pt idx="305">
                  <c:v>3.597841840000001E-2</c:v>
                </c:pt>
                <c:pt idx="306">
                  <c:v>3.597841840000001E-2</c:v>
                </c:pt>
                <c:pt idx="307">
                  <c:v>3.597841840000001E-2</c:v>
                </c:pt>
                <c:pt idx="308">
                  <c:v>3.597841840000001E-2</c:v>
                </c:pt>
                <c:pt idx="309">
                  <c:v>3.597841840000001E-2</c:v>
                </c:pt>
                <c:pt idx="310">
                  <c:v>3.597841840000001E-2</c:v>
                </c:pt>
                <c:pt idx="311">
                  <c:v>3.597841840000001E-2</c:v>
                </c:pt>
                <c:pt idx="312">
                  <c:v>3.597841840000001E-2</c:v>
                </c:pt>
                <c:pt idx="313">
                  <c:v>3.597841840000001E-2</c:v>
                </c:pt>
                <c:pt idx="314">
                  <c:v>3.597841840000001E-2</c:v>
                </c:pt>
                <c:pt idx="315">
                  <c:v>3.597841840000001E-2</c:v>
                </c:pt>
                <c:pt idx="316">
                  <c:v>3.597841840000001E-2</c:v>
                </c:pt>
                <c:pt idx="317">
                  <c:v>3.597841840000001E-2</c:v>
                </c:pt>
                <c:pt idx="318">
                  <c:v>3.597841840000001E-2</c:v>
                </c:pt>
                <c:pt idx="319">
                  <c:v>3.597841840000001E-2</c:v>
                </c:pt>
                <c:pt idx="320">
                  <c:v>3.597841840000001E-2</c:v>
                </c:pt>
                <c:pt idx="321">
                  <c:v>3.597841840000001E-2</c:v>
                </c:pt>
                <c:pt idx="322">
                  <c:v>3.597841840000001E-2</c:v>
                </c:pt>
                <c:pt idx="323">
                  <c:v>3.597841840000001E-2</c:v>
                </c:pt>
                <c:pt idx="324">
                  <c:v>3.597841840000001E-2</c:v>
                </c:pt>
                <c:pt idx="325">
                  <c:v>3.597841840000001E-2</c:v>
                </c:pt>
                <c:pt idx="326">
                  <c:v>3.597841840000001E-2</c:v>
                </c:pt>
                <c:pt idx="327">
                  <c:v>3.597841840000001E-2</c:v>
                </c:pt>
                <c:pt idx="328">
                  <c:v>3.597841840000001E-2</c:v>
                </c:pt>
                <c:pt idx="329">
                  <c:v>3.597841840000001E-2</c:v>
                </c:pt>
                <c:pt idx="330">
                  <c:v>3.597841840000001E-2</c:v>
                </c:pt>
                <c:pt idx="331">
                  <c:v>3.597841840000001E-2</c:v>
                </c:pt>
                <c:pt idx="332">
                  <c:v>3.597841840000001E-2</c:v>
                </c:pt>
                <c:pt idx="333">
                  <c:v>3.597841840000001E-2</c:v>
                </c:pt>
                <c:pt idx="334">
                  <c:v>3.597841840000001E-2</c:v>
                </c:pt>
                <c:pt idx="335">
                  <c:v>3.597841840000001E-2</c:v>
                </c:pt>
                <c:pt idx="336">
                  <c:v>3.597841840000001E-2</c:v>
                </c:pt>
                <c:pt idx="337">
                  <c:v>3.597841840000001E-2</c:v>
                </c:pt>
                <c:pt idx="338">
                  <c:v>3.597841840000001E-2</c:v>
                </c:pt>
                <c:pt idx="339">
                  <c:v>3.597841840000001E-2</c:v>
                </c:pt>
                <c:pt idx="340">
                  <c:v>3.597841840000001E-2</c:v>
                </c:pt>
                <c:pt idx="341">
                  <c:v>3.597841840000001E-2</c:v>
                </c:pt>
                <c:pt idx="342">
                  <c:v>3.597841840000001E-2</c:v>
                </c:pt>
                <c:pt idx="343">
                  <c:v>3.597841840000001E-2</c:v>
                </c:pt>
                <c:pt idx="344">
                  <c:v>3.597841840000001E-2</c:v>
                </c:pt>
                <c:pt idx="345">
                  <c:v>3.597841840000001E-2</c:v>
                </c:pt>
                <c:pt idx="346">
                  <c:v>3.597841840000001E-2</c:v>
                </c:pt>
                <c:pt idx="347">
                  <c:v>3.597841840000001E-2</c:v>
                </c:pt>
                <c:pt idx="348">
                  <c:v>3.597841840000001E-2</c:v>
                </c:pt>
                <c:pt idx="349">
                  <c:v>3.597841840000001E-2</c:v>
                </c:pt>
                <c:pt idx="350">
                  <c:v>3.597841840000001E-2</c:v>
                </c:pt>
                <c:pt idx="351">
                  <c:v>3.597841840000001E-2</c:v>
                </c:pt>
                <c:pt idx="352">
                  <c:v>3.597841840000001E-2</c:v>
                </c:pt>
                <c:pt idx="353">
                  <c:v>3.597841840000001E-2</c:v>
                </c:pt>
                <c:pt idx="354">
                  <c:v>3.597841840000001E-2</c:v>
                </c:pt>
                <c:pt idx="355">
                  <c:v>3.597841840000001E-2</c:v>
                </c:pt>
                <c:pt idx="356">
                  <c:v>3.597841840000001E-2</c:v>
                </c:pt>
                <c:pt idx="357">
                  <c:v>3.597841840000001E-2</c:v>
                </c:pt>
                <c:pt idx="358">
                  <c:v>3.597841840000001E-2</c:v>
                </c:pt>
                <c:pt idx="359">
                  <c:v>3.597841840000001E-2</c:v>
                </c:pt>
                <c:pt idx="360">
                  <c:v>3.597841840000001E-2</c:v>
                </c:pt>
                <c:pt idx="361">
                  <c:v>3.597841840000001E-2</c:v>
                </c:pt>
                <c:pt idx="362">
                  <c:v>3.597841840000001E-2</c:v>
                </c:pt>
                <c:pt idx="363">
                  <c:v>3.597841840000001E-2</c:v>
                </c:pt>
                <c:pt idx="364">
                  <c:v>3.597841840000001E-2</c:v>
                </c:pt>
                <c:pt idx="365">
                  <c:v>3.597841840000001E-2</c:v>
                </c:pt>
                <c:pt idx="366">
                  <c:v>3.597841840000001E-2</c:v>
                </c:pt>
                <c:pt idx="367">
                  <c:v>3.597841840000001E-2</c:v>
                </c:pt>
                <c:pt idx="368">
                  <c:v>3.597841840000001E-2</c:v>
                </c:pt>
                <c:pt idx="369">
                  <c:v>3.597841840000001E-2</c:v>
                </c:pt>
                <c:pt idx="370">
                  <c:v>3.597841840000001E-2</c:v>
                </c:pt>
                <c:pt idx="371">
                  <c:v>3.597841840000001E-2</c:v>
                </c:pt>
                <c:pt idx="372">
                  <c:v>3.597841840000001E-2</c:v>
                </c:pt>
                <c:pt idx="373">
                  <c:v>3.597841840000001E-2</c:v>
                </c:pt>
                <c:pt idx="374">
                  <c:v>3.597841840000001E-2</c:v>
                </c:pt>
                <c:pt idx="375">
                  <c:v>3.597841840000001E-2</c:v>
                </c:pt>
                <c:pt idx="376">
                  <c:v>3.597841840000001E-2</c:v>
                </c:pt>
                <c:pt idx="377">
                  <c:v>3.597841840000001E-2</c:v>
                </c:pt>
                <c:pt idx="378">
                  <c:v>3.597841840000001E-2</c:v>
                </c:pt>
                <c:pt idx="379">
                  <c:v>3.597841840000001E-2</c:v>
                </c:pt>
                <c:pt idx="380">
                  <c:v>3.597841840000001E-2</c:v>
                </c:pt>
                <c:pt idx="381">
                  <c:v>3.597841840000001E-2</c:v>
                </c:pt>
                <c:pt idx="382">
                  <c:v>3.597841840000001E-2</c:v>
                </c:pt>
                <c:pt idx="383">
                  <c:v>3.597841840000001E-2</c:v>
                </c:pt>
                <c:pt idx="384">
                  <c:v>3.597841840000001E-2</c:v>
                </c:pt>
                <c:pt idx="385">
                  <c:v>3.597841840000001E-2</c:v>
                </c:pt>
                <c:pt idx="386">
                  <c:v>3.597841840000001E-2</c:v>
                </c:pt>
                <c:pt idx="387">
                  <c:v>3.597841840000001E-2</c:v>
                </c:pt>
                <c:pt idx="388">
                  <c:v>3.597841840000001E-2</c:v>
                </c:pt>
                <c:pt idx="389">
                  <c:v>3.597841840000001E-2</c:v>
                </c:pt>
                <c:pt idx="390">
                  <c:v>3.597841840000001E-2</c:v>
                </c:pt>
                <c:pt idx="391">
                  <c:v>3.597841840000001E-2</c:v>
                </c:pt>
                <c:pt idx="392">
                  <c:v>3.597841840000001E-2</c:v>
                </c:pt>
                <c:pt idx="393">
                  <c:v>3.597841840000001E-2</c:v>
                </c:pt>
                <c:pt idx="394">
                  <c:v>3.597841840000001E-2</c:v>
                </c:pt>
                <c:pt idx="395">
                  <c:v>3.597841840000001E-2</c:v>
                </c:pt>
                <c:pt idx="396">
                  <c:v>3.597841840000001E-2</c:v>
                </c:pt>
                <c:pt idx="397">
                  <c:v>3.597841840000001E-2</c:v>
                </c:pt>
                <c:pt idx="398">
                  <c:v>3.597841840000001E-2</c:v>
                </c:pt>
                <c:pt idx="399">
                  <c:v>3.597841840000001E-2</c:v>
                </c:pt>
                <c:pt idx="400">
                  <c:v>3.597841840000001E-2</c:v>
                </c:pt>
                <c:pt idx="401">
                  <c:v>3.597841840000001E-2</c:v>
                </c:pt>
                <c:pt idx="402">
                  <c:v>3.597841840000001E-2</c:v>
                </c:pt>
                <c:pt idx="403">
                  <c:v>3.9322346100000009E-2</c:v>
                </c:pt>
                <c:pt idx="404">
                  <c:v>3.9446848800000052E-2</c:v>
                </c:pt>
                <c:pt idx="405">
                  <c:v>3.9479192300000056E-2</c:v>
                </c:pt>
                <c:pt idx="406">
                  <c:v>3.9484479600000004E-2</c:v>
                </c:pt>
                <c:pt idx="407">
                  <c:v>3.9484583600000005E-2</c:v>
                </c:pt>
                <c:pt idx="408">
                  <c:v>3.9484623100000005E-2</c:v>
                </c:pt>
                <c:pt idx="409">
                  <c:v>3.948466140000001E-2</c:v>
                </c:pt>
                <c:pt idx="410">
                  <c:v>3.9484661500000004E-2</c:v>
                </c:pt>
                <c:pt idx="411">
                  <c:v>3.9484661500000004E-2</c:v>
                </c:pt>
                <c:pt idx="412">
                  <c:v>3.9484661500000004E-2</c:v>
                </c:pt>
                <c:pt idx="413">
                  <c:v>3.9484661500000004E-2</c:v>
                </c:pt>
                <c:pt idx="414">
                  <c:v>3.9484661500000004E-2</c:v>
                </c:pt>
                <c:pt idx="415">
                  <c:v>3.9484661500000004E-2</c:v>
                </c:pt>
                <c:pt idx="416">
                  <c:v>3.9484661500000004E-2</c:v>
                </c:pt>
                <c:pt idx="417">
                  <c:v>3.9484661500000004E-2</c:v>
                </c:pt>
                <c:pt idx="418">
                  <c:v>3.9484661500000004E-2</c:v>
                </c:pt>
                <c:pt idx="419">
                  <c:v>3.9484661500000004E-2</c:v>
                </c:pt>
                <c:pt idx="420">
                  <c:v>3.9484661500000004E-2</c:v>
                </c:pt>
                <c:pt idx="421">
                  <c:v>3.9484661500000004E-2</c:v>
                </c:pt>
                <c:pt idx="422">
                  <c:v>3.9484661500000004E-2</c:v>
                </c:pt>
                <c:pt idx="423">
                  <c:v>3.9484661500000004E-2</c:v>
                </c:pt>
                <c:pt idx="424">
                  <c:v>3.9484661500000004E-2</c:v>
                </c:pt>
                <c:pt idx="425">
                  <c:v>3.9484789200000002E-2</c:v>
                </c:pt>
                <c:pt idx="426">
                  <c:v>3.9484816400000212E-2</c:v>
                </c:pt>
                <c:pt idx="427">
                  <c:v>3.9484820400000002E-2</c:v>
                </c:pt>
                <c:pt idx="428">
                  <c:v>3.9484820400000002E-2</c:v>
                </c:pt>
                <c:pt idx="429">
                  <c:v>3.9484820400000002E-2</c:v>
                </c:pt>
                <c:pt idx="430">
                  <c:v>3.9484820400000002E-2</c:v>
                </c:pt>
                <c:pt idx="431">
                  <c:v>3.9484820400000002E-2</c:v>
                </c:pt>
                <c:pt idx="432">
                  <c:v>3.9484820400000002E-2</c:v>
                </c:pt>
                <c:pt idx="433">
                  <c:v>3.9484820400000002E-2</c:v>
                </c:pt>
                <c:pt idx="434">
                  <c:v>3.9484820400000002E-2</c:v>
                </c:pt>
                <c:pt idx="435">
                  <c:v>3.9484820400000002E-2</c:v>
                </c:pt>
                <c:pt idx="436">
                  <c:v>3.9484820400000002E-2</c:v>
                </c:pt>
                <c:pt idx="437">
                  <c:v>3.9484820400000002E-2</c:v>
                </c:pt>
                <c:pt idx="438">
                  <c:v>3.9484820400000002E-2</c:v>
                </c:pt>
                <c:pt idx="439">
                  <c:v>3.9484820400000002E-2</c:v>
                </c:pt>
                <c:pt idx="440">
                  <c:v>3.9484820400000002E-2</c:v>
                </c:pt>
                <c:pt idx="441">
                  <c:v>3.9484820400000002E-2</c:v>
                </c:pt>
                <c:pt idx="442">
                  <c:v>3.9484820400000002E-2</c:v>
                </c:pt>
                <c:pt idx="443">
                  <c:v>3.9484820400000002E-2</c:v>
                </c:pt>
                <c:pt idx="444">
                  <c:v>3.9484820400000002E-2</c:v>
                </c:pt>
                <c:pt idx="445">
                  <c:v>3.9484820400000002E-2</c:v>
                </c:pt>
                <c:pt idx="446">
                  <c:v>3.9484820400000002E-2</c:v>
                </c:pt>
                <c:pt idx="447">
                  <c:v>3.9484820400000002E-2</c:v>
                </c:pt>
                <c:pt idx="448">
                  <c:v>3.9484820400000002E-2</c:v>
                </c:pt>
                <c:pt idx="449">
                  <c:v>3.9484820400000002E-2</c:v>
                </c:pt>
                <c:pt idx="450">
                  <c:v>3.9484820400000002E-2</c:v>
                </c:pt>
                <c:pt idx="451">
                  <c:v>3.9484820400000002E-2</c:v>
                </c:pt>
                <c:pt idx="452">
                  <c:v>3.9484820400000002E-2</c:v>
                </c:pt>
                <c:pt idx="453">
                  <c:v>3.9484820400000002E-2</c:v>
                </c:pt>
                <c:pt idx="454">
                  <c:v>3.9484820400000002E-2</c:v>
                </c:pt>
                <c:pt idx="455">
                  <c:v>3.9484820400000002E-2</c:v>
                </c:pt>
                <c:pt idx="456">
                  <c:v>3.9484820400000002E-2</c:v>
                </c:pt>
                <c:pt idx="457">
                  <c:v>3.9484820400000002E-2</c:v>
                </c:pt>
                <c:pt idx="458">
                  <c:v>3.9484820400000002E-2</c:v>
                </c:pt>
                <c:pt idx="459">
                  <c:v>3.9484820400000002E-2</c:v>
                </c:pt>
                <c:pt idx="460">
                  <c:v>3.9484820400000002E-2</c:v>
                </c:pt>
                <c:pt idx="461">
                  <c:v>3.9484820400000002E-2</c:v>
                </c:pt>
                <c:pt idx="462">
                  <c:v>3.9484820400000002E-2</c:v>
                </c:pt>
                <c:pt idx="463">
                  <c:v>3.9484820400000002E-2</c:v>
                </c:pt>
                <c:pt idx="464">
                  <c:v>3.9484820400000002E-2</c:v>
                </c:pt>
                <c:pt idx="465">
                  <c:v>3.9484820400000002E-2</c:v>
                </c:pt>
                <c:pt idx="466">
                  <c:v>3.9484820400000002E-2</c:v>
                </c:pt>
                <c:pt idx="467">
                  <c:v>3.9484820400000002E-2</c:v>
                </c:pt>
                <c:pt idx="468">
                  <c:v>3.9484820400000002E-2</c:v>
                </c:pt>
                <c:pt idx="469">
                  <c:v>3.9484820400000002E-2</c:v>
                </c:pt>
                <c:pt idx="470">
                  <c:v>3.9484820400000002E-2</c:v>
                </c:pt>
                <c:pt idx="471">
                  <c:v>3.9484820400000002E-2</c:v>
                </c:pt>
                <c:pt idx="472">
                  <c:v>3.9484820400000002E-2</c:v>
                </c:pt>
                <c:pt idx="473">
                  <c:v>3.9484820400000002E-2</c:v>
                </c:pt>
                <c:pt idx="474">
                  <c:v>3.9484820400000002E-2</c:v>
                </c:pt>
                <c:pt idx="475">
                  <c:v>3.9484820400000002E-2</c:v>
                </c:pt>
                <c:pt idx="476">
                  <c:v>3.9484820400000002E-2</c:v>
                </c:pt>
                <c:pt idx="477">
                  <c:v>3.9484820400000002E-2</c:v>
                </c:pt>
                <c:pt idx="478">
                  <c:v>3.9484820400000002E-2</c:v>
                </c:pt>
                <c:pt idx="479">
                  <c:v>3.9484820400000002E-2</c:v>
                </c:pt>
                <c:pt idx="480">
                  <c:v>3.9484820400000002E-2</c:v>
                </c:pt>
                <c:pt idx="481">
                  <c:v>3.9484820400000002E-2</c:v>
                </c:pt>
                <c:pt idx="482">
                  <c:v>3.9484820400000002E-2</c:v>
                </c:pt>
                <c:pt idx="483">
                  <c:v>3.9484820400000002E-2</c:v>
                </c:pt>
                <c:pt idx="484">
                  <c:v>3.94880367E-2</c:v>
                </c:pt>
                <c:pt idx="485">
                  <c:v>3.94948813E-2</c:v>
                </c:pt>
                <c:pt idx="486">
                  <c:v>3.9494959400000001E-2</c:v>
                </c:pt>
                <c:pt idx="487">
                  <c:v>3.9494959699999999E-2</c:v>
                </c:pt>
                <c:pt idx="488">
                  <c:v>3.9494959699999999E-2</c:v>
                </c:pt>
                <c:pt idx="489">
                  <c:v>3.9494959699999999E-2</c:v>
                </c:pt>
                <c:pt idx="490">
                  <c:v>3.9494959699999999E-2</c:v>
                </c:pt>
                <c:pt idx="491">
                  <c:v>3.9494959699999999E-2</c:v>
                </c:pt>
                <c:pt idx="492">
                  <c:v>3.9494959699999999E-2</c:v>
                </c:pt>
                <c:pt idx="493">
                  <c:v>3.9494992500000096E-2</c:v>
                </c:pt>
                <c:pt idx="494">
                  <c:v>3.9494994700000001E-2</c:v>
                </c:pt>
                <c:pt idx="495">
                  <c:v>3.9502053100000004E-2</c:v>
                </c:pt>
                <c:pt idx="496">
                  <c:v>3.9507029400000004E-2</c:v>
                </c:pt>
                <c:pt idx="497">
                  <c:v>3.9778286300000007E-2</c:v>
                </c:pt>
                <c:pt idx="498">
                  <c:v>3.9845255800000291E-2</c:v>
                </c:pt>
                <c:pt idx="499">
                  <c:v>3.9853593900000005E-2</c:v>
                </c:pt>
                <c:pt idx="500">
                  <c:v>3.9854956300000008E-2</c:v>
                </c:pt>
                <c:pt idx="501">
                  <c:v>3.9855061500000011E-2</c:v>
                </c:pt>
                <c:pt idx="502">
                  <c:v>3.985795210000001E-2</c:v>
                </c:pt>
                <c:pt idx="503">
                  <c:v>3.9858735200000009E-2</c:v>
                </c:pt>
                <c:pt idx="504">
                  <c:v>3.9860385300000009E-2</c:v>
                </c:pt>
                <c:pt idx="505">
                  <c:v>3.9860920800000012E-2</c:v>
                </c:pt>
                <c:pt idx="506">
                  <c:v>3.9860929600000011E-2</c:v>
                </c:pt>
                <c:pt idx="507">
                  <c:v>3.9860929600000011E-2</c:v>
                </c:pt>
                <c:pt idx="508">
                  <c:v>3.9860929600000011E-2</c:v>
                </c:pt>
                <c:pt idx="509">
                  <c:v>3.9860929600000011E-2</c:v>
                </c:pt>
                <c:pt idx="510">
                  <c:v>3.9860929600000011E-2</c:v>
                </c:pt>
                <c:pt idx="511">
                  <c:v>3.9860929600000011E-2</c:v>
                </c:pt>
                <c:pt idx="512">
                  <c:v>3.9860929600000011E-2</c:v>
                </c:pt>
                <c:pt idx="513">
                  <c:v>3.9860929600000011E-2</c:v>
                </c:pt>
                <c:pt idx="514">
                  <c:v>3.9860929600000011E-2</c:v>
                </c:pt>
                <c:pt idx="515">
                  <c:v>3.9860929600000011E-2</c:v>
                </c:pt>
                <c:pt idx="516">
                  <c:v>3.9860929600000011E-2</c:v>
                </c:pt>
                <c:pt idx="517">
                  <c:v>3.9860929600000011E-2</c:v>
                </c:pt>
                <c:pt idx="518">
                  <c:v>3.9860929600000011E-2</c:v>
                </c:pt>
                <c:pt idx="519">
                  <c:v>3.9860929600000011E-2</c:v>
                </c:pt>
                <c:pt idx="520">
                  <c:v>3.9860929600000011E-2</c:v>
                </c:pt>
                <c:pt idx="521">
                  <c:v>3.9860929600000011E-2</c:v>
                </c:pt>
                <c:pt idx="522">
                  <c:v>3.9860929600000011E-2</c:v>
                </c:pt>
                <c:pt idx="523">
                  <c:v>3.9950515200000009E-2</c:v>
                </c:pt>
                <c:pt idx="524">
                  <c:v>4.0028766500000007E-2</c:v>
                </c:pt>
                <c:pt idx="525">
                  <c:v>4.0054799300000013E-2</c:v>
                </c:pt>
                <c:pt idx="526">
                  <c:v>4.0059632700000007E-2</c:v>
                </c:pt>
                <c:pt idx="527">
                  <c:v>4.005969940000001E-2</c:v>
                </c:pt>
                <c:pt idx="528">
                  <c:v>4.0059702300000007E-2</c:v>
                </c:pt>
                <c:pt idx="529">
                  <c:v>4.0059702300000007E-2</c:v>
                </c:pt>
                <c:pt idx="530">
                  <c:v>4.2198418800000123E-2</c:v>
                </c:pt>
                <c:pt idx="531">
                  <c:v>4.3285447900000003E-2</c:v>
                </c:pt>
                <c:pt idx="532">
                  <c:v>4.3292488200000014E-2</c:v>
                </c:pt>
                <c:pt idx="533">
                  <c:v>4.3351830600000002E-2</c:v>
                </c:pt>
                <c:pt idx="534">
                  <c:v>4.3387570900000123E-2</c:v>
                </c:pt>
                <c:pt idx="535">
                  <c:v>4.3403289200000014E-2</c:v>
                </c:pt>
                <c:pt idx="536">
                  <c:v>4.3409609000000009E-2</c:v>
                </c:pt>
                <c:pt idx="537">
                  <c:v>4.3409851100000008E-2</c:v>
                </c:pt>
                <c:pt idx="538">
                  <c:v>4.3409955800000011E-2</c:v>
                </c:pt>
                <c:pt idx="539">
                  <c:v>5.3827013900000033E-2</c:v>
                </c:pt>
                <c:pt idx="540">
                  <c:v>5.3833128600000009E-2</c:v>
                </c:pt>
                <c:pt idx="541">
                  <c:v>5.3833153400000007E-2</c:v>
                </c:pt>
                <c:pt idx="542">
                  <c:v>5.3856686300000532E-2</c:v>
                </c:pt>
                <c:pt idx="543">
                  <c:v>5.3865214300000033E-2</c:v>
                </c:pt>
                <c:pt idx="544">
                  <c:v>5.3866532500000022E-2</c:v>
                </c:pt>
                <c:pt idx="545">
                  <c:v>5.3866874000000134E-2</c:v>
                </c:pt>
                <c:pt idx="546">
                  <c:v>5.3866980200000934E-2</c:v>
                </c:pt>
                <c:pt idx="547">
                  <c:v>5.3867014700000014E-2</c:v>
                </c:pt>
                <c:pt idx="548">
                  <c:v>5.3867051800002133E-2</c:v>
                </c:pt>
                <c:pt idx="549">
                  <c:v>5.3867098000000023E-2</c:v>
                </c:pt>
                <c:pt idx="550">
                  <c:v>5.3867098300000013E-2</c:v>
                </c:pt>
                <c:pt idx="551">
                  <c:v>5.3867098300000013E-2</c:v>
                </c:pt>
                <c:pt idx="552">
                  <c:v>5.3867098300000013E-2</c:v>
                </c:pt>
                <c:pt idx="553">
                  <c:v>5.3867098300000013E-2</c:v>
                </c:pt>
                <c:pt idx="554">
                  <c:v>5.3867098300000013E-2</c:v>
                </c:pt>
                <c:pt idx="555">
                  <c:v>5.3867098300000013E-2</c:v>
                </c:pt>
                <c:pt idx="556">
                  <c:v>5.3867098300000013E-2</c:v>
                </c:pt>
                <c:pt idx="557">
                  <c:v>5.3867098300000013E-2</c:v>
                </c:pt>
                <c:pt idx="558">
                  <c:v>5.3867098300000013E-2</c:v>
                </c:pt>
                <c:pt idx="559">
                  <c:v>5.3867098300000013E-2</c:v>
                </c:pt>
                <c:pt idx="560">
                  <c:v>5.3883293100000132E-2</c:v>
                </c:pt>
                <c:pt idx="561">
                  <c:v>5.3893400300000532E-2</c:v>
                </c:pt>
                <c:pt idx="562">
                  <c:v>5.3895156600000015E-2</c:v>
                </c:pt>
                <c:pt idx="563">
                  <c:v>5.3895349800000013E-2</c:v>
                </c:pt>
                <c:pt idx="564">
                  <c:v>5.3895432400000012E-2</c:v>
                </c:pt>
                <c:pt idx="565">
                  <c:v>5.3895463200000014E-2</c:v>
                </c:pt>
                <c:pt idx="566">
                  <c:v>5.3895503200000014E-2</c:v>
                </c:pt>
                <c:pt idx="567">
                  <c:v>5.3895522200000011E-2</c:v>
                </c:pt>
                <c:pt idx="568">
                  <c:v>5.3895522200000011E-2</c:v>
                </c:pt>
                <c:pt idx="569">
                  <c:v>5.3895522200000011E-2</c:v>
                </c:pt>
                <c:pt idx="570">
                  <c:v>5.3895522200000011E-2</c:v>
                </c:pt>
                <c:pt idx="571">
                  <c:v>5.3895522200000011E-2</c:v>
                </c:pt>
                <c:pt idx="572">
                  <c:v>5.3940313200000006E-2</c:v>
                </c:pt>
                <c:pt idx="573">
                  <c:v>5.3957881600000007E-2</c:v>
                </c:pt>
                <c:pt idx="574">
                  <c:v>5.3960284500000032E-2</c:v>
                </c:pt>
                <c:pt idx="575">
                  <c:v>5.3965564500000007E-2</c:v>
                </c:pt>
                <c:pt idx="576">
                  <c:v>5.3966282600000012E-2</c:v>
                </c:pt>
                <c:pt idx="577">
                  <c:v>5.3966340400000007E-2</c:v>
                </c:pt>
                <c:pt idx="578">
                  <c:v>5.3975992900000012E-2</c:v>
                </c:pt>
                <c:pt idx="579">
                  <c:v>5.3977817999999997E-2</c:v>
                </c:pt>
                <c:pt idx="580">
                  <c:v>5.3978020800000012E-2</c:v>
                </c:pt>
                <c:pt idx="581">
                  <c:v>5.3978034400000013E-2</c:v>
                </c:pt>
                <c:pt idx="582">
                  <c:v>5.3978034900000034E-2</c:v>
                </c:pt>
                <c:pt idx="583">
                  <c:v>5.3978034900000034E-2</c:v>
                </c:pt>
                <c:pt idx="584">
                  <c:v>5.3978034900000034E-2</c:v>
                </c:pt>
                <c:pt idx="585">
                  <c:v>5.3978034900000034E-2</c:v>
                </c:pt>
                <c:pt idx="586">
                  <c:v>5.3978034900000034E-2</c:v>
                </c:pt>
                <c:pt idx="587">
                  <c:v>5.3978034900000034E-2</c:v>
                </c:pt>
                <c:pt idx="588">
                  <c:v>5.3978034900000034E-2</c:v>
                </c:pt>
                <c:pt idx="589">
                  <c:v>5.3978034900000034E-2</c:v>
                </c:pt>
                <c:pt idx="590">
                  <c:v>5.3978034900000034E-2</c:v>
                </c:pt>
                <c:pt idx="591">
                  <c:v>5.3978034900000034E-2</c:v>
                </c:pt>
                <c:pt idx="592">
                  <c:v>5.3978034900000034E-2</c:v>
                </c:pt>
                <c:pt idx="593">
                  <c:v>5.3978034900000034E-2</c:v>
                </c:pt>
                <c:pt idx="594">
                  <c:v>5.3978034900000034E-2</c:v>
                </c:pt>
                <c:pt idx="595">
                  <c:v>5.3978034900000034E-2</c:v>
                </c:pt>
                <c:pt idx="596">
                  <c:v>5.3978034900000034E-2</c:v>
                </c:pt>
                <c:pt idx="597">
                  <c:v>5.3978034900000034E-2</c:v>
                </c:pt>
                <c:pt idx="598">
                  <c:v>5.3978034900000034E-2</c:v>
                </c:pt>
                <c:pt idx="599">
                  <c:v>5.3978034900000034E-2</c:v>
                </c:pt>
                <c:pt idx="600">
                  <c:v>5.3978034900000034E-2</c:v>
                </c:pt>
                <c:pt idx="601">
                  <c:v>5.3978034900000034E-2</c:v>
                </c:pt>
                <c:pt idx="602">
                  <c:v>5.3978034900000034E-2</c:v>
                </c:pt>
                <c:pt idx="603">
                  <c:v>5.3978034900000034E-2</c:v>
                </c:pt>
                <c:pt idx="604">
                  <c:v>5.3978034900000034E-2</c:v>
                </c:pt>
                <c:pt idx="605">
                  <c:v>5.3978034900000034E-2</c:v>
                </c:pt>
                <c:pt idx="606">
                  <c:v>5.3978034900000034E-2</c:v>
                </c:pt>
                <c:pt idx="607">
                  <c:v>5.3978034900000034E-2</c:v>
                </c:pt>
                <c:pt idx="608">
                  <c:v>5.3978034900000034E-2</c:v>
                </c:pt>
                <c:pt idx="609">
                  <c:v>5.3978034900000034E-2</c:v>
                </c:pt>
                <c:pt idx="610">
                  <c:v>5.3978034900000034E-2</c:v>
                </c:pt>
                <c:pt idx="611">
                  <c:v>5.3978034900000034E-2</c:v>
                </c:pt>
                <c:pt idx="612">
                  <c:v>5.3978034900000034E-2</c:v>
                </c:pt>
                <c:pt idx="613">
                  <c:v>5.3978034900000034E-2</c:v>
                </c:pt>
                <c:pt idx="614">
                  <c:v>5.3978034900000034E-2</c:v>
                </c:pt>
                <c:pt idx="615">
                  <c:v>5.3978034900000034E-2</c:v>
                </c:pt>
                <c:pt idx="616">
                  <c:v>5.3978034900000034E-2</c:v>
                </c:pt>
                <c:pt idx="617">
                  <c:v>5.3978034900000034E-2</c:v>
                </c:pt>
                <c:pt idx="618">
                  <c:v>5.3978034900000034E-2</c:v>
                </c:pt>
                <c:pt idx="619">
                  <c:v>5.3978034900000034E-2</c:v>
                </c:pt>
                <c:pt idx="620">
                  <c:v>5.3978034900000034E-2</c:v>
                </c:pt>
                <c:pt idx="621">
                  <c:v>5.3978034900000034E-2</c:v>
                </c:pt>
                <c:pt idx="622">
                  <c:v>5.3978034900000034E-2</c:v>
                </c:pt>
                <c:pt idx="623">
                  <c:v>5.3978034900000034E-2</c:v>
                </c:pt>
                <c:pt idx="624">
                  <c:v>5.3978034900000034E-2</c:v>
                </c:pt>
                <c:pt idx="625">
                  <c:v>5.3978034900000034E-2</c:v>
                </c:pt>
                <c:pt idx="626">
                  <c:v>5.3978034900000034E-2</c:v>
                </c:pt>
                <c:pt idx="627">
                  <c:v>5.3978034900000034E-2</c:v>
                </c:pt>
                <c:pt idx="628">
                  <c:v>5.3978034900000034E-2</c:v>
                </c:pt>
                <c:pt idx="629">
                  <c:v>5.3978034900000034E-2</c:v>
                </c:pt>
                <c:pt idx="630">
                  <c:v>5.3978034900000034E-2</c:v>
                </c:pt>
                <c:pt idx="631">
                  <c:v>5.3978034900000034E-2</c:v>
                </c:pt>
                <c:pt idx="632">
                  <c:v>5.3978034900000034E-2</c:v>
                </c:pt>
                <c:pt idx="633">
                  <c:v>5.3978034900000034E-2</c:v>
                </c:pt>
                <c:pt idx="634">
                  <c:v>5.3978034900000034E-2</c:v>
                </c:pt>
                <c:pt idx="635">
                  <c:v>5.3978034900000034E-2</c:v>
                </c:pt>
                <c:pt idx="636">
                  <c:v>5.3978034900000034E-2</c:v>
                </c:pt>
                <c:pt idx="637">
                  <c:v>5.3978034900000034E-2</c:v>
                </c:pt>
                <c:pt idx="638">
                  <c:v>5.3978034900000034E-2</c:v>
                </c:pt>
                <c:pt idx="639">
                  <c:v>5.3978034900000034E-2</c:v>
                </c:pt>
                <c:pt idx="640">
                  <c:v>5.3978034900000034E-2</c:v>
                </c:pt>
                <c:pt idx="641">
                  <c:v>5.3978034900000034E-2</c:v>
                </c:pt>
                <c:pt idx="642">
                  <c:v>5.3978034900000034E-2</c:v>
                </c:pt>
                <c:pt idx="643">
                  <c:v>5.3978034900000034E-2</c:v>
                </c:pt>
                <c:pt idx="644">
                  <c:v>5.3978034900000034E-2</c:v>
                </c:pt>
                <c:pt idx="645">
                  <c:v>5.3978034900000034E-2</c:v>
                </c:pt>
                <c:pt idx="646">
                  <c:v>5.3978034900000034E-2</c:v>
                </c:pt>
                <c:pt idx="647">
                  <c:v>5.3978034900000034E-2</c:v>
                </c:pt>
                <c:pt idx="648">
                  <c:v>5.3978034900000034E-2</c:v>
                </c:pt>
                <c:pt idx="649">
                  <c:v>5.3978034900000034E-2</c:v>
                </c:pt>
                <c:pt idx="650">
                  <c:v>5.3978034900000034E-2</c:v>
                </c:pt>
                <c:pt idx="651">
                  <c:v>5.3978034900000034E-2</c:v>
                </c:pt>
                <c:pt idx="652">
                  <c:v>5.3978034900000034E-2</c:v>
                </c:pt>
                <c:pt idx="653">
                  <c:v>5.3978034900000034E-2</c:v>
                </c:pt>
                <c:pt idx="654">
                  <c:v>5.3978034900000034E-2</c:v>
                </c:pt>
                <c:pt idx="655">
                  <c:v>5.3978034900000034E-2</c:v>
                </c:pt>
                <c:pt idx="656">
                  <c:v>5.3978034900000034E-2</c:v>
                </c:pt>
                <c:pt idx="657">
                  <c:v>5.3978034900000034E-2</c:v>
                </c:pt>
                <c:pt idx="658">
                  <c:v>5.3978034900000034E-2</c:v>
                </c:pt>
                <c:pt idx="659">
                  <c:v>5.3978034900000034E-2</c:v>
                </c:pt>
                <c:pt idx="660">
                  <c:v>5.3978034900000034E-2</c:v>
                </c:pt>
                <c:pt idx="661">
                  <c:v>5.3978034900000034E-2</c:v>
                </c:pt>
                <c:pt idx="662">
                  <c:v>5.3978034900000034E-2</c:v>
                </c:pt>
                <c:pt idx="663">
                  <c:v>5.3978034900000034E-2</c:v>
                </c:pt>
                <c:pt idx="664">
                  <c:v>5.3978034900000034E-2</c:v>
                </c:pt>
                <c:pt idx="665">
                  <c:v>5.3978034900000034E-2</c:v>
                </c:pt>
                <c:pt idx="666">
                  <c:v>5.3978034900000034E-2</c:v>
                </c:pt>
                <c:pt idx="667">
                  <c:v>5.3978034900000034E-2</c:v>
                </c:pt>
                <c:pt idx="668">
                  <c:v>5.3978034900000034E-2</c:v>
                </c:pt>
                <c:pt idx="669">
                  <c:v>5.3978034900000034E-2</c:v>
                </c:pt>
                <c:pt idx="670">
                  <c:v>5.3978034900000034E-2</c:v>
                </c:pt>
                <c:pt idx="671">
                  <c:v>5.3978034900000034E-2</c:v>
                </c:pt>
                <c:pt idx="672">
                  <c:v>5.3978034900000034E-2</c:v>
                </c:pt>
                <c:pt idx="673">
                  <c:v>5.3978034900000034E-2</c:v>
                </c:pt>
                <c:pt idx="674">
                  <c:v>5.3978034900000034E-2</c:v>
                </c:pt>
                <c:pt idx="675">
                  <c:v>5.3978034900000034E-2</c:v>
                </c:pt>
                <c:pt idx="676">
                  <c:v>5.3978034900000034E-2</c:v>
                </c:pt>
                <c:pt idx="677">
                  <c:v>5.3978034900000034E-2</c:v>
                </c:pt>
                <c:pt idx="678">
                  <c:v>5.3978034900000034E-2</c:v>
                </c:pt>
                <c:pt idx="679">
                  <c:v>5.3978034900000034E-2</c:v>
                </c:pt>
                <c:pt idx="680">
                  <c:v>5.3978034900000034E-2</c:v>
                </c:pt>
                <c:pt idx="681">
                  <c:v>5.3978034900000034E-2</c:v>
                </c:pt>
                <c:pt idx="682">
                  <c:v>5.3978034900000034E-2</c:v>
                </c:pt>
                <c:pt idx="683">
                  <c:v>5.3978034900000034E-2</c:v>
                </c:pt>
                <c:pt idx="684">
                  <c:v>5.3978034900000034E-2</c:v>
                </c:pt>
                <c:pt idx="685">
                  <c:v>5.3978034900000034E-2</c:v>
                </c:pt>
                <c:pt idx="686">
                  <c:v>5.3978034900000034E-2</c:v>
                </c:pt>
                <c:pt idx="687">
                  <c:v>5.3978034900000034E-2</c:v>
                </c:pt>
                <c:pt idx="688">
                  <c:v>5.3978034900000034E-2</c:v>
                </c:pt>
                <c:pt idx="689">
                  <c:v>5.3978034900000034E-2</c:v>
                </c:pt>
                <c:pt idx="690">
                  <c:v>5.3978034900000034E-2</c:v>
                </c:pt>
                <c:pt idx="691">
                  <c:v>5.3978034900000034E-2</c:v>
                </c:pt>
                <c:pt idx="692">
                  <c:v>5.3978034900000034E-2</c:v>
                </c:pt>
                <c:pt idx="693">
                  <c:v>5.3978034900000034E-2</c:v>
                </c:pt>
                <c:pt idx="694">
                  <c:v>5.3978034900000034E-2</c:v>
                </c:pt>
                <c:pt idx="695">
                  <c:v>5.3978034900000034E-2</c:v>
                </c:pt>
                <c:pt idx="696">
                  <c:v>5.3978034900000034E-2</c:v>
                </c:pt>
                <c:pt idx="697">
                  <c:v>5.3978034900000034E-2</c:v>
                </c:pt>
                <c:pt idx="698">
                  <c:v>5.3978034900000034E-2</c:v>
                </c:pt>
                <c:pt idx="699">
                  <c:v>5.3978034900000034E-2</c:v>
                </c:pt>
                <c:pt idx="700">
                  <c:v>5.3978034900000034E-2</c:v>
                </c:pt>
                <c:pt idx="701">
                  <c:v>5.3978034900000034E-2</c:v>
                </c:pt>
                <c:pt idx="702">
                  <c:v>5.3978034900000034E-2</c:v>
                </c:pt>
                <c:pt idx="703">
                  <c:v>5.3978034900000034E-2</c:v>
                </c:pt>
                <c:pt idx="704">
                  <c:v>5.3978034900000034E-2</c:v>
                </c:pt>
                <c:pt idx="705">
                  <c:v>5.3978034900000034E-2</c:v>
                </c:pt>
                <c:pt idx="706">
                  <c:v>5.3978034900000034E-2</c:v>
                </c:pt>
                <c:pt idx="707">
                  <c:v>5.3978034900000034E-2</c:v>
                </c:pt>
                <c:pt idx="708">
                  <c:v>5.3978034900000034E-2</c:v>
                </c:pt>
                <c:pt idx="709">
                  <c:v>5.3978034900000034E-2</c:v>
                </c:pt>
                <c:pt idx="710">
                  <c:v>5.3978034900000034E-2</c:v>
                </c:pt>
                <c:pt idx="711">
                  <c:v>5.3978034900000034E-2</c:v>
                </c:pt>
                <c:pt idx="712">
                  <c:v>5.3978034900000034E-2</c:v>
                </c:pt>
                <c:pt idx="713">
                  <c:v>5.3978034900000034E-2</c:v>
                </c:pt>
                <c:pt idx="714">
                  <c:v>5.3978034900000034E-2</c:v>
                </c:pt>
                <c:pt idx="715">
                  <c:v>5.3978034900000034E-2</c:v>
                </c:pt>
                <c:pt idx="716">
                  <c:v>5.3978034900000034E-2</c:v>
                </c:pt>
                <c:pt idx="717">
                  <c:v>5.3978034900000034E-2</c:v>
                </c:pt>
                <c:pt idx="718">
                  <c:v>5.3978034900000034E-2</c:v>
                </c:pt>
                <c:pt idx="719">
                  <c:v>5.3978034900000034E-2</c:v>
                </c:pt>
                <c:pt idx="720">
                  <c:v>5.3978034900000034E-2</c:v>
                </c:pt>
                <c:pt idx="721">
                  <c:v>5.3978034900000034E-2</c:v>
                </c:pt>
                <c:pt idx="722">
                  <c:v>5.3978034900000034E-2</c:v>
                </c:pt>
                <c:pt idx="723">
                  <c:v>5.3978034900000034E-2</c:v>
                </c:pt>
                <c:pt idx="724">
                  <c:v>5.3978034900000034E-2</c:v>
                </c:pt>
                <c:pt idx="725">
                  <c:v>5.3978034900000034E-2</c:v>
                </c:pt>
                <c:pt idx="726">
                  <c:v>5.3978034900000034E-2</c:v>
                </c:pt>
                <c:pt idx="727">
                  <c:v>5.3978034900000034E-2</c:v>
                </c:pt>
                <c:pt idx="728">
                  <c:v>5.3978034900000034E-2</c:v>
                </c:pt>
                <c:pt idx="729">
                  <c:v>5.3978034900000034E-2</c:v>
                </c:pt>
                <c:pt idx="730">
                  <c:v>5.3978034900000034E-2</c:v>
                </c:pt>
                <c:pt idx="731">
                  <c:v>5.3978034900000034E-2</c:v>
                </c:pt>
                <c:pt idx="732">
                  <c:v>5.3978034900000034E-2</c:v>
                </c:pt>
                <c:pt idx="733">
                  <c:v>5.3978034900000034E-2</c:v>
                </c:pt>
                <c:pt idx="734">
                  <c:v>5.3978034900000034E-2</c:v>
                </c:pt>
                <c:pt idx="735">
                  <c:v>5.3978034900000034E-2</c:v>
                </c:pt>
                <c:pt idx="736">
                  <c:v>5.3978034900000034E-2</c:v>
                </c:pt>
                <c:pt idx="737">
                  <c:v>5.3978034900000034E-2</c:v>
                </c:pt>
                <c:pt idx="738">
                  <c:v>5.3978034900000034E-2</c:v>
                </c:pt>
                <c:pt idx="739">
                  <c:v>5.3978034900000034E-2</c:v>
                </c:pt>
                <c:pt idx="740">
                  <c:v>5.3978034900000034E-2</c:v>
                </c:pt>
                <c:pt idx="741">
                  <c:v>5.3978034900000034E-2</c:v>
                </c:pt>
                <c:pt idx="742">
                  <c:v>5.3978034900000034E-2</c:v>
                </c:pt>
                <c:pt idx="743">
                  <c:v>5.3978034900000034E-2</c:v>
                </c:pt>
                <c:pt idx="744">
                  <c:v>5.3978034900000034E-2</c:v>
                </c:pt>
                <c:pt idx="745">
                  <c:v>5.3978034900000034E-2</c:v>
                </c:pt>
                <c:pt idx="746">
                  <c:v>5.3978034900000034E-2</c:v>
                </c:pt>
                <c:pt idx="747">
                  <c:v>5.3978034900000034E-2</c:v>
                </c:pt>
                <c:pt idx="748">
                  <c:v>5.3978034900000034E-2</c:v>
                </c:pt>
                <c:pt idx="749">
                  <c:v>5.3978034900000034E-2</c:v>
                </c:pt>
                <c:pt idx="750">
                  <c:v>5.3978034900000034E-2</c:v>
                </c:pt>
                <c:pt idx="751">
                  <c:v>5.3978034900000034E-2</c:v>
                </c:pt>
                <c:pt idx="752">
                  <c:v>5.3978034900000034E-2</c:v>
                </c:pt>
                <c:pt idx="753">
                  <c:v>5.3978034900000034E-2</c:v>
                </c:pt>
                <c:pt idx="754">
                  <c:v>5.3978034900000034E-2</c:v>
                </c:pt>
                <c:pt idx="755">
                  <c:v>5.3978034900000034E-2</c:v>
                </c:pt>
                <c:pt idx="756">
                  <c:v>5.3978034900000034E-2</c:v>
                </c:pt>
                <c:pt idx="757">
                  <c:v>5.3978034900000034E-2</c:v>
                </c:pt>
                <c:pt idx="758">
                  <c:v>5.3978034900000034E-2</c:v>
                </c:pt>
                <c:pt idx="759">
                  <c:v>5.3978034900000034E-2</c:v>
                </c:pt>
                <c:pt idx="760">
                  <c:v>5.3978034900000034E-2</c:v>
                </c:pt>
                <c:pt idx="761">
                  <c:v>5.3978034900000034E-2</c:v>
                </c:pt>
                <c:pt idx="762">
                  <c:v>5.3978034900000034E-2</c:v>
                </c:pt>
                <c:pt idx="763">
                  <c:v>5.3978034900000034E-2</c:v>
                </c:pt>
                <c:pt idx="764">
                  <c:v>5.3978034900000034E-2</c:v>
                </c:pt>
                <c:pt idx="765">
                  <c:v>5.3978034900000034E-2</c:v>
                </c:pt>
                <c:pt idx="766">
                  <c:v>5.3978034900000034E-2</c:v>
                </c:pt>
                <c:pt idx="767">
                  <c:v>5.3978034900000034E-2</c:v>
                </c:pt>
                <c:pt idx="768">
                  <c:v>5.3978034900000034E-2</c:v>
                </c:pt>
                <c:pt idx="769">
                  <c:v>5.3978034900000034E-2</c:v>
                </c:pt>
                <c:pt idx="770">
                  <c:v>5.3978034900000034E-2</c:v>
                </c:pt>
                <c:pt idx="771">
                  <c:v>5.3978034900000034E-2</c:v>
                </c:pt>
                <c:pt idx="772">
                  <c:v>5.3978034900000034E-2</c:v>
                </c:pt>
                <c:pt idx="773">
                  <c:v>5.3978034900000034E-2</c:v>
                </c:pt>
                <c:pt idx="774">
                  <c:v>5.3978034900000034E-2</c:v>
                </c:pt>
                <c:pt idx="775">
                  <c:v>5.3978034900000034E-2</c:v>
                </c:pt>
                <c:pt idx="776">
                  <c:v>5.3978034900000034E-2</c:v>
                </c:pt>
                <c:pt idx="777">
                  <c:v>5.3978034900000034E-2</c:v>
                </c:pt>
                <c:pt idx="778">
                  <c:v>5.3978034900000034E-2</c:v>
                </c:pt>
                <c:pt idx="779">
                  <c:v>5.3978034900000034E-2</c:v>
                </c:pt>
                <c:pt idx="780">
                  <c:v>5.3978034900000034E-2</c:v>
                </c:pt>
                <c:pt idx="781">
                  <c:v>5.3978034900000034E-2</c:v>
                </c:pt>
                <c:pt idx="782">
                  <c:v>5.3978034900000034E-2</c:v>
                </c:pt>
                <c:pt idx="783">
                  <c:v>5.3978034900000034E-2</c:v>
                </c:pt>
                <c:pt idx="784">
                  <c:v>5.3978034900000034E-2</c:v>
                </c:pt>
                <c:pt idx="785">
                  <c:v>5.3978034900000034E-2</c:v>
                </c:pt>
                <c:pt idx="786">
                  <c:v>5.3978034900000034E-2</c:v>
                </c:pt>
                <c:pt idx="787">
                  <c:v>5.3978034900000034E-2</c:v>
                </c:pt>
                <c:pt idx="788">
                  <c:v>5.3978034900000034E-2</c:v>
                </c:pt>
                <c:pt idx="789">
                  <c:v>5.3978034900000034E-2</c:v>
                </c:pt>
                <c:pt idx="790">
                  <c:v>5.3978034900000034E-2</c:v>
                </c:pt>
                <c:pt idx="791">
                  <c:v>5.3978034900000034E-2</c:v>
                </c:pt>
                <c:pt idx="792">
                  <c:v>5.3978034900000034E-2</c:v>
                </c:pt>
                <c:pt idx="793">
                  <c:v>5.3978034900000034E-2</c:v>
                </c:pt>
                <c:pt idx="794">
                  <c:v>5.3978034900000034E-2</c:v>
                </c:pt>
                <c:pt idx="795">
                  <c:v>5.3978034900000034E-2</c:v>
                </c:pt>
                <c:pt idx="796">
                  <c:v>5.3978034900000034E-2</c:v>
                </c:pt>
                <c:pt idx="797">
                  <c:v>5.3978034900000034E-2</c:v>
                </c:pt>
                <c:pt idx="798">
                  <c:v>5.3978034900000034E-2</c:v>
                </c:pt>
                <c:pt idx="799">
                  <c:v>5.3978034900000034E-2</c:v>
                </c:pt>
                <c:pt idx="800">
                  <c:v>5.3978034900000034E-2</c:v>
                </c:pt>
                <c:pt idx="801">
                  <c:v>5.3978034900000034E-2</c:v>
                </c:pt>
                <c:pt idx="802">
                  <c:v>5.3978034900000034E-2</c:v>
                </c:pt>
                <c:pt idx="803">
                  <c:v>5.3978034900000034E-2</c:v>
                </c:pt>
                <c:pt idx="804">
                  <c:v>5.3978034900000034E-2</c:v>
                </c:pt>
                <c:pt idx="805">
                  <c:v>5.3978034900000034E-2</c:v>
                </c:pt>
                <c:pt idx="806">
                  <c:v>5.3978034900000034E-2</c:v>
                </c:pt>
                <c:pt idx="807">
                  <c:v>5.3978034900000034E-2</c:v>
                </c:pt>
                <c:pt idx="808">
                  <c:v>5.3978034900000034E-2</c:v>
                </c:pt>
                <c:pt idx="809">
                  <c:v>5.3978034900000034E-2</c:v>
                </c:pt>
                <c:pt idx="810">
                  <c:v>5.3978034900000034E-2</c:v>
                </c:pt>
                <c:pt idx="811">
                  <c:v>5.3978034900000034E-2</c:v>
                </c:pt>
                <c:pt idx="812">
                  <c:v>6.5331045300000015E-2</c:v>
                </c:pt>
                <c:pt idx="813">
                  <c:v>6.6589368800000007E-2</c:v>
                </c:pt>
                <c:pt idx="814">
                  <c:v>6.7005640000000019E-2</c:v>
                </c:pt>
                <c:pt idx="815">
                  <c:v>6.7048769500000022E-2</c:v>
                </c:pt>
                <c:pt idx="816">
                  <c:v>6.7056360100000031E-2</c:v>
                </c:pt>
                <c:pt idx="817">
                  <c:v>6.7057717200000033E-2</c:v>
                </c:pt>
                <c:pt idx="818">
                  <c:v>6.7057776000000013E-2</c:v>
                </c:pt>
                <c:pt idx="819">
                  <c:v>6.705777620000003E-2</c:v>
                </c:pt>
                <c:pt idx="820">
                  <c:v>6.705777620000003E-2</c:v>
                </c:pt>
                <c:pt idx="821">
                  <c:v>6.705777620000003E-2</c:v>
                </c:pt>
                <c:pt idx="822">
                  <c:v>6.705777620000003E-2</c:v>
                </c:pt>
                <c:pt idx="823">
                  <c:v>9.0231020800000006E-2</c:v>
                </c:pt>
                <c:pt idx="824">
                  <c:v>9.0508761500000048E-2</c:v>
                </c:pt>
                <c:pt idx="825">
                  <c:v>9.0564060600004354E-2</c:v>
                </c:pt>
                <c:pt idx="826">
                  <c:v>9.05674459000049E-2</c:v>
                </c:pt>
                <c:pt idx="827">
                  <c:v>9.0567791700000067E-2</c:v>
                </c:pt>
                <c:pt idx="828">
                  <c:v>9.0567807600000064E-2</c:v>
                </c:pt>
                <c:pt idx="829">
                  <c:v>9.0567811200000028E-2</c:v>
                </c:pt>
                <c:pt idx="830">
                  <c:v>9.0567811200000028E-2</c:v>
                </c:pt>
                <c:pt idx="831">
                  <c:v>9.0567811200000028E-2</c:v>
                </c:pt>
                <c:pt idx="832">
                  <c:v>9.0567811200000028E-2</c:v>
                </c:pt>
                <c:pt idx="833">
                  <c:v>9.0578502100001068E-2</c:v>
                </c:pt>
                <c:pt idx="834">
                  <c:v>9.0596432200001228E-2</c:v>
                </c:pt>
                <c:pt idx="835">
                  <c:v>9.0597661200000068E-2</c:v>
                </c:pt>
                <c:pt idx="836">
                  <c:v>9.0597718500000063E-2</c:v>
                </c:pt>
                <c:pt idx="837">
                  <c:v>9.0597722500001268E-2</c:v>
                </c:pt>
                <c:pt idx="838">
                  <c:v>9.21699614E-2</c:v>
                </c:pt>
                <c:pt idx="839">
                  <c:v>9.2468443000000025E-2</c:v>
                </c:pt>
                <c:pt idx="840">
                  <c:v>9.2502951300000025E-2</c:v>
                </c:pt>
                <c:pt idx="841">
                  <c:v>9.4221695500001243E-2</c:v>
                </c:pt>
                <c:pt idx="842">
                  <c:v>9.4275227500000044E-2</c:v>
                </c:pt>
                <c:pt idx="843">
                  <c:v>9.4281623699999997E-2</c:v>
                </c:pt>
                <c:pt idx="844">
                  <c:v>9.428187540000002E-2</c:v>
                </c:pt>
                <c:pt idx="845">
                  <c:v>9.5481192800000031E-2</c:v>
                </c:pt>
                <c:pt idx="846">
                  <c:v>9.5571791400000022E-2</c:v>
                </c:pt>
                <c:pt idx="847">
                  <c:v>9.5614899200001227E-2</c:v>
                </c:pt>
                <c:pt idx="848">
                  <c:v>9.5618061100000068E-2</c:v>
                </c:pt>
                <c:pt idx="849">
                  <c:v>9.5618166500000226E-2</c:v>
                </c:pt>
                <c:pt idx="850">
                  <c:v>9.5618177800000009E-2</c:v>
                </c:pt>
                <c:pt idx="851">
                  <c:v>9.5618181200000013E-2</c:v>
                </c:pt>
                <c:pt idx="852">
                  <c:v>9.5618181299999994E-2</c:v>
                </c:pt>
                <c:pt idx="853">
                  <c:v>9.5618181299999994E-2</c:v>
                </c:pt>
                <c:pt idx="854">
                  <c:v>9.5618181299999994E-2</c:v>
                </c:pt>
                <c:pt idx="855">
                  <c:v>9.5618181299999994E-2</c:v>
                </c:pt>
                <c:pt idx="856">
                  <c:v>9.5618181299999994E-2</c:v>
                </c:pt>
                <c:pt idx="857">
                  <c:v>9.5618181299999994E-2</c:v>
                </c:pt>
                <c:pt idx="858">
                  <c:v>9.5618181299999994E-2</c:v>
                </c:pt>
                <c:pt idx="859">
                  <c:v>9.5618181299999994E-2</c:v>
                </c:pt>
                <c:pt idx="860">
                  <c:v>9.5618181299999994E-2</c:v>
                </c:pt>
                <c:pt idx="861">
                  <c:v>9.5618181299999994E-2</c:v>
                </c:pt>
                <c:pt idx="862">
                  <c:v>9.5618181299999994E-2</c:v>
                </c:pt>
                <c:pt idx="863">
                  <c:v>9.5618181299999994E-2</c:v>
                </c:pt>
                <c:pt idx="864">
                  <c:v>9.5618181299999994E-2</c:v>
                </c:pt>
                <c:pt idx="865">
                  <c:v>9.5618181299999994E-2</c:v>
                </c:pt>
                <c:pt idx="866">
                  <c:v>9.5618181299999994E-2</c:v>
                </c:pt>
                <c:pt idx="867">
                  <c:v>9.5618181299999994E-2</c:v>
                </c:pt>
                <c:pt idx="868">
                  <c:v>9.5618181299999994E-2</c:v>
                </c:pt>
                <c:pt idx="869">
                  <c:v>9.5618181299999994E-2</c:v>
                </c:pt>
                <c:pt idx="870">
                  <c:v>9.5618181299999994E-2</c:v>
                </c:pt>
                <c:pt idx="871">
                  <c:v>9.5618181299999994E-2</c:v>
                </c:pt>
                <c:pt idx="872">
                  <c:v>9.5618181299999994E-2</c:v>
                </c:pt>
                <c:pt idx="873">
                  <c:v>9.5618181299999994E-2</c:v>
                </c:pt>
                <c:pt idx="874">
                  <c:v>9.5618727800000011E-2</c:v>
                </c:pt>
                <c:pt idx="875">
                  <c:v>9.5622062200004174E-2</c:v>
                </c:pt>
                <c:pt idx="876">
                  <c:v>9.56224654000042E-2</c:v>
                </c:pt>
                <c:pt idx="877">
                  <c:v>9.5622900000000066E-2</c:v>
                </c:pt>
                <c:pt idx="878">
                  <c:v>9.5622925300004533E-2</c:v>
                </c:pt>
                <c:pt idx="879">
                  <c:v>9.5622928300004628E-2</c:v>
                </c:pt>
                <c:pt idx="880">
                  <c:v>9.5622928300004628E-2</c:v>
                </c:pt>
                <c:pt idx="881">
                  <c:v>9.5622928300004628E-2</c:v>
                </c:pt>
                <c:pt idx="882">
                  <c:v>9.599651720000002E-2</c:v>
                </c:pt>
                <c:pt idx="883">
                  <c:v>9.6044336600000044E-2</c:v>
                </c:pt>
                <c:pt idx="884">
                  <c:v>9.6144307000000026E-2</c:v>
                </c:pt>
                <c:pt idx="885">
                  <c:v>9.6151232000000017E-2</c:v>
                </c:pt>
                <c:pt idx="886">
                  <c:v>9.6151350300000868E-2</c:v>
                </c:pt>
                <c:pt idx="887">
                  <c:v>9.6151362200004128E-2</c:v>
                </c:pt>
                <c:pt idx="888">
                  <c:v>9.6151363300004261E-2</c:v>
                </c:pt>
                <c:pt idx="889">
                  <c:v>9.6151363300004261E-2</c:v>
                </c:pt>
                <c:pt idx="890">
                  <c:v>9.8088806300000067E-2</c:v>
                </c:pt>
                <c:pt idx="891">
                  <c:v>9.8137068500004962E-2</c:v>
                </c:pt>
                <c:pt idx="892">
                  <c:v>9.8219428800000022E-2</c:v>
                </c:pt>
                <c:pt idx="893">
                  <c:v>9.8224886600000727E-2</c:v>
                </c:pt>
                <c:pt idx="894">
                  <c:v>9.8224963100006168E-2</c:v>
                </c:pt>
                <c:pt idx="895">
                  <c:v>9.8224964700004899E-2</c:v>
                </c:pt>
                <c:pt idx="896">
                  <c:v>9.8224964700004899E-2</c:v>
                </c:pt>
                <c:pt idx="897">
                  <c:v>9.8224964700004899E-2</c:v>
                </c:pt>
                <c:pt idx="898">
                  <c:v>9.8224964700004899E-2</c:v>
                </c:pt>
                <c:pt idx="899">
                  <c:v>9.8224964700004899E-2</c:v>
                </c:pt>
                <c:pt idx="900">
                  <c:v>9.8224964700004899E-2</c:v>
                </c:pt>
                <c:pt idx="901">
                  <c:v>9.8224964700004899E-2</c:v>
                </c:pt>
                <c:pt idx="902">
                  <c:v>9.8224964700004899E-2</c:v>
                </c:pt>
                <c:pt idx="903">
                  <c:v>9.8224964700004899E-2</c:v>
                </c:pt>
                <c:pt idx="904">
                  <c:v>9.8224964700004899E-2</c:v>
                </c:pt>
                <c:pt idx="905">
                  <c:v>9.8224964700004899E-2</c:v>
                </c:pt>
                <c:pt idx="906">
                  <c:v>9.8224964700004899E-2</c:v>
                </c:pt>
                <c:pt idx="907">
                  <c:v>9.8224964700004899E-2</c:v>
                </c:pt>
                <c:pt idx="908">
                  <c:v>9.8224964700004899E-2</c:v>
                </c:pt>
                <c:pt idx="909">
                  <c:v>9.8224964700004899E-2</c:v>
                </c:pt>
                <c:pt idx="910">
                  <c:v>9.8224964700004899E-2</c:v>
                </c:pt>
                <c:pt idx="911">
                  <c:v>9.8224964700004899E-2</c:v>
                </c:pt>
                <c:pt idx="912">
                  <c:v>9.8224964700004899E-2</c:v>
                </c:pt>
                <c:pt idx="913">
                  <c:v>9.8224964700004899E-2</c:v>
                </c:pt>
                <c:pt idx="914">
                  <c:v>9.8224964700004899E-2</c:v>
                </c:pt>
                <c:pt idx="915">
                  <c:v>9.8224964700004899E-2</c:v>
                </c:pt>
                <c:pt idx="916">
                  <c:v>9.8224964700004899E-2</c:v>
                </c:pt>
                <c:pt idx="917">
                  <c:v>9.8224964700004899E-2</c:v>
                </c:pt>
                <c:pt idx="918">
                  <c:v>9.8224964700004899E-2</c:v>
                </c:pt>
                <c:pt idx="919">
                  <c:v>9.8224964700004899E-2</c:v>
                </c:pt>
                <c:pt idx="920">
                  <c:v>9.8224964700004899E-2</c:v>
                </c:pt>
                <c:pt idx="921">
                  <c:v>9.8224964700004899E-2</c:v>
                </c:pt>
                <c:pt idx="922">
                  <c:v>9.8224964700004899E-2</c:v>
                </c:pt>
                <c:pt idx="923">
                  <c:v>9.8224964700004899E-2</c:v>
                </c:pt>
                <c:pt idx="924">
                  <c:v>9.8224964700004899E-2</c:v>
                </c:pt>
                <c:pt idx="925">
                  <c:v>9.8237994100000267E-2</c:v>
                </c:pt>
                <c:pt idx="926">
                  <c:v>9.8329456800000048E-2</c:v>
                </c:pt>
                <c:pt idx="927">
                  <c:v>9.8458013900000044E-2</c:v>
                </c:pt>
                <c:pt idx="928">
                  <c:v>9.8462904500000004E-2</c:v>
                </c:pt>
                <c:pt idx="929">
                  <c:v>9.8463178000000026E-2</c:v>
                </c:pt>
                <c:pt idx="930">
                  <c:v>9.8463181799999966E-2</c:v>
                </c:pt>
                <c:pt idx="931">
                  <c:v>9.846318189999996E-2</c:v>
                </c:pt>
                <c:pt idx="932">
                  <c:v>9.846318189999996E-2</c:v>
                </c:pt>
                <c:pt idx="933">
                  <c:v>9.846318189999996E-2</c:v>
                </c:pt>
                <c:pt idx="934">
                  <c:v>9.846318189999996E-2</c:v>
                </c:pt>
                <c:pt idx="935">
                  <c:v>9.846318189999996E-2</c:v>
                </c:pt>
                <c:pt idx="936">
                  <c:v>9.846318189999996E-2</c:v>
                </c:pt>
                <c:pt idx="937">
                  <c:v>9.846318189999996E-2</c:v>
                </c:pt>
                <c:pt idx="938">
                  <c:v>9.846318189999996E-2</c:v>
                </c:pt>
                <c:pt idx="939">
                  <c:v>9.846318189999996E-2</c:v>
                </c:pt>
                <c:pt idx="940">
                  <c:v>9.846318189999996E-2</c:v>
                </c:pt>
                <c:pt idx="941">
                  <c:v>9.846318189999996E-2</c:v>
                </c:pt>
                <c:pt idx="942">
                  <c:v>9.846318189999996E-2</c:v>
                </c:pt>
                <c:pt idx="943">
                  <c:v>9.846318189999996E-2</c:v>
                </c:pt>
                <c:pt idx="944">
                  <c:v>9.846318189999996E-2</c:v>
                </c:pt>
                <c:pt idx="945">
                  <c:v>9.846318189999996E-2</c:v>
                </c:pt>
                <c:pt idx="946">
                  <c:v>9.846318189999996E-2</c:v>
                </c:pt>
                <c:pt idx="947">
                  <c:v>9.846318189999996E-2</c:v>
                </c:pt>
                <c:pt idx="948">
                  <c:v>9.846318189999996E-2</c:v>
                </c:pt>
                <c:pt idx="949">
                  <c:v>9.846318189999996E-2</c:v>
                </c:pt>
                <c:pt idx="950">
                  <c:v>9.846318189999996E-2</c:v>
                </c:pt>
                <c:pt idx="951">
                  <c:v>9.846318189999996E-2</c:v>
                </c:pt>
                <c:pt idx="952">
                  <c:v>9.846318189999996E-2</c:v>
                </c:pt>
                <c:pt idx="953">
                  <c:v>9.846318189999996E-2</c:v>
                </c:pt>
                <c:pt idx="954">
                  <c:v>9.846318189999996E-2</c:v>
                </c:pt>
                <c:pt idx="955">
                  <c:v>9.846318189999996E-2</c:v>
                </c:pt>
                <c:pt idx="956">
                  <c:v>9.846318189999996E-2</c:v>
                </c:pt>
                <c:pt idx="957">
                  <c:v>9.846318189999996E-2</c:v>
                </c:pt>
                <c:pt idx="958">
                  <c:v>9.846318189999996E-2</c:v>
                </c:pt>
                <c:pt idx="959">
                  <c:v>9.846318189999996E-2</c:v>
                </c:pt>
                <c:pt idx="960">
                  <c:v>9.846318189999996E-2</c:v>
                </c:pt>
                <c:pt idx="961">
                  <c:v>9.846318189999996E-2</c:v>
                </c:pt>
                <c:pt idx="962">
                  <c:v>9.846318189999996E-2</c:v>
                </c:pt>
                <c:pt idx="963">
                  <c:v>9.846318189999996E-2</c:v>
                </c:pt>
                <c:pt idx="964">
                  <c:v>9.846318189999996E-2</c:v>
                </c:pt>
                <c:pt idx="965">
                  <c:v>9.9771758600000024E-2</c:v>
                </c:pt>
                <c:pt idx="966">
                  <c:v>0.10050590229999996</c:v>
                </c:pt>
                <c:pt idx="967">
                  <c:v>0.10084851469999523</c:v>
                </c:pt>
                <c:pt idx="968">
                  <c:v>0.10087341329999995</c:v>
                </c:pt>
                <c:pt idx="969">
                  <c:v>0.10087351069999995</c:v>
                </c:pt>
                <c:pt idx="970">
                  <c:v>0.10087351119999995</c:v>
                </c:pt>
                <c:pt idx="971">
                  <c:v>0.10087351119999995</c:v>
                </c:pt>
                <c:pt idx="972">
                  <c:v>0.10087351119999995</c:v>
                </c:pt>
                <c:pt idx="973">
                  <c:v>0.10087351119999995</c:v>
                </c:pt>
                <c:pt idx="974">
                  <c:v>0.10087351119999995</c:v>
                </c:pt>
                <c:pt idx="975">
                  <c:v>0.10087351119999995</c:v>
                </c:pt>
                <c:pt idx="976">
                  <c:v>0.10087351119999995</c:v>
                </c:pt>
                <c:pt idx="977">
                  <c:v>0.10087351119999995</c:v>
                </c:pt>
                <c:pt idx="978">
                  <c:v>0.10087351119999995</c:v>
                </c:pt>
                <c:pt idx="979">
                  <c:v>0.10087351119999995</c:v>
                </c:pt>
                <c:pt idx="980">
                  <c:v>0.10087351119999995</c:v>
                </c:pt>
                <c:pt idx="981">
                  <c:v>0.10087351119999995</c:v>
                </c:pt>
                <c:pt idx="982">
                  <c:v>0.10087351119999995</c:v>
                </c:pt>
                <c:pt idx="983">
                  <c:v>0.10087351119999995</c:v>
                </c:pt>
                <c:pt idx="984">
                  <c:v>0.10087351119999995</c:v>
                </c:pt>
                <c:pt idx="985">
                  <c:v>0.10087351119999995</c:v>
                </c:pt>
                <c:pt idx="986">
                  <c:v>0.10087351119999995</c:v>
                </c:pt>
                <c:pt idx="987">
                  <c:v>0.10087351119999995</c:v>
                </c:pt>
                <c:pt idx="988">
                  <c:v>0.10087351119999995</c:v>
                </c:pt>
                <c:pt idx="989">
                  <c:v>0.10087351119999995</c:v>
                </c:pt>
                <c:pt idx="990">
                  <c:v>0.10087351119999995</c:v>
                </c:pt>
                <c:pt idx="991">
                  <c:v>0.10087351119999995</c:v>
                </c:pt>
                <c:pt idx="992">
                  <c:v>0.10087351119999995</c:v>
                </c:pt>
                <c:pt idx="993">
                  <c:v>0.10087351119999995</c:v>
                </c:pt>
                <c:pt idx="994">
                  <c:v>0.10087351119999995</c:v>
                </c:pt>
                <c:pt idx="995">
                  <c:v>0.10087351119999995</c:v>
                </c:pt>
                <c:pt idx="996">
                  <c:v>0.10087351119999995</c:v>
                </c:pt>
                <c:pt idx="997">
                  <c:v>0.10087351119999995</c:v>
                </c:pt>
                <c:pt idx="998">
                  <c:v>0.10087351119999995</c:v>
                </c:pt>
                <c:pt idx="999">
                  <c:v>0.10087351119999995</c:v>
                </c:pt>
                <c:pt idx="1000">
                  <c:v>0.10087351119999995</c:v>
                </c:pt>
                <c:pt idx="1001">
                  <c:v>0.10087351119999995</c:v>
                </c:pt>
                <c:pt idx="1002">
                  <c:v>0.10087351119999995</c:v>
                </c:pt>
                <c:pt idx="1003">
                  <c:v>0.10087351119999995</c:v>
                </c:pt>
                <c:pt idx="1004">
                  <c:v>0.10087351119999995</c:v>
                </c:pt>
                <c:pt idx="1005">
                  <c:v>0.10087351119999995</c:v>
                </c:pt>
                <c:pt idx="1006">
                  <c:v>0.10087351119999995</c:v>
                </c:pt>
                <c:pt idx="1007">
                  <c:v>0.10087351119999995</c:v>
                </c:pt>
                <c:pt idx="1008">
                  <c:v>0.10087351119999995</c:v>
                </c:pt>
                <c:pt idx="1009">
                  <c:v>0.10087351119999995</c:v>
                </c:pt>
                <c:pt idx="1010">
                  <c:v>0.10087351119999995</c:v>
                </c:pt>
                <c:pt idx="1011">
                  <c:v>0.10087351119999995</c:v>
                </c:pt>
                <c:pt idx="1012">
                  <c:v>0.10087351119999995</c:v>
                </c:pt>
                <c:pt idx="1013">
                  <c:v>0.10087351119999995</c:v>
                </c:pt>
                <c:pt idx="1014">
                  <c:v>0.10087351119999995</c:v>
                </c:pt>
                <c:pt idx="1015">
                  <c:v>0.10087351119999995</c:v>
                </c:pt>
                <c:pt idx="1016">
                  <c:v>0.10087351119999995</c:v>
                </c:pt>
                <c:pt idx="1017">
                  <c:v>0.10087351119999995</c:v>
                </c:pt>
                <c:pt idx="1018">
                  <c:v>0.10087351119999995</c:v>
                </c:pt>
                <c:pt idx="1019">
                  <c:v>0.10087351119999995</c:v>
                </c:pt>
                <c:pt idx="1020">
                  <c:v>0.10087351119999995</c:v>
                </c:pt>
                <c:pt idx="1021">
                  <c:v>0.10087351119999995</c:v>
                </c:pt>
                <c:pt idx="1022">
                  <c:v>0.10087351119999995</c:v>
                </c:pt>
                <c:pt idx="1023">
                  <c:v>0.10087351119999995</c:v>
                </c:pt>
                <c:pt idx="1024">
                  <c:v>0.10087351119999995</c:v>
                </c:pt>
                <c:pt idx="1025">
                  <c:v>0.10087351119999995</c:v>
                </c:pt>
                <c:pt idx="1026">
                  <c:v>0.10087351119999995</c:v>
                </c:pt>
                <c:pt idx="1027">
                  <c:v>0.10087351119999995</c:v>
                </c:pt>
                <c:pt idx="1028">
                  <c:v>0.10087351119999995</c:v>
                </c:pt>
                <c:pt idx="1029">
                  <c:v>0.10087351119999995</c:v>
                </c:pt>
                <c:pt idx="1030">
                  <c:v>0.10087351119999995</c:v>
                </c:pt>
                <c:pt idx="1031">
                  <c:v>0.10087351119999995</c:v>
                </c:pt>
                <c:pt idx="1032">
                  <c:v>0.10087351119999995</c:v>
                </c:pt>
                <c:pt idx="1033">
                  <c:v>0.10087351119999995</c:v>
                </c:pt>
                <c:pt idx="1034">
                  <c:v>0.10087351119999995</c:v>
                </c:pt>
                <c:pt idx="1035">
                  <c:v>0.10087351119999995</c:v>
                </c:pt>
                <c:pt idx="1036">
                  <c:v>0.10087351119999995</c:v>
                </c:pt>
                <c:pt idx="1037">
                  <c:v>0.10087351119999995</c:v>
                </c:pt>
                <c:pt idx="1038">
                  <c:v>0.10087351119999995</c:v>
                </c:pt>
                <c:pt idx="1039">
                  <c:v>0.10087351119999995</c:v>
                </c:pt>
                <c:pt idx="1040">
                  <c:v>0.10087351119999995</c:v>
                </c:pt>
                <c:pt idx="1041">
                  <c:v>0.10087351119999995</c:v>
                </c:pt>
                <c:pt idx="1042">
                  <c:v>0.10087351119999995</c:v>
                </c:pt>
                <c:pt idx="1043">
                  <c:v>0.10087351119999995</c:v>
                </c:pt>
                <c:pt idx="1044">
                  <c:v>0.10087351119999995</c:v>
                </c:pt>
                <c:pt idx="1045">
                  <c:v>0.10087351119999995</c:v>
                </c:pt>
                <c:pt idx="1046">
                  <c:v>0.10087351119999995</c:v>
                </c:pt>
                <c:pt idx="1047">
                  <c:v>0.10087351119999995</c:v>
                </c:pt>
                <c:pt idx="1048">
                  <c:v>0.10087351119999995</c:v>
                </c:pt>
                <c:pt idx="1049">
                  <c:v>0.10087351119999995</c:v>
                </c:pt>
                <c:pt idx="1050">
                  <c:v>0.10087351119999995</c:v>
                </c:pt>
                <c:pt idx="1051">
                  <c:v>0.10087351119999995</c:v>
                </c:pt>
                <c:pt idx="1052">
                  <c:v>0.10087351119999995</c:v>
                </c:pt>
                <c:pt idx="1053">
                  <c:v>0.10087351119999995</c:v>
                </c:pt>
                <c:pt idx="1054">
                  <c:v>0.10087351119999995</c:v>
                </c:pt>
                <c:pt idx="1055">
                  <c:v>0.10087351119999995</c:v>
                </c:pt>
                <c:pt idx="1056">
                  <c:v>0.10087351119999995</c:v>
                </c:pt>
                <c:pt idx="1057">
                  <c:v>0.10087351119999995</c:v>
                </c:pt>
                <c:pt idx="1058">
                  <c:v>0.10087351119999995</c:v>
                </c:pt>
                <c:pt idx="1059">
                  <c:v>0.10087351119999995</c:v>
                </c:pt>
                <c:pt idx="1060">
                  <c:v>0.10087351119999995</c:v>
                </c:pt>
                <c:pt idx="1061">
                  <c:v>0.10087351119999995</c:v>
                </c:pt>
                <c:pt idx="1062">
                  <c:v>0.10087351119999995</c:v>
                </c:pt>
                <c:pt idx="1063">
                  <c:v>0.10087351119999995</c:v>
                </c:pt>
                <c:pt idx="1064">
                  <c:v>0.10087351119999995</c:v>
                </c:pt>
                <c:pt idx="1065">
                  <c:v>0.10087351119999995</c:v>
                </c:pt>
                <c:pt idx="1066">
                  <c:v>0.10087351119999995</c:v>
                </c:pt>
                <c:pt idx="1067">
                  <c:v>0.10087351119999995</c:v>
                </c:pt>
                <c:pt idx="1068">
                  <c:v>0.10087351119999995</c:v>
                </c:pt>
                <c:pt idx="1069">
                  <c:v>0.10087351119999995</c:v>
                </c:pt>
                <c:pt idx="1070">
                  <c:v>0.10087351119999995</c:v>
                </c:pt>
                <c:pt idx="1071">
                  <c:v>0.10087351119999995</c:v>
                </c:pt>
                <c:pt idx="1072">
                  <c:v>0.10087351119999995</c:v>
                </c:pt>
                <c:pt idx="1073">
                  <c:v>0.10087351119999995</c:v>
                </c:pt>
                <c:pt idx="1074">
                  <c:v>0.10087351119999995</c:v>
                </c:pt>
                <c:pt idx="1075">
                  <c:v>0.10087351119999995</c:v>
                </c:pt>
                <c:pt idx="1076">
                  <c:v>0.10087351119999995</c:v>
                </c:pt>
                <c:pt idx="1077">
                  <c:v>0.10087351119999995</c:v>
                </c:pt>
                <c:pt idx="1078">
                  <c:v>0.10087351119999995</c:v>
                </c:pt>
                <c:pt idx="1079">
                  <c:v>0.10087351119999995</c:v>
                </c:pt>
                <c:pt idx="1080">
                  <c:v>0.10087351119999995</c:v>
                </c:pt>
                <c:pt idx="1081">
                  <c:v>0.10087351119999995</c:v>
                </c:pt>
                <c:pt idx="1082">
                  <c:v>0.10087351119999995</c:v>
                </c:pt>
                <c:pt idx="1083">
                  <c:v>0.10087351119999995</c:v>
                </c:pt>
                <c:pt idx="1084">
                  <c:v>0.10087351119999995</c:v>
                </c:pt>
                <c:pt idx="1085">
                  <c:v>0.10087351119999995</c:v>
                </c:pt>
                <c:pt idx="1086">
                  <c:v>0.10087351119999995</c:v>
                </c:pt>
                <c:pt idx="1087">
                  <c:v>0.10087351119999995</c:v>
                </c:pt>
                <c:pt idx="1088">
                  <c:v>0.10087351119999995</c:v>
                </c:pt>
                <c:pt idx="1089">
                  <c:v>0.10087351119999995</c:v>
                </c:pt>
                <c:pt idx="1090">
                  <c:v>0.10087351119999995</c:v>
                </c:pt>
                <c:pt idx="1091">
                  <c:v>0.10087351119999995</c:v>
                </c:pt>
                <c:pt idx="1092">
                  <c:v>0.10087351119999995</c:v>
                </c:pt>
                <c:pt idx="1093">
                  <c:v>0.10087351119999995</c:v>
                </c:pt>
                <c:pt idx="1094">
                  <c:v>0.10087351119999995</c:v>
                </c:pt>
                <c:pt idx="1095">
                  <c:v>0.10087351119999995</c:v>
                </c:pt>
                <c:pt idx="1096">
                  <c:v>0.10087351119999995</c:v>
                </c:pt>
                <c:pt idx="1097">
                  <c:v>0.10087351119999995</c:v>
                </c:pt>
                <c:pt idx="1098">
                  <c:v>0.10087351119999995</c:v>
                </c:pt>
                <c:pt idx="1099">
                  <c:v>0.10087351119999995</c:v>
                </c:pt>
                <c:pt idx="1100">
                  <c:v>0.10087351119999995</c:v>
                </c:pt>
                <c:pt idx="1101">
                  <c:v>0.10087351119999995</c:v>
                </c:pt>
                <c:pt idx="1102">
                  <c:v>0.10087351119999995</c:v>
                </c:pt>
                <c:pt idx="1103">
                  <c:v>0.10087351119999995</c:v>
                </c:pt>
                <c:pt idx="1104">
                  <c:v>0.10087351119999995</c:v>
                </c:pt>
                <c:pt idx="1105">
                  <c:v>0.10087351119999995</c:v>
                </c:pt>
                <c:pt idx="1106">
                  <c:v>0.10087351119999995</c:v>
                </c:pt>
                <c:pt idx="1107">
                  <c:v>0.10087351119999995</c:v>
                </c:pt>
                <c:pt idx="1108">
                  <c:v>0.10087351119999995</c:v>
                </c:pt>
                <c:pt idx="1109">
                  <c:v>0.10087351119999995</c:v>
                </c:pt>
                <c:pt idx="1110">
                  <c:v>0.10087351119999995</c:v>
                </c:pt>
                <c:pt idx="1111">
                  <c:v>0.10087351119999995</c:v>
                </c:pt>
                <c:pt idx="1112">
                  <c:v>0.10087351119999995</c:v>
                </c:pt>
                <c:pt idx="1113">
                  <c:v>0.10087351119999995</c:v>
                </c:pt>
                <c:pt idx="1114">
                  <c:v>0.10087351119999995</c:v>
                </c:pt>
                <c:pt idx="1115">
                  <c:v>0.10087351119999995</c:v>
                </c:pt>
                <c:pt idx="1116">
                  <c:v>0.10087351119999995</c:v>
                </c:pt>
                <c:pt idx="1117">
                  <c:v>0.10087351119999995</c:v>
                </c:pt>
                <c:pt idx="1118">
                  <c:v>0.10087351119999995</c:v>
                </c:pt>
                <c:pt idx="1119">
                  <c:v>0.10087351119999995</c:v>
                </c:pt>
                <c:pt idx="1120">
                  <c:v>0.10087351119999995</c:v>
                </c:pt>
                <c:pt idx="1121">
                  <c:v>0.10087351119999995</c:v>
                </c:pt>
                <c:pt idx="1122">
                  <c:v>0.10087351119999995</c:v>
                </c:pt>
                <c:pt idx="1123">
                  <c:v>0.10087351119999995</c:v>
                </c:pt>
                <c:pt idx="1124">
                  <c:v>0.10087351119999995</c:v>
                </c:pt>
                <c:pt idx="1125">
                  <c:v>0.10087351119999995</c:v>
                </c:pt>
                <c:pt idx="1126">
                  <c:v>0.10087351119999995</c:v>
                </c:pt>
                <c:pt idx="1127">
                  <c:v>0.10087351119999995</c:v>
                </c:pt>
                <c:pt idx="1128">
                  <c:v>0.10087351119999995</c:v>
                </c:pt>
                <c:pt idx="1129">
                  <c:v>0.10087351119999995</c:v>
                </c:pt>
                <c:pt idx="1130">
                  <c:v>0.10087351119999995</c:v>
                </c:pt>
                <c:pt idx="1131">
                  <c:v>0.10087351119999995</c:v>
                </c:pt>
                <c:pt idx="1132">
                  <c:v>0.10087351119999995</c:v>
                </c:pt>
                <c:pt idx="1133">
                  <c:v>0.10087351119999995</c:v>
                </c:pt>
                <c:pt idx="1134">
                  <c:v>0.10087351119999995</c:v>
                </c:pt>
                <c:pt idx="1135">
                  <c:v>0.10087351119999995</c:v>
                </c:pt>
                <c:pt idx="1136">
                  <c:v>0.10087351119999995</c:v>
                </c:pt>
                <c:pt idx="1137">
                  <c:v>0.10087351119999995</c:v>
                </c:pt>
                <c:pt idx="1138">
                  <c:v>0.10087351119999995</c:v>
                </c:pt>
                <c:pt idx="1139">
                  <c:v>0.10087351119999995</c:v>
                </c:pt>
                <c:pt idx="1140">
                  <c:v>0.10087351119999995</c:v>
                </c:pt>
                <c:pt idx="1141">
                  <c:v>0.10087351119999995</c:v>
                </c:pt>
                <c:pt idx="1142">
                  <c:v>0.10087351119999995</c:v>
                </c:pt>
                <c:pt idx="1143">
                  <c:v>0.10087351119999995</c:v>
                </c:pt>
                <c:pt idx="1144">
                  <c:v>0.10087351119999995</c:v>
                </c:pt>
                <c:pt idx="1145">
                  <c:v>0.10087351119999995</c:v>
                </c:pt>
                <c:pt idx="1146">
                  <c:v>0.10087351119999995</c:v>
                </c:pt>
                <c:pt idx="1147">
                  <c:v>0.10087351119999995</c:v>
                </c:pt>
                <c:pt idx="1148">
                  <c:v>0.10087351119999995</c:v>
                </c:pt>
                <c:pt idx="1149">
                  <c:v>0.10087351119999995</c:v>
                </c:pt>
                <c:pt idx="1150">
                  <c:v>0.10087351119999995</c:v>
                </c:pt>
                <c:pt idx="1151">
                  <c:v>0.10087351119999995</c:v>
                </c:pt>
                <c:pt idx="1152">
                  <c:v>0.10087351119999995</c:v>
                </c:pt>
                <c:pt idx="1153">
                  <c:v>0.10087351119999995</c:v>
                </c:pt>
                <c:pt idx="1154">
                  <c:v>0.10087351119999995</c:v>
                </c:pt>
                <c:pt idx="1155">
                  <c:v>0.10087351119999995</c:v>
                </c:pt>
                <c:pt idx="1156">
                  <c:v>0.10087351119999995</c:v>
                </c:pt>
                <c:pt idx="1157">
                  <c:v>0.10087351119999995</c:v>
                </c:pt>
                <c:pt idx="1158">
                  <c:v>0.10087351119999995</c:v>
                </c:pt>
                <c:pt idx="1159">
                  <c:v>0.10087351119999995</c:v>
                </c:pt>
                <c:pt idx="1160">
                  <c:v>0.10087351119999995</c:v>
                </c:pt>
                <c:pt idx="1161">
                  <c:v>0.10087351119999995</c:v>
                </c:pt>
                <c:pt idx="1162">
                  <c:v>0.10087351119999995</c:v>
                </c:pt>
                <c:pt idx="1163">
                  <c:v>0.10087351119999995</c:v>
                </c:pt>
                <c:pt idx="1164">
                  <c:v>0.10087351119999995</c:v>
                </c:pt>
                <c:pt idx="1165">
                  <c:v>0.10087351119999995</c:v>
                </c:pt>
                <c:pt idx="1166">
                  <c:v>0.10087351119999995</c:v>
                </c:pt>
                <c:pt idx="1167">
                  <c:v>0.10087351119999995</c:v>
                </c:pt>
                <c:pt idx="1168">
                  <c:v>0.10087351119999995</c:v>
                </c:pt>
                <c:pt idx="1169">
                  <c:v>0.10087351119999995</c:v>
                </c:pt>
                <c:pt idx="1170">
                  <c:v>0.10087351119999995</c:v>
                </c:pt>
                <c:pt idx="1171">
                  <c:v>0.10087351119999995</c:v>
                </c:pt>
                <c:pt idx="1172">
                  <c:v>0.10087351119999995</c:v>
                </c:pt>
                <c:pt idx="1173">
                  <c:v>0.10087351119999995</c:v>
                </c:pt>
                <c:pt idx="1174">
                  <c:v>0.10087351119999995</c:v>
                </c:pt>
                <c:pt idx="1175">
                  <c:v>0.10087351119999995</c:v>
                </c:pt>
                <c:pt idx="1176">
                  <c:v>0.10087351119999995</c:v>
                </c:pt>
                <c:pt idx="1177">
                  <c:v>0.10087351119999995</c:v>
                </c:pt>
                <c:pt idx="1178">
                  <c:v>0.10087351119999995</c:v>
                </c:pt>
                <c:pt idx="1179">
                  <c:v>0.10087351119999995</c:v>
                </c:pt>
                <c:pt idx="1180">
                  <c:v>0.10372155390000339</c:v>
                </c:pt>
                <c:pt idx="1181">
                  <c:v>0.10410278519999996</c:v>
                </c:pt>
                <c:pt idx="1182">
                  <c:v>0.10413976909999996</c:v>
                </c:pt>
                <c:pt idx="1183">
                  <c:v>0.10414109509999994</c:v>
                </c:pt>
                <c:pt idx="1184">
                  <c:v>0.10414112119999996</c:v>
                </c:pt>
                <c:pt idx="1185">
                  <c:v>0.10414112130000019</c:v>
                </c:pt>
                <c:pt idx="1186">
                  <c:v>0.10414112130000019</c:v>
                </c:pt>
                <c:pt idx="1187">
                  <c:v>0.10414112130000019</c:v>
                </c:pt>
                <c:pt idx="1188">
                  <c:v>0.10414112130000019</c:v>
                </c:pt>
                <c:pt idx="1189">
                  <c:v>0.10414112130000019</c:v>
                </c:pt>
                <c:pt idx="1190">
                  <c:v>0.10414112130000019</c:v>
                </c:pt>
                <c:pt idx="1191">
                  <c:v>0.10414112130000019</c:v>
                </c:pt>
                <c:pt idx="1192">
                  <c:v>0.10414112130000019</c:v>
                </c:pt>
                <c:pt idx="1193">
                  <c:v>0.10414112130000019</c:v>
                </c:pt>
                <c:pt idx="1194">
                  <c:v>0.10414112130000019</c:v>
                </c:pt>
                <c:pt idx="1195">
                  <c:v>0.10414112130000019</c:v>
                </c:pt>
                <c:pt idx="1196">
                  <c:v>0.10414112130000019</c:v>
                </c:pt>
                <c:pt idx="1197">
                  <c:v>0.10414112130000019</c:v>
                </c:pt>
                <c:pt idx="1198">
                  <c:v>0.10414112130000019</c:v>
                </c:pt>
                <c:pt idx="1199">
                  <c:v>0.10414112130000019</c:v>
                </c:pt>
                <c:pt idx="1200">
                  <c:v>0.10414112130000019</c:v>
                </c:pt>
                <c:pt idx="1201">
                  <c:v>0.10414113799999992</c:v>
                </c:pt>
                <c:pt idx="1202">
                  <c:v>0.10414128609999992</c:v>
                </c:pt>
                <c:pt idx="1203">
                  <c:v>0.10414129499999999</c:v>
                </c:pt>
                <c:pt idx="1204">
                  <c:v>0.10672429010000266</c:v>
                </c:pt>
                <c:pt idx="1205">
                  <c:v>0.10690139349999993</c:v>
                </c:pt>
                <c:pt idx="1206">
                  <c:v>0.10691081529999991</c:v>
                </c:pt>
                <c:pt idx="1207">
                  <c:v>0.10691132149999993</c:v>
                </c:pt>
                <c:pt idx="1208">
                  <c:v>0.10861173389999999</c:v>
                </c:pt>
                <c:pt idx="1209">
                  <c:v>0.10863131059999993</c:v>
                </c:pt>
                <c:pt idx="1210">
                  <c:v>0.10868282089999996</c:v>
                </c:pt>
                <c:pt idx="1211">
                  <c:v>0.10868703729999994</c:v>
                </c:pt>
                <c:pt idx="1212">
                  <c:v>0.10868712259999996</c:v>
                </c:pt>
                <c:pt idx="1213">
                  <c:v>0.10868712369999993</c:v>
                </c:pt>
                <c:pt idx="1214">
                  <c:v>0.10868712369999993</c:v>
                </c:pt>
                <c:pt idx="1215">
                  <c:v>0.10868712369999993</c:v>
                </c:pt>
                <c:pt idx="1216">
                  <c:v>0.10868712369999993</c:v>
                </c:pt>
                <c:pt idx="1217">
                  <c:v>0.10868712369999993</c:v>
                </c:pt>
                <c:pt idx="1218">
                  <c:v>0.10868712369999993</c:v>
                </c:pt>
                <c:pt idx="1219">
                  <c:v>0.10868712369999993</c:v>
                </c:pt>
                <c:pt idx="1220">
                  <c:v>0.10868712369999993</c:v>
                </c:pt>
                <c:pt idx="1221">
                  <c:v>0.10868712369999993</c:v>
                </c:pt>
                <c:pt idx="1222">
                  <c:v>0.10868712369999993</c:v>
                </c:pt>
                <c:pt idx="1223">
                  <c:v>0.10868712369999993</c:v>
                </c:pt>
                <c:pt idx="1224">
                  <c:v>0.10868712369999993</c:v>
                </c:pt>
                <c:pt idx="1225">
                  <c:v>0.10868712369999993</c:v>
                </c:pt>
                <c:pt idx="1226">
                  <c:v>0.10868712369999993</c:v>
                </c:pt>
                <c:pt idx="1227">
                  <c:v>0.10868712369999993</c:v>
                </c:pt>
                <c:pt idx="1228">
                  <c:v>0.10868712369999993</c:v>
                </c:pt>
                <c:pt idx="1229">
                  <c:v>0.10868712369999993</c:v>
                </c:pt>
                <c:pt idx="1230">
                  <c:v>0.10868712369999993</c:v>
                </c:pt>
                <c:pt idx="1231">
                  <c:v>0.10868712369999993</c:v>
                </c:pt>
                <c:pt idx="1232">
                  <c:v>0.10868712369999993</c:v>
                </c:pt>
                <c:pt idx="1233">
                  <c:v>0.10938431929999994</c:v>
                </c:pt>
                <c:pt idx="1234">
                  <c:v>0.10945898739999985</c:v>
                </c:pt>
                <c:pt idx="1235">
                  <c:v>0.10947598969999993</c:v>
                </c:pt>
                <c:pt idx="1236">
                  <c:v>0.10947738399999993</c:v>
                </c:pt>
                <c:pt idx="1237">
                  <c:v>0.10947740159999993</c:v>
                </c:pt>
                <c:pt idx="1238">
                  <c:v>0.10947740199999993</c:v>
                </c:pt>
                <c:pt idx="1239">
                  <c:v>0.10947740199999993</c:v>
                </c:pt>
                <c:pt idx="1240">
                  <c:v>0.10947740199999993</c:v>
                </c:pt>
                <c:pt idx="1241">
                  <c:v>0.10947740199999993</c:v>
                </c:pt>
                <c:pt idx="1242">
                  <c:v>0.10947740199999993</c:v>
                </c:pt>
                <c:pt idx="1243">
                  <c:v>0.10947740199999993</c:v>
                </c:pt>
                <c:pt idx="1244">
                  <c:v>0.10980414800000129</c:v>
                </c:pt>
                <c:pt idx="1245">
                  <c:v>0.10989536749999999</c:v>
                </c:pt>
                <c:pt idx="1246">
                  <c:v>0.10990630259999996</c:v>
                </c:pt>
                <c:pt idx="1247">
                  <c:v>0.10990724689999996</c:v>
                </c:pt>
                <c:pt idx="1248">
                  <c:v>0.10990726069999994</c:v>
                </c:pt>
                <c:pt idx="1249">
                  <c:v>0.10990726109999994</c:v>
                </c:pt>
                <c:pt idx="1250">
                  <c:v>0.10990726109999994</c:v>
                </c:pt>
                <c:pt idx="1251">
                  <c:v>0.10990726109999994</c:v>
                </c:pt>
                <c:pt idx="1252">
                  <c:v>0.10990726109999994</c:v>
                </c:pt>
                <c:pt idx="1253">
                  <c:v>0.10990726109999994</c:v>
                </c:pt>
                <c:pt idx="1254">
                  <c:v>0.10990726109999994</c:v>
                </c:pt>
                <c:pt idx="1255">
                  <c:v>0.10990726109999994</c:v>
                </c:pt>
                <c:pt idx="1256">
                  <c:v>0.10990726109999994</c:v>
                </c:pt>
                <c:pt idx="1257">
                  <c:v>0.10990726109999994</c:v>
                </c:pt>
                <c:pt idx="1258">
                  <c:v>0.10990726109999994</c:v>
                </c:pt>
                <c:pt idx="1259">
                  <c:v>0.10990726109999994</c:v>
                </c:pt>
                <c:pt idx="1260">
                  <c:v>0.10990726109999994</c:v>
                </c:pt>
                <c:pt idx="1261">
                  <c:v>0.10990726109999994</c:v>
                </c:pt>
                <c:pt idx="1262">
                  <c:v>0.10990726109999994</c:v>
                </c:pt>
                <c:pt idx="1263">
                  <c:v>0.10990726109999994</c:v>
                </c:pt>
                <c:pt idx="1264">
                  <c:v>0.10990726109999994</c:v>
                </c:pt>
                <c:pt idx="1265">
                  <c:v>0.10990726109999994</c:v>
                </c:pt>
                <c:pt idx="1266">
                  <c:v>0.10990726109999994</c:v>
                </c:pt>
                <c:pt idx="1267">
                  <c:v>0.10990726109999994</c:v>
                </c:pt>
                <c:pt idx="1268">
                  <c:v>0.10990726109999994</c:v>
                </c:pt>
                <c:pt idx="1269">
                  <c:v>0.10990726109999994</c:v>
                </c:pt>
                <c:pt idx="1270">
                  <c:v>0.10990726109999994</c:v>
                </c:pt>
                <c:pt idx="1271">
                  <c:v>0.10990726109999994</c:v>
                </c:pt>
                <c:pt idx="1272">
                  <c:v>0.10990726109999994</c:v>
                </c:pt>
                <c:pt idx="1273">
                  <c:v>0.10990726109999994</c:v>
                </c:pt>
                <c:pt idx="1274">
                  <c:v>0.10990726109999994</c:v>
                </c:pt>
                <c:pt idx="1275">
                  <c:v>0.10990726109999994</c:v>
                </c:pt>
                <c:pt idx="1276">
                  <c:v>0.10990726109999994</c:v>
                </c:pt>
                <c:pt idx="1277">
                  <c:v>0.10990726109999994</c:v>
                </c:pt>
                <c:pt idx="1278">
                  <c:v>0.10990726109999994</c:v>
                </c:pt>
                <c:pt idx="1279">
                  <c:v>0.10990726109999994</c:v>
                </c:pt>
                <c:pt idx="1280">
                  <c:v>0.10990726109999994</c:v>
                </c:pt>
                <c:pt idx="1281">
                  <c:v>0.10990726109999994</c:v>
                </c:pt>
                <c:pt idx="1282">
                  <c:v>0.10990726109999994</c:v>
                </c:pt>
                <c:pt idx="1283">
                  <c:v>0.10990726109999994</c:v>
                </c:pt>
                <c:pt idx="1284">
                  <c:v>0.10990726109999994</c:v>
                </c:pt>
                <c:pt idx="1285">
                  <c:v>0.10990726109999994</c:v>
                </c:pt>
                <c:pt idx="1286">
                  <c:v>0.10990726109999994</c:v>
                </c:pt>
                <c:pt idx="1287">
                  <c:v>0.10990726109999994</c:v>
                </c:pt>
                <c:pt idx="1288">
                  <c:v>0.10990726109999994</c:v>
                </c:pt>
                <c:pt idx="1289">
                  <c:v>0.10990726109999994</c:v>
                </c:pt>
                <c:pt idx="1290">
                  <c:v>0.10990726109999994</c:v>
                </c:pt>
                <c:pt idx="1291">
                  <c:v>0.10990726109999994</c:v>
                </c:pt>
                <c:pt idx="1292">
                  <c:v>0.10990726109999994</c:v>
                </c:pt>
                <c:pt idx="1293">
                  <c:v>0.10990726109999994</c:v>
                </c:pt>
                <c:pt idx="1294">
                  <c:v>0.10990726109999994</c:v>
                </c:pt>
                <c:pt idx="1295">
                  <c:v>0.10990726109999994</c:v>
                </c:pt>
                <c:pt idx="1296">
                  <c:v>0.10990726109999994</c:v>
                </c:pt>
                <c:pt idx="1297">
                  <c:v>0.10990726109999994</c:v>
                </c:pt>
                <c:pt idx="1298">
                  <c:v>0.10990726109999994</c:v>
                </c:pt>
                <c:pt idx="1299">
                  <c:v>0.10990726109999994</c:v>
                </c:pt>
                <c:pt idx="1300">
                  <c:v>0.10990726109999994</c:v>
                </c:pt>
                <c:pt idx="1301">
                  <c:v>0.10990726109999994</c:v>
                </c:pt>
                <c:pt idx="1302">
                  <c:v>0.10990726109999994</c:v>
                </c:pt>
                <c:pt idx="1303">
                  <c:v>0.10990726109999994</c:v>
                </c:pt>
                <c:pt idx="1304">
                  <c:v>0.10990726109999994</c:v>
                </c:pt>
                <c:pt idx="1305">
                  <c:v>0.11043192629999994</c:v>
                </c:pt>
                <c:pt idx="1306">
                  <c:v>0.11233400619999995</c:v>
                </c:pt>
                <c:pt idx="1307">
                  <c:v>0.11234056059999988</c:v>
                </c:pt>
                <c:pt idx="1308">
                  <c:v>0.11234222279999996</c:v>
                </c:pt>
                <c:pt idx="1309">
                  <c:v>0.11234247329999995</c:v>
                </c:pt>
                <c:pt idx="1310">
                  <c:v>0.11234248409999995</c:v>
                </c:pt>
                <c:pt idx="1311">
                  <c:v>0.11234248419999639</c:v>
                </c:pt>
                <c:pt idx="1312">
                  <c:v>0.11234248439999985</c:v>
                </c:pt>
                <c:pt idx="1313">
                  <c:v>0.11234248439999985</c:v>
                </c:pt>
                <c:pt idx="1314">
                  <c:v>0.11234248439999985</c:v>
                </c:pt>
                <c:pt idx="1315">
                  <c:v>0.11234248439999985</c:v>
                </c:pt>
                <c:pt idx="1316">
                  <c:v>0.11234248439999985</c:v>
                </c:pt>
                <c:pt idx="1317">
                  <c:v>0.11234248439999985</c:v>
                </c:pt>
                <c:pt idx="1318">
                  <c:v>0.11234248439999985</c:v>
                </c:pt>
                <c:pt idx="1319">
                  <c:v>0.11234248439999985</c:v>
                </c:pt>
                <c:pt idx="1320">
                  <c:v>0.11234248439999985</c:v>
                </c:pt>
                <c:pt idx="1321">
                  <c:v>0.11234248439999985</c:v>
                </c:pt>
                <c:pt idx="1322">
                  <c:v>0.11234248439999985</c:v>
                </c:pt>
                <c:pt idx="1323">
                  <c:v>0.11234248439999985</c:v>
                </c:pt>
                <c:pt idx="1324">
                  <c:v>0.11234248439999985</c:v>
                </c:pt>
                <c:pt idx="1325">
                  <c:v>0.11234248439999985</c:v>
                </c:pt>
                <c:pt idx="1326">
                  <c:v>0.11234248439999985</c:v>
                </c:pt>
                <c:pt idx="1327">
                  <c:v>0.11234248439999985</c:v>
                </c:pt>
                <c:pt idx="1328">
                  <c:v>0.11234248439999985</c:v>
                </c:pt>
                <c:pt idx="1329">
                  <c:v>0.11234248439999985</c:v>
                </c:pt>
                <c:pt idx="1330">
                  <c:v>0.11234248439999985</c:v>
                </c:pt>
                <c:pt idx="1331">
                  <c:v>0.11234248439999985</c:v>
                </c:pt>
                <c:pt idx="1332">
                  <c:v>0.11234248439999985</c:v>
                </c:pt>
                <c:pt idx="1333">
                  <c:v>0.11234248439999985</c:v>
                </c:pt>
                <c:pt idx="1334">
                  <c:v>0.11234248439999985</c:v>
                </c:pt>
                <c:pt idx="1335">
                  <c:v>0.11234248439999985</c:v>
                </c:pt>
                <c:pt idx="1336">
                  <c:v>0.11234248439999985</c:v>
                </c:pt>
                <c:pt idx="1337">
                  <c:v>0.11234248439999985</c:v>
                </c:pt>
                <c:pt idx="1338">
                  <c:v>0.11234248439999985</c:v>
                </c:pt>
                <c:pt idx="1339">
                  <c:v>0.11234248439999985</c:v>
                </c:pt>
                <c:pt idx="1340">
                  <c:v>0.11234248439999985</c:v>
                </c:pt>
                <c:pt idx="1341">
                  <c:v>0.11234248439999985</c:v>
                </c:pt>
                <c:pt idx="1342">
                  <c:v>0.11234248439999985</c:v>
                </c:pt>
                <c:pt idx="1343">
                  <c:v>0.11234248439999985</c:v>
                </c:pt>
                <c:pt idx="1344">
                  <c:v>0.11234248439999985</c:v>
                </c:pt>
                <c:pt idx="1345">
                  <c:v>0.11234248439999985</c:v>
                </c:pt>
                <c:pt idx="1346">
                  <c:v>0.11234248439999985</c:v>
                </c:pt>
                <c:pt idx="1347">
                  <c:v>0.11234248439999985</c:v>
                </c:pt>
                <c:pt idx="1348">
                  <c:v>0.11234248439999985</c:v>
                </c:pt>
                <c:pt idx="1349">
                  <c:v>0.11234248439999985</c:v>
                </c:pt>
                <c:pt idx="1350">
                  <c:v>0.11234248439999985</c:v>
                </c:pt>
                <c:pt idx="1351">
                  <c:v>0.11234248439999985</c:v>
                </c:pt>
                <c:pt idx="1352">
                  <c:v>0.11234248439999985</c:v>
                </c:pt>
                <c:pt idx="1353">
                  <c:v>0.11234248439999985</c:v>
                </c:pt>
                <c:pt idx="1354">
                  <c:v>0.11234248439999985</c:v>
                </c:pt>
                <c:pt idx="1355">
                  <c:v>0.11234248439999985</c:v>
                </c:pt>
                <c:pt idx="1356">
                  <c:v>0.11234248439999985</c:v>
                </c:pt>
                <c:pt idx="1357">
                  <c:v>0.11234248439999985</c:v>
                </c:pt>
                <c:pt idx="1358">
                  <c:v>0.11234248439999985</c:v>
                </c:pt>
                <c:pt idx="1359">
                  <c:v>0.11234248439999985</c:v>
                </c:pt>
                <c:pt idx="1360">
                  <c:v>0.11234248439999985</c:v>
                </c:pt>
                <c:pt idx="1361">
                  <c:v>0.11234248439999985</c:v>
                </c:pt>
                <c:pt idx="1362">
                  <c:v>0.11234248439999985</c:v>
                </c:pt>
                <c:pt idx="1363">
                  <c:v>0.11234248439999985</c:v>
                </c:pt>
                <c:pt idx="1364">
                  <c:v>0.11234248439999985</c:v>
                </c:pt>
                <c:pt idx="1365">
                  <c:v>0.11234248439999985</c:v>
                </c:pt>
                <c:pt idx="1366">
                  <c:v>0.11234248439999985</c:v>
                </c:pt>
                <c:pt idx="1367">
                  <c:v>0.11234248439999985</c:v>
                </c:pt>
                <c:pt idx="1368">
                  <c:v>0.11234248439999985</c:v>
                </c:pt>
                <c:pt idx="1369">
                  <c:v>0.11234248439999985</c:v>
                </c:pt>
                <c:pt idx="1370">
                  <c:v>0.11234248439999985</c:v>
                </c:pt>
                <c:pt idx="1371">
                  <c:v>0.11234248439999985</c:v>
                </c:pt>
                <c:pt idx="1372">
                  <c:v>0.11234248439999985</c:v>
                </c:pt>
                <c:pt idx="1373">
                  <c:v>0.11234248439999985</c:v>
                </c:pt>
                <c:pt idx="1374">
                  <c:v>0.11234248439999985</c:v>
                </c:pt>
                <c:pt idx="1375">
                  <c:v>0.11234248439999985</c:v>
                </c:pt>
                <c:pt idx="1376">
                  <c:v>0.11234248439999985</c:v>
                </c:pt>
                <c:pt idx="1377">
                  <c:v>0.11234248439999985</c:v>
                </c:pt>
                <c:pt idx="1378">
                  <c:v>0.11234248439999985</c:v>
                </c:pt>
                <c:pt idx="1379">
                  <c:v>0.11234248439999985</c:v>
                </c:pt>
                <c:pt idx="1380">
                  <c:v>0.11234248439999985</c:v>
                </c:pt>
                <c:pt idx="1381">
                  <c:v>0.11234248439999985</c:v>
                </c:pt>
                <c:pt idx="1382">
                  <c:v>0.11234248439999985</c:v>
                </c:pt>
                <c:pt idx="1383">
                  <c:v>0.11234248439999985</c:v>
                </c:pt>
                <c:pt idx="1384">
                  <c:v>0.11234248439999985</c:v>
                </c:pt>
                <c:pt idx="1385">
                  <c:v>0.11234248439999985</c:v>
                </c:pt>
                <c:pt idx="1386">
                  <c:v>0.11234248439999985</c:v>
                </c:pt>
                <c:pt idx="1387">
                  <c:v>0.11234248439999985</c:v>
                </c:pt>
                <c:pt idx="1388">
                  <c:v>0.11234248439999985</c:v>
                </c:pt>
                <c:pt idx="1389">
                  <c:v>0.11234248439999985</c:v>
                </c:pt>
                <c:pt idx="1390">
                  <c:v>0.11234248439999985</c:v>
                </c:pt>
                <c:pt idx="1391">
                  <c:v>0.11234248439999985</c:v>
                </c:pt>
                <c:pt idx="1392">
                  <c:v>0.11234248439999985</c:v>
                </c:pt>
                <c:pt idx="1393">
                  <c:v>0.11234248439999985</c:v>
                </c:pt>
                <c:pt idx="1394">
                  <c:v>0.11234248439999985</c:v>
                </c:pt>
                <c:pt idx="1395">
                  <c:v>0.11234248439999985</c:v>
                </c:pt>
                <c:pt idx="1396">
                  <c:v>0.11234248439999985</c:v>
                </c:pt>
                <c:pt idx="1397">
                  <c:v>0.11234248439999985</c:v>
                </c:pt>
                <c:pt idx="1398">
                  <c:v>0.11234248439999985</c:v>
                </c:pt>
                <c:pt idx="1399">
                  <c:v>0.11234248439999985</c:v>
                </c:pt>
                <c:pt idx="1400">
                  <c:v>0.11234248439999985</c:v>
                </c:pt>
                <c:pt idx="1401">
                  <c:v>0.11234248439999985</c:v>
                </c:pt>
                <c:pt idx="1402">
                  <c:v>0.11234248439999985</c:v>
                </c:pt>
                <c:pt idx="1403">
                  <c:v>0.11234248439999985</c:v>
                </c:pt>
                <c:pt idx="1404">
                  <c:v>0.11234248439999985</c:v>
                </c:pt>
                <c:pt idx="1405">
                  <c:v>0.11234248439999985</c:v>
                </c:pt>
                <c:pt idx="1406">
                  <c:v>0.11234248439999985</c:v>
                </c:pt>
                <c:pt idx="1407">
                  <c:v>0.11234248439999985</c:v>
                </c:pt>
                <c:pt idx="1408">
                  <c:v>0.11234248439999985</c:v>
                </c:pt>
                <c:pt idx="1409">
                  <c:v>0.11234248439999985</c:v>
                </c:pt>
                <c:pt idx="1410">
                  <c:v>0.11234248439999985</c:v>
                </c:pt>
                <c:pt idx="1411">
                  <c:v>0.11234248439999985</c:v>
                </c:pt>
                <c:pt idx="1412">
                  <c:v>0.11234248439999985</c:v>
                </c:pt>
                <c:pt idx="1413">
                  <c:v>0.11234248439999985</c:v>
                </c:pt>
                <c:pt idx="1414">
                  <c:v>0.11234248439999985</c:v>
                </c:pt>
                <c:pt idx="1415">
                  <c:v>0.11234248439999985</c:v>
                </c:pt>
                <c:pt idx="1416">
                  <c:v>0.11234248439999985</c:v>
                </c:pt>
                <c:pt idx="1417">
                  <c:v>0.11234248439999985</c:v>
                </c:pt>
                <c:pt idx="1418">
                  <c:v>0.11234248439999985</c:v>
                </c:pt>
                <c:pt idx="1419">
                  <c:v>0.11234248439999985</c:v>
                </c:pt>
                <c:pt idx="1420">
                  <c:v>0.11234248439999985</c:v>
                </c:pt>
                <c:pt idx="1421">
                  <c:v>0.11234248439999985</c:v>
                </c:pt>
                <c:pt idx="1422">
                  <c:v>0.11234248439999985</c:v>
                </c:pt>
                <c:pt idx="1423">
                  <c:v>0.11234248439999985</c:v>
                </c:pt>
                <c:pt idx="1424">
                  <c:v>0.11234248439999985</c:v>
                </c:pt>
                <c:pt idx="1425">
                  <c:v>0.11234248439999985</c:v>
                </c:pt>
                <c:pt idx="1426">
                  <c:v>0.11234248439999985</c:v>
                </c:pt>
                <c:pt idx="1427">
                  <c:v>0.11234248439999985</c:v>
                </c:pt>
                <c:pt idx="1428">
                  <c:v>0.11234248439999985</c:v>
                </c:pt>
                <c:pt idx="1429">
                  <c:v>0.11234248439999985</c:v>
                </c:pt>
                <c:pt idx="1430">
                  <c:v>0.11234248439999985</c:v>
                </c:pt>
                <c:pt idx="1431">
                  <c:v>0.11234248439999985</c:v>
                </c:pt>
                <c:pt idx="1432">
                  <c:v>0.11234248439999985</c:v>
                </c:pt>
                <c:pt idx="1433">
                  <c:v>0.11234248439999985</c:v>
                </c:pt>
                <c:pt idx="1434">
                  <c:v>0.11234248439999985</c:v>
                </c:pt>
                <c:pt idx="1435">
                  <c:v>0.11234248439999985</c:v>
                </c:pt>
                <c:pt idx="1436">
                  <c:v>0.11234248439999985</c:v>
                </c:pt>
                <c:pt idx="1437">
                  <c:v>0.11234248439999985</c:v>
                </c:pt>
                <c:pt idx="1438">
                  <c:v>0.11234248439999985</c:v>
                </c:pt>
                <c:pt idx="1439">
                  <c:v>0.11234248439999985</c:v>
                </c:pt>
                <c:pt idx="1440">
                  <c:v>0.11234248439999985</c:v>
                </c:pt>
                <c:pt idx="1441">
                  <c:v>0.11234248439999985</c:v>
                </c:pt>
                <c:pt idx="1442">
                  <c:v>0.11234248439999985</c:v>
                </c:pt>
                <c:pt idx="1443">
                  <c:v>0.11234248439999985</c:v>
                </c:pt>
                <c:pt idx="1444">
                  <c:v>0.11234248439999985</c:v>
                </c:pt>
                <c:pt idx="1445">
                  <c:v>0.11234248439999985</c:v>
                </c:pt>
                <c:pt idx="1446">
                  <c:v>0.11234248439999985</c:v>
                </c:pt>
                <c:pt idx="1447">
                  <c:v>0.11234248439999985</c:v>
                </c:pt>
                <c:pt idx="1448">
                  <c:v>0.11234248439999985</c:v>
                </c:pt>
                <c:pt idx="1449">
                  <c:v>0.11234248439999985</c:v>
                </c:pt>
                <c:pt idx="1450">
                  <c:v>0.11234248439999985</c:v>
                </c:pt>
                <c:pt idx="1451">
                  <c:v>0.11234248439999985</c:v>
                </c:pt>
                <c:pt idx="1452">
                  <c:v>0.11234248439999985</c:v>
                </c:pt>
                <c:pt idx="1453">
                  <c:v>0.11234248439999985</c:v>
                </c:pt>
                <c:pt idx="1454">
                  <c:v>0.11234248439999985</c:v>
                </c:pt>
                <c:pt idx="1455">
                  <c:v>0.11234248439999985</c:v>
                </c:pt>
                <c:pt idx="1456">
                  <c:v>0.11234248439999985</c:v>
                </c:pt>
                <c:pt idx="1457">
                  <c:v>0.11234248439999985</c:v>
                </c:pt>
                <c:pt idx="1458">
                  <c:v>0.11234248439999985</c:v>
                </c:pt>
                <c:pt idx="1459">
                  <c:v>0.11234248439999985</c:v>
                </c:pt>
              </c:numCache>
            </c:numRef>
          </c:val>
        </c:ser>
        <c:ser>
          <c:idx val="1"/>
          <c:order val="1"/>
          <c:tx>
            <c:strRef>
              <c:f>'plot2-prt1'!$Q$1</c:f>
              <c:strCache>
                <c:ptCount val="1"/>
                <c:pt idx="0">
                  <c:v>CumulativeFieldBedload</c:v>
                </c:pt>
              </c:strCache>
            </c:strRef>
          </c:tx>
          <c:marker>
            <c:symbol val="none"/>
          </c:marker>
          <c:cat>
            <c:numRef>
              <c:f>'plot2-prt1'!$O$2:$O$1461</c:f>
              <c:numCache>
                <c:formatCode>d/mm/yyyy</c:formatCode>
                <c:ptCount val="1460"/>
                <c:pt idx="0">
                  <c:v>40057</c:v>
                </c:pt>
                <c:pt idx="1">
                  <c:v>40058</c:v>
                </c:pt>
                <c:pt idx="2">
                  <c:v>40059</c:v>
                </c:pt>
                <c:pt idx="3">
                  <c:v>40060</c:v>
                </c:pt>
                <c:pt idx="4">
                  <c:v>40061</c:v>
                </c:pt>
                <c:pt idx="5">
                  <c:v>40062</c:v>
                </c:pt>
                <c:pt idx="6">
                  <c:v>40063</c:v>
                </c:pt>
                <c:pt idx="7">
                  <c:v>40064</c:v>
                </c:pt>
                <c:pt idx="8">
                  <c:v>40065</c:v>
                </c:pt>
                <c:pt idx="9">
                  <c:v>40066</c:v>
                </c:pt>
                <c:pt idx="10">
                  <c:v>40067</c:v>
                </c:pt>
                <c:pt idx="11">
                  <c:v>40068</c:v>
                </c:pt>
                <c:pt idx="12">
                  <c:v>40069</c:v>
                </c:pt>
                <c:pt idx="13">
                  <c:v>40070</c:v>
                </c:pt>
                <c:pt idx="14">
                  <c:v>40071</c:v>
                </c:pt>
                <c:pt idx="15">
                  <c:v>40072</c:v>
                </c:pt>
                <c:pt idx="16">
                  <c:v>40073</c:v>
                </c:pt>
                <c:pt idx="17">
                  <c:v>40074</c:v>
                </c:pt>
                <c:pt idx="18">
                  <c:v>40075</c:v>
                </c:pt>
                <c:pt idx="19">
                  <c:v>40076</c:v>
                </c:pt>
                <c:pt idx="20">
                  <c:v>40077</c:v>
                </c:pt>
                <c:pt idx="21">
                  <c:v>40078</c:v>
                </c:pt>
                <c:pt idx="22">
                  <c:v>40079</c:v>
                </c:pt>
                <c:pt idx="23">
                  <c:v>40080</c:v>
                </c:pt>
                <c:pt idx="24">
                  <c:v>40081</c:v>
                </c:pt>
                <c:pt idx="25">
                  <c:v>40082</c:v>
                </c:pt>
                <c:pt idx="26">
                  <c:v>40083</c:v>
                </c:pt>
                <c:pt idx="27">
                  <c:v>40084</c:v>
                </c:pt>
                <c:pt idx="28">
                  <c:v>40085</c:v>
                </c:pt>
                <c:pt idx="29">
                  <c:v>40086</c:v>
                </c:pt>
                <c:pt idx="30">
                  <c:v>40087</c:v>
                </c:pt>
                <c:pt idx="31">
                  <c:v>40088</c:v>
                </c:pt>
                <c:pt idx="32">
                  <c:v>40089</c:v>
                </c:pt>
                <c:pt idx="33">
                  <c:v>40090</c:v>
                </c:pt>
                <c:pt idx="34">
                  <c:v>40091</c:v>
                </c:pt>
                <c:pt idx="35">
                  <c:v>40092</c:v>
                </c:pt>
                <c:pt idx="36">
                  <c:v>40093</c:v>
                </c:pt>
                <c:pt idx="37">
                  <c:v>40094</c:v>
                </c:pt>
                <c:pt idx="38">
                  <c:v>40095</c:v>
                </c:pt>
                <c:pt idx="39">
                  <c:v>40096</c:v>
                </c:pt>
                <c:pt idx="40">
                  <c:v>40097</c:v>
                </c:pt>
                <c:pt idx="41">
                  <c:v>40098</c:v>
                </c:pt>
                <c:pt idx="42">
                  <c:v>40099</c:v>
                </c:pt>
                <c:pt idx="43">
                  <c:v>40100</c:v>
                </c:pt>
                <c:pt idx="44">
                  <c:v>40101</c:v>
                </c:pt>
                <c:pt idx="45">
                  <c:v>40102</c:v>
                </c:pt>
                <c:pt idx="46">
                  <c:v>40103</c:v>
                </c:pt>
                <c:pt idx="47">
                  <c:v>40104</c:v>
                </c:pt>
                <c:pt idx="48">
                  <c:v>40105</c:v>
                </c:pt>
                <c:pt idx="49">
                  <c:v>40106</c:v>
                </c:pt>
                <c:pt idx="50">
                  <c:v>40107</c:v>
                </c:pt>
                <c:pt idx="51">
                  <c:v>40108</c:v>
                </c:pt>
                <c:pt idx="52">
                  <c:v>40109</c:v>
                </c:pt>
                <c:pt idx="53">
                  <c:v>40110</c:v>
                </c:pt>
                <c:pt idx="54">
                  <c:v>40111</c:v>
                </c:pt>
                <c:pt idx="55">
                  <c:v>40112</c:v>
                </c:pt>
                <c:pt idx="56">
                  <c:v>40113</c:v>
                </c:pt>
                <c:pt idx="57">
                  <c:v>40114</c:v>
                </c:pt>
                <c:pt idx="58">
                  <c:v>40115</c:v>
                </c:pt>
                <c:pt idx="59">
                  <c:v>40116</c:v>
                </c:pt>
                <c:pt idx="60">
                  <c:v>40117</c:v>
                </c:pt>
                <c:pt idx="61">
                  <c:v>40118</c:v>
                </c:pt>
                <c:pt idx="62">
                  <c:v>40119</c:v>
                </c:pt>
                <c:pt idx="63">
                  <c:v>40120</c:v>
                </c:pt>
                <c:pt idx="64">
                  <c:v>40121</c:v>
                </c:pt>
                <c:pt idx="65">
                  <c:v>40122</c:v>
                </c:pt>
                <c:pt idx="66">
                  <c:v>40123</c:v>
                </c:pt>
                <c:pt idx="67">
                  <c:v>40124</c:v>
                </c:pt>
                <c:pt idx="68">
                  <c:v>40125</c:v>
                </c:pt>
                <c:pt idx="69">
                  <c:v>40126</c:v>
                </c:pt>
                <c:pt idx="70">
                  <c:v>40127</c:v>
                </c:pt>
                <c:pt idx="71">
                  <c:v>40128</c:v>
                </c:pt>
                <c:pt idx="72">
                  <c:v>40129</c:v>
                </c:pt>
                <c:pt idx="73">
                  <c:v>40130</c:v>
                </c:pt>
                <c:pt idx="74">
                  <c:v>40131</c:v>
                </c:pt>
                <c:pt idx="75">
                  <c:v>40132</c:v>
                </c:pt>
                <c:pt idx="76">
                  <c:v>40133</c:v>
                </c:pt>
                <c:pt idx="77">
                  <c:v>40134</c:v>
                </c:pt>
                <c:pt idx="78">
                  <c:v>40135</c:v>
                </c:pt>
                <c:pt idx="79">
                  <c:v>40136</c:v>
                </c:pt>
                <c:pt idx="80">
                  <c:v>40137</c:v>
                </c:pt>
                <c:pt idx="81">
                  <c:v>40138</c:v>
                </c:pt>
                <c:pt idx="82">
                  <c:v>40139</c:v>
                </c:pt>
                <c:pt idx="83">
                  <c:v>40140</c:v>
                </c:pt>
                <c:pt idx="84">
                  <c:v>40141</c:v>
                </c:pt>
                <c:pt idx="85">
                  <c:v>40142</c:v>
                </c:pt>
                <c:pt idx="86">
                  <c:v>40143</c:v>
                </c:pt>
                <c:pt idx="87">
                  <c:v>40144</c:v>
                </c:pt>
                <c:pt idx="88">
                  <c:v>40145</c:v>
                </c:pt>
                <c:pt idx="89">
                  <c:v>40146</c:v>
                </c:pt>
                <c:pt idx="90">
                  <c:v>40147</c:v>
                </c:pt>
                <c:pt idx="91">
                  <c:v>40148</c:v>
                </c:pt>
                <c:pt idx="92">
                  <c:v>40149</c:v>
                </c:pt>
                <c:pt idx="93">
                  <c:v>40150</c:v>
                </c:pt>
                <c:pt idx="94">
                  <c:v>40151</c:v>
                </c:pt>
                <c:pt idx="95">
                  <c:v>40152</c:v>
                </c:pt>
                <c:pt idx="96">
                  <c:v>40153</c:v>
                </c:pt>
                <c:pt idx="97">
                  <c:v>40154</c:v>
                </c:pt>
                <c:pt idx="98">
                  <c:v>40155</c:v>
                </c:pt>
                <c:pt idx="99">
                  <c:v>40156</c:v>
                </c:pt>
                <c:pt idx="100">
                  <c:v>40157</c:v>
                </c:pt>
                <c:pt idx="101">
                  <c:v>40158</c:v>
                </c:pt>
                <c:pt idx="102">
                  <c:v>40159</c:v>
                </c:pt>
                <c:pt idx="103">
                  <c:v>40160</c:v>
                </c:pt>
                <c:pt idx="104">
                  <c:v>40161</c:v>
                </c:pt>
                <c:pt idx="105">
                  <c:v>40162</c:v>
                </c:pt>
                <c:pt idx="106">
                  <c:v>40163</c:v>
                </c:pt>
                <c:pt idx="107">
                  <c:v>40164</c:v>
                </c:pt>
                <c:pt idx="108">
                  <c:v>40165</c:v>
                </c:pt>
                <c:pt idx="109">
                  <c:v>40166</c:v>
                </c:pt>
                <c:pt idx="110">
                  <c:v>40167</c:v>
                </c:pt>
                <c:pt idx="111">
                  <c:v>40168</c:v>
                </c:pt>
                <c:pt idx="112">
                  <c:v>40169</c:v>
                </c:pt>
                <c:pt idx="113">
                  <c:v>40170</c:v>
                </c:pt>
                <c:pt idx="114">
                  <c:v>40171</c:v>
                </c:pt>
                <c:pt idx="115">
                  <c:v>40172</c:v>
                </c:pt>
                <c:pt idx="116">
                  <c:v>40173</c:v>
                </c:pt>
                <c:pt idx="117">
                  <c:v>40174</c:v>
                </c:pt>
                <c:pt idx="118">
                  <c:v>40175</c:v>
                </c:pt>
                <c:pt idx="119">
                  <c:v>40176</c:v>
                </c:pt>
                <c:pt idx="120">
                  <c:v>40177</c:v>
                </c:pt>
                <c:pt idx="121">
                  <c:v>40178</c:v>
                </c:pt>
                <c:pt idx="122">
                  <c:v>40179</c:v>
                </c:pt>
                <c:pt idx="123">
                  <c:v>40180</c:v>
                </c:pt>
                <c:pt idx="124">
                  <c:v>40181</c:v>
                </c:pt>
                <c:pt idx="125">
                  <c:v>40182</c:v>
                </c:pt>
                <c:pt idx="126">
                  <c:v>40183</c:v>
                </c:pt>
                <c:pt idx="127">
                  <c:v>40184</c:v>
                </c:pt>
                <c:pt idx="128">
                  <c:v>40185</c:v>
                </c:pt>
                <c:pt idx="129">
                  <c:v>40186</c:v>
                </c:pt>
                <c:pt idx="130">
                  <c:v>40187</c:v>
                </c:pt>
                <c:pt idx="131">
                  <c:v>40188</c:v>
                </c:pt>
                <c:pt idx="132">
                  <c:v>40189</c:v>
                </c:pt>
                <c:pt idx="133">
                  <c:v>40190</c:v>
                </c:pt>
                <c:pt idx="134">
                  <c:v>40191</c:v>
                </c:pt>
                <c:pt idx="135">
                  <c:v>40192</c:v>
                </c:pt>
                <c:pt idx="136">
                  <c:v>40193</c:v>
                </c:pt>
                <c:pt idx="137">
                  <c:v>40194</c:v>
                </c:pt>
                <c:pt idx="138">
                  <c:v>40195</c:v>
                </c:pt>
                <c:pt idx="139">
                  <c:v>40196</c:v>
                </c:pt>
                <c:pt idx="140">
                  <c:v>40197</c:v>
                </c:pt>
                <c:pt idx="141">
                  <c:v>40198</c:v>
                </c:pt>
                <c:pt idx="142">
                  <c:v>40199</c:v>
                </c:pt>
                <c:pt idx="143">
                  <c:v>40200</c:v>
                </c:pt>
                <c:pt idx="144">
                  <c:v>40201</c:v>
                </c:pt>
                <c:pt idx="145">
                  <c:v>40202</c:v>
                </c:pt>
                <c:pt idx="146">
                  <c:v>40203</c:v>
                </c:pt>
                <c:pt idx="147">
                  <c:v>40204</c:v>
                </c:pt>
                <c:pt idx="148">
                  <c:v>40205</c:v>
                </c:pt>
                <c:pt idx="149">
                  <c:v>40206</c:v>
                </c:pt>
                <c:pt idx="150">
                  <c:v>40207</c:v>
                </c:pt>
                <c:pt idx="151">
                  <c:v>40208</c:v>
                </c:pt>
                <c:pt idx="152">
                  <c:v>40209</c:v>
                </c:pt>
                <c:pt idx="153">
                  <c:v>40210</c:v>
                </c:pt>
                <c:pt idx="154">
                  <c:v>40211</c:v>
                </c:pt>
                <c:pt idx="155">
                  <c:v>40212</c:v>
                </c:pt>
                <c:pt idx="156">
                  <c:v>40213</c:v>
                </c:pt>
                <c:pt idx="157">
                  <c:v>40214</c:v>
                </c:pt>
                <c:pt idx="158">
                  <c:v>40215</c:v>
                </c:pt>
                <c:pt idx="159">
                  <c:v>40216</c:v>
                </c:pt>
                <c:pt idx="160">
                  <c:v>40217</c:v>
                </c:pt>
                <c:pt idx="161">
                  <c:v>40218</c:v>
                </c:pt>
                <c:pt idx="162">
                  <c:v>40219</c:v>
                </c:pt>
                <c:pt idx="163">
                  <c:v>40220</c:v>
                </c:pt>
                <c:pt idx="164">
                  <c:v>40221</c:v>
                </c:pt>
                <c:pt idx="165">
                  <c:v>40222</c:v>
                </c:pt>
                <c:pt idx="166">
                  <c:v>40223</c:v>
                </c:pt>
                <c:pt idx="167">
                  <c:v>40224</c:v>
                </c:pt>
                <c:pt idx="168">
                  <c:v>40225</c:v>
                </c:pt>
                <c:pt idx="169">
                  <c:v>40226</c:v>
                </c:pt>
                <c:pt idx="170">
                  <c:v>40227</c:v>
                </c:pt>
                <c:pt idx="171">
                  <c:v>40228</c:v>
                </c:pt>
                <c:pt idx="172">
                  <c:v>40229</c:v>
                </c:pt>
                <c:pt idx="173">
                  <c:v>40230</c:v>
                </c:pt>
                <c:pt idx="174">
                  <c:v>40231</c:v>
                </c:pt>
                <c:pt idx="175">
                  <c:v>40232</c:v>
                </c:pt>
                <c:pt idx="176">
                  <c:v>40233</c:v>
                </c:pt>
                <c:pt idx="177">
                  <c:v>40234</c:v>
                </c:pt>
                <c:pt idx="178">
                  <c:v>40235</c:v>
                </c:pt>
                <c:pt idx="179">
                  <c:v>40236</c:v>
                </c:pt>
                <c:pt idx="180">
                  <c:v>40237</c:v>
                </c:pt>
                <c:pt idx="181">
                  <c:v>40238</c:v>
                </c:pt>
                <c:pt idx="182">
                  <c:v>40239</c:v>
                </c:pt>
                <c:pt idx="183">
                  <c:v>40240</c:v>
                </c:pt>
                <c:pt idx="184">
                  <c:v>40241</c:v>
                </c:pt>
                <c:pt idx="185">
                  <c:v>40242</c:v>
                </c:pt>
                <c:pt idx="186">
                  <c:v>40243</c:v>
                </c:pt>
                <c:pt idx="187">
                  <c:v>40244</c:v>
                </c:pt>
                <c:pt idx="188">
                  <c:v>40245</c:v>
                </c:pt>
                <c:pt idx="189">
                  <c:v>40246</c:v>
                </c:pt>
                <c:pt idx="190">
                  <c:v>40247</c:v>
                </c:pt>
                <c:pt idx="191">
                  <c:v>40248</c:v>
                </c:pt>
                <c:pt idx="192">
                  <c:v>40249</c:v>
                </c:pt>
                <c:pt idx="193">
                  <c:v>40250</c:v>
                </c:pt>
                <c:pt idx="194">
                  <c:v>40251</c:v>
                </c:pt>
                <c:pt idx="195">
                  <c:v>40252</c:v>
                </c:pt>
                <c:pt idx="196">
                  <c:v>40253</c:v>
                </c:pt>
                <c:pt idx="197">
                  <c:v>40254</c:v>
                </c:pt>
                <c:pt idx="198">
                  <c:v>40255</c:v>
                </c:pt>
                <c:pt idx="199">
                  <c:v>40256</c:v>
                </c:pt>
                <c:pt idx="200">
                  <c:v>40257</c:v>
                </c:pt>
                <c:pt idx="201">
                  <c:v>40258</c:v>
                </c:pt>
                <c:pt idx="202">
                  <c:v>40259</c:v>
                </c:pt>
                <c:pt idx="203">
                  <c:v>40260</c:v>
                </c:pt>
                <c:pt idx="204">
                  <c:v>40261</c:v>
                </c:pt>
                <c:pt idx="205">
                  <c:v>40262</c:v>
                </c:pt>
                <c:pt idx="206">
                  <c:v>40263</c:v>
                </c:pt>
                <c:pt idx="207">
                  <c:v>40264</c:v>
                </c:pt>
                <c:pt idx="208">
                  <c:v>40265</c:v>
                </c:pt>
                <c:pt idx="209">
                  <c:v>40266</c:v>
                </c:pt>
                <c:pt idx="210">
                  <c:v>40267</c:v>
                </c:pt>
                <c:pt idx="211">
                  <c:v>40268</c:v>
                </c:pt>
                <c:pt idx="212">
                  <c:v>40269</c:v>
                </c:pt>
                <c:pt idx="213">
                  <c:v>40270</c:v>
                </c:pt>
                <c:pt idx="214">
                  <c:v>40271</c:v>
                </c:pt>
                <c:pt idx="215">
                  <c:v>40272</c:v>
                </c:pt>
                <c:pt idx="216">
                  <c:v>40273</c:v>
                </c:pt>
                <c:pt idx="217">
                  <c:v>40274</c:v>
                </c:pt>
                <c:pt idx="218">
                  <c:v>40275</c:v>
                </c:pt>
                <c:pt idx="219">
                  <c:v>40276</c:v>
                </c:pt>
                <c:pt idx="220">
                  <c:v>40277</c:v>
                </c:pt>
                <c:pt idx="221">
                  <c:v>40278</c:v>
                </c:pt>
                <c:pt idx="222">
                  <c:v>40279</c:v>
                </c:pt>
                <c:pt idx="223">
                  <c:v>40280</c:v>
                </c:pt>
                <c:pt idx="224">
                  <c:v>40281</c:v>
                </c:pt>
                <c:pt idx="225">
                  <c:v>40282</c:v>
                </c:pt>
                <c:pt idx="226">
                  <c:v>40283</c:v>
                </c:pt>
                <c:pt idx="227">
                  <c:v>40284</c:v>
                </c:pt>
                <c:pt idx="228">
                  <c:v>40285</c:v>
                </c:pt>
                <c:pt idx="229">
                  <c:v>40286</c:v>
                </c:pt>
                <c:pt idx="230">
                  <c:v>40287</c:v>
                </c:pt>
                <c:pt idx="231">
                  <c:v>40288</c:v>
                </c:pt>
                <c:pt idx="232">
                  <c:v>40289</c:v>
                </c:pt>
                <c:pt idx="233">
                  <c:v>40290</c:v>
                </c:pt>
                <c:pt idx="234">
                  <c:v>40291</c:v>
                </c:pt>
                <c:pt idx="235">
                  <c:v>40292</c:v>
                </c:pt>
                <c:pt idx="236">
                  <c:v>40293</c:v>
                </c:pt>
                <c:pt idx="237">
                  <c:v>40294</c:v>
                </c:pt>
                <c:pt idx="238">
                  <c:v>40295</c:v>
                </c:pt>
                <c:pt idx="239">
                  <c:v>40296</c:v>
                </c:pt>
                <c:pt idx="240">
                  <c:v>40297</c:v>
                </c:pt>
                <c:pt idx="241">
                  <c:v>40298</c:v>
                </c:pt>
                <c:pt idx="242">
                  <c:v>40299</c:v>
                </c:pt>
                <c:pt idx="243">
                  <c:v>40300</c:v>
                </c:pt>
                <c:pt idx="244">
                  <c:v>40301</c:v>
                </c:pt>
                <c:pt idx="245">
                  <c:v>40302</c:v>
                </c:pt>
                <c:pt idx="246">
                  <c:v>40303</c:v>
                </c:pt>
                <c:pt idx="247">
                  <c:v>40304</c:v>
                </c:pt>
                <c:pt idx="248">
                  <c:v>40305</c:v>
                </c:pt>
                <c:pt idx="249">
                  <c:v>40306</c:v>
                </c:pt>
                <c:pt idx="250">
                  <c:v>40307</c:v>
                </c:pt>
                <c:pt idx="251">
                  <c:v>40308</c:v>
                </c:pt>
                <c:pt idx="252">
                  <c:v>40309</c:v>
                </c:pt>
                <c:pt idx="253">
                  <c:v>40310</c:v>
                </c:pt>
                <c:pt idx="254">
                  <c:v>40311</c:v>
                </c:pt>
                <c:pt idx="255">
                  <c:v>40312</c:v>
                </c:pt>
                <c:pt idx="256">
                  <c:v>40313</c:v>
                </c:pt>
                <c:pt idx="257">
                  <c:v>40314</c:v>
                </c:pt>
                <c:pt idx="258">
                  <c:v>40315</c:v>
                </c:pt>
                <c:pt idx="259">
                  <c:v>40316</c:v>
                </c:pt>
                <c:pt idx="260">
                  <c:v>40317</c:v>
                </c:pt>
                <c:pt idx="261">
                  <c:v>40318</c:v>
                </c:pt>
                <c:pt idx="262">
                  <c:v>40319</c:v>
                </c:pt>
                <c:pt idx="263">
                  <c:v>40320</c:v>
                </c:pt>
                <c:pt idx="264">
                  <c:v>40321</c:v>
                </c:pt>
                <c:pt idx="265">
                  <c:v>40322</c:v>
                </c:pt>
                <c:pt idx="266">
                  <c:v>40323</c:v>
                </c:pt>
                <c:pt idx="267">
                  <c:v>40324</c:v>
                </c:pt>
                <c:pt idx="268">
                  <c:v>40325</c:v>
                </c:pt>
                <c:pt idx="269">
                  <c:v>40326</c:v>
                </c:pt>
                <c:pt idx="270">
                  <c:v>40327</c:v>
                </c:pt>
                <c:pt idx="271">
                  <c:v>40328</c:v>
                </c:pt>
                <c:pt idx="272">
                  <c:v>40329</c:v>
                </c:pt>
                <c:pt idx="273">
                  <c:v>40330</c:v>
                </c:pt>
                <c:pt idx="274">
                  <c:v>40331</c:v>
                </c:pt>
                <c:pt idx="275">
                  <c:v>40332</c:v>
                </c:pt>
                <c:pt idx="276">
                  <c:v>40333</c:v>
                </c:pt>
                <c:pt idx="277">
                  <c:v>40334</c:v>
                </c:pt>
                <c:pt idx="278">
                  <c:v>40335</c:v>
                </c:pt>
                <c:pt idx="279">
                  <c:v>40336</c:v>
                </c:pt>
                <c:pt idx="280">
                  <c:v>40337</c:v>
                </c:pt>
                <c:pt idx="281">
                  <c:v>40338</c:v>
                </c:pt>
                <c:pt idx="282">
                  <c:v>40339</c:v>
                </c:pt>
                <c:pt idx="283">
                  <c:v>40340</c:v>
                </c:pt>
                <c:pt idx="284">
                  <c:v>40341</c:v>
                </c:pt>
                <c:pt idx="285">
                  <c:v>40342</c:v>
                </c:pt>
                <c:pt idx="286">
                  <c:v>40343</c:v>
                </c:pt>
                <c:pt idx="287">
                  <c:v>40344</c:v>
                </c:pt>
                <c:pt idx="288">
                  <c:v>40345</c:v>
                </c:pt>
                <c:pt idx="289">
                  <c:v>40346</c:v>
                </c:pt>
                <c:pt idx="290">
                  <c:v>40347</c:v>
                </c:pt>
                <c:pt idx="291">
                  <c:v>40348</c:v>
                </c:pt>
                <c:pt idx="292">
                  <c:v>40349</c:v>
                </c:pt>
                <c:pt idx="293">
                  <c:v>40350</c:v>
                </c:pt>
                <c:pt idx="294">
                  <c:v>40351</c:v>
                </c:pt>
                <c:pt idx="295">
                  <c:v>40352</c:v>
                </c:pt>
                <c:pt idx="296">
                  <c:v>40353</c:v>
                </c:pt>
                <c:pt idx="297">
                  <c:v>40354</c:v>
                </c:pt>
                <c:pt idx="298">
                  <c:v>40355</c:v>
                </c:pt>
                <c:pt idx="299">
                  <c:v>40356</c:v>
                </c:pt>
                <c:pt idx="300">
                  <c:v>40357</c:v>
                </c:pt>
                <c:pt idx="301">
                  <c:v>40358</c:v>
                </c:pt>
                <c:pt idx="302">
                  <c:v>40359</c:v>
                </c:pt>
                <c:pt idx="303">
                  <c:v>40360</c:v>
                </c:pt>
                <c:pt idx="304">
                  <c:v>40361</c:v>
                </c:pt>
                <c:pt idx="305">
                  <c:v>40362</c:v>
                </c:pt>
                <c:pt idx="306">
                  <c:v>40363</c:v>
                </c:pt>
                <c:pt idx="307">
                  <c:v>40364</c:v>
                </c:pt>
                <c:pt idx="308">
                  <c:v>40365</c:v>
                </c:pt>
                <c:pt idx="309">
                  <c:v>40366</c:v>
                </c:pt>
                <c:pt idx="310">
                  <c:v>40367</c:v>
                </c:pt>
                <c:pt idx="311">
                  <c:v>40368</c:v>
                </c:pt>
                <c:pt idx="312">
                  <c:v>40369</c:v>
                </c:pt>
                <c:pt idx="313">
                  <c:v>40370</c:v>
                </c:pt>
                <c:pt idx="314">
                  <c:v>40371</c:v>
                </c:pt>
                <c:pt idx="315">
                  <c:v>40372</c:v>
                </c:pt>
                <c:pt idx="316">
                  <c:v>40373</c:v>
                </c:pt>
                <c:pt idx="317">
                  <c:v>40374</c:v>
                </c:pt>
                <c:pt idx="318">
                  <c:v>40375</c:v>
                </c:pt>
                <c:pt idx="319">
                  <c:v>40376</c:v>
                </c:pt>
                <c:pt idx="320">
                  <c:v>40377</c:v>
                </c:pt>
                <c:pt idx="321">
                  <c:v>40378</c:v>
                </c:pt>
                <c:pt idx="322">
                  <c:v>40379</c:v>
                </c:pt>
                <c:pt idx="323">
                  <c:v>40380</c:v>
                </c:pt>
                <c:pt idx="324">
                  <c:v>40381</c:v>
                </c:pt>
                <c:pt idx="325">
                  <c:v>40382</c:v>
                </c:pt>
                <c:pt idx="326">
                  <c:v>40383</c:v>
                </c:pt>
                <c:pt idx="327">
                  <c:v>40384</c:v>
                </c:pt>
                <c:pt idx="328">
                  <c:v>40385</c:v>
                </c:pt>
                <c:pt idx="329">
                  <c:v>40386</c:v>
                </c:pt>
                <c:pt idx="330">
                  <c:v>40387</c:v>
                </c:pt>
                <c:pt idx="331">
                  <c:v>40388</c:v>
                </c:pt>
                <c:pt idx="332">
                  <c:v>40389</c:v>
                </c:pt>
                <c:pt idx="333">
                  <c:v>40390</c:v>
                </c:pt>
                <c:pt idx="334">
                  <c:v>40391</c:v>
                </c:pt>
                <c:pt idx="335">
                  <c:v>40392</c:v>
                </c:pt>
                <c:pt idx="336">
                  <c:v>40393</c:v>
                </c:pt>
                <c:pt idx="337">
                  <c:v>40394</c:v>
                </c:pt>
                <c:pt idx="338">
                  <c:v>40395</c:v>
                </c:pt>
                <c:pt idx="339">
                  <c:v>40396</c:v>
                </c:pt>
                <c:pt idx="340">
                  <c:v>40397</c:v>
                </c:pt>
                <c:pt idx="341">
                  <c:v>40398</c:v>
                </c:pt>
                <c:pt idx="342">
                  <c:v>40399</c:v>
                </c:pt>
                <c:pt idx="343">
                  <c:v>40400</c:v>
                </c:pt>
                <c:pt idx="344">
                  <c:v>40401</c:v>
                </c:pt>
                <c:pt idx="345">
                  <c:v>40402</c:v>
                </c:pt>
                <c:pt idx="346">
                  <c:v>40403</c:v>
                </c:pt>
                <c:pt idx="347">
                  <c:v>40404</c:v>
                </c:pt>
                <c:pt idx="348">
                  <c:v>40405</c:v>
                </c:pt>
                <c:pt idx="349">
                  <c:v>40406</c:v>
                </c:pt>
                <c:pt idx="350">
                  <c:v>40407</c:v>
                </c:pt>
                <c:pt idx="351">
                  <c:v>40408</c:v>
                </c:pt>
                <c:pt idx="352">
                  <c:v>40409</c:v>
                </c:pt>
                <c:pt idx="353">
                  <c:v>40410</c:v>
                </c:pt>
                <c:pt idx="354">
                  <c:v>40411</c:v>
                </c:pt>
                <c:pt idx="355">
                  <c:v>40412</c:v>
                </c:pt>
                <c:pt idx="356">
                  <c:v>40413</c:v>
                </c:pt>
                <c:pt idx="357">
                  <c:v>40414</c:v>
                </c:pt>
                <c:pt idx="358">
                  <c:v>40415</c:v>
                </c:pt>
                <c:pt idx="359">
                  <c:v>40416</c:v>
                </c:pt>
                <c:pt idx="360">
                  <c:v>40417</c:v>
                </c:pt>
                <c:pt idx="361">
                  <c:v>40418</c:v>
                </c:pt>
                <c:pt idx="362">
                  <c:v>40419</c:v>
                </c:pt>
                <c:pt idx="363">
                  <c:v>40420</c:v>
                </c:pt>
                <c:pt idx="364">
                  <c:v>40421</c:v>
                </c:pt>
                <c:pt idx="365">
                  <c:v>40422</c:v>
                </c:pt>
                <c:pt idx="366">
                  <c:v>40423</c:v>
                </c:pt>
                <c:pt idx="367">
                  <c:v>40424</c:v>
                </c:pt>
                <c:pt idx="368">
                  <c:v>40425</c:v>
                </c:pt>
                <c:pt idx="369">
                  <c:v>40426</c:v>
                </c:pt>
                <c:pt idx="370">
                  <c:v>40427</c:v>
                </c:pt>
                <c:pt idx="371">
                  <c:v>40428</c:v>
                </c:pt>
                <c:pt idx="372">
                  <c:v>40429</c:v>
                </c:pt>
                <c:pt idx="373">
                  <c:v>40430</c:v>
                </c:pt>
                <c:pt idx="374">
                  <c:v>40431</c:v>
                </c:pt>
                <c:pt idx="375">
                  <c:v>40432</c:v>
                </c:pt>
                <c:pt idx="376">
                  <c:v>40433</c:v>
                </c:pt>
                <c:pt idx="377">
                  <c:v>40434</c:v>
                </c:pt>
                <c:pt idx="378">
                  <c:v>40435</c:v>
                </c:pt>
                <c:pt idx="379">
                  <c:v>40436</c:v>
                </c:pt>
                <c:pt idx="380">
                  <c:v>40437</c:v>
                </c:pt>
                <c:pt idx="381">
                  <c:v>40438</c:v>
                </c:pt>
                <c:pt idx="382">
                  <c:v>40439</c:v>
                </c:pt>
                <c:pt idx="383">
                  <c:v>40440</c:v>
                </c:pt>
                <c:pt idx="384">
                  <c:v>40441</c:v>
                </c:pt>
                <c:pt idx="385">
                  <c:v>40442</c:v>
                </c:pt>
                <c:pt idx="386">
                  <c:v>40443</c:v>
                </c:pt>
                <c:pt idx="387">
                  <c:v>40444</c:v>
                </c:pt>
                <c:pt idx="388">
                  <c:v>40445</c:v>
                </c:pt>
                <c:pt idx="389">
                  <c:v>40446</c:v>
                </c:pt>
                <c:pt idx="390">
                  <c:v>40447</c:v>
                </c:pt>
                <c:pt idx="391">
                  <c:v>40448</c:v>
                </c:pt>
                <c:pt idx="392">
                  <c:v>40449</c:v>
                </c:pt>
                <c:pt idx="393">
                  <c:v>40450</c:v>
                </c:pt>
                <c:pt idx="394">
                  <c:v>40451</c:v>
                </c:pt>
                <c:pt idx="395">
                  <c:v>40452</c:v>
                </c:pt>
                <c:pt idx="396">
                  <c:v>40453</c:v>
                </c:pt>
                <c:pt idx="397">
                  <c:v>40454</c:v>
                </c:pt>
                <c:pt idx="398">
                  <c:v>40455</c:v>
                </c:pt>
                <c:pt idx="399">
                  <c:v>40456</c:v>
                </c:pt>
                <c:pt idx="400">
                  <c:v>40457</c:v>
                </c:pt>
                <c:pt idx="401">
                  <c:v>40458</c:v>
                </c:pt>
                <c:pt idx="402">
                  <c:v>40459</c:v>
                </c:pt>
                <c:pt idx="403">
                  <c:v>40460</c:v>
                </c:pt>
                <c:pt idx="404">
                  <c:v>40461</c:v>
                </c:pt>
                <c:pt idx="405">
                  <c:v>40462</c:v>
                </c:pt>
                <c:pt idx="406">
                  <c:v>40463</c:v>
                </c:pt>
                <c:pt idx="407">
                  <c:v>40464</c:v>
                </c:pt>
                <c:pt idx="408">
                  <c:v>40465</c:v>
                </c:pt>
                <c:pt idx="409">
                  <c:v>40466</c:v>
                </c:pt>
                <c:pt idx="410">
                  <c:v>40467</c:v>
                </c:pt>
                <c:pt idx="411">
                  <c:v>40468</c:v>
                </c:pt>
                <c:pt idx="412">
                  <c:v>40469</c:v>
                </c:pt>
                <c:pt idx="413">
                  <c:v>40470</c:v>
                </c:pt>
                <c:pt idx="414">
                  <c:v>40471</c:v>
                </c:pt>
                <c:pt idx="415">
                  <c:v>40472</c:v>
                </c:pt>
                <c:pt idx="416">
                  <c:v>40473</c:v>
                </c:pt>
                <c:pt idx="417">
                  <c:v>40474</c:v>
                </c:pt>
                <c:pt idx="418">
                  <c:v>40475</c:v>
                </c:pt>
                <c:pt idx="419">
                  <c:v>40476</c:v>
                </c:pt>
                <c:pt idx="420">
                  <c:v>40477</c:v>
                </c:pt>
                <c:pt idx="421">
                  <c:v>40478</c:v>
                </c:pt>
                <c:pt idx="422">
                  <c:v>40479</c:v>
                </c:pt>
                <c:pt idx="423">
                  <c:v>40480</c:v>
                </c:pt>
                <c:pt idx="424">
                  <c:v>40481</c:v>
                </c:pt>
                <c:pt idx="425">
                  <c:v>40482</c:v>
                </c:pt>
                <c:pt idx="426">
                  <c:v>40483</c:v>
                </c:pt>
                <c:pt idx="427">
                  <c:v>40484</c:v>
                </c:pt>
                <c:pt idx="428">
                  <c:v>40485</c:v>
                </c:pt>
                <c:pt idx="429">
                  <c:v>40486</c:v>
                </c:pt>
                <c:pt idx="430">
                  <c:v>40487</c:v>
                </c:pt>
                <c:pt idx="431">
                  <c:v>40488</c:v>
                </c:pt>
                <c:pt idx="432">
                  <c:v>40489</c:v>
                </c:pt>
                <c:pt idx="433">
                  <c:v>40490</c:v>
                </c:pt>
                <c:pt idx="434">
                  <c:v>40491</c:v>
                </c:pt>
                <c:pt idx="435">
                  <c:v>40492</c:v>
                </c:pt>
                <c:pt idx="436">
                  <c:v>40493</c:v>
                </c:pt>
                <c:pt idx="437">
                  <c:v>40494</c:v>
                </c:pt>
                <c:pt idx="438">
                  <c:v>40495</c:v>
                </c:pt>
                <c:pt idx="439">
                  <c:v>40496</c:v>
                </c:pt>
                <c:pt idx="440">
                  <c:v>40497</c:v>
                </c:pt>
                <c:pt idx="441">
                  <c:v>40498</c:v>
                </c:pt>
                <c:pt idx="442">
                  <c:v>40499</c:v>
                </c:pt>
                <c:pt idx="443">
                  <c:v>40500</c:v>
                </c:pt>
                <c:pt idx="444">
                  <c:v>40501</c:v>
                </c:pt>
                <c:pt idx="445">
                  <c:v>40502</c:v>
                </c:pt>
                <c:pt idx="446">
                  <c:v>40503</c:v>
                </c:pt>
                <c:pt idx="447">
                  <c:v>40504</c:v>
                </c:pt>
                <c:pt idx="448">
                  <c:v>40505</c:v>
                </c:pt>
                <c:pt idx="449">
                  <c:v>40506</c:v>
                </c:pt>
                <c:pt idx="450">
                  <c:v>40507</c:v>
                </c:pt>
                <c:pt idx="451">
                  <c:v>40508</c:v>
                </c:pt>
                <c:pt idx="452">
                  <c:v>40509</c:v>
                </c:pt>
                <c:pt idx="453">
                  <c:v>40510</c:v>
                </c:pt>
                <c:pt idx="454">
                  <c:v>40511</c:v>
                </c:pt>
                <c:pt idx="455">
                  <c:v>40512</c:v>
                </c:pt>
                <c:pt idx="456">
                  <c:v>40513</c:v>
                </c:pt>
                <c:pt idx="457">
                  <c:v>40514</c:v>
                </c:pt>
                <c:pt idx="458">
                  <c:v>40515</c:v>
                </c:pt>
                <c:pt idx="459">
                  <c:v>40516</c:v>
                </c:pt>
                <c:pt idx="460">
                  <c:v>40517</c:v>
                </c:pt>
                <c:pt idx="461">
                  <c:v>40518</c:v>
                </c:pt>
                <c:pt idx="462">
                  <c:v>40519</c:v>
                </c:pt>
                <c:pt idx="463">
                  <c:v>40520</c:v>
                </c:pt>
                <c:pt idx="464">
                  <c:v>40521</c:v>
                </c:pt>
                <c:pt idx="465">
                  <c:v>40522</c:v>
                </c:pt>
                <c:pt idx="466">
                  <c:v>40523</c:v>
                </c:pt>
                <c:pt idx="467">
                  <c:v>40524</c:v>
                </c:pt>
                <c:pt idx="468">
                  <c:v>40525</c:v>
                </c:pt>
                <c:pt idx="469">
                  <c:v>40526</c:v>
                </c:pt>
                <c:pt idx="470">
                  <c:v>40527</c:v>
                </c:pt>
                <c:pt idx="471">
                  <c:v>40528</c:v>
                </c:pt>
                <c:pt idx="472">
                  <c:v>40529</c:v>
                </c:pt>
                <c:pt idx="473">
                  <c:v>40530</c:v>
                </c:pt>
                <c:pt idx="474">
                  <c:v>40531</c:v>
                </c:pt>
                <c:pt idx="475">
                  <c:v>40532</c:v>
                </c:pt>
                <c:pt idx="476">
                  <c:v>40533</c:v>
                </c:pt>
                <c:pt idx="477">
                  <c:v>40534</c:v>
                </c:pt>
                <c:pt idx="478">
                  <c:v>40535</c:v>
                </c:pt>
                <c:pt idx="479">
                  <c:v>40536</c:v>
                </c:pt>
                <c:pt idx="480">
                  <c:v>40537</c:v>
                </c:pt>
                <c:pt idx="481">
                  <c:v>40538</c:v>
                </c:pt>
                <c:pt idx="482">
                  <c:v>40539</c:v>
                </c:pt>
                <c:pt idx="483">
                  <c:v>40540</c:v>
                </c:pt>
                <c:pt idx="484">
                  <c:v>40541</c:v>
                </c:pt>
                <c:pt idx="485">
                  <c:v>40542</c:v>
                </c:pt>
                <c:pt idx="486">
                  <c:v>40543</c:v>
                </c:pt>
                <c:pt idx="487">
                  <c:v>40544</c:v>
                </c:pt>
                <c:pt idx="488">
                  <c:v>40545</c:v>
                </c:pt>
                <c:pt idx="489">
                  <c:v>40546</c:v>
                </c:pt>
                <c:pt idx="490">
                  <c:v>40547</c:v>
                </c:pt>
                <c:pt idx="491">
                  <c:v>40548</c:v>
                </c:pt>
                <c:pt idx="492">
                  <c:v>40549</c:v>
                </c:pt>
                <c:pt idx="493">
                  <c:v>40550</c:v>
                </c:pt>
                <c:pt idx="494">
                  <c:v>40551</c:v>
                </c:pt>
                <c:pt idx="495">
                  <c:v>40552</c:v>
                </c:pt>
                <c:pt idx="496">
                  <c:v>40553</c:v>
                </c:pt>
                <c:pt idx="497">
                  <c:v>40554</c:v>
                </c:pt>
                <c:pt idx="498">
                  <c:v>40555</c:v>
                </c:pt>
                <c:pt idx="499">
                  <c:v>40556</c:v>
                </c:pt>
                <c:pt idx="500">
                  <c:v>40557</c:v>
                </c:pt>
                <c:pt idx="501">
                  <c:v>40558</c:v>
                </c:pt>
                <c:pt idx="502">
                  <c:v>40559</c:v>
                </c:pt>
                <c:pt idx="503">
                  <c:v>40560</c:v>
                </c:pt>
                <c:pt idx="504">
                  <c:v>40561</c:v>
                </c:pt>
                <c:pt idx="505">
                  <c:v>40562</c:v>
                </c:pt>
                <c:pt idx="506">
                  <c:v>40563</c:v>
                </c:pt>
                <c:pt idx="507">
                  <c:v>40564</c:v>
                </c:pt>
                <c:pt idx="508">
                  <c:v>40565</c:v>
                </c:pt>
                <c:pt idx="509">
                  <c:v>40566</c:v>
                </c:pt>
                <c:pt idx="510">
                  <c:v>40567</c:v>
                </c:pt>
                <c:pt idx="511">
                  <c:v>40568</c:v>
                </c:pt>
                <c:pt idx="512">
                  <c:v>40569</c:v>
                </c:pt>
                <c:pt idx="513">
                  <c:v>40570</c:v>
                </c:pt>
                <c:pt idx="514">
                  <c:v>40571</c:v>
                </c:pt>
                <c:pt idx="515">
                  <c:v>40572</c:v>
                </c:pt>
                <c:pt idx="516">
                  <c:v>40573</c:v>
                </c:pt>
                <c:pt idx="517">
                  <c:v>40574</c:v>
                </c:pt>
                <c:pt idx="518">
                  <c:v>40575</c:v>
                </c:pt>
                <c:pt idx="519">
                  <c:v>40576</c:v>
                </c:pt>
                <c:pt idx="520">
                  <c:v>40577</c:v>
                </c:pt>
                <c:pt idx="521">
                  <c:v>40578</c:v>
                </c:pt>
                <c:pt idx="522">
                  <c:v>40579</c:v>
                </c:pt>
                <c:pt idx="523">
                  <c:v>40580</c:v>
                </c:pt>
                <c:pt idx="524">
                  <c:v>40581</c:v>
                </c:pt>
                <c:pt idx="525">
                  <c:v>40582</c:v>
                </c:pt>
                <c:pt idx="526">
                  <c:v>40583</c:v>
                </c:pt>
                <c:pt idx="527">
                  <c:v>40584</c:v>
                </c:pt>
                <c:pt idx="528">
                  <c:v>40585</c:v>
                </c:pt>
                <c:pt idx="529">
                  <c:v>40586</c:v>
                </c:pt>
                <c:pt idx="530">
                  <c:v>40587</c:v>
                </c:pt>
                <c:pt idx="531">
                  <c:v>40588</c:v>
                </c:pt>
                <c:pt idx="532">
                  <c:v>40589</c:v>
                </c:pt>
                <c:pt idx="533">
                  <c:v>40590</c:v>
                </c:pt>
                <c:pt idx="534">
                  <c:v>40591</c:v>
                </c:pt>
                <c:pt idx="535">
                  <c:v>40592</c:v>
                </c:pt>
                <c:pt idx="536">
                  <c:v>40593</c:v>
                </c:pt>
                <c:pt idx="537">
                  <c:v>40594</c:v>
                </c:pt>
                <c:pt idx="538">
                  <c:v>40595</c:v>
                </c:pt>
                <c:pt idx="539">
                  <c:v>40596</c:v>
                </c:pt>
                <c:pt idx="540">
                  <c:v>40597</c:v>
                </c:pt>
                <c:pt idx="541">
                  <c:v>40598</c:v>
                </c:pt>
                <c:pt idx="542">
                  <c:v>40599</c:v>
                </c:pt>
                <c:pt idx="543">
                  <c:v>40600</c:v>
                </c:pt>
                <c:pt idx="544">
                  <c:v>40601</c:v>
                </c:pt>
                <c:pt idx="545">
                  <c:v>40602</c:v>
                </c:pt>
                <c:pt idx="546">
                  <c:v>40603</c:v>
                </c:pt>
                <c:pt idx="547">
                  <c:v>40604</c:v>
                </c:pt>
                <c:pt idx="548">
                  <c:v>40605</c:v>
                </c:pt>
                <c:pt idx="549">
                  <c:v>40606</c:v>
                </c:pt>
                <c:pt idx="550">
                  <c:v>40607</c:v>
                </c:pt>
                <c:pt idx="551">
                  <c:v>40608</c:v>
                </c:pt>
                <c:pt idx="552">
                  <c:v>40609</c:v>
                </c:pt>
                <c:pt idx="553">
                  <c:v>40610</c:v>
                </c:pt>
                <c:pt idx="554">
                  <c:v>40611</c:v>
                </c:pt>
                <c:pt idx="555">
                  <c:v>40612</c:v>
                </c:pt>
                <c:pt idx="556">
                  <c:v>40613</c:v>
                </c:pt>
                <c:pt idx="557">
                  <c:v>40614</c:v>
                </c:pt>
                <c:pt idx="558">
                  <c:v>40615</c:v>
                </c:pt>
                <c:pt idx="559">
                  <c:v>40616</c:v>
                </c:pt>
                <c:pt idx="560">
                  <c:v>40617</c:v>
                </c:pt>
                <c:pt idx="561">
                  <c:v>40618</c:v>
                </c:pt>
                <c:pt idx="562">
                  <c:v>40619</c:v>
                </c:pt>
                <c:pt idx="563">
                  <c:v>40620</c:v>
                </c:pt>
                <c:pt idx="564">
                  <c:v>40621</c:v>
                </c:pt>
                <c:pt idx="565">
                  <c:v>40622</c:v>
                </c:pt>
                <c:pt idx="566">
                  <c:v>40623</c:v>
                </c:pt>
                <c:pt idx="567">
                  <c:v>40624</c:v>
                </c:pt>
                <c:pt idx="568">
                  <c:v>40625</c:v>
                </c:pt>
                <c:pt idx="569">
                  <c:v>40626</c:v>
                </c:pt>
                <c:pt idx="570">
                  <c:v>40627</c:v>
                </c:pt>
                <c:pt idx="571">
                  <c:v>40628</c:v>
                </c:pt>
                <c:pt idx="572">
                  <c:v>40629</c:v>
                </c:pt>
                <c:pt idx="573">
                  <c:v>40630</c:v>
                </c:pt>
                <c:pt idx="574">
                  <c:v>40631</c:v>
                </c:pt>
                <c:pt idx="575">
                  <c:v>40632</c:v>
                </c:pt>
                <c:pt idx="576">
                  <c:v>40633</c:v>
                </c:pt>
                <c:pt idx="577">
                  <c:v>40634</c:v>
                </c:pt>
                <c:pt idx="578">
                  <c:v>40635</c:v>
                </c:pt>
                <c:pt idx="579">
                  <c:v>40636</c:v>
                </c:pt>
                <c:pt idx="580">
                  <c:v>40637</c:v>
                </c:pt>
                <c:pt idx="581">
                  <c:v>40638</c:v>
                </c:pt>
                <c:pt idx="582">
                  <c:v>40639</c:v>
                </c:pt>
                <c:pt idx="583">
                  <c:v>40640</c:v>
                </c:pt>
                <c:pt idx="584">
                  <c:v>40641</c:v>
                </c:pt>
                <c:pt idx="585">
                  <c:v>40642</c:v>
                </c:pt>
                <c:pt idx="586">
                  <c:v>40643</c:v>
                </c:pt>
                <c:pt idx="587">
                  <c:v>40644</c:v>
                </c:pt>
                <c:pt idx="588">
                  <c:v>40645</c:v>
                </c:pt>
                <c:pt idx="589">
                  <c:v>40646</c:v>
                </c:pt>
                <c:pt idx="590">
                  <c:v>40647</c:v>
                </c:pt>
                <c:pt idx="591">
                  <c:v>40648</c:v>
                </c:pt>
                <c:pt idx="592">
                  <c:v>40649</c:v>
                </c:pt>
                <c:pt idx="593">
                  <c:v>40650</c:v>
                </c:pt>
                <c:pt idx="594">
                  <c:v>40651</c:v>
                </c:pt>
                <c:pt idx="595">
                  <c:v>40652</c:v>
                </c:pt>
                <c:pt idx="596">
                  <c:v>40653</c:v>
                </c:pt>
                <c:pt idx="597">
                  <c:v>40654</c:v>
                </c:pt>
                <c:pt idx="598">
                  <c:v>40655</c:v>
                </c:pt>
                <c:pt idx="599">
                  <c:v>40656</c:v>
                </c:pt>
                <c:pt idx="600">
                  <c:v>40657</c:v>
                </c:pt>
                <c:pt idx="601">
                  <c:v>40658</c:v>
                </c:pt>
                <c:pt idx="602">
                  <c:v>40659</c:v>
                </c:pt>
                <c:pt idx="603">
                  <c:v>40660</c:v>
                </c:pt>
                <c:pt idx="604">
                  <c:v>40661</c:v>
                </c:pt>
                <c:pt idx="605">
                  <c:v>40662</c:v>
                </c:pt>
                <c:pt idx="606">
                  <c:v>40663</c:v>
                </c:pt>
                <c:pt idx="607">
                  <c:v>40664</c:v>
                </c:pt>
                <c:pt idx="608">
                  <c:v>40665</c:v>
                </c:pt>
                <c:pt idx="609">
                  <c:v>40666</c:v>
                </c:pt>
                <c:pt idx="610">
                  <c:v>40667</c:v>
                </c:pt>
                <c:pt idx="611">
                  <c:v>40668</c:v>
                </c:pt>
                <c:pt idx="612">
                  <c:v>40669</c:v>
                </c:pt>
                <c:pt idx="613">
                  <c:v>40670</c:v>
                </c:pt>
                <c:pt idx="614">
                  <c:v>40671</c:v>
                </c:pt>
                <c:pt idx="615">
                  <c:v>40672</c:v>
                </c:pt>
                <c:pt idx="616">
                  <c:v>40673</c:v>
                </c:pt>
                <c:pt idx="617">
                  <c:v>40674</c:v>
                </c:pt>
                <c:pt idx="618">
                  <c:v>40675</c:v>
                </c:pt>
                <c:pt idx="619">
                  <c:v>40676</c:v>
                </c:pt>
                <c:pt idx="620">
                  <c:v>40677</c:v>
                </c:pt>
                <c:pt idx="621">
                  <c:v>40678</c:v>
                </c:pt>
                <c:pt idx="622">
                  <c:v>40679</c:v>
                </c:pt>
                <c:pt idx="623">
                  <c:v>40680</c:v>
                </c:pt>
                <c:pt idx="624">
                  <c:v>40681</c:v>
                </c:pt>
                <c:pt idx="625">
                  <c:v>40682</c:v>
                </c:pt>
                <c:pt idx="626">
                  <c:v>40683</c:v>
                </c:pt>
                <c:pt idx="627">
                  <c:v>40684</c:v>
                </c:pt>
                <c:pt idx="628">
                  <c:v>40685</c:v>
                </c:pt>
                <c:pt idx="629">
                  <c:v>40686</c:v>
                </c:pt>
                <c:pt idx="630">
                  <c:v>40687</c:v>
                </c:pt>
                <c:pt idx="631">
                  <c:v>40688</c:v>
                </c:pt>
                <c:pt idx="632">
                  <c:v>40689</c:v>
                </c:pt>
                <c:pt idx="633">
                  <c:v>40690</c:v>
                </c:pt>
                <c:pt idx="634">
                  <c:v>40691</c:v>
                </c:pt>
                <c:pt idx="635">
                  <c:v>40692</c:v>
                </c:pt>
                <c:pt idx="636">
                  <c:v>40693</c:v>
                </c:pt>
                <c:pt idx="637">
                  <c:v>40694</c:v>
                </c:pt>
                <c:pt idx="638">
                  <c:v>40695</c:v>
                </c:pt>
                <c:pt idx="639">
                  <c:v>40696</c:v>
                </c:pt>
                <c:pt idx="640">
                  <c:v>40697</c:v>
                </c:pt>
                <c:pt idx="641">
                  <c:v>40698</c:v>
                </c:pt>
                <c:pt idx="642">
                  <c:v>40699</c:v>
                </c:pt>
                <c:pt idx="643">
                  <c:v>40700</c:v>
                </c:pt>
                <c:pt idx="644">
                  <c:v>40701</c:v>
                </c:pt>
                <c:pt idx="645">
                  <c:v>40702</c:v>
                </c:pt>
                <c:pt idx="646">
                  <c:v>40703</c:v>
                </c:pt>
                <c:pt idx="647">
                  <c:v>40704</c:v>
                </c:pt>
                <c:pt idx="648">
                  <c:v>40705</c:v>
                </c:pt>
                <c:pt idx="649">
                  <c:v>40706</c:v>
                </c:pt>
                <c:pt idx="650">
                  <c:v>40707</c:v>
                </c:pt>
                <c:pt idx="651">
                  <c:v>40708</c:v>
                </c:pt>
                <c:pt idx="652">
                  <c:v>40709</c:v>
                </c:pt>
                <c:pt idx="653">
                  <c:v>40710</c:v>
                </c:pt>
                <c:pt idx="654">
                  <c:v>40711</c:v>
                </c:pt>
                <c:pt idx="655">
                  <c:v>40712</c:v>
                </c:pt>
                <c:pt idx="656">
                  <c:v>40713</c:v>
                </c:pt>
                <c:pt idx="657">
                  <c:v>40714</c:v>
                </c:pt>
                <c:pt idx="658">
                  <c:v>40715</c:v>
                </c:pt>
                <c:pt idx="659">
                  <c:v>40716</c:v>
                </c:pt>
                <c:pt idx="660">
                  <c:v>40717</c:v>
                </c:pt>
                <c:pt idx="661">
                  <c:v>40718</c:v>
                </c:pt>
                <c:pt idx="662">
                  <c:v>40719</c:v>
                </c:pt>
                <c:pt idx="663">
                  <c:v>40720</c:v>
                </c:pt>
                <c:pt idx="664">
                  <c:v>40721</c:v>
                </c:pt>
                <c:pt idx="665">
                  <c:v>40722</c:v>
                </c:pt>
                <c:pt idx="666">
                  <c:v>40723</c:v>
                </c:pt>
                <c:pt idx="667">
                  <c:v>40724</c:v>
                </c:pt>
                <c:pt idx="668">
                  <c:v>40725</c:v>
                </c:pt>
                <c:pt idx="669">
                  <c:v>40726</c:v>
                </c:pt>
                <c:pt idx="670">
                  <c:v>40727</c:v>
                </c:pt>
                <c:pt idx="671">
                  <c:v>40728</c:v>
                </c:pt>
                <c:pt idx="672">
                  <c:v>40729</c:v>
                </c:pt>
                <c:pt idx="673">
                  <c:v>40730</c:v>
                </c:pt>
                <c:pt idx="674">
                  <c:v>40731</c:v>
                </c:pt>
                <c:pt idx="675">
                  <c:v>40732</c:v>
                </c:pt>
                <c:pt idx="676">
                  <c:v>40733</c:v>
                </c:pt>
                <c:pt idx="677">
                  <c:v>40734</c:v>
                </c:pt>
                <c:pt idx="678">
                  <c:v>40735</c:v>
                </c:pt>
                <c:pt idx="679">
                  <c:v>40736</c:v>
                </c:pt>
                <c:pt idx="680">
                  <c:v>40737</c:v>
                </c:pt>
                <c:pt idx="681">
                  <c:v>40738</c:v>
                </c:pt>
                <c:pt idx="682">
                  <c:v>40739</c:v>
                </c:pt>
                <c:pt idx="683">
                  <c:v>40740</c:v>
                </c:pt>
                <c:pt idx="684">
                  <c:v>40741</c:v>
                </c:pt>
                <c:pt idx="685">
                  <c:v>40742</c:v>
                </c:pt>
                <c:pt idx="686">
                  <c:v>40743</c:v>
                </c:pt>
                <c:pt idx="687">
                  <c:v>40744</c:v>
                </c:pt>
                <c:pt idx="688">
                  <c:v>40745</c:v>
                </c:pt>
                <c:pt idx="689">
                  <c:v>40746</c:v>
                </c:pt>
                <c:pt idx="690">
                  <c:v>40747</c:v>
                </c:pt>
                <c:pt idx="691">
                  <c:v>40748</c:v>
                </c:pt>
                <c:pt idx="692">
                  <c:v>40749</c:v>
                </c:pt>
                <c:pt idx="693">
                  <c:v>40750</c:v>
                </c:pt>
                <c:pt idx="694">
                  <c:v>40751</c:v>
                </c:pt>
                <c:pt idx="695">
                  <c:v>40752</c:v>
                </c:pt>
                <c:pt idx="696">
                  <c:v>40753</c:v>
                </c:pt>
                <c:pt idx="697">
                  <c:v>40754</c:v>
                </c:pt>
                <c:pt idx="698">
                  <c:v>40755</c:v>
                </c:pt>
                <c:pt idx="699">
                  <c:v>40756</c:v>
                </c:pt>
                <c:pt idx="700">
                  <c:v>40757</c:v>
                </c:pt>
                <c:pt idx="701">
                  <c:v>40758</c:v>
                </c:pt>
                <c:pt idx="702">
                  <c:v>40759</c:v>
                </c:pt>
                <c:pt idx="703">
                  <c:v>40760</c:v>
                </c:pt>
                <c:pt idx="704">
                  <c:v>40761</c:v>
                </c:pt>
                <c:pt idx="705">
                  <c:v>40762</c:v>
                </c:pt>
                <c:pt idx="706">
                  <c:v>40763</c:v>
                </c:pt>
                <c:pt idx="707">
                  <c:v>40764</c:v>
                </c:pt>
                <c:pt idx="708">
                  <c:v>40765</c:v>
                </c:pt>
                <c:pt idx="709">
                  <c:v>40766</c:v>
                </c:pt>
                <c:pt idx="710">
                  <c:v>40767</c:v>
                </c:pt>
                <c:pt idx="711">
                  <c:v>40768</c:v>
                </c:pt>
                <c:pt idx="712">
                  <c:v>40769</c:v>
                </c:pt>
                <c:pt idx="713">
                  <c:v>40770</c:v>
                </c:pt>
                <c:pt idx="714">
                  <c:v>40771</c:v>
                </c:pt>
                <c:pt idx="715">
                  <c:v>40772</c:v>
                </c:pt>
                <c:pt idx="716">
                  <c:v>40773</c:v>
                </c:pt>
                <c:pt idx="717">
                  <c:v>40774</c:v>
                </c:pt>
                <c:pt idx="718">
                  <c:v>40775</c:v>
                </c:pt>
                <c:pt idx="719">
                  <c:v>40776</c:v>
                </c:pt>
                <c:pt idx="720">
                  <c:v>40777</c:v>
                </c:pt>
                <c:pt idx="721">
                  <c:v>40778</c:v>
                </c:pt>
                <c:pt idx="722">
                  <c:v>40779</c:v>
                </c:pt>
                <c:pt idx="723">
                  <c:v>40780</c:v>
                </c:pt>
                <c:pt idx="724">
                  <c:v>40781</c:v>
                </c:pt>
                <c:pt idx="725">
                  <c:v>40782</c:v>
                </c:pt>
                <c:pt idx="726">
                  <c:v>40783</c:v>
                </c:pt>
                <c:pt idx="727">
                  <c:v>40784</c:v>
                </c:pt>
                <c:pt idx="728">
                  <c:v>40785</c:v>
                </c:pt>
                <c:pt idx="729">
                  <c:v>40786</c:v>
                </c:pt>
                <c:pt idx="730">
                  <c:v>40787</c:v>
                </c:pt>
                <c:pt idx="731">
                  <c:v>40788</c:v>
                </c:pt>
                <c:pt idx="732">
                  <c:v>40789</c:v>
                </c:pt>
                <c:pt idx="733">
                  <c:v>40790</c:v>
                </c:pt>
                <c:pt idx="734">
                  <c:v>40791</c:v>
                </c:pt>
                <c:pt idx="735">
                  <c:v>40792</c:v>
                </c:pt>
                <c:pt idx="736">
                  <c:v>40793</c:v>
                </c:pt>
                <c:pt idx="737">
                  <c:v>40794</c:v>
                </c:pt>
                <c:pt idx="738">
                  <c:v>40795</c:v>
                </c:pt>
                <c:pt idx="739">
                  <c:v>40796</c:v>
                </c:pt>
                <c:pt idx="740">
                  <c:v>40797</c:v>
                </c:pt>
                <c:pt idx="741">
                  <c:v>40798</c:v>
                </c:pt>
                <c:pt idx="742">
                  <c:v>40799</c:v>
                </c:pt>
                <c:pt idx="743">
                  <c:v>40800</c:v>
                </c:pt>
                <c:pt idx="744">
                  <c:v>40801</c:v>
                </c:pt>
                <c:pt idx="745">
                  <c:v>40802</c:v>
                </c:pt>
                <c:pt idx="746">
                  <c:v>40803</c:v>
                </c:pt>
                <c:pt idx="747">
                  <c:v>40804</c:v>
                </c:pt>
                <c:pt idx="748">
                  <c:v>40805</c:v>
                </c:pt>
                <c:pt idx="749">
                  <c:v>40806</c:v>
                </c:pt>
                <c:pt idx="750">
                  <c:v>40807</c:v>
                </c:pt>
                <c:pt idx="751">
                  <c:v>40808</c:v>
                </c:pt>
                <c:pt idx="752">
                  <c:v>40809</c:v>
                </c:pt>
                <c:pt idx="753">
                  <c:v>40810</c:v>
                </c:pt>
                <c:pt idx="754">
                  <c:v>40811</c:v>
                </c:pt>
                <c:pt idx="755">
                  <c:v>40812</c:v>
                </c:pt>
                <c:pt idx="756">
                  <c:v>40813</c:v>
                </c:pt>
                <c:pt idx="757">
                  <c:v>40814</c:v>
                </c:pt>
                <c:pt idx="758">
                  <c:v>40815</c:v>
                </c:pt>
                <c:pt idx="759">
                  <c:v>40816</c:v>
                </c:pt>
                <c:pt idx="760">
                  <c:v>40817</c:v>
                </c:pt>
                <c:pt idx="761">
                  <c:v>40818</c:v>
                </c:pt>
                <c:pt idx="762">
                  <c:v>40819</c:v>
                </c:pt>
                <c:pt idx="763">
                  <c:v>40820</c:v>
                </c:pt>
                <c:pt idx="764">
                  <c:v>40821</c:v>
                </c:pt>
                <c:pt idx="765">
                  <c:v>40822</c:v>
                </c:pt>
                <c:pt idx="766">
                  <c:v>40823</c:v>
                </c:pt>
                <c:pt idx="767">
                  <c:v>40824</c:v>
                </c:pt>
                <c:pt idx="768">
                  <c:v>40825</c:v>
                </c:pt>
                <c:pt idx="769">
                  <c:v>40826</c:v>
                </c:pt>
                <c:pt idx="770">
                  <c:v>40827</c:v>
                </c:pt>
                <c:pt idx="771">
                  <c:v>40828</c:v>
                </c:pt>
                <c:pt idx="772">
                  <c:v>40829</c:v>
                </c:pt>
                <c:pt idx="773">
                  <c:v>40830</c:v>
                </c:pt>
                <c:pt idx="774">
                  <c:v>40831</c:v>
                </c:pt>
                <c:pt idx="775">
                  <c:v>40832</c:v>
                </c:pt>
                <c:pt idx="776">
                  <c:v>40833</c:v>
                </c:pt>
                <c:pt idx="777">
                  <c:v>40834</c:v>
                </c:pt>
                <c:pt idx="778">
                  <c:v>40835</c:v>
                </c:pt>
                <c:pt idx="779">
                  <c:v>40836</c:v>
                </c:pt>
                <c:pt idx="780">
                  <c:v>40837</c:v>
                </c:pt>
                <c:pt idx="781">
                  <c:v>40838</c:v>
                </c:pt>
                <c:pt idx="782">
                  <c:v>40839</c:v>
                </c:pt>
                <c:pt idx="783">
                  <c:v>40840</c:v>
                </c:pt>
                <c:pt idx="784">
                  <c:v>40841</c:v>
                </c:pt>
                <c:pt idx="785">
                  <c:v>40842</c:v>
                </c:pt>
                <c:pt idx="786">
                  <c:v>40843</c:v>
                </c:pt>
                <c:pt idx="787">
                  <c:v>40844</c:v>
                </c:pt>
                <c:pt idx="788">
                  <c:v>40845</c:v>
                </c:pt>
                <c:pt idx="789">
                  <c:v>40846</c:v>
                </c:pt>
                <c:pt idx="790">
                  <c:v>40847</c:v>
                </c:pt>
                <c:pt idx="791">
                  <c:v>40848</c:v>
                </c:pt>
                <c:pt idx="792">
                  <c:v>40849</c:v>
                </c:pt>
                <c:pt idx="793">
                  <c:v>40850</c:v>
                </c:pt>
                <c:pt idx="794">
                  <c:v>40851</c:v>
                </c:pt>
                <c:pt idx="795">
                  <c:v>40852</c:v>
                </c:pt>
                <c:pt idx="796">
                  <c:v>40853</c:v>
                </c:pt>
                <c:pt idx="797">
                  <c:v>40854</c:v>
                </c:pt>
                <c:pt idx="798">
                  <c:v>40855</c:v>
                </c:pt>
                <c:pt idx="799">
                  <c:v>40856</c:v>
                </c:pt>
                <c:pt idx="800">
                  <c:v>40857</c:v>
                </c:pt>
                <c:pt idx="801">
                  <c:v>40858</c:v>
                </c:pt>
                <c:pt idx="802">
                  <c:v>40859</c:v>
                </c:pt>
                <c:pt idx="803">
                  <c:v>40860</c:v>
                </c:pt>
                <c:pt idx="804">
                  <c:v>40861</c:v>
                </c:pt>
                <c:pt idx="805">
                  <c:v>40862</c:v>
                </c:pt>
                <c:pt idx="806">
                  <c:v>40863</c:v>
                </c:pt>
                <c:pt idx="807">
                  <c:v>40864</c:v>
                </c:pt>
                <c:pt idx="808">
                  <c:v>40865</c:v>
                </c:pt>
                <c:pt idx="809">
                  <c:v>40866</c:v>
                </c:pt>
                <c:pt idx="810">
                  <c:v>40867</c:v>
                </c:pt>
                <c:pt idx="811">
                  <c:v>40868</c:v>
                </c:pt>
                <c:pt idx="812">
                  <c:v>40869</c:v>
                </c:pt>
                <c:pt idx="813">
                  <c:v>40870</c:v>
                </c:pt>
                <c:pt idx="814">
                  <c:v>40871</c:v>
                </c:pt>
                <c:pt idx="815">
                  <c:v>40872</c:v>
                </c:pt>
                <c:pt idx="816">
                  <c:v>40873</c:v>
                </c:pt>
                <c:pt idx="817">
                  <c:v>40874</c:v>
                </c:pt>
                <c:pt idx="818">
                  <c:v>40875</c:v>
                </c:pt>
                <c:pt idx="819">
                  <c:v>40876</c:v>
                </c:pt>
                <c:pt idx="820">
                  <c:v>40877</c:v>
                </c:pt>
                <c:pt idx="821">
                  <c:v>40878</c:v>
                </c:pt>
                <c:pt idx="822">
                  <c:v>40879</c:v>
                </c:pt>
                <c:pt idx="823">
                  <c:v>40880</c:v>
                </c:pt>
                <c:pt idx="824">
                  <c:v>40881</c:v>
                </c:pt>
                <c:pt idx="825">
                  <c:v>40882</c:v>
                </c:pt>
                <c:pt idx="826">
                  <c:v>40883</c:v>
                </c:pt>
                <c:pt idx="827">
                  <c:v>40884</c:v>
                </c:pt>
                <c:pt idx="828">
                  <c:v>40885</c:v>
                </c:pt>
                <c:pt idx="829">
                  <c:v>40886</c:v>
                </c:pt>
                <c:pt idx="830">
                  <c:v>40887</c:v>
                </c:pt>
                <c:pt idx="831">
                  <c:v>40888</c:v>
                </c:pt>
                <c:pt idx="832">
                  <c:v>40889</c:v>
                </c:pt>
                <c:pt idx="833">
                  <c:v>40890</c:v>
                </c:pt>
                <c:pt idx="834">
                  <c:v>40891</c:v>
                </c:pt>
                <c:pt idx="835">
                  <c:v>40892</c:v>
                </c:pt>
                <c:pt idx="836">
                  <c:v>40893</c:v>
                </c:pt>
                <c:pt idx="837">
                  <c:v>40894</c:v>
                </c:pt>
                <c:pt idx="838">
                  <c:v>40895</c:v>
                </c:pt>
                <c:pt idx="839">
                  <c:v>40896</c:v>
                </c:pt>
                <c:pt idx="840">
                  <c:v>40897</c:v>
                </c:pt>
                <c:pt idx="841">
                  <c:v>40898</c:v>
                </c:pt>
                <c:pt idx="842">
                  <c:v>40899</c:v>
                </c:pt>
                <c:pt idx="843">
                  <c:v>40900</c:v>
                </c:pt>
                <c:pt idx="844">
                  <c:v>40901</c:v>
                </c:pt>
                <c:pt idx="845">
                  <c:v>40902</c:v>
                </c:pt>
                <c:pt idx="846">
                  <c:v>40903</c:v>
                </c:pt>
                <c:pt idx="847">
                  <c:v>40904</c:v>
                </c:pt>
                <c:pt idx="848">
                  <c:v>40905</c:v>
                </c:pt>
                <c:pt idx="849">
                  <c:v>40906</c:v>
                </c:pt>
                <c:pt idx="850">
                  <c:v>40907</c:v>
                </c:pt>
                <c:pt idx="851">
                  <c:v>40908</c:v>
                </c:pt>
                <c:pt idx="852">
                  <c:v>40909</c:v>
                </c:pt>
                <c:pt idx="853">
                  <c:v>40910</c:v>
                </c:pt>
                <c:pt idx="854">
                  <c:v>40911</c:v>
                </c:pt>
                <c:pt idx="855">
                  <c:v>40912</c:v>
                </c:pt>
                <c:pt idx="856">
                  <c:v>40913</c:v>
                </c:pt>
                <c:pt idx="857">
                  <c:v>40914</c:v>
                </c:pt>
                <c:pt idx="858">
                  <c:v>40915</c:v>
                </c:pt>
                <c:pt idx="859">
                  <c:v>40916</c:v>
                </c:pt>
                <c:pt idx="860">
                  <c:v>40917</c:v>
                </c:pt>
                <c:pt idx="861">
                  <c:v>40918</c:v>
                </c:pt>
                <c:pt idx="862">
                  <c:v>40919</c:v>
                </c:pt>
                <c:pt idx="863">
                  <c:v>40920</c:v>
                </c:pt>
                <c:pt idx="864">
                  <c:v>40921</c:v>
                </c:pt>
                <c:pt idx="865">
                  <c:v>40922</c:v>
                </c:pt>
                <c:pt idx="866">
                  <c:v>40923</c:v>
                </c:pt>
                <c:pt idx="867">
                  <c:v>40924</c:v>
                </c:pt>
                <c:pt idx="868">
                  <c:v>40925</c:v>
                </c:pt>
                <c:pt idx="869">
                  <c:v>40926</c:v>
                </c:pt>
                <c:pt idx="870">
                  <c:v>40927</c:v>
                </c:pt>
                <c:pt idx="871">
                  <c:v>40928</c:v>
                </c:pt>
                <c:pt idx="872">
                  <c:v>40929</c:v>
                </c:pt>
                <c:pt idx="873">
                  <c:v>40930</c:v>
                </c:pt>
                <c:pt idx="874">
                  <c:v>40931</c:v>
                </c:pt>
                <c:pt idx="875">
                  <c:v>40932</c:v>
                </c:pt>
                <c:pt idx="876">
                  <c:v>40933</c:v>
                </c:pt>
                <c:pt idx="877">
                  <c:v>40934</c:v>
                </c:pt>
                <c:pt idx="878">
                  <c:v>40935</c:v>
                </c:pt>
                <c:pt idx="879">
                  <c:v>40936</c:v>
                </c:pt>
                <c:pt idx="880">
                  <c:v>40937</c:v>
                </c:pt>
                <c:pt idx="881">
                  <c:v>40938</c:v>
                </c:pt>
                <c:pt idx="882">
                  <c:v>40939</c:v>
                </c:pt>
                <c:pt idx="883">
                  <c:v>40940</c:v>
                </c:pt>
                <c:pt idx="884">
                  <c:v>40941</c:v>
                </c:pt>
                <c:pt idx="885">
                  <c:v>40942</c:v>
                </c:pt>
                <c:pt idx="886">
                  <c:v>40943</c:v>
                </c:pt>
                <c:pt idx="887">
                  <c:v>40944</c:v>
                </c:pt>
                <c:pt idx="888">
                  <c:v>40945</c:v>
                </c:pt>
                <c:pt idx="889">
                  <c:v>40946</c:v>
                </c:pt>
                <c:pt idx="890">
                  <c:v>40947</c:v>
                </c:pt>
                <c:pt idx="891">
                  <c:v>40948</c:v>
                </c:pt>
                <c:pt idx="892">
                  <c:v>40949</c:v>
                </c:pt>
                <c:pt idx="893">
                  <c:v>40950</c:v>
                </c:pt>
                <c:pt idx="894">
                  <c:v>40951</c:v>
                </c:pt>
                <c:pt idx="895">
                  <c:v>40952</c:v>
                </c:pt>
                <c:pt idx="896">
                  <c:v>40953</c:v>
                </c:pt>
                <c:pt idx="897">
                  <c:v>40954</c:v>
                </c:pt>
                <c:pt idx="898">
                  <c:v>40955</c:v>
                </c:pt>
                <c:pt idx="899">
                  <c:v>40956</c:v>
                </c:pt>
                <c:pt idx="900">
                  <c:v>40957</c:v>
                </c:pt>
                <c:pt idx="901">
                  <c:v>40958</c:v>
                </c:pt>
                <c:pt idx="902">
                  <c:v>40959</c:v>
                </c:pt>
                <c:pt idx="903">
                  <c:v>40960</c:v>
                </c:pt>
                <c:pt idx="904">
                  <c:v>40961</c:v>
                </c:pt>
                <c:pt idx="905">
                  <c:v>40962</c:v>
                </c:pt>
                <c:pt idx="906">
                  <c:v>40963</c:v>
                </c:pt>
                <c:pt idx="907">
                  <c:v>40964</c:v>
                </c:pt>
                <c:pt idx="908">
                  <c:v>40965</c:v>
                </c:pt>
                <c:pt idx="909">
                  <c:v>40966</c:v>
                </c:pt>
                <c:pt idx="910">
                  <c:v>40967</c:v>
                </c:pt>
                <c:pt idx="911">
                  <c:v>40968</c:v>
                </c:pt>
                <c:pt idx="912">
                  <c:v>40969</c:v>
                </c:pt>
                <c:pt idx="913">
                  <c:v>40970</c:v>
                </c:pt>
                <c:pt idx="914">
                  <c:v>40971</c:v>
                </c:pt>
                <c:pt idx="915">
                  <c:v>40972</c:v>
                </c:pt>
                <c:pt idx="916">
                  <c:v>40973</c:v>
                </c:pt>
                <c:pt idx="917">
                  <c:v>40974</c:v>
                </c:pt>
                <c:pt idx="918">
                  <c:v>40975</c:v>
                </c:pt>
                <c:pt idx="919">
                  <c:v>40976</c:v>
                </c:pt>
                <c:pt idx="920">
                  <c:v>40977</c:v>
                </c:pt>
                <c:pt idx="921">
                  <c:v>40978</c:v>
                </c:pt>
                <c:pt idx="922">
                  <c:v>40979</c:v>
                </c:pt>
                <c:pt idx="923">
                  <c:v>40980</c:v>
                </c:pt>
                <c:pt idx="924">
                  <c:v>40981</c:v>
                </c:pt>
                <c:pt idx="925">
                  <c:v>40982</c:v>
                </c:pt>
                <c:pt idx="926">
                  <c:v>40983</c:v>
                </c:pt>
                <c:pt idx="927">
                  <c:v>40984</c:v>
                </c:pt>
                <c:pt idx="928">
                  <c:v>40985</c:v>
                </c:pt>
                <c:pt idx="929">
                  <c:v>40986</c:v>
                </c:pt>
                <c:pt idx="930">
                  <c:v>40987</c:v>
                </c:pt>
                <c:pt idx="931">
                  <c:v>40988</c:v>
                </c:pt>
                <c:pt idx="932">
                  <c:v>40989</c:v>
                </c:pt>
                <c:pt idx="933">
                  <c:v>40990</c:v>
                </c:pt>
                <c:pt idx="934">
                  <c:v>40991</c:v>
                </c:pt>
                <c:pt idx="935">
                  <c:v>40992</c:v>
                </c:pt>
                <c:pt idx="936">
                  <c:v>40993</c:v>
                </c:pt>
                <c:pt idx="937">
                  <c:v>40994</c:v>
                </c:pt>
                <c:pt idx="938">
                  <c:v>40995</c:v>
                </c:pt>
                <c:pt idx="939">
                  <c:v>40996</c:v>
                </c:pt>
                <c:pt idx="940">
                  <c:v>40997</c:v>
                </c:pt>
                <c:pt idx="941">
                  <c:v>40998</c:v>
                </c:pt>
                <c:pt idx="942">
                  <c:v>40999</c:v>
                </c:pt>
                <c:pt idx="943">
                  <c:v>41000</c:v>
                </c:pt>
                <c:pt idx="944">
                  <c:v>41001</c:v>
                </c:pt>
                <c:pt idx="945">
                  <c:v>41002</c:v>
                </c:pt>
                <c:pt idx="946">
                  <c:v>41003</c:v>
                </c:pt>
                <c:pt idx="947">
                  <c:v>41004</c:v>
                </c:pt>
                <c:pt idx="948">
                  <c:v>41005</c:v>
                </c:pt>
                <c:pt idx="949">
                  <c:v>41006</c:v>
                </c:pt>
                <c:pt idx="950">
                  <c:v>41007</c:v>
                </c:pt>
                <c:pt idx="951">
                  <c:v>41008</c:v>
                </c:pt>
                <c:pt idx="952">
                  <c:v>41009</c:v>
                </c:pt>
                <c:pt idx="953">
                  <c:v>41010</c:v>
                </c:pt>
                <c:pt idx="954">
                  <c:v>41011</c:v>
                </c:pt>
                <c:pt idx="955">
                  <c:v>41012</c:v>
                </c:pt>
                <c:pt idx="956">
                  <c:v>41013</c:v>
                </c:pt>
                <c:pt idx="957">
                  <c:v>41014</c:v>
                </c:pt>
                <c:pt idx="958">
                  <c:v>41015</c:v>
                </c:pt>
                <c:pt idx="959">
                  <c:v>41016</c:v>
                </c:pt>
                <c:pt idx="960">
                  <c:v>41017</c:v>
                </c:pt>
                <c:pt idx="961">
                  <c:v>41018</c:v>
                </c:pt>
                <c:pt idx="962">
                  <c:v>41019</c:v>
                </c:pt>
                <c:pt idx="963">
                  <c:v>41020</c:v>
                </c:pt>
                <c:pt idx="964">
                  <c:v>41021</c:v>
                </c:pt>
                <c:pt idx="965">
                  <c:v>41022</c:v>
                </c:pt>
                <c:pt idx="966">
                  <c:v>41023</c:v>
                </c:pt>
                <c:pt idx="967">
                  <c:v>41024</c:v>
                </c:pt>
                <c:pt idx="968">
                  <c:v>41025</c:v>
                </c:pt>
                <c:pt idx="969">
                  <c:v>41026</c:v>
                </c:pt>
                <c:pt idx="970">
                  <c:v>41027</c:v>
                </c:pt>
                <c:pt idx="971">
                  <c:v>41028</c:v>
                </c:pt>
                <c:pt idx="972">
                  <c:v>41029</c:v>
                </c:pt>
                <c:pt idx="973">
                  <c:v>41030</c:v>
                </c:pt>
                <c:pt idx="974">
                  <c:v>41031</c:v>
                </c:pt>
                <c:pt idx="975">
                  <c:v>41032</c:v>
                </c:pt>
                <c:pt idx="976">
                  <c:v>41033</c:v>
                </c:pt>
                <c:pt idx="977">
                  <c:v>41034</c:v>
                </c:pt>
                <c:pt idx="978">
                  <c:v>41035</c:v>
                </c:pt>
                <c:pt idx="979">
                  <c:v>41036</c:v>
                </c:pt>
                <c:pt idx="980">
                  <c:v>41037</c:v>
                </c:pt>
                <c:pt idx="981">
                  <c:v>41038</c:v>
                </c:pt>
                <c:pt idx="982">
                  <c:v>41039</c:v>
                </c:pt>
                <c:pt idx="983">
                  <c:v>41040</c:v>
                </c:pt>
                <c:pt idx="984">
                  <c:v>41041</c:v>
                </c:pt>
                <c:pt idx="985">
                  <c:v>41042</c:v>
                </c:pt>
                <c:pt idx="986">
                  <c:v>41043</c:v>
                </c:pt>
                <c:pt idx="987">
                  <c:v>41044</c:v>
                </c:pt>
                <c:pt idx="988">
                  <c:v>41045</c:v>
                </c:pt>
                <c:pt idx="989">
                  <c:v>41046</c:v>
                </c:pt>
                <c:pt idx="990">
                  <c:v>41047</c:v>
                </c:pt>
                <c:pt idx="991">
                  <c:v>41048</c:v>
                </c:pt>
                <c:pt idx="992">
                  <c:v>41049</c:v>
                </c:pt>
                <c:pt idx="993">
                  <c:v>41050</c:v>
                </c:pt>
                <c:pt idx="994">
                  <c:v>41051</c:v>
                </c:pt>
                <c:pt idx="995">
                  <c:v>41052</c:v>
                </c:pt>
                <c:pt idx="996">
                  <c:v>41053</c:v>
                </c:pt>
                <c:pt idx="997">
                  <c:v>41054</c:v>
                </c:pt>
                <c:pt idx="998">
                  <c:v>41055</c:v>
                </c:pt>
                <c:pt idx="999">
                  <c:v>41056</c:v>
                </c:pt>
                <c:pt idx="1000">
                  <c:v>41057</c:v>
                </c:pt>
                <c:pt idx="1001">
                  <c:v>41058</c:v>
                </c:pt>
                <c:pt idx="1002">
                  <c:v>41059</c:v>
                </c:pt>
                <c:pt idx="1003">
                  <c:v>41060</c:v>
                </c:pt>
                <c:pt idx="1004">
                  <c:v>41061</c:v>
                </c:pt>
                <c:pt idx="1005">
                  <c:v>41062</c:v>
                </c:pt>
                <c:pt idx="1006">
                  <c:v>41063</c:v>
                </c:pt>
                <c:pt idx="1007">
                  <c:v>41064</c:v>
                </c:pt>
                <c:pt idx="1008">
                  <c:v>41065</c:v>
                </c:pt>
                <c:pt idx="1009">
                  <c:v>41066</c:v>
                </c:pt>
                <c:pt idx="1010">
                  <c:v>41067</c:v>
                </c:pt>
                <c:pt idx="1011">
                  <c:v>41068</c:v>
                </c:pt>
                <c:pt idx="1012">
                  <c:v>41069</c:v>
                </c:pt>
                <c:pt idx="1013">
                  <c:v>41070</c:v>
                </c:pt>
                <c:pt idx="1014">
                  <c:v>41071</c:v>
                </c:pt>
                <c:pt idx="1015">
                  <c:v>41072</c:v>
                </c:pt>
                <c:pt idx="1016">
                  <c:v>41073</c:v>
                </c:pt>
                <c:pt idx="1017">
                  <c:v>41074</c:v>
                </c:pt>
                <c:pt idx="1018">
                  <c:v>41075</c:v>
                </c:pt>
                <c:pt idx="1019">
                  <c:v>41076</c:v>
                </c:pt>
                <c:pt idx="1020">
                  <c:v>41077</c:v>
                </c:pt>
                <c:pt idx="1021">
                  <c:v>41078</c:v>
                </c:pt>
                <c:pt idx="1022">
                  <c:v>41079</c:v>
                </c:pt>
                <c:pt idx="1023">
                  <c:v>41080</c:v>
                </c:pt>
                <c:pt idx="1024">
                  <c:v>41081</c:v>
                </c:pt>
                <c:pt idx="1025">
                  <c:v>41082</c:v>
                </c:pt>
                <c:pt idx="1026">
                  <c:v>41083</c:v>
                </c:pt>
                <c:pt idx="1027">
                  <c:v>41084</c:v>
                </c:pt>
                <c:pt idx="1028">
                  <c:v>41085</c:v>
                </c:pt>
                <c:pt idx="1029">
                  <c:v>41086</c:v>
                </c:pt>
                <c:pt idx="1030">
                  <c:v>41087</c:v>
                </c:pt>
                <c:pt idx="1031">
                  <c:v>41088</c:v>
                </c:pt>
                <c:pt idx="1032">
                  <c:v>41089</c:v>
                </c:pt>
                <c:pt idx="1033">
                  <c:v>41090</c:v>
                </c:pt>
                <c:pt idx="1034">
                  <c:v>41091</c:v>
                </c:pt>
                <c:pt idx="1035">
                  <c:v>41092</c:v>
                </c:pt>
                <c:pt idx="1036">
                  <c:v>41093</c:v>
                </c:pt>
                <c:pt idx="1037">
                  <c:v>41094</c:v>
                </c:pt>
                <c:pt idx="1038">
                  <c:v>41095</c:v>
                </c:pt>
                <c:pt idx="1039">
                  <c:v>41096</c:v>
                </c:pt>
                <c:pt idx="1040">
                  <c:v>41097</c:v>
                </c:pt>
                <c:pt idx="1041">
                  <c:v>41098</c:v>
                </c:pt>
                <c:pt idx="1042">
                  <c:v>41099</c:v>
                </c:pt>
                <c:pt idx="1043">
                  <c:v>41100</c:v>
                </c:pt>
                <c:pt idx="1044">
                  <c:v>41101</c:v>
                </c:pt>
                <c:pt idx="1045">
                  <c:v>41102</c:v>
                </c:pt>
                <c:pt idx="1046">
                  <c:v>41103</c:v>
                </c:pt>
                <c:pt idx="1047">
                  <c:v>41104</c:v>
                </c:pt>
                <c:pt idx="1048">
                  <c:v>41105</c:v>
                </c:pt>
                <c:pt idx="1049">
                  <c:v>41106</c:v>
                </c:pt>
                <c:pt idx="1050">
                  <c:v>41107</c:v>
                </c:pt>
                <c:pt idx="1051">
                  <c:v>41108</c:v>
                </c:pt>
                <c:pt idx="1052">
                  <c:v>41109</c:v>
                </c:pt>
                <c:pt idx="1053">
                  <c:v>41110</c:v>
                </c:pt>
                <c:pt idx="1054">
                  <c:v>41111</c:v>
                </c:pt>
                <c:pt idx="1055">
                  <c:v>41112</c:v>
                </c:pt>
                <c:pt idx="1056">
                  <c:v>41113</c:v>
                </c:pt>
                <c:pt idx="1057">
                  <c:v>41114</c:v>
                </c:pt>
                <c:pt idx="1058">
                  <c:v>41115</c:v>
                </c:pt>
                <c:pt idx="1059">
                  <c:v>41116</c:v>
                </c:pt>
                <c:pt idx="1060">
                  <c:v>41117</c:v>
                </c:pt>
                <c:pt idx="1061">
                  <c:v>41118</c:v>
                </c:pt>
                <c:pt idx="1062">
                  <c:v>41119</c:v>
                </c:pt>
                <c:pt idx="1063">
                  <c:v>41120</c:v>
                </c:pt>
                <c:pt idx="1064">
                  <c:v>41121</c:v>
                </c:pt>
                <c:pt idx="1065">
                  <c:v>41122</c:v>
                </c:pt>
                <c:pt idx="1066">
                  <c:v>41123</c:v>
                </c:pt>
                <c:pt idx="1067">
                  <c:v>41124</c:v>
                </c:pt>
                <c:pt idx="1068">
                  <c:v>41125</c:v>
                </c:pt>
                <c:pt idx="1069">
                  <c:v>41126</c:v>
                </c:pt>
                <c:pt idx="1070">
                  <c:v>41127</c:v>
                </c:pt>
                <c:pt idx="1071">
                  <c:v>41128</c:v>
                </c:pt>
                <c:pt idx="1072">
                  <c:v>41129</c:v>
                </c:pt>
                <c:pt idx="1073">
                  <c:v>41130</c:v>
                </c:pt>
                <c:pt idx="1074">
                  <c:v>41131</c:v>
                </c:pt>
                <c:pt idx="1075">
                  <c:v>41132</c:v>
                </c:pt>
                <c:pt idx="1076">
                  <c:v>41133</c:v>
                </c:pt>
                <c:pt idx="1077">
                  <c:v>41134</c:v>
                </c:pt>
                <c:pt idx="1078">
                  <c:v>41135</c:v>
                </c:pt>
                <c:pt idx="1079">
                  <c:v>41136</c:v>
                </c:pt>
                <c:pt idx="1080">
                  <c:v>41137</c:v>
                </c:pt>
                <c:pt idx="1081">
                  <c:v>41138</c:v>
                </c:pt>
                <c:pt idx="1082">
                  <c:v>41139</c:v>
                </c:pt>
                <c:pt idx="1083">
                  <c:v>41140</c:v>
                </c:pt>
                <c:pt idx="1084">
                  <c:v>41141</c:v>
                </c:pt>
                <c:pt idx="1085">
                  <c:v>41142</c:v>
                </c:pt>
                <c:pt idx="1086">
                  <c:v>41143</c:v>
                </c:pt>
                <c:pt idx="1087">
                  <c:v>41144</c:v>
                </c:pt>
                <c:pt idx="1088">
                  <c:v>41145</c:v>
                </c:pt>
                <c:pt idx="1089">
                  <c:v>41146</c:v>
                </c:pt>
                <c:pt idx="1090">
                  <c:v>41147</c:v>
                </c:pt>
                <c:pt idx="1091">
                  <c:v>41148</c:v>
                </c:pt>
                <c:pt idx="1092">
                  <c:v>41149</c:v>
                </c:pt>
                <c:pt idx="1093">
                  <c:v>41150</c:v>
                </c:pt>
                <c:pt idx="1094">
                  <c:v>41151</c:v>
                </c:pt>
                <c:pt idx="1095">
                  <c:v>41152</c:v>
                </c:pt>
                <c:pt idx="1096">
                  <c:v>41153</c:v>
                </c:pt>
                <c:pt idx="1097">
                  <c:v>41154</c:v>
                </c:pt>
                <c:pt idx="1098">
                  <c:v>41155</c:v>
                </c:pt>
                <c:pt idx="1099">
                  <c:v>41156</c:v>
                </c:pt>
                <c:pt idx="1100">
                  <c:v>41157</c:v>
                </c:pt>
                <c:pt idx="1101">
                  <c:v>41158</c:v>
                </c:pt>
                <c:pt idx="1102">
                  <c:v>41159</c:v>
                </c:pt>
                <c:pt idx="1103">
                  <c:v>41160</c:v>
                </c:pt>
                <c:pt idx="1104">
                  <c:v>41161</c:v>
                </c:pt>
                <c:pt idx="1105">
                  <c:v>41162</c:v>
                </c:pt>
                <c:pt idx="1106">
                  <c:v>41163</c:v>
                </c:pt>
                <c:pt idx="1107">
                  <c:v>41164</c:v>
                </c:pt>
                <c:pt idx="1108">
                  <c:v>41165</c:v>
                </c:pt>
                <c:pt idx="1109">
                  <c:v>41166</c:v>
                </c:pt>
                <c:pt idx="1110">
                  <c:v>41167</c:v>
                </c:pt>
                <c:pt idx="1111">
                  <c:v>41168</c:v>
                </c:pt>
                <c:pt idx="1112">
                  <c:v>41169</c:v>
                </c:pt>
                <c:pt idx="1113">
                  <c:v>41170</c:v>
                </c:pt>
                <c:pt idx="1114">
                  <c:v>41171</c:v>
                </c:pt>
                <c:pt idx="1115">
                  <c:v>41172</c:v>
                </c:pt>
                <c:pt idx="1116">
                  <c:v>41173</c:v>
                </c:pt>
                <c:pt idx="1117">
                  <c:v>41174</c:v>
                </c:pt>
                <c:pt idx="1118">
                  <c:v>41175</c:v>
                </c:pt>
                <c:pt idx="1119">
                  <c:v>41176</c:v>
                </c:pt>
                <c:pt idx="1120">
                  <c:v>41177</c:v>
                </c:pt>
                <c:pt idx="1121">
                  <c:v>41178</c:v>
                </c:pt>
                <c:pt idx="1122">
                  <c:v>41179</c:v>
                </c:pt>
                <c:pt idx="1123">
                  <c:v>41180</c:v>
                </c:pt>
                <c:pt idx="1124">
                  <c:v>41181</c:v>
                </c:pt>
                <c:pt idx="1125">
                  <c:v>41182</c:v>
                </c:pt>
                <c:pt idx="1126">
                  <c:v>41183</c:v>
                </c:pt>
                <c:pt idx="1127">
                  <c:v>41184</c:v>
                </c:pt>
                <c:pt idx="1128">
                  <c:v>41185</c:v>
                </c:pt>
                <c:pt idx="1129">
                  <c:v>41186</c:v>
                </c:pt>
                <c:pt idx="1130">
                  <c:v>41187</c:v>
                </c:pt>
                <c:pt idx="1131">
                  <c:v>41188</c:v>
                </c:pt>
                <c:pt idx="1132">
                  <c:v>41189</c:v>
                </c:pt>
                <c:pt idx="1133">
                  <c:v>41190</c:v>
                </c:pt>
                <c:pt idx="1134">
                  <c:v>41191</c:v>
                </c:pt>
                <c:pt idx="1135">
                  <c:v>41192</c:v>
                </c:pt>
                <c:pt idx="1136">
                  <c:v>41193</c:v>
                </c:pt>
                <c:pt idx="1137">
                  <c:v>41194</c:v>
                </c:pt>
                <c:pt idx="1138">
                  <c:v>41195</c:v>
                </c:pt>
                <c:pt idx="1139">
                  <c:v>41196</c:v>
                </c:pt>
                <c:pt idx="1140">
                  <c:v>41197</c:v>
                </c:pt>
                <c:pt idx="1141">
                  <c:v>41198</c:v>
                </c:pt>
                <c:pt idx="1142">
                  <c:v>41199</c:v>
                </c:pt>
                <c:pt idx="1143">
                  <c:v>41200</c:v>
                </c:pt>
                <c:pt idx="1144">
                  <c:v>41201</c:v>
                </c:pt>
                <c:pt idx="1145">
                  <c:v>41202</c:v>
                </c:pt>
                <c:pt idx="1146">
                  <c:v>41203</c:v>
                </c:pt>
                <c:pt idx="1147">
                  <c:v>41204</c:v>
                </c:pt>
                <c:pt idx="1148">
                  <c:v>41205</c:v>
                </c:pt>
                <c:pt idx="1149">
                  <c:v>41206</c:v>
                </c:pt>
                <c:pt idx="1150">
                  <c:v>41207</c:v>
                </c:pt>
                <c:pt idx="1151">
                  <c:v>41208</c:v>
                </c:pt>
                <c:pt idx="1152">
                  <c:v>41209</c:v>
                </c:pt>
                <c:pt idx="1153">
                  <c:v>41210</c:v>
                </c:pt>
                <c:pt idx="1154">
                  <c:v>41211</c:v>
                </c:pt>
                <c:pt idx="1155">
                  <c:v>41212</c:v>
                </c:pt>
                <c:pt idx="1156">
                  <c:v>41213</c:v>
                </c:pt>
                <c:pt idx="1157">
                  <c:v>41214</c:v>
                </c:pt>
                <c:pt idx="1158">
                  <c:v>41215</c:v>
                </c:pt>
                <c:pt idx="1159">
                  <c:v>41216</c:v>
                </c:pt>
                <c:pt idx="1160">
                  <c:v>41217</c:v>
                </c:pt>
                <c:pt idx="1161">
                  <c:v>41218</c:v>
                </c:pt>
                <c:pt idx="1162">
                  <c:v>41219</c:v>
                </c:pt>
                <c:pt idx="1163">
                  <c:v>41220</c:v>
                </c:pt>
                <c:pt idx="1164">
                  <c:v>41221</c:v>
                </c:pt>
                <c:pt idx="1165">
                  <c:v>41222</c:v>
                </c:pt>
                <c:pt idx="1166">
                  <c:v>41223</c:v>
                </c:pt>
                <c:pt idx="1167">
                  <c:v>41224</c:v>
                </c:pt>
                <c:pt idx="1168">
                  <c:v>41225</c:v>
                </c:pt>
                <c:pt idx="1169">
                  <c:v>41226</c:v>
                </c:pt>
                <c:pt idx="1170">
                  <c:v>41227</c:v>
                </c:pt>
                <c:pt idx="1171">
                  <c:v>41228</c:v>
                </c:pt>
                <c:pt idx="1172">
                  <c:v>41229</c:v>
                </c:pt>
                <c:pt idx="1173">
                  <c:v>41230</c:v>
                </c:pt>
                <c:pt idx="1174">
                  <c:v>41231</c:v>
                </c:pt>
                <c:pt idx="1175">
                  <c:v>41232</c:v>
                </c:pt>
                <c:pt idx="1176">
                  <c:v>41233</c:v>
                </c:pt>
                <c:pt idx="1177">
                  <c:v>41234</c:v>
                </c:pt>
                <c:pt idx="1178">
                  <c:v>41235</c:v>
                </c:pt>
                <c:pt idx="1179">
                  <c:v>41236</c:v>
                </c:pt>
                <c:pt idx="1180">
                  <c:v>41237</c:v>
                </c:pt>
                <c:pt idx="1181">
                  <c:v>41238</c:v>
                </c:pt>
                <c:pt idx="1182">
                  <c:v>41239</c:v>
                </c:pt>
                <c:pt idx="1183">
                  <c:v>41240</c:v>
                </c:pt>
                <c:pt idx="1184">
                  <c:v>41241</c:v>
                </c:pt>
                <c:pt idx="1185">
                  <c:v>41242</c:v>
                </c:pt>
                <c:pt idx="1186">
                  <c:v>41243</c:v>
                </c:pt>
                <c:pt idx="1187">
                  <c:v>41244</c:v>
                </c:pt>
                <c:pt idx="1188">
                  <c:v>41245</c:v>
                </c:pt>
                <c:pt idx="1189">
                  <c:v>41246</c:v>
                </c:pt>
                <c:pt idx="1190">
                  <c:v>41247</c:v>
                </c:pt>
                <c:pt idx="1191">
                  <c:v>41248</c:v>
                </c:pt>
                <c:pt idx="1192">
                  <c:v>41249</c:v>
                </c:pt>
                <c:pt idx="1193">
                  <c:v>41250</c:v>
                </c:pt>
                <c:pt idx="1194">
                  <c:v>41251</c:v>
                </c:pt>
                <c:pt idx="1195">
                  <c:v>41252</c:v>
                </c:pt>
                <c:pt idx="1196">
                  <c:v>41253</c:v>
                </c:pt>
                <c:pt idx="1197">
                  <c:v>41254</c:v>
                </c:pt>
                <c:pt idx="1198">
                  <c:v>41255</c:v>
                </c:pt>
                <c:pt idx="1199">
                  <c:v>41256</c:v>
                </c:pt>
                <c:pt idx="1200">
                  <c:v>41257</c:v>
                </c:pt>
                <c:pt idx="1201">
                  <c:v>41258</c:v>
                </c:pt>
                <c:pt idx="1202">
                  <c:v>41259</c:v>
                </c:pt>
                <c:pt idx="1203">
                  <c:v>41260</c:v>
                </c:pt>
                <c:pt idx="1204">
                  <c:v>41261</c:v>
                </c:pt>
                <c:pt idx="1205">
                  <c:v>41262</c:v>
                </c:pt>
                <c:pt idx="1206">
                  <c:v>41263</c:v>
                </c:pt>
                <c:pt idx="1207">
                  <c:v>41264</c:v>
                </c:pt>
                <c:pt idx="1208">
                  <c:v>41265</c:v>
                </c:pt>
                <c:pt idx="1209">
                  <c:v>41266</c:v>
                </c:pt>
                <c:pt idx="1210">
                  <c:v>41267</c:v>
                </c:pt>
                <c:pt idx="1211">
                  <c:v>41268</c:v>
                </c:pt>
                <c:pt idx="1212">
                  <c:v>41269</c:v>
                </c:pt>
                <c:pt idx="1213">
                  <c:v>41270</c:v>
                </c:pt>
                <c:pt idx="1214">
                  <c:v>41271</c:v>
                </c:pt>
                <c:pt idx="1215">
                  <c:v>41272</c:v>
                </c:pt>
                <c:pt idx="1216">
                  <c:v>41273</c:v>
                </c:pt>
                <c:pt idx="1217">
                  <c:v>41274</c:v>
                </c:pt>
                <c:pt idx="1218">
                  <c:v>41275</c:v>
                </c:pt>
                <c:pt idx="1219">
                  <c:v>41276</c:v>
                </c:pt>
                <c:pt idx="1220">
                  <c:v>41277</c:v>
                </c:pt>
                <c:pt idx="1221">
                  <c:v>41278</c:v>
                </c:pt>
                <c:pt idx="1222">
                  <c:v>41279</c:v>
                </c:pt>
                <c:pt idx="1223">
                  <c:v>41280</c:v>
                </c:pt>
                <c:pt idx="1224">
                  <c:v>41281</c:v>
                </c:pt>
                <c:pt idx="1225">
                  <c:v>41282</c:v>
                </c:pt>
                <c:pt idx="1226">
                  <c:v>41283</c:v>
                </c:pt>
                <c:pt idx="1227">
                  <c:v>41284</c:v>
                </c:pt>
                <c:pt idx="1228">
                  <c:v>41285</c:v>
                </c:pt>
                <c:pt idx="1229">
                  <c:v>41286</c:v>
                </c:pt>
                <c:pt idx="1230">
                  <c:v>41287</c:v>
                </c:pt>
                <c:pt idx="1231">
                  <c:v>41288</c:v>
                </c:pt>
                <c:pt idx="1232">
                  <c:v>41289</c:v>
                </c:pt>
                <c:pt idx="1233">
                  <c:v>41290</c:v>
                </c:pt>
                <c:pt idx="1234">
                  <c:v>41291</c:v>
                </c:pt>
                <c:pt idx="1235">
                  <c:v>41292</c:v>
                </c:pt>
                <c:pt idx="1236">
                  <c:v>41293</c:v>
                </c:pt>
                <c:pt idx="1237">
                  <c:v>41294</c:v>
                </c:pt>
                <c:pt idx="1238">
                  <c:v>41295</c:v>
                </c:pt>
                <c:pt idx="1239">
                  <c:v>41296</c:v>
                </c:pt>
                <c:pt idx="1240">
                  <c:v>41297</c:v>
                </c:pt>
                <c:pt idx="1241">
                  <c:v>41298</c:v>
                </c:pt>
                <c:pt idx="1242">
                  <c:v>41299</c:v>
                </c:pt>
                <c:pt idx="1243">
                  <c:v>41300</c:v>
                </c:pt>
                <c:pt idx="1244">
                  <c:v>41301</c:v>
                </c:pt>
                <c:pt idx="1245">
                  <c:v>41302</c:v>
                </c:pt>
                <c:pt idx="1246">
                  <c:v>41303</c:v>
                </c:pt>
                <c:pt idx="1247">
                  <c:v>41304</c:v>
                </c:pt>
                <c:pt idx="1248">
                  <c:v>41305</c:v>
                </c:pt>
                <c:pt idx="1249">
                  <c:v>41306</c:v>
                </c:pt>
                <c:pt idx="1250">
                  <c:v>41307</c:v>
                </c:pt>
                <c:pt idx="1251">
                  <c:v>41308</c:v>
                </c:pt>
                <c:pt idx="1252">
                  <c:v>41309</c:v>
                </c:pt>
                <c:pt idx="1253">
                  <c:v>41310</c:v>
                </c:pt>
                <c:pt idx="1254">
                  <c:v>41311</c:v>
                </c:pt>
                <c:pt idx="1255">
                  <c:v>41312</c:v>
                </c:pt>
                <c:pt idx="1256">
                  <c:v>41313</c:v>
                </c:pt>
                <c:pt idx="1257">
                  <c:v>41314</c:v>
                </c:pt>
                <c:pt idx="1258">
                  <c:v>41315</c:v>
                </c:pt>
                <c:pt idx="1259">
                  <c:v>41316</c:v>
                </c:pt>
                <c:pt idx="1260">
                  <c:v>41317</c:v>
                </c:pt>
                <c:pt idx="1261">
                  <c:v>41318</c:v>
                </c:pt>
                <c:pt idx="1262">
                  <c:v>41319</c:v>
                </c:pt>
                <c:pt idx="1263">
                  <c:v>41320</c:v>
                </c:pt>
                <c:pt idx="1264">
                  <c:v>41321</c:v>
                </c:pt>
                <c:pt idx="1265">
                  <c:v>41322</c:v>
                </c:pt>
                <c:pt idx="1266">
                  <c:v>41323</c:v>
                </c:pt>
                <c:pt idx="1267">
                  <c:v>41324</c:v>
                </c:pt>
                <c:pt idx="1268">
                  <c:v>41325</c:v>
                </c:pt>
                <c:pt idx="1269">
                  <c:v>41326</c:v>
                </c:pt>
                <c:pt idx="1270">
                  <c:v>41327</c:v>
                </c:pt>
                <c:pt idx="1271">
                  <c:v>41328</c:v>
                </c:pt>
                <c:pt idx="1272">
                  <c:v>41329</c:v>
                </c:pt>
                <c:pt idx="1273">
                  <c:v>41330</c:v>
                </c:pt>
                <c:pt idx="1274">
                  <c:v>41331</c:v>
                </c:pt>
                <c:pt idx="1275">
                  <c:v>41332</c:v>
                </c:pt>
                <c:pt idx="1276">
                  <c:v>41333</c:v>
                </c:pt>
                <c:pt idx="1277">
                  <c:v>41334</c:v>
                </c:pt>
                <c:pt idx="1278">
                  <c:v>41335</c:v>
                </c:pt>
                <c:pt idx="1279">
                  <c:v>41336</c:v>
                </c:pt>
                <c:pt idx="1280">
                  <c:v>41337</c:v>
                </c:pt>
                <c:pt idx="1281">
                  <c:v>41338</c:v>
                </c:pt>
                <c:pt idx="1282">
                  <c:v>41339</c:v>
                </c:pt>
                <c:pt idx="1283">
                  <c:v>41340</c:v>
                </c:pt>
                <c:pt idx="1284">
                  <c:v>41341</c:v>
                </c:pt>
                <c:pt idx="1285">
                  <c:v>41342</c:v>
                </c:pt>
                <c:pt idx="1286">
                  <c:v>41343</c:v>
                </c:pt>
                <c:pt idx="1287">
                  <c:v>41344</c:v>
                </c:pt>
                <c:pt idx="1288">
                  <c:v>41345</c:v>
                </c:pt>
                <c:pt idx="1289">
                  <c:v>41346</c:v>
                </c:pt>
                <c:pt idx="1290">
                  <c:v>41347</c:v>
                </c:pt>
                <c:pt idx="1291">
                  <c:v>41348</c:v>
                </c:pt>
                <c:pt idx="1292">
                  <c:v>41349</c:v>
                </c:pt>
                <c:pt idx="1293">
                  <c:v>41350</c:v>
                </c:pt>
                <c:pt idx="1294">
                  <c:v>41351</c:v>
                </c:pt>
                <c:pt idx="1295">
                  <c:v>41352</c:v>
                </c:pt>
                <c:pt idx="1296">
                  <c:v>41353</c:v>
                </c:pt>
                <c:pt idx="1297">
                  <c:v>41354</c:v>
                </c:pt>
                <c:pt idx="1298">
                  <c:v>41355</c:v>
                </c:pt>
                <c:pt idx="1299">
                  <c:v>41356</c:v>
                </c:pt>
                <c:pt idx="1300">
                  <c:v>41357</c:v>
                </c:pt>
                <c:pt idx="1301">
                  <c:v>41358</c:v>
                </c:pt>
                <c:pt idx="1302">
                  <c:v>41359</c:v>
                </c:pt>
                <c:pt idx="1303">
                  <c:v>41360</c:v>
                </c:pt>
                <c:pt idx="1304">
                  <c:v>41361</c:v>
                </c:pt>
                <c:pt idx="1305">
                  <c:v>41362</c:v>
                </c:pt>
                <c:pt idx="1306">
                  <c:v>41363</c:v>
                </c:pt>
                <c:pt idx="1307">
                  <c:v>41364</c:v>
                </c:pt>
                <c:pt idx="1308">
                  <c:v>41365</c:v>
                </c:pt>
                <c:pt idx="1309">
                  <c:v>41366</c:v>
                </c:pt>
                <c:pt idx="1310">
                  <c:v>41367</c:v>
                </c:pt>
                <c:pt idx="1311">
                  <c:v>41368</c:v>
                </c:pt>
                <c:pt idx="1312">
                  <c:v>41369</c:v>
                </c:pt>
                <c:pt idx="1313">
                  <c:v>41370</c:v>
                </c:pt>
                <c:pt idx="1314">
                  <c:v>41371</c:v>
                </c:pt>
                <c:pt idx="1315">
                  <c:v>41372</c:v>
                </c:pt>
                <c:pt idx="1316">
                  <c:v>41373</c:v>
                </c:pt>
                <c:pt idx="1317">
                  <c:v>41374</c:v>
                </c:pt>
                <c:pt idx="1318">
                  <c:v>41375</c:v>
                </c:pt>
                <c:pt idx="1319">
                  <c:v>41376</c:v>
                </c:pt>
                <c:pt idx="1320">
                  <c:v>41377</c:v>
                </c:pt>
                <c:pt idx="1321">
                  <c:v>41378</c:v>
                </c:pt>
                <c:pt idx="1322">
                  <c:v>41379</c:v>
                </c:pt>
                <c:pt idx="1323">
                  <c:v>41380</c:v>
                </c:pt>
                <c:pt idx="1324">
                  <c:v>41381</c:v>
                </c:pt>
                <c:pt idx="1325">
                  <c:v>41382</c:v>
                </c:pt>
                <c:pt idx="1326">
                  <c:v>41383</c:v>
                </c:pt>
                <c:pt idx="1327">
                  <c:v>41384</c:v>
                </c:pt>
                <c:pt idx="1328">
                  <c:v>41385</c:v>
                </c:pt>
                <c:pt idx="1329">
                  <c:v>41386</c:v>
                </c:pt>
                <c:pt idx="1330">
                  <c:v>41387</c:v>
                </c:pt>
                <c:pt idx="1331">
                  <c:v>41388</c:v>
                </c:pt>
                <c:pt idx="1332">
                  <c:v>41389</c:v>
                </c:pt>
                <c:pt idx="1333">
                  <c:v>41390</c:v>
                </c:pt>
                <c:pt idx="1334">
                  <c:v>41391</c:v>
                </c:pt>
                <c:pt idx="1335">
                  <c:v>41392</c:v>
                </c:pt>
                <c:pt idx="1336">
                  <c:v>41393</c:v>
                </c:pt>
                <c:pt idx="1337">
                  <c:v>41394</c:v>
                </c:pt>
                <c:pt idx="1338">
                  <c:v>41395</c:v>
                </c:pt>
                <c:pt idx="1339">
                  <c:v>41396</c:v>
                </c:pt>
                <c:pt idx="1340">
                  <c:v>41397</c:v>
                </c:pt>
                <c:pt idx="1341">
                  <c:v>41398</c:v>
                </c:pt>
                <c:pt idx="1342">
                  <c:v>41399</c:v>
                </c:pt>
                <c:pt idx="1343">
                  <c:v>41400</c:v>
                </c:pt>
                <c:pt idx="1344">
                  <c:v>41401</c:v>
                </c:pt>
                <c:pt idx="1345">
                  <c:v>41402</c:v>
                </c:pt>
                <c:pt idx="1346">
                  <c:v>41403</c:v>
                </c:pt>
                <c:pt idx="1347">
                  <c:v>41404</c:v>
                </c:pt>
                <c:pt idx="1348">
                  <c:v>41405</c:v>
                </c:pt>
                <c:pt idx="1349">
                  <c:v>41406</c:v>
                </c:pt>
                <c:pt idx="1350">
                  <c:v>41407</c:v>
                </c:pt>
                <c:pt idx="1351">
                  <c:v>41408</c:v>
                </c:pt>
                <c:pt idx="1352">
                  <c:v>41409</c:v>
                </c:pt>
                <c:pt idx="1353">
                  <c:v>41410</c:v>
                </c:pt>
                <c:pt idx="1354">
                  <c:v>41411</c:v>
                </c:pt>
                <c:pt idx="1355">
                  <c:v>41412</c:v>
                </c:pt>
                <c:pt idx="1356">
                  <c:v>41413</c:v>
                </c:pt>
                <c:pt idx="1357">
                  <c:v>41414</c:v>
                </c:pt>
                <c:pt idx="1358">
                  <c:v>41415</c:v>
                </c:pt>
                <c:pt idx="1359">
                  <c:v>41416</c:v>
                </c:pt>
                <c:pt idx="1360">
                  <c:v>41417</c:v>
                </c:pt>
                <c:pt idx="1361">
                  <c:v>41418</c:v>
                </c:pt>
                <c:pt idx="1362">
                  <c:v>41419</c:v>
                </c:pt>
                <c:pt idx="1363">
                  <c:v>41420</c:v>
                </c:pt>
                <c:pt idx="1364">
                  <c:v>41421</c:v>
                </c:pt>
                <c:pt idx="1365">
                  <c:v>41422</c:v>
                </c:pt>
                <c:pt idx="1366">
                  <c:v>41423</c:v>
                </c:pt>
                <c:pt idx="1367">
                  <c:v>41424</c:v>
                </c:pt>
                <c:pt idx="1368">
                  <c:v>41425</c:v>
                </c:pt>
                <c:pt idx="1369">
                  <c:v>41426</c:v>
                </c:pt>
                <c:pt idx="1370">
                  <c:v>41427</c:v>
                </c:pt>
                <c:pt idx="1371">
                  <c:v>41428</c:v>
                </c:pt>
                <c:pt idx="1372">
                  <c:v>41429</c:v>
                </c:pt>
                <c:pt idx="1373">
                  <c:v>41430</c:v>
                </c:pt>
                <c:pt idx="1374">
                  <c:v>41431</c:v>
                </c:pt>
                <c:pt idx="1375">
                  <c:v>41432</c:v>
                </c:pt>
                <c:pt idx="1376">
                  <c:v>41433</c:v>
                </c:pt>
                <c:pt idx="1377">
                  <c:v>41434</c:v>
                </c:pt>
                <c:pt idx="1378">
                  <c:v>41435</c:v>
                </c:pt>
                <c:pt idx="1379">
                  <c:v>41436</c:v>
                </c:pt>
                <c:pt idx="1380">
                  <c:v>41437</c:v>
                </c:pt>
                <c:pt idx="1381">
                  <c:v>41438</c:v>
                </c:pt>
                <c:pt idx="1382">
                  <c:v>41439</c:v>
                </c:pt>
                <c:pt idx="1383">
                  <c:v>41440</c:v>
                </c:pt>
                <c:pt idx="1384">
                  <c:v>41441</c:v>
                </c:pt>
                <c:pt idx="1385">
                  <c:v>41442</c:v>
                </c:pt>
                <c:pt idx="1386">
                  <c:v>41443</c:v>
                </c:pt>
                <c:pt idx="1387">
                  <c:v>41444</c:v>
                </c:pt>
                <c:pt idx="1388">
                  <c:v>41445</c:v>
                </c:pt>
                <c:pt idx="1389">
                  <c:v>41446</c:v>
                </c:pt>
                <c:pt idx="1390">
                  <c:v>41447</c:v>
                </c:pt>
                <c:pt idx="1391">
                  <c:v>41448</c:v>
                </c:pt>
                <c:pt idx="1392">
                  <c:v>41449</c:v>
                </c:pt>
                <c:pt idx="1393">
                  <c:v>41450</c:v>
                </c:pt>
                <c:pt idx="1394">
                  <c:v>41451</c:v>
                </c:pt>
                <c:pt idx="1395">
                  <c:v>41452</c:v>
                </c:pt>
                <c:pt idx="1396">
                  <c:v>41453</c:v>
                </c:pt>
                <c:pt idx="1397">
                  <c:v>41454</c:v>
                </c:pt>
                <c:pt idx="1398">
                  <c:v>41455</c:v>
                </c:pt>
                <c:pt idx="1399">
                  <c:v>41456</c:v>
                </c:pt>
                <c:pt idx="1400">
                  <c:v>41457</c:v>
                </c:pt>
                <c:pt idx="1401">
                  <c:v>41458</c:v>
                </c:pt>
                <c:pt idx="1402">
                  <c:v>41459</c:v>
                </c:pt>
                <c:pt idx="1403">
                  <c:v>41460</c:v>
                </c:pt>
                <c:pt idx="1404">
                  <c:v>41461</c:v>
                </c:pt>
                <c:pt idx="1405">
                  <c:v>41462</c:v>
                </c:pt>
                <c:pt idx="1406">
                  <c:v>41463</c:v>
                </c:pt>
                <c:pt idx="1407">
                  <c:v>41464</c:v>
                </c:pt>
                <c:pt idx="1408">
                  <c:v>41465</c:v>
                </c:pt>
                <c:pt idx="1409">
                  <c:v>41466</c:v>
                </c:pt>
                <c:pt idx="1410">
                  <c:v>41467</c:v>
                </c:pt>
                <c:pt idx="1411">
                  <c:v>41468</c:v>
                </c:pt>
                <c:pt idx="1412">
                  <c:v>41469</c:v>
                </c:pt>
                <c:pt idx="1413">
                  <c:v>41470</c:v>
                </c:pt>
                <c:pt idx="1414">
                  <c:v>41471</c:v>
                </c:pt>
                <c:pt idx="1415">
                  <c:v>41472</c:v>
                </c:pt>
                <c:pt idx="1416">
                  <c:v>41473</c:v>
                </c:pt>
                <c:pt idx="1417">
                  <c:v>41474</c:v>
                </c:pt>
                <c:pt idx="1418">
                  <c:v>41475</c:v>
                </c:pt>
                <c:pt idx="1419">
                  <c:v>41476</c:v>
                </c:pt>
                <c:pt idx="1420">
                  <c:v>41477</c:v>
                </c:pt>
                <c:pt idx="1421">
                  <c:v>41478</c:v>
                </c:pt>
                <c:pt idx="1422">
                  <c:v>41479</c:v>
                </c:pt>
                <c:pt idx="1423">
                  <c:v>41480</c:v>
                </c:pt>
                <c:pt idx="1424">
                  <c:v>41481</c:v>
                </c:pt>
                <c:pt idx="1425">
                  <c:v>41482</c:v>
                </c:pt>
                <c:pt idx="1426">
                  <c:v>41483</c:v>
                </c:pt>
                <c:pt idx="1427">
                  <c:v>41484</c:v>
                </c:pt>
                <c:pt idx="1428">
                  <c:v>41485</c:v>
                </c:pt>
                <c:pt idx="1429">
                  <c:v>41486</c:v>
                </c:pt>
                <c:pt idx="1430">
                  <c:v>41487</c:v>
                </c:pt>
                <c:pt idx="1431">
                  <c:v>41488</c:v>
                </c:pt>
                <c:pt idx="1432">
                  <c:v>41489</c:v>
                </c:pt>
                <c:pt idx="1433">
                  <c:v>41490</c:v>
                </c:pt>
                <c:pt idx="1434">
                  <c:v>41491</c:v>
                </c:pt>
                <c:pt idx="1435">
                  <c:v>41492</c:v>
                </c:pt>
                <c:pt idx="1436">
                  <c:v>41493</c:v>
                </c:pt>
                <c:pt idx="1437">
                  <c:v>41494</c:v>
                </c:pt>
                <c:pt idx="1438">
                  <c:v>41495</c:v>
                </c:pt>
                <c:pt idx="1439">
                  <c:v>41496</c:v>
                </c:pt>
                <c:pt idx="1440">
                  <c:v>41497</c:v>
                </c:pt>
                <c:pt idx="1441">
                  <c:v>41498</c:v>
                </c:pt>
                <c:pt idx="1442">
                  <c:v>41499</c:v>
                </c:pt>
                <c:pt idx="1443">
                  <c:v>41500</c:v>
                </c:pt>
                <c:pt idx="1444">
                  <c:v>41501</c:v>
                </c:pt>
                <c:pt idx="1445">
                  <c:v>41502</c:v>
                </c:pt>
                <c:pt idx="1446">
                  <c:v>41503</c:v>
                </c:pt>
                <c:pt idx="1447">
                  <c:v>41504</c:v>
                </c:pt>
                <c:pt idx="1448">
                  <c:v>41505</c:v>
                </c:pt>
                <c:pt idx="1449">
                  <c:v>41506</c:v>
                </c:pt>
                <c:pt idx="1450">
                  <c:v>41507</c:v>
                </c:pt>
                <c:pt idx="1451">
                  <c:v>41508</c:v>
                </c:pt>
                <c:pt idx="1452">
                  <c:v>41509</c:v>
                </c:pt>
                <c:pt idx="1453">
                  <c:v>41510</c:v>
                </c:pt>
                <c:pt idx="1454">
                  <c:v>41511</c:v>
                </c:pt>
                <c:pt idx="1455">
                  <c:v>41512</c:v>
                </c:pt>
                <c:pt idx="1456">
                  <c:v>41513</c:v>
                </c:pt>
                <c:pt idx="1457">
                  <c:v>41514</c:v>
                </c:pt>
                <c:pt idx="1458">
                  <c:v>41515</c:v>
                </c:pt>
                <c:pt idx="1459">
                  <c:v>41516</c:v>
                </c:pt>
              </c:numCache>
            </c:numRef>
          </c:cat>
          <c:val>
            <c:numRef>
              <c:f>'plot2-prt1'!$Q$2:$Q$1461</c:f>
              <c:numCache>
                <c:formatCode>General</c:formatCode>
                <c:ptCount val="1460"/>
                <c:pt idx="0">
                  <c:v>0</c:v>
                </c:pt>
                <c:pt idx="1">
                  <c:v>0</c:v>
                </c:pt>
                <c:pt idx="2">
                  <c:v>0</c:v>
                </c:pt>
                <c:pt idx="3">
                  <c:v>0</c:v>
                </c:pt>
                <c:pt idx="4">
                  <c:v>0</c:v>
                </c:pt>
                <c:pt idx="5">
                  <c:v>0</c:v>
                </c:pt>
                <c:pt idx="6">
                  <c:v>0</c:v>
                </c:pt>
                <c:pt idx="7">
                  <c:v>0</c:v>
                </c:pt>
                <c:pt idx="8">
                  <c:v>0</c:v>
                </c:pt>
                <c:pt idx="9">
                  <c:v>0</c:v>
                </c:pt>
                <c:pt idx="10">
                  <c:v>0</c:v>
                </c:pt>
                <c:pt idx="11">
                  <c:v>0</c:v>
                </c:pt>
                <c:pt idx="12">
                  <c:v>0</c:v>
                </c:pt>
                <c:pt idx="13">
                  <c:v>0</c:v>
                </c:pt>
                <c:pt idx="14">
                  <c:v>0</c:v>
                </c:pt>
                <c:pt idx="15">
                  <c:v>0</c:v>
                </c:pt>
                <c:pt idx="16">
                  <c:v>0</c:v>
                </c:pt>
                <c:pt idx="17">
                  <c:v>0</c:v>
                </c:pt>
                <c:pt idx="18">
                  <c:v>0</c:v>
                </c:pt>
                <c:pt idx="19">
                  <c:v>0</c:v>
                </c:pt>
                <c:pt idx="20">
                  <c:v>0</c:v>
                </c:pt>
                <c:pt idx="21">
                  <c:v>0</c:v>
                </c:pt>
                <c:pt idx="22">
                  <c:v>0</c:v>
                </c:pt>
                <c:pt idx="23">
                  <c:v>0</c:v>
                </c:pt>
                <c:pt idx="24">
                  <c:v>0</c:v>
                </c:pt>
                <c:pt idx="25">
                  <c:v>3.1761200000000652E-3</c:v>
                </c:pt>
                <c:pt idx="26">
                  <c:v>3.1761200000000652E-3</c:v>
                </c:pt>
                <c:pt idx="27">
                  <c:v>3.1761200000000652E-3</c:v>
                </c:pt>
                <c:pt idx="28">
                  <c:v>3.1761200000000652E-3</c:v>
                </c:pt>
                <c:pt idx="29">
                  <c:v>3.1761200000000652E-3</c:v>
                </c:pt>
                <c:pt idx="30">
                  <c:v>3.1761200000000652E-3</c:v>
                </c:pt>
                <c:pt idx="31">
                  <c:v>3.1761200000000652E-3</c:v>
                </c:pt>
                <c:pt idx="32">
                  <c:v>3.1761200000000652E-3</c:v>
                </c:pt>
                <c:pt idx="33">
                  <c:v>3.1761200000000652E-3</c:v>
                </c:pt>
                <c:pt idx="34">
                  <c:v>3.1761200000000652E-3</c:v>
                </c:pt>
                <c:pt idx="35">
                  <c:v>3.1761200000000652E-3</c:v>
                </c:pt>
                <c:pt idx="36">
                  <c:v>3.1761200000000652E-3</c:v>
                </c:pt>
                <c:pt idx="37">
                  <c:v>3.1761200000000652E-3</c:v>
                </c:pt>
                <c:pt idx="38">
                  <c:v>3.1761200000000652E-3</c:v>
                </c:pt>
                <c:pt idx="39">
                  <c:v>3.1761200000000652E-3</c:v>
                </c:pt>
                <c:pt idx="40">
                  <c:v>3.1761200000000652E-3</c:v>
                </c:pt>
                <c:pt idx="41">
                  <c:v>3.1761200000000652E-3</c:v>
                </c:pt>
                <c:pt idx="42">
                  <c:v>3.1761200000000652E-3</c:v>
                </c:pt>
                <c:pt idx="43">
                  <c:v>3.1761200000000652E-3</c:v>
                </c:pt>
                <c:pt idx="44">
                  <c:v>3.1761200000000652E-3</c:v>
                </c:pt>
                <c:pt idx="45">
                  <c:v>3.1761200000000652E-3</c:v>
                </c:pt>
                <c:pt idx="46">
                  <c:v>3.1761200000000652E-3</c:v>
                </c:pt>
                <c:pt idx="47">
                  <c:v>3.1761200000000652E-3</c:v>
                </c:pt>
                <c:pt idx="48">
                  <c:v>3.1761200000000652E-3</c:v>
                </c:pt>
                <c:pt idx="49">
                  <c:v>3.1761200000000652E-3</c:v>
                </c:pt>
                <c:pt idx="50">
                  <c:v>3.1761200000000652E-3</c:v>
                </c:pt>
                <c:pt idx="51">
                  <c:v>3.1761200000000652E-3</c:v>
                </c:pt>
                <c:pt idx="52">
                  <c:v>3.1761200000000652E-3</c:v>
                </c:pt>
                <c:pt idx="53">
                  <c:v>3.1761200000000652E-3</c:v>
                </c:pt>
                <c:pt idx="54">
                  <c:v>3.1761200000000652E-3</c:v>
                </c:pt>
                <c:pt idx="55">
                  <c:v>3.1761200000000652E-3</c:v>
                </c:pt>
                <c:pt idx="56">
                  <c:v>3.1761200000000652E-3</c:v>
                </c:pt>
                <c:pt idx="57">
                  <c:v>3.1761200000000652E-3</c:v>
                </c:pt>
                <c:pt idx="58">
                  <c:v>3.1761200000000652E-3</c:v>
                </c:pt>
                <c:pt idx="59">
                  <c:v>3.1761200000000652E-3</c:v>
                </c:pt>
                <c:pt idx="60">
                  <c:v>3.1761200000000652E-3</c:v>
                </c:pt>
                <c:pt idx="61">
                  <c:v>3.1761200000000652E-3</c:v>
                </c:pt>
                <c:pt idx="62">
                  <c:v>3.1761200000000652E-3</c:v>
                </c:pt>
                <c:pt idx="63">
                  <c:v>3.1761200000000652E-3</c:v>
                </c:pt>
                <c:pt idx="64">
                  <c:v>3.1761200000000652E-3</c:v>
                </c:pt>
                <c:pt idx="65">
                  <c:v>3.1761200000000652E-3</c:v>
                </c:pt>
                <c:pt idx="66">
                  <c:v>3.1761200000000652E-3</c:v>
                </c:pt>
                <c:pt idx="67">
                  <c:v>3.1761200000000652E-3</c:v>
                </c:pt>
                <c:pt idx="68">
                  <c:v>3.1761200000000652E-3</c:v>
                </c:pt>
                <c:pt idx="69">
                  <c:v>3.1761200000000652E-3</c:v>
                </c:pt>
                <c:pt idx="70">
                  <c:v>3.1761200000000652E-3</c:v>
                </c:pt>
                <c:pt idx="71">
                  <c:v>3.1761200000000652E-3</c:v>
                </c:pt>
                <c:pt idx="72">
                  <c:v>9.1000640000000067E-3</c:v>
                </c:pt>
                <c:pt idx="73">
                  <c:v>9.1000640000000067E-3</c:v>
                </c:pt>
                <c:pt idx="74">
                  <c:v>9.1000640000000067E-3</c:v>
                </c:pt>
                <c:pt idx="75">
                  <c:v>9.1000640000000067E-3</c:v>
                </c:pt>
                <c:pt idx="76">
                  <c:v>9.1000640000000067E-3</c:v>
                </c:pt>
                <c:pt idx="77">
                  <c:v>9.1000640000000067E-3</c:v>
                </c:pt>
                <c:pt idx="78">
                  <c:v>9.1000640000000067E-3</c:v>
                </c:pt>
                <c:pt idx="79">
                  <c:v>9.1000640000000067E-3</c:v>
                </c:pt>
                <c:pt idx="80">
                  <c:v>9.1000640000000067E-3</c:v>
                </c:pt>
                <c:pt idx="81">
                  <c:v>9.1000640000000067E-3</c:v>
                </c:pt>
                <c:pt idx="82">
                  <c:v>9.1000640000000067E-3</c:v>
                </c:pt>
                <c:pt idx="83">
                  <c:v>9.1000640000000067E-3</c:v>
                </c:pt>
                <c:pt idx="84">
                  <c:v>9.1000640000000067E-3</c:v>
                </c:pt>
                <c:pt idx="85">
                  <c:v>9.1000640000000067E-3</c:v>
                </c:pt>
                <c:pt idx="86">
                  <c:v>9.1000640000000067E-3</c:v>
                </c:pt>
                <c:pt idx="87">
                  <c:v>9.1000640000000067E-3</c:v>
                </c:pt>
                <c:pt idx="88">
                  <c:v>9.1000640000000067E-3</c:v>
                </c:pt>
                <c:pt idx="89">
                  <c:v>9.1000640000000067E-3</c:v>
                </c:pt>
                <c:pt idx="90">
                  <c:v>9.1000640000000067E-3</c:v>
                </c:pt>
                <c:pt idx="91">
                  <c:v>9.1000640000000067E-3</c:v>
                </c:pt>
                <c:pt idx="92">
                  <c:v>1.0969800000000043E-2</c:v>
                </c:pt>
                <c:pt idx="93">
                  <c:v>1.0969800000000043E-2</c:v>
                </c:pt>
                <c:pt idx="94">
                  <c:v>1.0969800000000043E-2</c:v>
                </c:pt>
                <c:pt idx="95">
                  <c:v>1.0969800000000043E-2</c:v>
                </c:pt>
                <c:pt idx="96">
                  <c:v>1.0969800000000043E-2</c:v>
                </c:pt>
                <c:pt idx="97">
                  <c:v>1.0969800000000043E-2</c:v>
                </c:pt>
                <c:pt idx="98">
                  <c:v>1.0969800000000043E-2</c:v>
                </c:pt>
                <c:pt idx="99">
                  <c:v>1.0969800000000043E-2</c:v>
                </c:pt>
                <c:pt idx="100">
                  <c:v>1.0969800000000043E-2</c:v>
                </c:pt>
                <c:pt idx="101">
                  <c:v>1.2601084000000005E-2</c:v>
                </c:pt>
                <c:pt idx="102">
                  <c:v>1.2601084000000005E-2</c:v>
                </c:pt>
                <c:pt idx="103">
                  <c:v>1.2601084000000005E-2</c:v>
                </c:pt>
                <c:pt idx="104">
                  <c:v>1.2601084000000005E-2</c:v>
                </c:pt>
                <c:pt idx="105">
                  <c:v>1.2601084000000005E-2</c:v>
                </c:pt>
                <c:pt idx="106">
                  <c:v>1.2601084000000005E-2</c:v>
                </c:pt>
                <c:pt idx="107">
                  <c:v>1.2601084000000005E-2</c:v>
                </c:pt>
                <c:pt idx="108">
                  <c:v>1.2928027999999999E-2</c:v>
                </c:pt>
                <c:pt idx="109">
                  <c:v>1.2928027999999999E-2</c:v>
                </c:pt>
                <c:pt idx="110">
                  <c:v>1.2928027999999999E-2</c:v>
                </c:pt>
                <c:pt idx="111">
                  <c:v>1.2928027999999999E-2</c:v>
                </c:pt>
                <c:pt idx="112">
                  <c:v>1.2928027999999999E-2</c:v>
                </c:pt>
                <c:pt idx="113">
                  <c:v>1.2928027999999999E-2</c:v>
                </c:pt>
                <c:pt idx="114">
                  <c:v>1.2928027999999999E-2</c:v>
                </c:pt>
                <c:pt idx="115">
                  <c:v>1.2928027999999999E-2</c:v>
                </c:pt>
                <c:pt idx="116">
                  <c:v>1.2928027999999999E-2</c:v>
                </c:pt>
                <c:pt idx="117">
                  <c:v>1.2928027999999999E-2</c:v>
                </c:pt>
                <c:pt idx="118">
                  <c:v>1.2928027999999999E-2</c:v>
                </c:pt>
                <c:pt idx="119">
                  <c:v>1.2928027999999999E-2</c:v>
                </c:pt>
                <c:pt idx="120">
                  <c:v>1.2928027999999999E-2</c:v>
                </c:pt>
                <c:pt idx="121">
                  <c:v>1.2928027999999999E-2</c:v>
                </c:pt>
                <c:pt idx="122">
                  <c:v>1.2928027999999999E-2</c:v>
                </c:pt>
                <c:pt idx="123">
                  <c:v>1.2928027999999999E-2</c:v>
                </c:pt>
                <c:pt idx="124">
                  <c:v>1.2928027999999999E-2</c:v>
                </c:pt>
                <c:pt idx="125">
                  <c:v>1.2928027999999999E-2</c:v>
                </c:pt>
                <c:pt idx="126">
                  <c:v>1.2928027999999999E-2</c:v>
                </c:pt>
                <c:pt idx="127">
                  <c:v>1.2928027999999999E-2</c:v>
                </c:pt>
                <c:pt idx="128">
                  <c:v>2.2324523999999978E-2</c:v>
                </c:pt>
                <c:pt idx="129">
                  <c:v>2.2324523999999978E-2</c:v>
                </c:pt>
                <c:pt idx="130">
                  <c:v>2.3064803999999998E-2</c:v>
                </c:pt>
                <c:pt idx="131">
                  <c:v>2.3064803999999998E-2</c:v>
                </c:pt>
                <c:pt idx="132">
                  <c:v>2.3064803999999998E-2</c:v>
                </c:pt>
                <c:pt idx="133">
                  <c:v>2.3064803999999998E-2</c:v>
                </c:pt>
                <c:pt idx="134">
                  <c:v>2.3064803999999998E-2</c:v>
                </c:pt>
                <c:pt idx="135">
                  <c:v>2.3064803999999998E-2</c:v>
                </c:pt>
                <c:pt idx="136">
                  <c:v>2.3064803999999998E-2</c:v>
                </c:pt>
                <c:pt idx="137">
                  <c:v>2.3064803999999998E-2</c:v>
                </c:pt>
                <c:pt idx="138">
                  <c:v>2.3064803999999998E-2</c:v>
                </c:pt>
                <c:pt idx="139">
                  <c:v>2.3064803999999998E-2</c:v>
                </c:pt>
                <c:pt idx="140">
                  <c:v>2.3064803999999998E-2</c:v>
                </c:pt>
                <c:pt idx="141">
                  <c:v>2.3064803999999998E-2</c:v>
                </c:pt>
                <c:pt idx="142">
                  <c:v>2.6374068000000011E-2</c:v>
                </c:pt>
                <c:pt idx="143">
                  <c:v>2.6374068000000011E-2</c:v>
                </c:pt>
                <c:pt idx="144">
                  <c:v>2.6374068000000011E-2</c:v>
                </c:pt>
                <c:pt idx="145">
                  <c:v>2.6374068000000011E-2</c:v>
                </c:pt>
                <c:pt idx="146">
                  <c:v>2.6374068000000011E-2</c:v>
                </c:pt>
                <c:pt idx="147">
                  <c:v>2.6374068000000011E-2</c:v>
                </c:pt>
                <c:pt idx="148">
                  <c:v>2.6374068000000011E-2</c:v>
                </c:pt>
                <c:pt idx="149">
                  <c:v>3.2249328000001104E-2</c:v>
                </c:pt>
                <c:pt idx="150">
                  <c:v>3.2249328000001104E-2</c:v>
                </c:pt>
                <c:pt idx="151">
                  <c:v>3.2249328000001104E-2</c:v>
                </c:pt>
                <c:pt idx="152">
                  <c:v>3.2249328000001104E-2</c:v>
                </c:pt>
                <c:pt idx="153">
                  <c:v>3.2249328000001104E-2</c:v>
                </c:pt>
                <c:pt idx="154">
                  <c:v>3.2249328000001104E-2</c:v>
                </c:pt>
                <c:pt idx="155">
                  <c:v>3.2249328000001104E-2</c:v>
                </c:pt>
                <c:pt idx="156">
                  <c:v>3.2249328000001104E-2</c:v>
                </c:pt>
                <c:pt idx="157">
                  <c:v>3.2249328000001104E-2</c:v>
                </c:pt>
                <c:pt idx="158">
                  <c:v>3.6100716000000005E-2</c:v>
                </c:pt>
                <c:pt idx="159">
                  <c:v>3.6100716000000005E-2</c:v>
                </c:pt>
                <c:pt idx="160">
                  <c:v>3.6100716000000005E-2</c:v>
                </c:pt>
                <c:pt idx="161">
                  <c:v>3.6100716000000005E-2</c:v>
                </c:pt>
                <c:pt idx="162">
                  <c:v>3.6100716000000005E-2</c:v>
                </c:pt>
                <c:pt idx="163">
                  <c:v>3.6100716000000005E-2</c:v>
                </c:pt>
                <c:pt idx="164">
                  <c:v>3.6100716000000005E-2</c:v>
                </c:pt>
                <c:pt idx="165">
                  <c:v>3.6100716000000005E-2</c:v>
                </c:pt>
                <c:pt idx="166">
                  <c:v>3.6100716000000005E-2</c:v>
                </c:pt>
                <c:pt idx="167">
                  <c:v>3.6100716000000005E-2</c:v>
                </c:pt>
                <c:pt idx="168">
                  <c:v>3.6100716000000005E-2</c:v>
                </c:pt>
                <c:pt idx="169">
                  <c:v>3.6100716000000005E-2</c:v>
                </c:pt>
                <c:pt idx="170">
                  <c:v>3.7002008000000051E-2</c:v>
                </c:pt>
                <c:pt idx="171">
                  <c:v>3.7002008000000051E-2</c:v>
                </c:pt>
                <c:pt idx="172">
                  <c:v>3.7002008000000051E-2</c:v>
                </c:pt>
                <c:pt idx="173">
                  <c:v>3.7002008000000051E-2</c:v>
                </c:pt>
                <c:pt idx="174">
                  <c:v>3.7002008000000051E-2</c:v>
                </c:pt>
                <c:pt idx="175">
                  <c:v>3.7002008000000051E-2</c:v>
                </c:pt>
                <c:pt idx="176">
                  <c:v>3.7526516000000003E-2</c:v>
                </c:pt>
                <c:pt idx="177">
                  <c:v>3.7526516000000003E-2</c:v>
                </c:pt>
                <c:pt idx="178">
                  <c:v>3.7526516000000003E-2</c:v>
                </c:pt>
                <c:pt idx="179">
                  <c:v>3.7526516000000003E-2</c:v>
                </c:pt>
                <c:pt idx="180">
                  <c:v>3.7526516000000003E-2</c:v>
                </c:pt>
                <c:pt idx="181">
                  <c:v>3.7526516000000003E-2</c:v>
                </c:pt>
                <c:pt idx="182">
                  <c:v>3.7526516000000003E-2</c:v>
                </c:pt>
                <c:pt idx="183">
                  <c:v>3.7526516000000003E-2</c:v>
                </c:pt>
                <c:pt idx="184">
                  <c:v>4.0726508000000002E-2</c:v>
                </c:pt>
                <c:pt idx="185">
                  <c:v>4.0726508000000002E-2</c:v>
                </c:pt>
                <c:pt idx="186">
                  <c:v>4.0726508000000002E-2</c:v>
                </c:pt>
                <c:pt idx="187">
                  <c:v>4.0726508000000002E-2</c:v>
                </c:pt>
                <c:pt idx="188">
                  <c:v>4.0726508000000002E-2</c:v>
                </c:pt>
                <c:pt idx="189">
                  <c:v>4.0726508000000002E-2</c:v>
                </c:pt>
                <c:pt idx="190">
                  <c:v>4.0726508000000002E-2</c:v>
                </c:pt>
                <c:pt idx="191">
                  <c:v>4.0726508000000002E-2</c:v>
                </c:pt>
                <c:pt idx="192">
                  <c:v>4.0726508000000002E-2</c:v>
                </c:pt>
                <c:pt idx="193">
                  <c:v>4.0726508000000002E-2</c:v>
                </c:pt>
                <c:pt idx="194">
                  <c:v>4.0726508000000002E-2</c:v>
                </c:pt>
                <c:pt idx="195">
                  <c:v>4.0726508000000002E-2</c:v>
                </c:pt>
                <c:pt idx="196">
                  <c:v>4.0726508000000002E-2</c:v>
                </c:pt>
                <c:pt idx="197">
                  <c:v>4.0726508000000002E-2</c:v>
                </c:pt>
                <c:pt idx="198">
                  <c:v>4.1472143999999947E-2</c:v>
                </c:pt>
                <c:pt idx="199">
                  <c:v>4.1472143999999947E-2</c:v>
                </c:pt>
                <c:pt idx="200">
                  <c:v>4.1472143999999947E-2</c:v>
                </c:pt>
                <c:pt idx="201">
                  <c:v>4.1472143999999947E-2</c:v>
                </c:pt>
                <c:pt idx="202">
                  <c:v>4.1472143999999947E-2</c:v>
                </c:pt>
                <c:pt idx="203">
                  <c:v>4.1472143999999947E-2</c:v>
                </c:pt>
                <c:pt idx="204">
                  <c:v>4.1472143999999947E-2</c:v>
                </c:pt>
                <c:pt idx="205">
                  <c:v>4.1472143999999947E-2</c:v>
                </c:pt>
                <c:pt idx="206">
                  <c:v>4.1472143999999947E-2</c:v>
                </c:pt>
                <c:pt idx="207">
                  <c:v>4.1472143999999947E-2</c:v>
                </c:pt>
                <c:pt idx="208">
                  <c:v>4.1472143999999947E-2</c:v>
                </c:pt>
                <c:pt idx="209">
                  <c:v>4.1472143999999947E-2</c:v>
                </c:pt>
                <c:pt idx="210">
                  <c:v>4.1472143999999947E-2</c:v>
                </c:pt>
                <c:pt idx="211">
                  <c:v>4.1472143999999947E-2</c:v>
                </c:pt>
                <c:pt idx="212">
                  <c:v>4.3456196000000002E-2</c:v>
                </c:pt>
                <c:pt idx="213">
                  <c:v>4.3456196000000002E-2</c:v>
                </c:pt>
                <c:pt idx="214">
                  <c:v>4.3456196000000002E-2</c:v>
                </c:pt>
                <c:pt idx="215">
                  <c:v>4.3456196000000002E-2</c:v>
                </c:pt>
                <c:pt idx="216">
                  <c:v>4.3456196000000002E-2</c:v>
                </c:pt>
                <c:pt idx="217">
                  <c:v>4.3456196000000002E-2</c:v>
                </c:pt>
                <c:pt idx="218">
                  <c:v>4.3456196000000002E-2</c:v>
                </c:pt>
                <c:pt idx="219">
                  <c:v>4.3456196000000002E-2</c:v>
                </c:pt>
                <c:pt idx="220">
                  <c:v>4.4714836000002131E-2</c:v>
                </c:pt>
                <c:pt idx="221">
                  <c:v>4.4714836000002131E-2</c:v>
                </c:pt>
                <c:pt idx="222">
                  <c:v>4.4714836000002131E-2</c:v>
                </c:pt>
                <c:pt idx="223">
                  <c:v>4.4714836000002131E-2</c:v>
                </c:pt>
                <c:pt idx="224">
                  <c:v>4.4714836000002131E-2</c:v>
                </c:pt>
                <c:pt idx="225">
                  <c:v>4.4714836000002131E-2</c:v>
                </c:pt>
                <c:pt idx="226">
                  <c:v>4.4714836000002131E-2</c:v>
                </c:pt>
                <c:pt idx="227">
                  <c:v>5.0796404000002966E-2</c:v>
                </c:pt>
                <c:pt idx="228">
                  <c:v>5.0796404000002966E-2</c:v>
                </c:pt>
                <c:pt idx="229">
                  <c:v>5.0796404000002966E-2</c:v>
                </c:pt>
                <c:pt idx="230">
                  <c:v>5.0796404000002966E-2</c:v>
                </c:pt>
                <c:pt idx="231">
                  <c:v>5.0796404000002966E-2</c:v>
                </c:pt>
                <c:pt idx="232">
                  <c:v>5.0796404000002966E-2</c:v>
                </c:pt>
                <c:pt idx="233">
                  <c:v>5.0908836000000013E-2</c:v>
                </c:pt>
                <c:pt idx="234">
                  <c:v>5.0908836000000013E-2</c:v>
                </c:pt>
                <c:pt idx="235">
                  <c:v>5.0908836000000013E-2</c:v>
                </c:pt>
                <c:pt idx="236">
                  <c:v>5.0908836000000013E-2</c:v>
                </c:pt>
                <c:pt idx="237">
                  <c:v>5.0908836000000013E-2</c:v>
                </c:pt>
                <c:pt idx="238">
                  <c:v>5.0908836000000013E-2</c:v>
                </c:pt>
                <c:pt idx="239">
                  <c:v>5.0908836000000013E-2</c:v>
                </c:pt>
                <c:pt idx="240">
                  <c:v>5.0908836000000013E-2</c:v>
                </c:pt>
                <c:pt idx="241">
                  <c:v>5.0908836000000013E-2</c:v>
                </c:pt>
                <c:pt idx="242">
                  <c:v>5.0908836000000013E-2</c:v>
                </c:pt>
                <c:pt idx="243">
                  <c:v>5.0908836000000013E-2</c:v>
                </c:pt>
                <c:pt idx="244">
                  <c:v>5.0908836000000013E-2</c:v>
                </c:pt>
                <c:pt idx="245">
                  <c:v>5.0908836000000013E-2</c:v>
                </c:pt>
                <c:pt idx="246">
                  <c:v>5.0908836000000013E-2</c:v>
                </c:pt>
                <c:pt idx="247">
                  <c:v>5.0908836000000013E-2</c:v>
                </c:pt>
                <c:pt idx="248">
                  <c:v>5.0908836000000013E-2</c:v>
                </c:pt>
                <c:pt idx="249">
                  <c:v>5.0908836000000013E-2</c:v>
                </c:pt>
                <c:pt idx="250">
                  <c:v>5.0908836000000013E-2</c:v>
                </c:pt>
                <c:pt idx="251">
                  <c:v>5.0908836000000013E-2</c:v>
                </c:pt>
                <c:pt idx="252">
                  <c:v>5.0908836000000013E-2</c:v>
                </c:pt>
                <c:pt idx="253">
                  <c:v>5.0908836000000013E-2</c:v>
                </c:pt>
                <c:pt idx="254">
                  <c:v>5.0908836000000013E-2</c:v>
                </c:pt>
                <c:pt idx="255">
                  <c:v>5.0908836000000013E-2</c:v>
                </c:pt>
                <c:pt idx="256">
                  <c:v>5.0908836000000013E-2</c:v>
                </c:pt>
                <c:pt idx="257">
                  <c:v>5.0908836000000013E-2</c:v>
                </c:pt>
                <c:pt idx="258">
                  <c:v>5.0908836000000013E-2</c:v>
                </c:pt>
                <c:pt idx="259">
                  <c:v>5.0908836000000013E-2</c:v>
                </c:pt>
                <c:pt idx="260">
                  <c:v>5.0908836000000013E-2</c:v>
                </c:pt>
                <c:pt idx="261">
                  <c:v>5.0908836000000013E-2</c:v>
                </c:pt>
                <c:pt idx="262">
                  <c:v>5.0908836000000013E-2</c:v>
                </c:pt>
                <c:pt idx="263">
                  <c:v>5.0908836000000013E-2</c:v>
                </c:pt>
                <c:pt idx="264">
                  <c:v>5.0908836000000013E-2</c:v>
                </c:pt>
                <c:pt idx="265">
                  <c:v>5.0908836000000013E-2</c:v>
                </c:pt>
                <c:pt idx="266">
                  <c:v>5.0908836000000013E-2</c:v>
                </c:pt>
                <c:pt idx="267">
                  <c:v>5.0908836000000013E-2</c:v>
                </c:pt>
                <c:pt idx="268">
                  <c:v>5.0908836000000013E-2</c:v>
                </c:pt>
                <c:pt idx="269">
                  <c:v>5.0908836000000013E-2</c:v>
                </c:pt>
                <c:pt idx="270">
                  <c:v>5.0908836000000013E-2</c:v>
                </c:pt>
                <c:pt idx="271">
                  <c:v>5.0908836000000013E-2</c:v>
                </c:pt>
                <c:pt idx="272">
                  <c:v>5.0908836000000013E-2</c:v>
                </c:pt>
                <c:pt idx="273">
                  <c:v>5.0908836000000013E-2</c:v>
                </c:pt>
                <c:pt idx="274">
                  <c:v>5.0908836000000013E-2</c:v>
                </c:pt>
                <c:pt idx="275">
                  <c:v>5.0908836000000013E-2</c:v>
                </c:pt>
                <c:pt idx="276">
                  <c:v>5.0908836000000013E-2</c:v>
                </c:pt>
                <c:pt idx="277">
                  <c:v>5.0908836000000013E-2</c:v>
                </c:pt>
                <c:pt idx="278">
                  <c:v>5.0908836000000013E-2</c:v>
                </c:pt>
                <c:pt idx="279">
                  <c:v>5.0908836000000013E-2</c:v>
                </c:pt>
                <c:pt idx="280">
                  <c:v>5.0908836000000013E-2</c:v>
                </c:pt>
                <c:pt idx="281">
                  <c:v>5.0908836000000013E-2</c:v>
                </c:pt>
                <c:pt idx="282">
                  <c:v>5.0908836000000013E-2</c:v>
                </c:pt>
                <c:pt idx="283">
                  <c:v>5.0908836000000013E-2</c:v>
                </c:pt>
                <c:pt idx="284">
                  <c:v>5.0908836000000013E-2</c:v>
                </c:pt>
                <c:pt idx="285">
                  <c:v>5.0908836000000013E-2</c:v>
                </c:pt>
                <c:pt idx="286">
                  <c:v>5.0908836000000013E-2</c:v>
                </c:pt>
                <c:pt idx="287">
                  <c:v>5.0908836000000013E-2</c:v>
                </c:pt>
                <c:pt idx="288">
                  <c:v>5.0908836000000013E-2</c:v>
                </c:pt>
                <c:pt idx="289">
                  <c:v>5.0908836000000013E-2</c:v>
                </c:pt>
                <c:pt idx="290">
                  <c:v>5.0908836000000013E-2</c:v>
                </c:pt>
                <c:pt idx="291">
                  <c:v>5.0908836000000013E-2</c:v>
                </c:pt>
                <c:pt idx="292">
                  <c:v>5.0908836000000013E-2</c:v>
                </c:pt>
                <c:pt idx="293">
                  <c:v>5.0908836000000013E-2</c:v>
                </c:pt>
                <c:pt idx="294">
                  <c:v>5.0908836000000013E-2</c:v>
                </c:pt>
                <c:pt idx="295">
                  <c:v>5.0908836000000013E-2</c:v>
                </c:pt>
                <c:pt idx="296">
                  <c:v>5.0908836000000013E-2</c:v>
                </c:pt>
                <c:pt idx="297">
                  <c:v>5.0908836000000013E-2</c:v>
                </c:pt>
                <c:pt idx="298">
                  <c:v>5.0908836000000013E-2</c:v>
                </c:pt>
                <c:pt idx="299">
                  <c:v>5.0908836000000013E-2</c:v>
                </c:pt>
                <c:pt idx="300">
                  <c:v>5.0908836000000013E-2</c:v>
                </c:pt>
                <c:pt idx="301">
                  <c:v>5.0908836000000013E-2</c:v>
                </c:pt>
                <c:pt idx="302">
                  <c:v>5.0908836000000013E-2</c:v>
                </c:pt>
                <c:pt idx="303">
                  <c:v>5.0908836000000013E-2</c:v>
                </c:pt>
                <c:pt idx="304">
                  <c:v>5.0908836000000013E-2</c:v>
                </c:pt>
                <c:pt idx="305">
                  <c:v>5.0908836000000013E-2</c:v>
                </c:pt>
                <c:pt idx="306">
                  <c:v>5.0908836000000013E-2</c:v>
                </c:pt>
                <c:pt idx="307">
                  <c:v>5.0908836000000013E-2</c:v>
                </c:pt>
                <c:pt idx="308">
                  <c:v>5.0908836000000013E-2</c:v>
                </c:pt>
                <c:pt idx="309">
                  <c:v>5.0908836000000013E-2</c:v>
                </c:pt>
                <c:pt idx="310">
                  <c:v>5.0908836000000013E-2</c:v>
                </c:pt>
                <c:pt idx="311">
                  <c:v>5.0908836000000013E-2</c:v>
                </c:pt>
                <c:pt idx="312">
                  <c:v>5.0908836000000013E-2</c:v>
                </c:pt>
                <c:pt idx="313">
                  <c:v>5.0908836000000013E-2</c:v>
                </c:pt>
                <c:pt idx="314">
                  <c:v>5.0908836000000013E-2</c:v>
                </c:pt>
                <c:pt idx="315">
                  <c:v>5.0908836000000013E-2</c:v>
                </c:pt>
                <c:pt idx="316">
                  <c:v>5.0908836000000013E-2</c:v>
                </c:pt>
                <c:pt idx="317">
                  <c:v>5.0908836000000013E-2</c:v>
                </c:pt>
                <c:pt idx="318">
                  <c:v>5.0908836000000013E-2</c:v>
                </c:pt>
                <c:pt idx="319">
                  <c:v>5.0908836000000013E-2</c:v>
                </c:pt>
                <c:pt idx="320">
                  <c:v>5.0908836000000013E-2</c:v>
                </c:pt>
                <c:pt idx="321">
                  <c:v>5.0908836000000013E-2</c:v>
                </c:pt>
                <c:pt idx="322">
                  <c:v>5.0908836000000013E-2</c:v>
                </c:pt>
                <c:pt idx="323">
                  <c:v>5.0908836000000013E-2</c:v>
                </c:pt>
                <c:pt idx="324">
                  <c:v>5.0908836000000013E-2</c:v>
                </c:pt>
                <c:pt idx="325">
                  <c:v>5.0908836000000013E-2</c:v>
                </c:pt>
                <c:pt idx="326">
                  <c:v>5.0908836000000013E-2</c:v>
                </c:pt>
                <c:pt idx="327">
                  <c:v>5.0908836000000013E-2</c:v>
                </c:pt>
                <c:pt idx="328">
                  <c:v>5.0908836000000013E-2</c:v>
                </c:pt>
                <c:pt idx="329">
                  <c:v>5.0908836000000013E-2</c:v>
                </c:pt>
                <c:pt idx="330">
                  <c:v>5.0908836000000013E-2</c:v>
                </c:pt>
                <c:pt idx="331">
                  <c:v>5.0908836000000013E-2</c:v>
                </c:pt>
                <c:pt idx="332">
                  <c:v>5.0908836000000013E-2</c:v>
                </c:pt>
                <c:pt idx="333">
                  <c:v>5.0908836000000013E-2</c:v>
                </c:pt>
                <c:pt idx="334">
                  <c:v>5.0908836000000013E-2</c:v>
                </c:pt>
                <c:pt idx="335">
                  <c:v>5.0908836000000013E-2</c:v>
                </c:pt>
                <c:pt idx="336">
                  <c:v>5.0908836000000013E-2</c:v>
                </c:pt>
                <c:pt idx="337">
                  <c:v>5.0908836000000013E-2</c:v>
                </c:pt>
                <c:pt idx="338">
                  <c:v>5.0908836000000013E-2</c:v>
                </c:pt>
                <c:pt idx="339">
                  <c:v>5.0908836000000013E-2</c:v>
                </c:pt>
                <c:pt idx="340">
                  <c:v>5.0908836000000013E-2</c:v>
                </c:pt>
                <c:pt idx="341">
                  <c:v>5.0908836000000013E-2</c:v>
                </c:pt>
                <c:pt idx="342">
                  <c:v>5.0908836000000013E-2</c:v>
                </c:pt>
                <c:pt idx="343">
                  <c:v>5.0908836000000013E-2</c:v>
                </c:pt>
                <c:pt idx="344">
                  <c:v>5.0908836000000013E-2</c:v>
                </c:pt>
                <c:pt idx="345">
                  <c:v>5.0908836000000013E-2</c:v>
                </c:pt>
                <c:pt idx="346">
                  <c:v>5.0908836000000013E-2</c:v>
                </c:pt>
                <c:pt idx="347">
                  <c:v>5.0908836000000013E-2</c:v>
                </c:pt>
                <c:pt idx="348">
                  <c:v>5.0908836000000013E-2</c:v>
                </c:pt>
                <c:pt idx="349">
                  <c:v>5.0908836000000013E-2</c:v>
                </c:pt>
                <c:pt idx="350">
                  <c:v>5.0908836000000013E-2</c:v>
                </c:pt>
                <c:pt idx="351">
                  <c:v>5.0908836000000013E-2</c:v>
                </c:pt>
                <c:pt idx="352">
                  <c:v>5.0908836000000013E-2</c:v>
                </c:pt>
                <c:pt idx="353">
                  <c:v>5.0908836000000013E-2</c:v>
                </c:pt>
                <c:pt idx="354">
                  <c:v>5.0908836000000013E-2</c:v>
                </c:pt>
                <c:pt idx="355">
                  <c:v>5.0908836000000013E-2</c:v>
                </c:pt>
                <c:pt idx="356">
                  <c:v>5.0908836000000013E-2</c:v>
                </c:pt>
                <c:pt idx="357">
                  <c:v>5.0908836000000013E-2</c:v>
                </c:pt>
                <c:pt idx="358">
                  <c:v>5.0908836000000013E-2</c:v>
                </c:pt>
                <c:pt idx="359">
                  <c:v>5.0908836000000013E-2</c:v>
                </c:pt>
                <c:pt idx="360">
                  <c:v>5.0908836000000013E-2</c:v>
                </c:pt>
                <c:pt idx="361">
                  <c:v>5.0908836000000013E-2</c:v>
                </c:pt>
                <c:pt idx="362">
                  <c:v>5.0908836000000013E-2</c:v>
                </c:pt>
                <c:pt idx="363">
                  <c:v>5.0908836000000013E-2</c:v>
                </c:pt>
                <c:pt idx="364">
                  <c:v>5.0908836000000013E-2</c:v>
                </c:pt>
                <c:pt idx="365">
                  <c:v>5.0908836000000013E-2</c:v>
                </c:pt>
                <c:pt idx="366">
                  <c:v>5.0908836000000013E-2</c:v>
                </c:pt>
                <c:pt idx="367">
                  <c:v>5.0908836000000013E-2</c:v>
                </c:pt>
                <c:pt idx="368">
                  <c:v>5.0908836000000013E-2</c:v>
                </c:pt>
                <c:pt idx="369">
                  <c:v>5.0908836000000013E-2</c:v>
                </c:pt>
                <c:pt idx="370">
                  <c:v>5.0908836000000013E-2</c:v>
                </c:pt>
                <c:pt idx="371">
                  <c:v>5.0908836000000013E-2</c:v>
                </c:pt>
                <c:pt idx="372">
                  <c:v>5.1608787999999996E-2</c:v>
                </c:pt>
                <c:pt idx="373">
                  <c:v>5.1608787999999996E-2</c:v>
                </c:pt>
                <c:pt idx="374">
                  <c:v>5.1608787999999996E-2</c:v>
                </c:pt>
                <c:pt idx="375">
                  <c:v>5.1608787999999996E-2</c:v>
                </c:pt>
                <c:pt idx="376">
                  <c:v>5.1608787999999996E-2</c:v>
                </c:pt>
                <c:pt idx="377">
                  <c:v>5.1608787999999996E-2</c:v>
                </c:pt>
                <c:pt idx="378">
                  <c:v>5.1608787999999996E-2</c:v>
                </c:pt>
                <c:pt idx="379">
                  <c:v>5.1608787999999996E-2</c:v>
                </c:pt>
                <c:pt idx="380">
                  <c:v>5.1608787999999996E-2</c:v>
                </c:pt>
                <c:pt idx="381">
                  <c:v>5.1608787999999996E-2</c:v>
                </c:pt>
                <c:pt idx="382">
                  <c:v>5.1608787999999996E-2</c:v>
                </c:pt>
                <c:pt idx="383">
                  <c:v>5.1608787999999996E-2</c:v>
                </c:pt>
                <c:pt idx="384">
                  <c:v>5.1608787999999996E-2</c:v>
                </c:pt>
                <c:pt idx="385">
                  <c:v>5.1608787999999996E-2</c:v>
                </c:pt>
                <c:pt idx="386">
                  <c:v>5.1608787999999996E-2</c:v>
                </c:pt>
                <c:pt idx="387">
                  <c:v>5.1608787999999996E-2</c:v>
                </c:pt>
                <c:pt idx="388">
                  <c:v>5.1608787999999996E-2</c:v>
                </c:pt>
                <c:pt idx="389">
                  <c:v>5.1608787999999996E-2</c:v>
                </c:pt>
                <c:pt idx="390">
                  <c:v>5.1608787999999996E-2</c:v>
                </c:pt>
                <c:pt idx="391">
                  <c:v>5.1608787999999996E-2</c:v>
                </c:pt>
                <c:pt idx="392">
                  <c:v>5.1608787999999996E-2</c:v>
                </c:pt>
                <c:pt idx="393">
                  <c:v>5.1608787999999996E-2</c:v>
                </c:pt>
                <c:pt idx="394">
                  <c:v>5.1608787999999996E-2</c:v>
                </c:pt>
                <c:pt idx="395">
                  <c:v>5.1608787999999996E-2</c:v>
                </c:pt>
                <c:pt idx="396">
                  <c:v>5.1608787999999996E-2</c:v>
                </c:pt>
                <c:pt idx="397">
                  <c:v>5.1608787999999996E-2</c:v>
                </c:pt>
                <c:pt idx="398">
                  <c:v>5.1608787999999996E-2</c:v>
                </c:pt>
                <c:pt idx="399">
                  <c:v>5.1608787999999996E-2</c:v>
                </c:pt>
                <c:pt idx="400">
                  <c:v>5.1608787999999996E-2</c:v>
                </c:pt>
                <c:pt idx="401">
                  <c:v>5.1608787999999996E-2</c:v>
                </c:pt>
                <c:pt idx="402">
                  <c:v>5.1608787999999996E-2</c:v>
                </c:pt>
                <c:pt idx="403">
                  <c:v>5.1608787999999996E-2</c:v>
                </c:pt>
                <c:pt idx="404">
                  <c:v>5.1608787999999996E-2</c:v>
                </c:pt>
                <c:pt idx="405">
                  <c:v>5.1608787999999996E-2</c:v>
                </c:pt>
                <c:pt idx="406">
                  <c:v>5.1608787999999996E-2</c:v>
                </c:pt>
                <c:pt idx="407">
                  <c:v>5.6421507999999995E-2</c:v>
                </c:pt>
                <c:pt idx="408">
                  <c:v>5.6421507999999995E-2</c:v>
                </c:pt>
                <c:pt idx="409">
                  <c:v>5.6421507999999995E-2</c:v>
                </c:pt>
                <c:pt idx="410">
                  <c:v>5.6421507999999995E-2</c:v>
                </c:pt>
                <c:pt idx="411">
                  <c:v>5.6421507999999995E-2</c:v>
                </c:pt>
                <c:pt idx="412">
                  <c:v>5.6421507999999995E-2</c:v>
                </c:pt>
                <c:pt idx="413">
                  <c:v>5.6421507999999995E-2</c:v>
                </c:pt>
                <c:pt idx="414">
                  <c:v>5.6421507999999995E-2</c:v>
                </c:pt>
                <c:pt idx="415">
                  <c:v>5.6421507999999995E-2</c:v>
                </c:pt>
                <c:pt idx="416">
                  <c:v>5.6421507999999995E-2</c:v>
                </c:pt>
                <c:pt idx="417">
                  <c:v>5.6421507999999995E-2</c:v>
                </c:pt>
                <c:pt idx="418">
                  <c:v>5.6421507999999995E-2</c:v>
                </c:pt>
                <c:pt idx="419">
                  <c:v>5.6421507999999995E-2</c:v>
                </c:pt>
                <c:pt idx="420">
                  <c:v>5.6421507999999995E-2</c:v>
                </c:pt>
                <c:pt idx="421">
                  <c:v>5.6421507999999995E-2</c:v>
                </c:pt>
                <c:pt idx="422">
                  <c:v>5.6421507999999995E-2</c:v>
                </c:pt>
                <c:pt idx="423">
                  <c:v>5.6421507999999995E-2</c:v>
                </c:pt>
                <c:pt idx="424">
                  <c:v>5.6421507999999995E-2</c:v>
                </c:pt>
                <c:pt idx="425">
                  <c:v>5.6421507999999995E-2</c:v>
                </c:pt>
                <c:pt idx="426">
                  <c:v>5.6421507999999995E-2</c:v>
                </c:pt>
                <c:pt idx="427">
                  <c:v>5.6421507999999995E-2</c:v>
                </c:pt>
                <c:pt idx="428">
                  <c:v>5.6421507999999995E-2</c:v>
                </c:pt>
                <c:pt idx="429">
                  <c:v>5.6421507999999995E-2</c:v>
                </c:pt>
                <c:pt idx="430">
                  <c:v>5.6421507999999995E-2</c:v>
                </c:pt>
                <c:pt idx="431">
                  <c:v>5.6421507999999995E-2</c:v>
                </c:pt>
                <c:pt idx="432">
                  <c:v>5.6421507999999995E-2</c:v>
                </c:pt>
                <c:pt idx="433">
                  <c:v>5.6421507999999995E-2</c:v>
                </c:pt>
                <c:pt idx="434">
                  <c:v>5.6421507999999995E-2</c:v>
                </c:pt>
                <c:pt idx="435">
                  <c:v>5.6421507999999995E-2</c:v>
                </c:pt>
                <c:pt idx="436">
                  <c:v>5.6421507999999995E-2</c:v>
                </c:pt>
                <c:pt idx="437">
                  <c:v>5.6421507999999995E-2</c:v>
                </c:pt>
                <c:pt idx="438">
                  <c:v>5.6421507999999995E-2</c:v>
                </c:pt>
                <c:pt idx="439">
                  <c:v>5.6421507999999995E-2</c:v>
                </c:pt>
                <c:pt idx="440">
                  <c:v>5.6421507999999995E-2</c:v>
                </c:pt>
                <c:pt idx="441">
                  <c:v>5.6421507999999995E-2</c:v>
                </c:pt>
                <c:pt idx="442">
                  <c:v>5.6421507999999995E-2</c:v>
                </c:pt>
                <c:pt idx="443">
                  <c:v>5.6421507999999995E-2</c:v>
                </c:pt>
                <c:pt idx="444">
                  <c:v>5.6421507999999995E-2</c:v>
                </c:pt>
                <c:pt idx="445">
                  <c:v>5.6421507999999995E-2</c:v>
                </c:pt>
                <c:pt idx="446">
                  <c:v>5.6421507999999995E-2</c:v>
                </c:pt>
                <c:pt idx="447">
                  <c:v>5.6421507999999995E-2</c:v>
                </c:pt>
                <c:pt idx="448">
                  <c:v>5.6421507999999995E-2</c:v>
                </c:pt>
                <c:pt idx="449">
                  <c:v>5.6421507999999995E-2</c:v>
                </c:pt>
                <c:pt idx="450">
                  <c:v>6.0110608000000024E-2</c:v>
                </c:pt>
                <c:pt idx="451">
                  <c:v>6.0110608000000024E-2</c:v>
                </c:pt>
                <c:pt idx="452">
                  <c:v>6.0110608000000024E-2</c:v>
                </c:pt>
                <c:pt idx="453">
                  <c:v>6.0110608000000024E-2</c:v>
                </c:pt>
                <c:pt idx="454">
                  <c:v>6.0110608000000024E-2</c:v>
                </c:pt>
                <c:pt idx="455">
                  <c:v>6.0110608000000024E-2</c:v>
                </c:pt>
                <c:pt idx="456">
                  <c:v>6.0110608000000024E-2</c:v>
                </c:pt>
                <c:pt idx="457">
                  <c:v>6.0110608000000024E-2</c:v>
                </c:pt>
                <c:pt idx="458">
                  <c:v>6.0110608000000024E-2</c:v>
                </c:pt>
                <c:pt idx="459">
                  <c:v>6.0110608000000024E-2</c:v>
                </c:pt>
                <c:pt idx="460">
                  <c:v>6.0110608000000024E-2</c:v>
                </c:pt>
                <c:pt idx="461">
                  <c:v>6.0110608000000024E-2</c:v>
                </c:pt>
                <c:pt idx="462">
                  <c:v>6.0110608000000024E-2</c:v>
                </c:pt>
                <c:pt idx="463">
                  <c:v>6.0110608000000024E-2</c:v>
                </c:pt>
                <c:pt idx="464">
                  <c:v>6.0110608000000024E-2</c:v>
                </c:pt>
                <c:pt idx="465">
                  <c:v>6.0110608000000024E-2</c:v>
                </c:pt>
                <c:pt idx="466">
                  <c:v>6.0110608000000024E-2</c:v>
                </c:pt>
                <c:pt idx="467">
                  <c:v>6.0110608000000024E-2</c:v>
                </c:pt>
                <c:pt idx="468">
                  <c:v>6.0110608000000024E-2</c:v>
                </c:pt>
                <c:pt idx="469">
                  <c:v>6.0110608000000024E-2</c:v>
                </c:pt>
                <c:pt idx="470">
                  <c:v>6.0110608000000024E-2</c:v>
                </c:pt>
                <c:pt idx="471">
                  <c:v>6.0110608000000024E-2</c:v>
                </c:pt>
                <c:pt idx="472">
                  <c:v>6.0110608000000024E-2</c:v>
                </c:pt>
                <c:pt idx="473">
                  <c:v>6.0110608000000024E-2</c:v>
                </c:pt>
                <c:pt idx="474">
                  <c:v>6.0110608000000024E-2</c:v>
                </c:pt>
                <c:pt idx="475">
                  <c:v>6.0110608000000024E-2</c:v>
                </c:pt>
                <c:pt idx="476">
                  <c:v>6.0110608000000024E-2</c:v>
                </c:pt>
                <c:pt idx="477">
                  <c:v>6.2493100000000114E-2</c:v>
                </c:pt>
                <c:pt idx="478">
                  <c:v>6.2493100000000114E-2</c:v>
                </c:pt>
                <c:pt idx="479">
                  <c:v>6.2493100000000114E-2</c:v>
                </c:pt>
                <c:pt idx="480">
                  <c:v>6.2493100000000114E-2</c:v>
                </c:pt>
                <c:pt idx="481">
                  <c:v>6.2493100000000114E-2</c:v>
                </c:pt>
                <c:pt idx="482">
                  <c:v>6.2493100000000114E-2</c:v>
                </c:pt>
                <c:pt idx="483">
                  <c:v>6.2493100000000114E-2</c:v>
                </c:pt>
                <c:pt idx="484">
                  <c:v>6.2493100000000114E-2</c:v>
                </c:pt>
                <c:pt idx="485">
                  <c:v>6.2493100000000114E-2</c:v>
                </c:pt>
                <c:pt idx="486">
                  <c:v>6.2493100000000114E-2</c:v>
                </c:pt>
                <c:pt idx="487">
                  <c:v>6.2493100000000114E-2</c:v>
                </c:pt>
                <c:pt idx="488">
                  <c:v>6.2493100000000114E-2</c:v>
                </c:pt>
                <c:pt idx="489">
                  <c:v>6.2493100000000114E-2</c:v>
                </c:pt>
                <c:pt idx="490">
                  <c:v>6.2493100000000114E-2</c:v>
                </c:pt>
                <c:pt idx="491">
                  <c:v>6.2493100000000114E-2</c:v>
                </c:pt>
                <c:pt idx="492">
                  <c:v>6.2493100000000114E-2</c:v>
                </c:pt>
                <c:pt idx="493">
                  <c:v>6.2493100000000114E-2</c:v>
                </c:pt>
                <c:pt idx="494">
                  <c:v>6.5635607999999998E-2</c:v>
                </c:pt>
                <c:pt idx="495">
                  <c:v>6.5635607999999998E-2</c:v>
                </c:pt>
                <c:pt idx="496">
                  <c:v>6.5635607999999998E-2</c:v>
                </c:pt>
                <c:pt idx="497">
                  <c:v>6.5635607999999998E-2</c:v>
                </c:pt>
                <c:pt idx="498">
                  <c:v>6.5635607999999998E-2</c:v>
                </c:pt>
                <c:pt idx="499">
                  <c:v>6.5635607999999998E-2</c:v>
                </c:pt>
                <c:pt idx="500">
                  <c:v>6.5635607999999998E-2</c:v>
                </c:pt>
                <c:pt idx="501">
                  <c:v>6.5635607999999998E-2</c:v>
                </c:pt>
                <c:pt idx="502">
                  <c:v>6.5635607999999998E-2</c:v>
                </c:pt>
                <c:pt idx="503">
                  <c:v>6.5635607999999998E-2</c:v>
                </c:pt>
                <c:pt idx="504">
                  <c:v>6.5635607999999998E-2</c:v>
                </c:pt>
                <c:pt idx="505">
                  <c:v>6.5635607999999998E-2</c:v>
                </c:pt>
                <c:pt idx="506">
                  <c:v>6.5635607999999998E-2</c:v>
                </c:pt>
                <c:pt idx="507">
                  <c:v>6.5635607999999998E-2</c:v>
                </c:pt>
                <c:pt idx="508">
                  <c:v>6.5635607999999998E-2</c:v>
                </c:pt>
                <c:pt idx="509">
                  <c:v>6.5635607999999998E-2</c:v>
                </c:pt>
                <c:pt idx="510">
                  <c:v>6.5635607999999998E-2</c:v>
                </c:pt>
                <c:pt idx="511">
                  <c:v>6.5635607999999998E-2</c:v>
                </c:pt>
                <c:pt idx="512">
                  <c:v>6.5635607999999998E-2</c:v>
                </c:pt>
                <c:pt idx="513">
                  <c:v>6.5635607999999998E-2</c:v>
                </c:pt>
                <c:pt idx="514">
                  <c:v>6.5635607999999998E-2</c:v>
                </c:pt>
                <c:pt idx="515">
                  <c:v>6.5635607999999998E-2</c:v>
                </c:pt>
                <c:pt idx="516">
                  <c:v>6.5635607999999998E-2</c:v>
                </c:pt>
                <c:pt idx="517">
                  <c:v>6.5635607999999998E-2</c:v>
                </c:pt>
                <c:pt idx="518">
                  <c:v>7.0305828000000001E-2</c:v>
                </c:pt>
                <c:pt idx="519">
                  <c:v>7.0305828000000001E-2</c:v>
                </c:pt>
                <c:pt idx="520">
                  <c:v>7.0305828000000001E-2</c:v>
                </c:pt>
                <c:pt idx="521">
                  <c:v>7.0305828000000001E-2</c:v>
                </c:pt>
                <c:pt idx="522">
                  <c:v>7.0305828000000001E-2</c:v>
                </c:pt>
                <c:pt idx="523">
                  <c:v>7.0305828000000001E-2</c:v>
                </c:pt>
                <c:pt idx="524">
                  <c:v>7.0305828000000001E-2</c:v>
                </c:pt>
                <c:pt idx="525">
                  <c:v>7.0305828000000001E-2</c:v>
                </c:pt>
                <c:pt idx="526">
                  <c:v>7.0305828000000001E-2</c:v>
                </c:pt>
                <c:pt idx="527">
                  <c:v>7.0305828000000001E-2</c:v>
                </c:pt>
                <c:pt idx="528">
                  <c:v>7.0305828000000001E-2</c:v>
                </c:pt>
                <c:pt idx="529">
                  <c:v>7.0305828000000001E-2</c:v>
                </c:pt>
                <c:pt idx="530">
                  <c:v>7.0305828000000001E-2</c:v>
                </c:pt>
                <c:pt idx="531">
                  <c:v>7.0305828000000001E-2</c:v>
                </c:pt>
                <c:pt idx="532">
                  <c:v>7.0305828000000001E-2</c:v>
                </c:pt>
                <c:pt idx="533">
                  <c:v>7.0305828000000001E-2</c:v>
                </c:pt>
                <c:pt idx="534">
                  <c:v>7.0305828000000001E-2</c:v>
                </c:pt>
                <c:pt idx="535">
                  <c:v>7.0305828000000001E-2</c:v>
                </c:pt>
                <c:pt idx="536">
                  <c:v>7.0305828000000001E-2</c:v>
                </c:pt>
                <c:pt idx="537">
                  <c:v>7.0305828000000001E-2</c:v>
                </c:pt>
                <c:pt idx="538">
                  <c:v>7.0305828000000001E-2</c:v>
                </c:pt>
                <c:pt idx="539">
                  <c:v>7.0305828000000001E-2</c:v>
                </c:pt>
                <c:pt idx="540">
                  <c:v>7.0305828000000001E-2</c:v>
                </c:pt>
                <c:pt idx="541">
                  <c:v>8.6140364000000025E-2</c:v>
                </c:pt>
                <c:pt idx="542">
                  <c:v>8.6140364000000025E-2</c:v>
                </c:pt>
                <c:pt idx="543">
                  <c:v>8.6140364000000025E-2</c:v>
                </c:pt>
                <c:pt idx="544">
                  <c:v>8.6140364000000025E-2</c:v>
                </c:pt>
                <c:pt idx="545">
                  <c:v>8.6140364000000025E-2</c:v>
                </c:pt>
                <c:pt idx="546">
                  <c:v>8.6140364000000025E-2</c:v>
                </c:pt>
                <c:pt idx="547">
                  <c:v>8.6140364000000025E-2</c:v>
                </c:pt>
                <c:pt idx="548">
                  <c:v>8.6140364000000025E-2</c:v>
                </c:pt>
                <c:pt idx="549">
                  <c:v>8.6140364000000025E-2</c:v>
                </c:pt>
                <c:pt idx="550">
                  <c:v>8.6140364000000025E-2</c:v>
                </c:pt>
                <c:pt idx="551">
                  <c:v>8.6140364000000025E-2</c:v>
                </c:pt>
                <c:pt idx="552">
                  <c:v>8.6140364000000025E-2</c:v>
                </c:pt>
                <c:pt idx="553">
                  <c:v>8.6140364000000025E-2</c:v>
                </c:pt>
                <c:pt idx="554">
                  <c:v>8.7567644000000028E-2</c:v>
                </c:pt>
                <c:pt idx="555">
                  <c:v>8.7567644000000028E-2</c:v>
                </c:pt>
                <c:pt idx="556">
                  <c:v>8.7567644000000028E-2</c:v>
                </c:pt>
                <c:pt idx="557">
                  <c:v>8.7567644000000028E-2</c:v>
                </c:pt>
                <c:pt idx="558">
                  <c:v>8.7567644000000028E-2</c:v>
                </c:pt>
                <c:pt idx="559">
                  <c:v>8.7567644000000028E-2</c:v>
                </c:pt>
                <c:pt idx="560">
                  <c:v>8.7567644000000028E-2</c:v>
                </c:pt>
                <c:pt idx="561">
                  <c:v>8.7567644000000028E-2</c:v>
                </c:pt>
                <c:pt idx="562">
                  <c:v>8.7567644000000028E-2</c:v>
                </c:pt>
                <c:pt idx="563">
                  <c:v>8.7567644000000028E-2</c:v>
                </c:pt>
                <c:pt idx="564">
                  <c:v>8.7567644000000028E-2</c:v>
                </c:pt>
                <c:pt idx="565">
                  <c:v>8.7567644000000028E-2</c:v>
                </c:pt>
                <c:pt idx="566">
                  <c:v>8.7567644000000028E-2</c:v>
                </c:pt>
                <c:pt idx="567">
                  <c:v>8.7567644000000028E-2</c:v>
                </c:pt>
                <c:pt idx="568">
                  <c:v>8.7567644000000028E-2</c:v>
                </c:pt>
                <c:pt idx="569">
                  <c:v>8.7567644000000028E-2</c:v>
                </c:pt>
                <c:pt idx="570">
                  <c:v>8.7567644000000028E-2</c:v>
                </c:pt>
                <c:pt idx="571">
                  <c:v>8.7567644000000028E-2</c:v>
                </c:pt>
                <c:pt idx="572">
                  <c:v>8.7567644000000028E-2</c:v>
                </c:pt>
                <c:pt idx="573">
                  <c:v>8.7567644000000028E-2</c:v>
                </c:pt>
                <c:pt idx="574">
                  <c:v>8.7567644000000028E-2</c:v>
                </c:pt>
                <c:pt idx="575">
                  <c:v>8.7567644000000028E-2</c:v>
                </c:pt>
                <c:pt idx="576">
                  <c:v>8.7567644000000028E-2</c:v>
                </c:pt>
                <c:pt idx="577">
                  <c:v>8.9446472000000027E-2</c:v>
                </c:pt>
                <c:pt idx="578">
                  <c:v>8.9446472000000027E-2</c:v>
                </c:pt>
                <c:pt idx="579">
                  <c:v>8.9446472000000027E-2</c:v>
                </c:pt>
                <c:pt idx="580">
                  <c:v>8.9446472000000027E-2</c:v>
                </c:pt>
                <c:pt idx="581">
                  <c:v>8.9446472000000027E-2</c:v>
                </c:pt>
                <c:pt idx="582">
                  <c:v>8.9446472000000027E-2</c:v>
                </c:pt>
                <c:pt idx="583">
                  <c:v>8.9446472000000027E-2</c:v>
                </c:pt>
                <c:pt idx="584">
                  <c:v>8.9446472000000027E-2</c:v>
                </c:pt>
                <c:pt idx="585">
                  <c:v>8.9446472000000027E-2</c:v>
                </c:pt>
                <c:pt idx="586">
                  <c:v>8.9446472000000027E-2</c:v>
                </c:pt>
                <c:pt idx="587">
                  <c:v>8.9446472000000027E-2</c:v>
                </c:pt>
                <c:pt idx="588">
                  <c:v>8.9446472000000027E-2</c:v>
                </c:pt>
                <c:pt idx="589">
                  <c:v>8.9446472000000027E-2</c:v>
                </c:pt>
                <c:pt idx="590">
                  <c:v>8.9446472000000027E-2</c:v>
                </c:pt>
                <c:pt idx="591">
                  <c:v>8.9446472000000027E-2</c:v>
                </c:pt>
                <c:pt idx="592">
                  <c:v>8.9446472000000027E-2</c:v>
                </c:pt>
                <c:pt idx="593">
                  <c:v>8.9446472000000027E-2</c:v>
                </c:pt>
                <c:pt idx="594">
                  <c:v>8.9446472000000027E-2</c:v>
                </c:pt>
                <c:pt idx="595">
                  <c:v>8.9446472000000027E-2</c:v>
                </c:pt>
                <c:pt idx="596">
                  <c:v>8.9446472000000027E-2</c:v>
                </c:pt>
                <c:pt idx="597">
                  <c:v>9.0646808000001244E-2</c:v>
                </c:pt>
                <c:pt idx="598">
                  <c:v>9.0646808000001244E-2</c:v>
                </c:pt>
                <c:pt idx="599">
                  <c:v>9.0646808000001244E-2</c:v>
                </c:pt>
                <c:pt idx="600">
                  <c:v>9.108580400000002E-2</c:v>
                </c:pt>
                <c:pt idx="601">
                  <c:v>9.108580400000002E-2</c:v>
                </c:pt>
                <c:pt idx="602">
                  <c:v>9.108580400000002E-2</c:v>
                </c:pt>
                <c:pt idx="603">
                  <c:v>9.108580400000002E-2</c:v>
                </c:pt>
                <c:pt idx="604">
                  <c:v>9.108580400000002E-2</c:v>
                </c:pt>
                <c:pt idx="605">
                  <c:v>9.108580400000002E-2</c:v>
                </c:pt>
                <c:pt idx="606">
                  <c:v>9.108580400000002E-2</c:v>
                </c:pt>
                <c:pt idx="607">
                  <c:v>9.108580400000002E-2</c:v>
                </c:pt>
                <c:pt idx="608">
                  <c:v>9.108580400000002E-2</c:v>
                </c:pt>
                <c:pt idx="609">
                  <c:v>9.108580400000002E-2</c:v>
                </c:pt>
                <c:pt idx="610">
                  <c:v>9.108580400000002E-2</c:v>
                </c:pt>
                <c:pt idx="611">
                  <c:v>9.108580400000002E-2</c:v>
                </c:pt>
                <c:pt idx="612">
                  <c:v>9.108580400000002E-2</c:v>
                </c:pt>
                <c:pt idx="613">
                  <c:v>9.108580400000002E-2</c:v>
                </c:pt>
                <c:pt idx="614">
                  <c:v>9.108580400000002E-2</c:v>
                </c:pt>
                <c:pt idx="615">
                  <c:v>9.108580400000002E-2</c:v>
                </c:pt>
                <c:pt idx="616">
                  <c:v>9.108580400000002E-2</c:v>
                </c:pt>
                <c:pt idx="617">
                  <c:v>9.108580400000002E-2</c:v>
                </c:pt>
                <c:pt idx="618">
                  <c:v>9.108580400000002E-2</c:v>
                </c:pt>
                <c:pt idx="619">
                  <c:v>9.108580400000002E-2</c:v>
                </c:pt>
                <c:pt idx="620">
                  <c:v>9.108580400000002E-2</c:v>
                </c:pt>
                <c:pt idx="621">
                  <c:v>9.108580400000002E-2</c:v>
                </c:pt>
                <c:pt idx="622">
                  <c:v>9.108580400000002E-2</c:v>
                </c:pt>
                <c:pt idx="623">
                  <c:v>9.108580400000002E-2</c:v>
                </c:pt>
                <c:pt idx="624">
                  <c:v>9.108580400000002E-2</c:v>
                </c:pt>
                <c:pt idx="625">
                  <c:v>9.108580400000002E-2</c:v>
                </c:pt>
                <c:pt idx="626">
                  <c:v>9.108580400000002E-2</c:v>
                </c:pt>
                <c:pt idx="627">
                  <c:v>9.108580400000002E-2</c:v>
                </c:pt>
                <c:pt idx="628">
                  <c:v>9.108580400000002E-2</c:v>
                </c:pt>
                <c:pt idx="629">
                  <c:v>9.108580400000002E-2</c:v>
                </c:pt>
                <c:pt idx="630">
                  <c:v>9.108580400000002E-2</c:v>
                </c:pt>
                <c:pt idx="631">
                  <c:v>9.108580400000002E-2</c:v>
                </c:pt>
                <c:pt idx="632">
                  <c:v>9.108580400000002E-2</c:v>
                </c:pt>
                <c:pt idx="633">
                  <c:v>9.108580400000002E-2</c:v>
                </c:pt>
                <c:pt idx="634">
                  <c:v>9.108580400000002E-2</c:v>
                </c:pt>
                <c:pt idx="635">
                  <c:v>9.108580400000002E-2</c:v>
                </c:pt>
                <c:pt idx="636">
                  <c:v>9.108580400000002E-2</c:v>
                </c:pt>
                <c:pt idx="637">
                  <c:v>9.108580400000002E-2</c:v>
                </c:pt>
                <c:pt idx="638">
                  <c:v>9.108580400000002E-2</c:v>
                </c:pt>
                <c:pt idx="639">
                  <c:v>9.108580400000002E-2</c:v>
                </c:pt>
                <c:pt idx="640">
                  <c:v>9.108580400000002E-2</c:v>
                </c:pt>
                <c:pt idx="641">
                  <c:v>9.108580400000002E-2</c:v>
                </c:pt>
                <c:pt idx="642">
                  <c:v>9.108580400000002E-2</c:v>
                </c:pt>
                <c:pt idx="643">
                  <c:v>9.108580400000002E-2</c:v>
                </c:pt>
                <c:pt idx="644">
                  <c:v>9.108580400000002E-2</c:v>
                </c:pt>
                <c:pt idx="645">
                  <c:v>9.108580400000002E-2</c:v>
                </c:pt>
                <c:pt idx="646">
                  <c:v>9.108580400000002E-2</c:v>
                </c:pt>
                <c:pt idx="647">
                  <c:v>9.108580400000002E-2</c:v>
                </c:pt>
                <c:pt idx="648">
                  <c:v>9.108580400000002E-2</c:v>
                </c:pt>
                <c:pt idx="649">
                  <c:v>9.108580400000002E-2</c:v>
                </c:pt>
                <c:pt idx="650">
                  <c:v>9.108580400000002E-2</c:v>
                </c:pt>
                <c:pt idx="651">
                  <c:v>9.108580400000002E-2</c:v>
                </c:pt>
                <c:pt idx="652">
                  <c:v>9.108580400000002E-2</c:v>
                </c:pt>
                <c:pt idx="653">
                  <c:v>9.108580400000002E-2</c:v>
                </c:pt>
                <c:pt idx="654">
                  <c:v>9.108580400000002E-2</c:v>
                </c:pt>
                <c:pt idx="655">
                  <c:v>9.108580400000002E-2</c:v>
                </c:pt>
                <c:pt idx="656">
                  <c:v>9.108580400000002E-2</c:v>
                </c:pt>
                <c:pt idx="657">
                  <c:v>9.108580400000002E-2</c:v>
                </c:pt>
                <c:pt idx="658">
                  <c:v>9.108580400000002E-2</c:v>
                </c:pt>
                <c:pt idx="659">
                  <c:v>9.108580400000002E-2</c:v>
                </c:pt>
                <c:pt idx="660">
                  <c:v>9.108580400000002E-2</c:v>
                </c:pt>
                <c:pt idx="661">
                  <c:v>9.108580400000002E-2</c:v>
                </c:pt>
                <c:pt idx="662">
                  <c:v>9.108580400000002E-2</c:v>
                </c:pt>
                <c:pt idx="663">
                  <c:v>9.108580400000002E-2</c:v>
                </c:pt>
                <c:pt idx="664">
                  <c:v>9.108580400000002E-2</c:v>
                </c:pt>
                <c:pt idx="665">
                  <c:v>9.108580400000002E-2</c:v>
                </c:pt>
                <c:pt idx="666">
                  <c:v>9.108580400000002E-2</c:v>
                </c:pt>
                <c:pt idx="667">
                  <c:v>9.108580400000002E-2</c:v>
                </c:pt>
                <c:pt idx="668">
                  <c:v>9.108580400000002E-2</c:v>
                </c:pt>
                <c:pt idx="669">
                  <c:v>9.108580400000002E-2</c:v>
                </c:pt>
                <c:pt idx="670">
                  <c:v>9.108580400000002E-2</c:v>
                </c:pt>
                <c:pt idx="671">
                  <c:v>9.108580400000002E-2</c:v>
                </c:pt>
                <c:pt idx="672">
                  <c:v>9.108580400000002E-2</c:v>
                </c:pt>
                <c:pt idx="673">
                  <c:v>9.108580400000002E-2</c:v>
                </c:pt>
                <c:pt idx="674">
                  <c:v>9.108580400000002E-2</c:v>
                </c:pt>
                <c:pt idx="675">
                  <c:v>9.108580400000002E-2</c:v>
                </c:pt>
                <c:pt idx="676">
                  <c:v>9.108580400000002E-2</c:v>
                </c:pt>
                <c:pt idx="677">
                  <c:v>9.108580400000002E-2</c:v>
                </c:pt>
                <c:pt idx="678">
                  <c:v>9.108580400000002E-2</c:v>
                </c:pt>
                <c:pt idx="679">
                  <c:v>9.108580400000002E-2</c:v>
                </c:pt>
                <c:pt idx="680">
                  <c:v>9.108580400000002E-2</c:v>
                </c:pt>
                <c:pt idx="681">
                  <c:v>9.108580400000002E-2</c:v>
                </c:pt>
                <c:pt idx="682">
                  <c:v>9.108580400000002E-2</c:v>
                </c:pt>
                <c:pt idx="683">
                  <c:v>9.108580400000002E-2</c:v>
                </c:pt>
                <c:pt idx="684">
                  <c:v>9.108580400000002E-2</c:v>
                </c:pt>
                <c:pt idx="685">
                  <c:v>9.108580400000002E-2</c:v>
                </c:pt>
                <c:pt idx="686">
                  <c:v>9.108580400000002E-2</c:v>
                </c:pt>
                <c:pt idx="687">
                  <c:v>9.108580400000002E-2</c:v>
                </c:pt>
                <c:pt idx="688">
                  <c:v>9.108580400000002E-2</c:v>
                </c:pt>
                <c:pt idx="689">
                  <c:v>9.108580400000002E-2</c:v>
                </c:pt>
                <c:pt idx="690">
                  <c:v>9.108580400000002E-2</c:v>
                </c:pt>
                <c:pt idx="691">
                  <c:v>9.108580400000002E-2</c:v>
                </c:pt>
                <c:pt idx="692">
                  <c:v>9.108580400000002E-2</c:v>
                </c:pt>
                <c:pt idx="693">
                  <c:v>9.108580400000002E-2</c:v>
                </c:pt>
                <c:pt idx="694">
                  <c:v>9.108580400000002E-2</c:v>
                </c:pt>
                <c:pt idx="695">
                  <c:v>9.108580400000002E-2</c:v>
                </c:pt>
                <c:pt idx="696">
                  <c:v>9.108580400000002E-2</c:v>
                </c:pt>
                <c:pt idx="697">
                  <c:v>9.108580400000002E-2</c:v>
                </c:pt>
                <c:pt idx="698">
                  <c:v>9.108580400000002E-2</c:v>
                </c:pt>
                <c:pt idx="699">
                  <c:v>9.108580400000002E-2</c:v>
                </c:pt>
                <c:pt idx="700">
                  <c:v>9.108580400000002E-2</c:v>
                </c:pt>
                <c:pt idx="701">
                  <c:v>9.108580400000002E-2</c:v>
                </c:pt>
                <c:pt idx="702">
                  <c:v>9.108580400000002E-2</c:v>
                </c:pt>
                <c:pt idx="703">
                  <c:v>9.108580400000002E-2</c:v>
                </c:pt>
                <c:pt idx="704">
                  <c:v>9.108580400000002E-2</c:v>
                </c:pt>
                <c:pt idx="705">
                  <c:v>9.108580400000002E-2</c:v>
                </c:pt>
                <c:pt idx="706">
                  <c:v>9.108580400000002E-2</c:v>
                </c:pt>
                <c:pt idx="707">
                  <c:v>9.108580400000002E-2</c:v>
                </c:pt>
                <c:pt idx="708">
                  <c:v>9.108580400000002E-2</c:v>
                </c:pt>
                <c:pt idx="709">
                  <c:v>9.108580400000002E-2</c:v>
                </c:pt>
                <c:pt idx="710">
                  <c:v>9.108580400000002E-2</c:v>
                </c:pt>
                <c:pt idx="711">
                  <c:v>9.108580400000002E-2</c:v>
                </c:pt>
                <c:pt idx="712">
                  <c:v>9.108580400000002E-2</c:v>
                </c:pt>
                <c:pt idx="713">
                  <c:v>9.108580400000002E-2</c:v>
                </c:pt>
                <c:pt idx="714">
                  <c:v>9.108580400000002E-2</c:v>
                </c:pt>
                <c:pt idx="715">
                  <c:v>9.108580400000002E-2</c:v>
                </c:pt>
                <c:pt idx="716">
                  <c:v>9.108580400000002E-2</c:v>
                </c:pt>
                <c:pt idx="717">
                  <c:v>9.108580400000002E-2</c:v>
                </c:pt>
                <c:pt idx="718">
                  <c:v>9.108580400000002E-2</c:v>
                </c:pt>
                <c:pt idx="719">
                  <c:v>9.108580400000002E-2</c:v>
                </c:pt>
                <c:pt idx="720">
                  <c:v>9.108580400000002E-2</c:v>
                </c:pt>
                <c:pt idx="721">
                  <c:v>9.108580400000002E-2</c:v>
                </c:pt>
                <c:pt idx="722">
                  <c:v>9.108580400000002E-2</c:v>
                </c:pt>
                <c:pt idx="723">
                  <c:v>9.108580400000002E-2</c:v>
                </c:pt>
                <c:pt idx="724">
                  <c:v>9.108580400000002E-2</c:v>
                </c:pt>
                <c:pt idx="725">
                  <c:v>9.108580400000002E-2</c:v>
                </c:pt>
                <c:pt idx="726">
                  <c:v>9.108580400000002E-2</c:v>
                </c:pt>
                <c:pt idx="727">
                  <c:v>9.108580400000002E-2</c:v>
                </c:pt>
                <c:pt idx="728">
                  <c:v>9.108580400000002E-2</c:v>
                </c:pt>
                <c:pt idx="729">
                  <c:v>9.108580400000002E-2</c:v>
                </c:pt>
                <c:pt idx="730">
                  <c:v>9.108580400000002E-2</c:v>
                </c:pt>
                <c:pt idx="731">
                  <c:v>9.108580400000002E-2</c:v>
                </c:pt>
                <c:pt idx="732">
                  <c:v>9.108580400000002E-2</c:v>
                </c:pt>
                <c:pt idx="733">
                  <c:v>9.108580400000002E-2</c:v>
                </c:pt>
                <c:pt idx="734">
                  <c:v>9.108580400000002E-2</c:v>
                </c:pt>
                <c:pt idx="735">
                  <c:v>9.108580400000002E-2</c:v>
                </c:pt>
                <c:pt idx="736">
                  <c:v>9.108580400000002E-2</c:v>
                </c:pt>
                <c:pt idx="737">
                  <c:v>9.108580400000002E-2</c:v>
                </c:pt>
                <c:pt idx="738">
                  <c:v>9.108580400000002E-2</c:v>
                </c:pt>
                <c:pt idx="739">
                  <c:v>9.108580400000002E-2</c:v>
                </c:pt>
                <c:pt idx="740">
                  <c:v>9.108580400000002E-2</c:v>
                </c:pt>
                <c:pt idx="741">
                  <c:v>9.108580400000002E-2</c:v>
                </c:pt>
                <c:pt idx="742">
                  <c:v>9.108580400000002E-2</c:v>
                </c:pt>
                <c:pt idx="743">
                  <c:v>9.108580400000002E-2</c:v>
                </c:pt>
                <c:pt idx="744">
                  <c:v>9.108580400000002E-2</c:v>
                </c:pt>
                <c:pt idx="745">
                  <c:v>9.108580400000002E-2</c:v>
                </c:pt>
                <c:pt idx="746">
                  <c:v>9.108580400000002E-2</c:v>
                </c:pt>
                <c:pt idx="747">
                  <c:v>9.108580400000002E-2</c:v>
                </c:pt>
                <c:pt idx="748">
                  <c:v>9.108580400000002E-2</c:v>
                </c:pt>
                <c:pt idx="749">
                  <c:v>9.108580400000002E-2</c:v>
                </c:pt>
                <c:pt idx="750">
                  <c:v>9.108580400000002E-2</c:v>
                </c:pt>
                <c:pt idx="751">
                  <c:v>9.108580400000002E-2</c:v>
                </c:pt>
                <c:pt idx="752">
                  <c:v>9.108580400000002E-2</c:v>
                </c:pt>
                <c:pt idx="753">
                  <c:v>9.108580400000002E-2</c:v>
                </c:pt>
                <c:pt idx="754">
                  <c:v>9.108580400000002E-2</c:v>
                </c:pt>
                <c:pt idx="755">
                  <c:v>9.108580400000002E-2</c:v>
                </c:pt>
                <c:pt idx="756">
                  <c:v>9.108580400000002E-2</c:v>
                </c:pt>
                <c:pt idx="757">
                  <c:v>9.108580400000002E-2</c:v>
                </c:pt>
                <c:pt idx="758">
                  <c:v>9.108580400000002E-2</c:v>
                </c:pt>
                <c:pt idx="759">
                  <c:v>9.108580400000002E-2</c:v>
                </c:pt>
                <c:pt idx="760">
                  <c:v>9.108580400000002E-2</c:v>
                </c:pt>
                <c:pt idx="761">
                  <c:v>9.108580400000002E-2</c:v>
                </c:pt>
                <c:pt idx="762">
                  <c:v>9.108580400000002E-2</c:v>
                </c:pt>
                <c:pt idx="763">
                  <c:v>9.108580400000002E-2</c:v>
                </c:pt>
                <c:pt idx="764">
                  <c:v>9.108580400000002E-2</c:v>
                </c:pt>
                <c:pt idx="765">
                  <c:v>9.108580400000002E-2</c:v>
                </c:pt>
                <c:pt idx="766">
                  <c:v>9.108580400000002E-2</c:v>
                </c:pt>
                <c:pt idx="767">
                  <c:v>9.108580400000002E-2</c:v>
                </c:pt>
                <c:pt idx="768">
                  <c:v>9.108580400000002E-2</c:v>
                </c:pt>
                <c:pt idx="769">
                  <c:v>9.108580400000002E-2</c:v>
                </c:pt>
                <c:pt idx="770">
                  <c:v>9.108580400000002E-2</c:v>
                </c:pt>
                <c:pt idx="771">
                  <c:v>9.108580400000002E-2</c:v>
                </c:pt>
                <c:pt idx="772">
                  <c:v>9.108580400000002E-2</c:v>
                </c:pt>
                <c:pt idx="773">
                  <c:v>9.108580400000002E-2</c:v>
                </c:pt>
                <c:pt idx="774">
                  <c:v>9.108580400000002E-2</c:v>
                </c:pt>
                <c:pt idx="775">
                  <c:v>9.108580400000002E-2</c:v>
                </c:pt>
                <c:pt idx="776">
                  <c:v>9.108580400000002E-2</c:v>
                </c:pt>
                <c:pt idx="777">
                  <c:v>9.108580400000002E-2</c:v>
                </c:pt>
                <c:pt idx="778">
                  <c:v>9.108580400000002E-2</c:v>
                </c:pt>
                <c:pt idx="779">
                  <c:v>9.108580400000002E-2</c:v>
                </c:pt>
                <c:pt idx="780">
                  <c:v>9.108580400000002E-2</c:v>
                </c:pt>
                <c:pt idx="781">
                  <c:v>9.108580400000002E-2</c:v>
                </c:pt>
                <c:pt idx="782">
                  <c:v>9.108580400000002E-2</c:v>
                </c:pt>
                <c:pt idx="783">
                  <c:v>9.108580400000002E-2</c:v>
                </c:pt>
                <c:pt idx="784">
                  <c:v>9.108580400000002E-2</c:v>
                </c:pt>
                <c:pt idx="785">
                  <c:v>9.108580400000002E-2</c:v>
                </c:pt>
                <c:pt idx="786">
                  <c:v>9.108580400000002E-2</c:v>
                </c:pt>
                <c:pt idx="787">
                  <c:v>9.108580400000002E-2</c:v>
                </c:pt>
                <c:pt idx="788">
                  <c:v>9.1673100000000021E-2</c:v>
                </c:pt>
                <c:pt idx="789">
                  <c:v>9.1673100000000021E-2</c:v>
                </c:pt>
                <c:pt idx="790">
                  <c:v>9.1673100000000021E-2</c:v>
                </c:pt>
                <c:pt idx="791">
                  <c:v>9.1673100000000021E-2</c:v>
                </c:pt>
                <c:pt idx="792">
                  <c:v>9.1673100000000021E-2</c:v>
                </c:pt>
                <c:pt idx="793">
                  <c:v>9.1673100000000021E-2</c:v>
                </c:pt>
                <c:pt idx="794">
                  <c:v>9.1673100000000021E-2</c:v>
                </c:pt>
                <c:pt idx="795">
                  <c:v>9.1673100000000021E-2</c:v>
                </c:pt>
                <c:pt idx="796">
                  <c:v>9.1673100000000021E-2</c:v>
                </c:pt>
                <c:pt idx="797">
                  <c:v>9.1673100000000021E-2</c:v>
                </c:pt>
                <c:pt idx="798">
                  <c:v>9.1673100000000021E-2</c:v>
                </c:pt>
                <c:pt idx="799">
                  <c:v>9.1673100000000021E-2</c:v>
                </c:pt>
                <c:pt idx="800">
                  <c:v>9.1673100000000021E-2</c:v>
                </c:pt>
                <c:pt idx="801">
                  <c:v>9.1673100000000021E-2</c:v>
                </c:pt>
                <c:pt idx="802">
                  <c:v>9.1673100000000021E-2</c:v>
                </c:pt>
                <c:pt idx="803">
                  <c:v>9.1673100000000021E-2</c:v>
                </c:pt>
                <c:pt idx="804">
                  <c:v>9.1673100000000021E-2</c:v>
                </c:pt>
                <c:pt idx="805">
                  <c:v>9.1673100000000021E-2</c:v>
                </c:pt>
                <c:pt idx="806">
                  <c:v>9.1673100000000021E-2</c:v>
                </c:pt>
                <c:pt idx="807">
                  <c:v>9.1673100000000021E-2</c:v>
                </c:pt>
                <c:pt idx="808">
                  <c:v>9.1673100000000021E-2</c:v>
                </c:pt>
                <c:pt idx="809">
                  <c:v>9.1673100000000021E-2</c:v>
                </c:pt>
                <c:pt idx="810">
                  <c:v>9.1673100000000021E-2</c:v>
                </c:pt>
                <c:pt idx="811">
                  <c:v>9.1673100000000021E-2</c:v>
                </c:pt>
                <c:pt idx="812">
                  <c:v>9.1673100000000021E-2</c:v>
                </c:pt>
                <c:pt idx="813">
                  <c:v>9.1673100000000021E-2</c:v>
                </c:pt>
                <c:pt idx="814">
                  <c:v>9.1673100000000021E-2</c:v>
                </c:pt>
                <c:pt idx="815">
                  <c:v>9.1673100000000021E-2</c:v>
                </c:pt>
                <c:pt idx="816">
                  <c:v>9.1673100000000021E-2</c:v>
                </c:pt>
                <c:pt idx="817">
                  <c:v>9.1673100000000021E-2</c:v>
                </c:pt>
                <c:pt idx="818">
                  <c:v>9.1673100000000021E-2</c:v>
                </c:pt>
                <c:pt idx="819">
                  <c:v>9.1673100000000021E-2</c:v>
                </c:pt>
                <c:pt idx="820">
                  <c:v>9.1673100000000021E-2</c:v>
                </c:pt>
                <c:pt idx="821">
                  <c:v>9.5104776000000044E-2</c:v>
                </c:pt>
                <c:pt idx="822">
                  <c:v>9.5104776000000044E-2</c:v>
                </c:pt>
                <c:pt idx="823">
                  <c:v>9.5104776000000044E-2</c:v>
                </c:pt>
                <c:pt idx="824">
                  <c:v>9.5104776000000044E-2</c:v>
                </c:pt>
                <c:pt idx="825">
                  <c:v>9.5104776000000044E-2</c:v>
                </c:pt>
                <c:pt idx="826">
                  <c:v>9.5104776000000044E-2</c:v>
                </c:pt>
                <c:pt idx="827">
                  <c:v>9.5104776000000044E-2</c:v>
                </c:pt>
                <c:pt idx="828">
                  <c:v>9.5104776000000044E-2</c:v>
                </c:pt>
                <c:pt idx="829">
                  <c:v>9.5104776000000044E-2</c:v>
                </c:pt>
                <c:pt idx="830">
                  <c:v>9.5104776000000044E-2</c:v>
                </c:pt>
                <c:pt idx="831">
                  <c:v>9.5104776000000044E-2</c:v>
                </c:pt>
                <c:pt idx="832">
                  <c:v>9.5104776000000044E-2</c:v>
                </c:pt>
                <c:pt idx="833">
                  <c:v>9.5104776000000044E-2</c:v>
                </c:pt>
                <c:pt idx="834">
                  <c:v>9.5104776000000044E-2</c:v>
                </c:pt>
                <c:pt idx="835">
                  <c:v>9.5104776000000044E-2</c:v>
                </c:pt>
                <c:pt idx="836">
                  <c:v>9.5104776000000044E-2</c:v>
                </c:pt>
                <c:pt idx="837">
                  <c:v>9.5104776000000044E-2</c:v>
                </c:pt>
                <c:pt idx="838">
                  <c:v>9.5104776000000044E-2</c:v>
                </c:pt>
                <c:pt idx="839">
                  <c:v>9.5104776000000044E-2</c:v>
                </c:pt>
                <c:pt idx="840">
                  <c:v>9.5104776000000044E-2</c:v>
                </c:pt>
                <c:pt idx="841">
                  <c:v>9.9368912000000004E-2</c:v>
                </c:pt>
                <c:pt idx="842">
                  <c:v>9.9368912000000004E-2</c:v>
                </c:pt>
                <c:pt idx="843">
                  <c:v>9.9368912000000004E-2</c:v>
                </c:pt>
                <c:pt idx="844">
                  <c:v>9.9368912000000004E-2</c:v>
                </c:pt>
                <c:pt idx="845">
                  <c:v>9.9368912000000004E-2</c:v>
                </c:pt>
                <c:pt idx="846">
                  <c:v>9.9368912000000004E-2</c:v>
                </c:pt>
                <c:pt idx="847">
                  <c:v>9.9368912000000004E-2</c:v>
                </c:pt>
                <c:pt idx="848">
                  <c:v>9.9368912000000004E-2</c:v>
                </c:pt>
                <c:pt idx="849">
                  <c:v>9.9368912000000004E-2</c:v>
                </c:pt>
                <c:pt idx="850">
                  <c:v>9.9368912000000004E-2</c:v>
                </c:pt>
                <c:pt idx="851">
                  <c:v>9.9368912000000004E-2</c:v>
                </c:pt>
                <c:pt idx="852">
                  <c:v>9.9368912000000004E-2</c:v>
                </c:pt>
                <c:pt idx="853">
                  <c:v>9.9368912000000004E-2</c:v>
                </c:pt>
                <c:pt idx="854">
                  <c:v>9.9368912000000004E-2</c:v>
                </c:pt>
                <c:pt idx="855">
                  <c:v>9.9368912000000004E-2</c:v>
                </c:pt>
                <c:pt idx="856">
                  <c:v>9.9368912000000004E-2</c:v>
                </c:pt>
                <c:pt idx="857">
                  <c:v>0.10098713999999998</c:v>
                </c:pt>
                <c:pt idx="858">
                  <c:v>0.10098713999999998</c:v>
                </c:pt>
                <c:pt idx="859">
                  <c:v>0.10098713999999998</c:v>
                </c:pt>
                <c:pt idx="860">
                  <c:v>0.10098713999999998</c:v>
                </c:pt>
                <c:pt idx="861">
                  <c:v>0.10098713999999998</c:v>
                </c:pt>
                <c:pt idx="862">
                  <c:v>0.10098713999999998</c:v>
                </c:pt>
                <c:pt idx="863">
                  <c:v>0.10098713999999998</c:v>
                </c:pt>
                <c:pt idx="864">
                  <c:v>0.10098713999999998</c:v>
                </c:pt>
                <c:pt idx="865">
                  <c:v>0.10098713999999998</c:v>
                </c:pt>
                <c:pt idx="866">
                  <c:v>0.10098713999999998</c:v>
                </c:pt>
                <c:pt idx="867">
                  <c:v>0.10098713999999998</c:v>
                </c:pt>
                <c:pt idx="868">
                  <c:v>0.10098713999999998</c:v>
                </c:pt>
                <c:pt idx="869">
                  <c:v>0.10098713999999998</c:v>
                </c:pt>
                <c:pt idx="870">
                  <c:v>0.10098713999999998</c:v>
                </c:pt>
                <c:pt idx="871">
                  <c:v>0.10098713999999998</c:v>
                </c:pt>
                <c:pt idx="872">
                  <c:v>0.10098713999999998</c:v>
                </c:pt>
                <c:pt idx="873">
                  <c:v>0.10098713999999998</c:v>
                </c:pt>
                <c:pt idx="874">
                  <c:v>0.10098713999999998</c:v>
                </c:pt>
                <c:pt idx="875">
                  <c:v>0.10150533199999999</c:v>
                </c:pt>
                <c:pt idx="876">
                  <c:v>0.10150533199999999</c:v>
                </c:pt>
                <c:pt idx="877">
                  <c:v>0.10150533199999999</c:v>
                </c:pt>
                <c:pt idx="878">
                  <c:v>0.10150533199999999</c:v>
                </c:pt>
                <c:pt idx="879">
                  <c:v>0.10150533199999999</c:v>
                </c:pt>
                <c:pt idx="880">
                  <c:v>0.10150533199999999</c:v>
                </c:pt>
                <c:pt idx="881">
                  <c:v>0.10150533199999999</c:v>
                </c:pt>
                <c:pt idx="882">
                  <c:v>0.10150533199999999</c:v>
                </c:pt>
                <c:pt idx="883">
                  <c:v>0.10150533199999999</c:v>
                </c:pt>
                <c:pt idx="884">
                  <c:v>0.10150533199999999</c:v>
                </c:pt>
                <c:pt idx="885">
                  <c:v>0.10150533199999999</c:v>
                </c:pt>
                <c:pt idx="886">
                  <c:v>0.10150533199999999</c:v>
                </c:pt>
                <c:pt idx="887">
                  <c:v>0.10150533199999999</c:v>
                </c:pt>
                <c:pt idx="888">
                  <c:v>0.10150533199999999</c:v>
                </c:pt>
                <c:pt idx="889">
                  <c:v>0.10150533199999999</c:v>
                </c:pt>
                <c:pt idx="890">
                  <c:v>0.10150533199999999</c:v>
                </c:pt>
                <c:pt idx="891">
                  <c:v>0.10150533199999999</c:v>
                </c:pt>
                <c:pt idx="892">
                  <c:v>0.10150533199999999</c:v>
                </c:pt>
                <c:pt idx="893">
                  <c:v>0.10150533199999999</c:v>
                </c:pt>
                <c:pt idx="894">
                  <c:v>0.10150533199999999</c:v>
                </c:pt>
                <c:pt idx="895">
                  <c:v>0.10150533199999999</c:v>
                </c:pt>
                <c:pt idx="896">
                  <c:v>0.10150533199999999</c:v>
                </c:pt>
                <c:pt idx="897">
                  <c:v>0.10150533199999999</c:v>
                </c:pt>
                <c:pt idx="898">
                  <c:v>0.10150533199999999</c:v>
                </c:pt>
                <c:pt idx="899">
                  <c:v>0.10452480400000012</c:v>
                </c:pt>
                <c:pt idx="900">
                  <c:v>0.10452480400000012</c:v>
                </c:pt>
                <c:pt idx="901">
                  <c:v>0.10452480400000012</c:v>
                </c:pt>
                <c:pt idx="902">
                  <c:v>0.10452480400000012</c:v>
                </c:pt>
                <c:pt idx="903">
                  <c:v>0.10452480400000012</c:v>
                </c:pt>
                <c:pt idx="904">
                  <c:v>0.10452480400000012</c:v>
                </c:pt>
                <c:pt idx="905">
                  <c:v>0.10452480400000012</c:v>
                </c:pt>
                <c:pt idx="906">
                  <c:v>0.10452480400000012</c:v>
                </c:pt>
                <c:pt idx="907">
                  <c:v>0.10452480400000012</c:v>
                </c:pt>
                <c:pt idx="908">
                  <c:v>0.10452480400000012</c:v>
                </c:pt>
                <c:pt idx="909">
                  <c:v>0.10452480400000012</c:v>
                </c:pt>
                <c:pt idx="910">
                  <c:v>0.10452480400000012</c:v>
                </c:pt>
                <c:pt idx="911">
                  <c:v>0.10452480400000012</c:v>
                </c:pt>
                <c:pt idx="912">
                  <c:v>0.10452480400000012</c:v>
                </c:pt>
                <c:pt idx="913">
                  <c:v>0.10452480400000012</c:v>
                </c:pt>
                <c:pt idx="914">
                  <c:v>0.10452480400000012</c:v>
                </c:pt>
                <c:pt idx="915">
                  <c:v>0.10452480400000012</c:v>
                </c:pt>
                <c:pt idx="916">
                  <c:v>0.10452480400000012</c:v>
                </c:pt>
                <c:pt idx="917">
                  <c:v>0.10452480400000012</c:v>
                </c:pt>
                <c:pt idx="918">
                  <c:v>0.10452480400000012</c:v>
                </c:pt>
                <c:pt idx="919">
                  <c:v>0.10569014000000383</c:v>
                </c:pt>
                <c:pt idx="920">
                  <c:v>0.10569014000000383</c:v>
                </c:pt>
                <c:pt idx="921">
                  <c:v>0.10569014000000383</c:v>
                </c:pt>
                <c:pt idx="922">
                  <c:v>0.10569014000000383</c:v>
                </c:pt>
                <c:pt idx="923">
                  <c:v>0.10569014000000383</c:v>
                </c:pt>
                <c:pt idx="924">
                  <c:v>0.10569014000000383</c:v>
                </c:pt>
                <c:pt idx="925">
                  <c:v>0.10569014000000383</c:v>
                </c:pt>
                <c:pt idx="926">
                  <c:v>0.10569014000000383</c:v>
                </c:pt>
                <c:pt idx="927">
                  <c:v>0.10569014000000383</c:v>
                </c:pt>
                <c:pt idx="928">
                  <c:v>0.10569014000000383</c:v>
                </c:pt>
                <c:pt idx="929">
                  <c:v>0.10569014000000383</c:v>
                </c:pt>
                <c:pt idx="930">
                  <c:v>0.10569014000000383</c:v>
                </c:pt>
                <c:pt idx="931">
                  <c:v>0.10569014000000383</c:v>
                </c:pt>
                <c:pt idx="932">
                  <c:v>0.10569014000000383</c:v>
                </c:pt>
                <c:pt idx="933">
                  <c:v>0.10569014000000383</c:v>
                </c:pt>
                <c:pt idx="934">
                  <c:v>0.10569014000000383</c:v>
                </c:pt>
                <c:pt idx="935">
                  <c:v>0.10569014000000383</c:v>
                </c:pt>
                <c:pt idx="936">
                  <c:v>0.10569014000000383</c:v>
                </c:pt>
                <c:pt idx="937">
                  <c:v>0.10569014000000383</c:v>
                </c:pt>
                <c:pt idx="938">
                  <c:v>0.10569014000000383</c:v>
                </c:pt>
                <c:pt idx="939">
                  <c:v>0.10569014000000383</c:v>
                </c:pt>
                <c:pt idx="940">
                  <c:v>0.10569014000000383</c:v>
                </c:pt>
                <c:pt idx="941">
                  <c:v>0.10693311599999999</c:v>
                </c:pt>
                <c:pt idx="942">
                  <c:v>0.10693311599999999</c:v>
                </c:pt>
                <c:pt idx="943">
                  <c:v>0.10693311599999999</c:v>
                </c:pt>
                <c:pt idx="944">
                  <c:v>0.10693311599999999</c:v>
                </c:pt>
                <c:pt idx="945">
                  <c:v>0.10693311599999999</c:v>
                </c:pt>
                <c:pt idx="946">
                  <c:v>0.10693311599999999</c:v>
                </c:pt>
                <c:pt idx="947">
                  <c:v>0.10693311599999999</c:v>
                </c:pt>
                <c:pt idx="948">
                  <c:v>0.10693311599999999</c:v>
                </c:pt>
                <c:pt idx="949">
                  <c:v>0.10693311599999999</c:v>
                </c:pt>
                <c:pt idx="950">
                  <c:v>0.10693311599999999</c:v>
                </c:pt>
                <c:pt idx="951">
                  <c:v>0.10693311599999999</c:v>
                </c:pt>
                <c:pt idx="952">
                  <c:v>0.10693311599999999</c:v>
                </c:pt>
                <c:pt idx="953">
                  <c:v>0.10693311599999999</c:v>
                </c:pt>
                <c:pt idx="954">
                  <c:v>0.10693311599999999</c:v>
                </c:pt>
                <c:pt idx="955">
                  <c:v>0.10693311599999999</c:v>
                </c:pt>
                <c:pt idx="956">
                  <c:v>0.10693311599999999</c:v>
                </c:pt>
                <c:pt idx="957">
                  <c:v>0.10693311599999999</c:v>
                </c:pt>
                <c:pt idx="958">
                  <c:v>0.10693311599999999</c:v>
                </c:pt>
                <c:pt idx="959">
                  <c:v>0.10693311599999999</c:v>
                </c:pt>
                <c:pt idx="960">
                  <c:v>0.10693311599999999</c:v>
                </c:pt>
                <c:pt idx="961">
                  <c:v>0.10693311599999999</c:v>
                </c:pt>
                <c:pt idx="962">
                  <c:v>0.10693311599999999</c:v>
                </c:pt>
                <c:pt idx="963">
                  <c:v>0.10693311599999999</c:v>
                </c:pt>
                <c:pt idx="964">
                  <c:v>0.10693311599999999</c:v>
                </c:pt>
                <c:pt idx="965">
                  <c:v>0.10693311599999999</c:v>
                </c:pt>
                <c:pt idx="966">
                  <c:v>0.10693311599999999</c:v>
                </c:pt>
                <c:pt idx="967">
                  <c:v>0.10693311599999999</c:v>
                </c:pt>
                <c:pt idx="968">
                  <c:v>0.10693311599999999</c:v>
                </c:pt>
                <c:pt idx="969">
                  <c:v>0.10693311599999999</c:v>
                </c:pt>
                <c:pt idx="970">
                  <c:v>0.10693311599999999</c:v>
                </c:pt>
                <c:pt idx="971">
                  <c:v>0.10693311599999999</c:v>
                </c:pt>
                <c:pt idx="972">
                  <c:v>0.10693311599999999</c:v>
                </c:pt>
                <c:pt idx="973">
                  <c:v>0.10693311599999999</c:v>
                </c:pt>
                <c:pt idx="974">
                  <c:v>0.10693311599999999</c:v>
                </c:pt>
                <c:pt idx="975">
                  <c:v>0.10693311599999999</c:v>
                </c:pt>
                <c:pt idx="976">
                  <c:v>0.10693311599999999</c:v>
                </c:pt>
                <c:pt idx="977">
                  <c:v>0.10693311599999999</c:v>
                </c:pt>
                <c:pt idx="978">
                  <c:v>0.10693311599999999</c:v>
                </c:pt>
                <c:pt idx="979">
                  <c:v>0.10693311599999999</c:v>
                </c:pt>
                <c:pt idx="980">
                  <c:v>0.10693311599999999</c:v>
                </c:pt>
                <c:pt idx="981">
                  <c:v>0.10693311599999999</c:v>
                </c:pt>
                <c:pt idx="982">
                  <c:v>0.10693311599999999</c:v>
                </c:pt>
                <c:pt idx="983">
                  <c:v>0.10693311599999999</c:v>
                </c:pt>
                <c:pt idx="984">
                  <c:v>0.10693311599999999</c:v>
                </c:pt>
                <c:pt idx="985">
                  <c:v>0.10693311599999999</c:v>
                </c:pt>
                <c:pt idx="986">
                  <c:v>0.10693311599999999</c:v>
                </c:pt>
                <c:pt idx="987">
                  <c:v>0.10693311599999999</c:v>
                </c:pt>
                <c:pt idx="988">
                  <c:v>0.10693311599999999</c:v>
                </c:pt>
                <c:pt idx="989">
                  <c:v>0.10693311599999999</c:v>
                </c:pt>
                <c:pt idx="990">
                  <c:v>0.10693311599999999</c:v>
                </c:pt>
                <c:pt idx="991">
                  <c:v>0.10693311599999999</c:v>
                </c:pt>
                <c:pt idx="992">
                  <c:v>0.10693311599999999</c:v>
                </c:pt>
                <c:pt idx="993">
                  <c:v>0.10693311599999999</c:v>
                </c:pt>
                <c:pt idx="994">
                  <c:v>0.10693311599999999</c:v>
                </c:pt>
                <c:pt idx="995">
                  <c:v>0.10693311599999999</c:v>
                </c:pt>
                <c:pt idx="996">
                  <c:v>0.10693311599999999</c:v>
                </c:pt>
                <c:pt idx="997">
                  <c:v>0.10693311599999999</c:v>
                </c:pt>
                <c:pt idx="998">
                  <c:v>0.10693311599999999</c:v>
                </c:pt>
                <c:pt idx="999">
                  <c:v>0.10693311599999999</c:v>
                </c:pt>
                <c:pt idx="1000">
                  <c:v>0.10693311599999999</c:v>
                </c:pt>
                <c:pt idx="1001">
                  <c:v>0.10693311599999999</c:v>
                </c:pt>
                <c:pt idx="1002">
                  <c:v>0.10693311599999999</c:v>
                </c:pt>
                <c:pt idx="1003">
                  <c:v>0.10693311599999999</c:v>
                </c:pt>
                <c:pt idx="1004">
                  <c:v>0.10693311599999999</c:v>
                </c:pt>
                <c:pt idx="1005">
                  <c:v>0.10693311599999999</c:v>
                </c:pt>
                <c:pt idx="1006">
                  <c:v>0.10693311599999999</c:v>
                </c:pt>
                <c:pt idx="1007">
                  <c:v>0.10693311599999999</c:v>
                </c:pt>
                <c:pt idx="1008">
                  <c:v>0.10693311599999999</c:v>
                </c:pt>
                <c:pt idx="1009">
                  <c:v>0.10693311599999999</c:v>
                </c:pt>
                <c:pt idx="1010">
                  <c:v>0.10693311599999999</c:v>
                </c:pt>
                <c:pt idx="1011">
                  <c:v>0.10693311599999999</c:v>
                </c:pt>
                <c:pt idx="1012">
                  <c:v>0.10693311599999999</c:v>
                </c:pt>
                <c:pt idx="1013">
                  <c:v>0.10693311599999999</c:v>
                </c:pt>
                <c:pt idx="1014">
                  <c:v>0.10693311599999999</c:v>
                </c:pt>
                <c:pt idx="1015">
                  <c:v>0.10693311599999999</c:v>
                </c:pt>
                <c:pt idx="1016">
                  <c:v>0.10693311599999999</c:v>
                </c:pt>
                <c:pt idx="1017">
                  <c:v>0.10693311599999999</c:v>
                </c:pt>
                <c:pt idx="1018">
                  <c:v>0.10693311599999999</c:v>
                </c:pt>
                <c:pt idx="1019">
                  <c:v>0.10693311599999999</c:v>
                </c:pt>
                <c:pt idx="1020">
                  <c:v>0.10693311599999999</c:v>
                </c:pt>
                <c:pt idx="1021">
                  <c:v>0.10693311599999999</c:v>
                </c:pt>
                <c:pt idx="1022">
                  <c:v>0.10693311599999999</c:v>
                </c:pt>
                <c:pt idx="1023">
                  <c:v>0.10693311599999999</c:v>
                </c:pt>
                <c:pt idx="1024">
                  <c:v>0.108079816</c:v>
                </c:pt>
                <c:pt idx="1025">
                  <c:v>0.108079816</c:v>
                </c:pt>
                <c:pt idx="1026">
                  <c:v>0.108079816</c:v>
                </c:pt>
                <c:pt idx="1027">
                  <c:v>0.108079816</c:v>
                </c:pt>
                <c:pt idx="1028">
                  <c:v>0.108079816</c:v>
                </c:pt>
                <c:pt idx="1029">
                  <c:v>0.108079816</c:v>
                </c:pt>
                <c:pt idx="1030">
                  <c:v>0.108079816</c:v>
                </c:pt>
                <c:pt idx="1031">
                  <c:v>0.108079816</c:v>
                </c:pt>
                <c:pt idx="1032">
                  <c:v>0.108079816</c:v>
                </c:pt>
                <c:pt idx="1033">
                  <c:v>0.108079816</c:v>
                </c:pt>
                <c:pt idx="1034">
                  <c:v>0.108079816</c:v>
                </c:pt>
                <c:pt idx="1035">
                  <c:v>0.108079816</c:v>
                </c:pt>
                <c:pt idx="1036">
                  <c:v>0.108079816</c:v>
                </c:pt>
                <c:pt idx="1037">
                  <c:v>0.108079816</c:v>
                </c:pt>
                <c:pt idx="1038">
                  <c:v>0.108079816</c:v>
                </c:pt>
                <c:pt idx="1039">
                  <c:v>0.108079816</c:v>
                </c:pt>
                <c:pt idx="1040">
                  <c:v>0.108079816</c:v>
                </c:pt>
                <c:pt idx="1041">
                  <c:v>0.108079816</c:v>
                </c:pt>
                <c:pt idx="1042">
                  <c:v>0.108079816</c:v>
                </c:pt>
                <c:pt idx="1043">
                  <c:v>0.108079816</c:v>
                </c:pt>
                <c:pt idx="1044">
                  <c:v>0.108079816</c:v>
                </c:pt>
                <c:pt idx="1045">
                  <c:v>0.108079816</c:v>
                </c:pt>
                <c:pt idx="1046">
                  <c:v>0.108079816</c:v>
                </c:pt>
                <c:pt idx="1047">
                  <c:v>0.108079816</c:v>
                </c:pt>
                <c:pt idx="1048">
                  <c:v>0.108079816</c:v>
                </c:pt>
                <c:pt idx="1049">
                  <c:v>0.108079816</c:v>
                </c:pt>
                <c:pt idx="1050">
                  <c:v>0.108079816</c:v>
                </c:pt>
                <c:pt idx="1051">
                  <c:v>0.108079816</c:v>
                </c:pt>
                <c:pt idx="1052">
                  <c:v>0.108079816</c:v>
                </c:pt>
                <c:pt idx="1053">
                  <c:v>0.108079816</c:v>
                </c:pt>
                <c:pt idx="1054">
                  <c:v>0.108079816</c:v>
                </c:pt>
                <c:pt idx="1055">
                  <c:v>0.108079816</c:v>
                </c:pt>
                <c:pt idx="1056">
                  <c:v>0.108079816</c:v>
                </c:pt>
                <c:pt idx="1057">
                  <c:v>0.108079816</c:v>
                </c:pt>
                <c:pt idx="1058">
                  <c:v>0.108079816</c:v>
                </c:pt>
                <c:pt idx="1059">
                  <c:v>0.108079816</c:v>
                </c:pt>
                <c:pt idx="1060">
                  <c:v>0.108079816</c:v>
                </c:pt>
                <c:pt idx="1061">
                  <c:v>0.108079816</c:v>
                </c:pt>
                <c:pt idx="1062">
                  <c:v>0.108079816</c:v>
                </c:pt>
                <c:pt idx="1063">
                  <c:v>0.108079816</c:v>
                </c:pt>
                <c:pt idx="1064">
                  <c:v>0.108079816</c:v>
                </c:pt>
                <c:pt idx="1065">
                  <c:v>0.108079816</c:v>
                </c:pt>
                <c:pt idx="1066">
                  <c:v>0.108079816</c:v>
                </c:pt>
                <c:pt idx="1067">
                  <c:v>0.108079816</c:v>
                </c:pt>
                <c:pt idx="1068">
                  <c:v>0.108079816</c:v>
                </c:pt>
                <c:pt idx="1069">
                  <c:v>0.108079816</c:v>
                </c:pt>
                <c:pt idx="1070">
                  <c:v>0.108079816</c:v>
                </c:pt>
                <c:pt idx="1071">
                  <c:v>0.108079816</c:v>
                </c:pt>
                <c:pt idx="1072">
                  <c:v>0.108079816</c:v>
                </c:pt>
                <c:pt idx="1073">
                  <c:v>0.108079816</c:v>
                </c:pt>
                <c:pt idx="1074">
                  <c:v>0.108079816</c:v>
                </c:pt>
                <c:pt idx="1075">
                  <c:v>0.108079816</c:v>
                </c:pt>
                <c:pt idx="1076">
                  <c:v>0.108079816</c:v>
                </c:pt>
                <c:pt idx="1077">
                  <c:v>0.108079816</c:v>
                </c:pt>
                <c:pt idx="1078">
                  <c:v>0.108079816</c:v>
                </c:pt>
                <c:pt idx="1079">
                  <c:v>0.108079816</c:v>
                </c:pt>
                <c:pt idx="1080">
                  <c:v>0.108079816</c:v>
                </c:pt>
                <c:pt idx="1081">
                  <c:v>0.108079816</c:v>
                </c:pt>
                <c:pt idx="1082">
                  <c:v>0.108079816</c:v>
                </c:pt>
                <c:pt idx="1083">
                  <c:v>0.108079816</c:v>
                </c:pt>
                <c:pt idx="1084">
                  <c:v>0.108079816</c:v>
                </c:pt>
                <c:pt idx="1085">
                  <c:v>0.108079816</c:v>
                </c:pt>
                <c:pt idx="1086">
                  <c:v>0.108079816</c:v>
                </c:pt>
                <c:pt idx="1087">
                  <c:v>0.108079816</c:v>
                </c:pt>
                <c:pt idx="1088">
                  <c:v>0.108079816</c:v>
                </c:pt>
                <c:pt idx="1089">
                  <c:v>0.108079816</c:v>
                </c:pt>
                <c:pt idx="1090">
                  <c:v>0.108079816</c:v>
                </c:pt>
                <c:pt idx="1091">
                  <c:v>0.108079816</c:v>
                </c:pt>
                <c:pt idx="1092">
                  <c:v>0.108079816</c:v>
                </c:pt>
                <c:pt idx="1093">
                  <c:v>0.108079816</c:v>
                </c:pt>
                <c:pt idx="1094">
                  <c:v>0.108079816</c:v>
                </c:pt>
                <c:pt idx="1095">
                  <c:v>0.108079816</c:v>
                </c:pt>
                <c:pt idx="1096">
                  <c:v>0.108079816</c:v>
                </c:pt>
                <c:pt idx="1097">
                  <c:v>0.108079816</c:v>
                </c:pt>
                <c:pt idx="1098">
                  <c:v>0.108079816</c:v>
                </c:pt>
                <c:pt idx="1099">
                  <c:v>0.108079816</c:v>
                </c:pt>
                <c:pt idx="1100">
                  <c:v>0.108079816</c:v>
                </c:pt>
                <c:pt idx="1101">
                  <c:v>0.108079816</c:v>
                </c:pt>
                <c:pt idx="1102">
                  <c:v>0.108079816</c:v>
                </c:pt>
                <c:pt idx="1103">
                  <c:v>0.108079816</c:v>
                </c:pt>
                <c:pt idx="1104">
                  <c:v>0.108079816</c:v>
                </c:pt>
                <c:pt idx="1105">
                  <c:v>0.108079816</c:v>
                </c:pt>
                <c:pt idx="1106">
                  <c:v>0.108079816</c:v>
                </c:pt>
                <c:pt idx="1107">
                  <c:v>0.108079816</c:v>
                </c:pt>
                <c:pt idx="1108">
                  <c:v>0.108079816</c:v>
                </c:pt>
                <c:pt idx="1109">
                  <c:v>0.108079816</c:v>
                </c:pt>
                <c:pt idx="1110">
                  <c:v>0.108079816</c:v>
                </c:pt>
                <c:pt idx="1111">
                  <c:v>0.108079816</c:v>
                </c:pt>
                <c:pt idx="1112">
                  <c:v>0.108079816</c:v>
                </c:pt>
                <c:pt idx="1113">
                  <c:v>0.108079816</c:v>
                </c:pt>
                <c:pt idx="1114">
                  <c:v>0.108079816</c:v>
                </c:pt>
                <c:pt idx="1115">
                  <c:v>0.108079816</c:v>
                </c:pt>
                <c:pt idx="1116">
                  <c:v>0.108079816</c:v>
                </c:pt>
                <c:pt idx="1117">
                  <c:v>0.108079816</c:v>
                </c:pt>
                <c:pt idx="1118">
                  <c:v>0.108079816</c:v>
                </c:pt>
                <c:pt idx="1119">
                  <c:v>0.108079816</c:v>
                </c:pt>
                <c:pt idx="1120">
                  <c:v>0.108079816</c:v>
                </c:pt>
                <c:pt idx="1121">
                  <c:v>0.108079816</c:v>
                </c:pt>
                <c:pt idx="1122">
                  <c:v>0.108079816</c:v>
                </c:pt>
                <c:pt idx="1123">
                  <c:v>0.108079816</c:v>
                </c:pt>
                <c:pt idx="1124">
                  <c:v>0.108079816</c:v>
                </c:pt>
                <c:pt idx="1125">
                  <c:v>0.108079816</c:v>
                </c:pt>
                <c:pt idx="1126">
                  <c:v>0.108079816</c:v>
                </c:pt>
                <c:pt idx="1127">
                  <c:v>0.108079816</c:v>
                </c:pt>
                <c:pt idx="1128">
                  <c:v>0.108079816</c:v>
                </c:pt>
                <c:pt idx="1129">
                  <c:v>0.108079816</c:v>
                </c:pt>
                <c:pt idx="1130">
                  <c:v>0.108079816</c:v>
                </c:pt>
                <c:pt idx="1131">
                  <c:v>0.108079816</c:v>
                </c:pt>
                <c:pt idx="1132">
                  <c:v>0.108079816</c:v>
                </c:pt>
                <c:pt idx="1133">
                  <c:v>0.108079816</c:v>
                </c:pt>
                <c:pt idx="1134">
                  <c:v>0.108079816</c:v>
                </c:pt>
                <c:pt idx="1135">
                  <c:v>0.108079816</c:v>
                </c:pt>
                <c:pt idx="1136">
                  <c:v>0.108079816</c:v>
                </c:pt>
                <c:pt idx="1137">
                  <c:v>0.108079816</c:v>
                </c:pt>
                <c:pt idx="1138">
                  <c:v>0.108079816</c:v>
                </c:pt>
                <c:pt idx="1139">
                  <c:v>0.108079816</c:v>
                </c:pt>
                <c:pt idx="1140">
                  <c:v>0.108079816</c:v>
                </c:pt>
                <c:pt idx="1141">
                  <c:v>0.108079816</c:v>
                </c:pt>
                <c:pt idx="1142">
                  <c:v>0.108079816</c:v>
                </c:pt>
                <c:pt idx="1143">
                  <c:v>0.10880442920000002</c:v>
                </c:pt>
                <c:pt idx="1144">
                  <c:v>0.10880442920000002</c:v>
                </c:pt>
                <c:pt idx="1145">
                  <c:v>0.10880442920000002</c:v>
                </c:pt>
                <c:pt idx="1146">
                  <c:v>0.10880442920000002</c:v>
                </c:pt>
                <c:pt idx="1147">
                  <c:v>0.10880442920000002</c:v>
                </c:pt>
                <c:pt idx="1148">
                  <c:v>0.10880442920000002</c:v>
                </c:pt>
                <c:pt idx="1149">
                  <c:v>0.10880442920000002</c:v>
                </c:pt>
                <c:pt idx="1150">
                  <c:v>0.10880442920000002</c:v>
                </c:pt>
                <c:pt idx="1151">
                  <c:v>0.10880442920000002</c:v>
                </c:pt>
                <c:pt idx="1152">
                  <c:v>0.10880442920000002</c:v>
                </c:pt>
                <c:pt idx="1153">
                  <c:v>0.10880442920000002</c:v>
                </c:pt>
                <c:pt idx="1154">
                  <c:v>0.10880442920000002</c:v>
                </c:pt>
                <c:pt idx="1155">
                  <c:v>0.10880442920000002</c:v>
                </c:pt>
                <c:pt idx="1156">
                  <c:v>0.10880442920000002</c:v>
                </c:pt>
                <c:pt idx="1157">
                  <c:v>0.10880442920000002</c:v>
                </c:pt>
                <c:pt idx="1158">
                  <c:v>0.10880442920000002</c:v>
                </c:pt>
                <c:pt idx="1159">
                  <c:v>0.10880442920000002</c:v>
                </c:pt>
                <c:pt idx="1160">
                  <c:v>0.10880442920000002</c:v>
                </c:pt>
                <c:pt idx="1161">
                  <c:v>0.10880442920000002</c:v>
                </c:pt>
                <c:pt idx="1162">
                  <c:v>0.10880442920000002</c:v>
                </c:pt>
                <c:pt idx="1163">
                  <c:v>0.10880442920000002</c:v>
                </c:pt>
                <c:pt idx="1164">
                  <c:v>0.10880442920000002</c:v>
                </c:pt>
                <c:pt idx="1165">
                  <c:v>0.10880442920000002</c:v>
                </c:pt>
                <c:pt idx="1166">
                  <c:v>0.10880442920000002</c:v>
                </c:pt>
                <c:pt idx="1167">
                  <c:v>0.10880442920000002</c:v>
                </c:pt>
                <c:pt idx="1168">
                  <c:v>0.10880442920000002</c:v>
                </c:pt>
                <c:pt idx="1169">
                  <c:v>0.10880442920000002</c:v>
                </c:pt>
                <c:pt idx="1170">
                  <c:v>0.10880442920000002</c:v>
                </c:pt>
                <c:pt idx="1171">
                  <c:v>0.10880442920000002</c:v>
                </c:pt>
                <c:pt idx="1172">
                  <c:v>0.10880442920000002</c:v>
                </c:pt>
                <c:pt idx="1173">
                  <c:v>0.10880442920000002</c:v>
                </c:pt>
                <c:pt idx="1174">
                  <c:v>0.10880442920000002</c:v>
                </c:pt>
                <c:pt idx="1175">
                  <c:v>0.10880442920000002</c:v>
                </c:pt>
                <c:pt idx="1176">
                  <c:v>0.10880442920000002</c:v>
                </c:pt>
                <c:pt idx="1177">
                  <c:v>0.10880442920000002</c:v>
                </c:pt>
                <c:pt idx="1178">
                  <c:v>0.10880442920000002</c:v>
                </c:pt>
                <c:pt idx="1179">
                  <c:v>0.11031439903999665</c:v>
                </c:pt>
                <c:pt idx="1180">
                  <c:v>0.11031439903999665</c:v>
                </c:pt>
                <c:pt idx="1181">
                  <c:v>0.11031439903999665</c:v>
                </c:pt>
                <c:pt idx="1182">
                  <c:v>0.11031439903999665</c:v>
                </c:pt>
                <c:pt idx="1183">
                  <c:v>0.11031439903999665</c:v>
                </c:pt>
                <c:pt idx="1184">
                  <c:v>0.11031439903999665</c:v>
                </c:pt>
                <c:pt idx="1185">
                  <c:v>0.11031439903999665</c:v>
                </c:pt>
                <c:pt idx="1186">
                  <c:v>0.11031439903999665</c:v>
                </c:pt>
                <c:pt idx="1187">
                  <c:v>0.11031439903999665</c:v>
                </c:pt>
                <c:pt idx="1188">
                  <c:v>0.11031439903999665</c:v>
                </c:pt>
                <c:pt idx="1189">
                  <c:v>0.11031439903999665</c:v>
                </c:pt>
                <c:pt idx="1190">
                  <c:v>0.11031439903999665</c:v>
                </c:pt>
                <c:pt idx="1191">
                  <c:v>0.11031439903999665</c:v>
                </c:pt>
                <c:pt idx="1192">
                  <c:v>0.11031439903999665</c:v>
                </c:pt>
                <c:pt idx="1193">
                  <c:v>0.11031439903999665</c:v>
                </c:pt>
                <c:pt idx="1194">
                  <c:v>0.11031439903999665</c:v>
                </c:pt>
                <c:pt idx="1195">
                  <c:v>0.11031439903999665</c:v>
                </c:pt>
                <c:pt idx="1196">
                  <c:v>0.11031439903999665</c:v>
                </c:pt>
                <c:pt idx="1197">
                  <c:v>0.11031439903999665</c:v>
                </c:pt>
                <c:pt idx="1198">
                  <c:v>0.11031439903999665</c:v>
                </c:pt>
                <c:pt idx="1199">
                  <c:v>0.11031439903999665</c:v>
                </c:pt>
                <c:pt idx="1200">
                  <c:v>0.11031439903999665</c:v>
                </c:pt>
                <c:pt idx="1201">
                  <c:v>0.11031439903999665</c:v>
                </c:pt>
                <c:pt idx="1202">
                  <c:v>0.11031439903999665</c:v>
                </c:pt>
                <c:pt idx="1203">
                  <c:v>0.11031439903999665</c:v>
                </c:pt>
                <c:pt idx="1204">
                  <c:v>0.11031439903999665</c:v>
                </c:pt>
                <c:pt idx="1205">
                  <c:v>0.11031439903999665</c:v>
                </c:pt>
                <c:pt idx="1206">
                  <c:v>0.11426183194800245</c:v>
                </c:pt>
                <c:pt idx="1207">
                  <c:v>0.11426183194800245</c:v>
                </c:pt>
                <c:pt idx="1208">
                  <c:v>0.11426183194800245</c:v>
                </c:pt>
                <c:pt idx="1209">
                  <c:v>0.11426183194800245</c:v>
                </c:pt>
                <c:pt idx="1210">
                  <c:v>0.11426183194800245</c:v>
                </c:pt>
                <c:pt idx="1211">
                  <c:v>0.11426183194800245</c:v>
                </c:pt>
                <c:pt idx="1212">
                  <c:v>0.11426183194800245</c:v>
                </c:pt>
                <c:pt idx="1213">
                  <c:v>0.11426183194800245</c:v>
                </c:pt>
                <c:pt idx="1214">
                  <c:v>0.11426183194800245</c:v>
                </c:pt>
                <c:pt idx="1215">
                  <c:v>0.11426183194800245</c:v>
                </c:pt>
                <c:pt idx="1216">
                  <c:v>0.11426183194800245</c:v>
                </c:pt>
                <c:pt idx="1217">
                  <c:v>0.11426183194800245</c:v>
                </c:pt>
                <c:pt idx="1218">
                  <c:v>0.11426183194800245</c:v>
                </c:pt>
                <c:pt idx="1219">
                  <c:v>0.11426183194800245</c:v>
                </c:pt>
                <c:pt idx="1220">
                  <c:v>0.11426183194800245</c:v>
                </c:pt>
                <c:pt idx="1221">
                  <c:v>0.11426183194800245</c:v>
                </c:pt>
                <c:pt idx="1222">
                  <c:v>0.11426183194800245</c:v>
                </c:pt>
                <c:pt idx="1223">
                  <c:v>0.11426183194800245</c:v>
                </c:pt>
                <c:pt idx="1224">
                  <c:v>0.11426183194800245</c:v>
                </c:pt>
                <c:pt idx="1225">
                  <c:v>0.11426183194800245</c:v>
                </c:pt>
                <c:pt idx="1226">
                  <c:v>0.11426183194800245</c:v>
                </c:pt>
                <c:pt idx="1227">
                  <c:v>0.11550222818800022</c:v>
                </c:pt>
                <c:pt idx="1228">
                  <c:v>0.11550222818800022</c:v>
                </c:pt>
                <c:pt idx="1229">
                  <c:v>0.11550222818800022</c:v>
                </c:pt>
                <c:pt idx="1230">
                  <c:v>0.11550222818800022</c:v>
                </c:pt>
                <c:pt idx="1231">
                  <c:v>0.11550222818800022</c:v>
                </c:pt>
                <c:pt idx="1232">
                  <c:v>0.11550222818800022</c:v>
                </c:pt>
                <c:pt idx="1233">
                  <c:v>0.11550222818800022</c:v>
                </c:pt>
                <c:pt idx="1234">
                  <c:v>0.11550222818800022</c:v>
                </c:pt>
                <c:pt idx="1235">
                  <c:v>0.11550222818800022</c:v>
                </c:pt>
                <c:pt idx="1236">
                  <c:v>0.11550222818800022</c:v>
                </c:pt>
                <c:pt idx="1237">
                  <c:v>0.11550222818800022</c:v>
                </c:pt>
                <c:pt idx="1238">
                  <c:v>0.11550222818800022</c:v>
                </c:pt>
                <c:pt idx="1239">
                  <c:v>0.11550222818800022</c:v>
                </c:pt>
                <c:pt idx="1240">
                  <c:v>0.11550222818800022</c:v>
                </c:pt>
                <c:pt idx="1241">
                  <c:v>0.11550222818800022</c:v>
                </c:pt>
                <c:pt idx="1242">
                  <c:v>0.11550222818800022</c:v>
                </c:pt>
                <c:pt idx="1243">
                  <c:v>0.11550222818800022</c:v>
                </c:pt>
                <c:pt idx="1244">
                  <c:v>0.11550222818800022</c:v>
                </c:pt>
                <c:pt idx="1245">
                  <c:v>0.11550222818800022</c:v>
                </c:pt>
                <c:pt idx="1246">
                  <c:v>0.11550222818800022</c:v>
                </c:pt>
                <c:pt idx="1247">
                  <c:v>0.11550222818800022</c:v>
                </c:pt>
                <c:pt idx="1248">
                  <c:v>0.11550222818800022</c:v>
                </c:pt>
                <c:pt idx="1249">
                  <c:v>0.11971332485600022</c:v>
                </c:pt>
                <c:pt idx="1250">
                  <c:v>0.11971332485600022</c:v>
                </c:pt>
                <c:pt idx="1251">
                  <c:v>0.11971332485600022</c:v>
                </c:pt>
                <c:pt idx="1252">
                  <c:v>0.11971332485600022</c:v>
                </c:pt>
                <c:pt idx="1253">
                  <c:v>0.11971332485600022</c:v>
                </c:pt>
                <c:pt idx="1254">
                  <c:v>0.11971332485600022</c:v>
                </c:pt>
                <c:pt idx="1255">
                  <c:v>0.11971332485600022</c:v>
                </c:pt>
                <c:pt idx="1256">
                  <c:v>0.11971332485600022</c:v>
                </c:pt>
                <c:pt idx="1257">
                  <c:v>0.11971332485600022</c:v>
                </c:pt>
                <c:pt idx="1258">
                  <c:v>0.11971332485600022</c:v>
                </c:pt>
                <c:pt idx="1259">
                  <c:v>0.11971332485600022</c:v>
                </c:pt>
                <c:pt idx="1260">
                  <c:v>0.11971332485600022</c:v>
                </c:pt>
                <c:pt idx="1261">
                  <c:v>0.11971332485600022</c:v>
                </c:pt>
                <c:pt idx="1262">
                  <c:v>0.11971332485600022</c:v>
                </c:pt>
                <c:pt idx="1263">
                  <c:v>0.11971332485600022</c:v>
                </c:pt>
                <c:pt idx="1264">
                  <c:v>0.11971332485600022</c:v>
                </c:pt>
                <c:pt idx="1265">
                  <c:v>0.11971332485600022</c:v>
                </c:pt>
                <c:pt idx="1266">
                  <c:v>0.11971332485600022</c:v>
                </c:pt>
                <c:pt idx="1267">
                  <c:v>0.11971332485600022</c:v>
                </c:pt>
                <c:pt idx="1268">
                  <c:v>0.11971332485600022</c:v>
                </c:pt>
                <c:pt idx="1269">
                  <c:v>0.12031281985599998</c:v>
                </c:pt>
                <c:pt idx="1270">
                  <c:v>0.12031281985599998</c:v>
                </c:pt>
                <c:pt idx="1271">
                  <c:v>0.12031281985599998</c:v>
                </c:pt>
                <c:pt idx="1272">
                  <c:v>0.12031281985599998</c:v>
                </c:pt>
                <c:pt idx="1273">
                  <c:v>0.12031281985599998</c:v>
                </c:pt>
                <c:pt idx="1274">
                  <c:v>0.12031281985599998</c:v>
                </c:pt>
                <c:pt idx="1275">
                  <c:v>0.12031281985599998</c:v>
                </c:pt>
                <c:pt idx="1276">
                  <c:v>0.12031281985599998</c:v>
                </c:pt>
                <c:pt idx="1277">
                  <c:v>0.12031281985599998</c:v>
                </c:pt>
                <c:pt idx="1278">
                  <c:v>0.12031281985599998</c:v>
                </c:pt>
                <c:pt idx="1279">
                  <c:v>0.12031281985599998</c:v>
                </c:pt>
                <c:pt idx="1280">
                  <c:v>0.12031281985599998</c:v>
                </c:pt>
                <c:pt idx="1281">
                  <c:v>0.12031281985599998</c:v>
                </c:pt>
                <c:pt idx="1282">
                  <c:v>0.12031281985599998</c:v>
                </c:pt>
                <c:pt idx="1283">
                  <c:v>0.12031281985599998</c:v>
                </c:pt>
                <c:pt idx="1284">
                  <c:v>0.12031281985599998</c:v>
                </c:pt>
                <c:pt idx="1285">
                  <c:v>0.12031281985599998</c:v>
                </c:pt>
                <c:pt idx="1286">
                  <c:v>0.12031281985599998</c:v>
                </c:pt>
                <c:pt idx="1287">
                  <c:v>0.12031281985599998</c:v>
                </c:pt>
                <c:pt idx="1288">
                  <c:v>0.12031281985599998</c:v>
                </c:pt>
                <c:pt idx="1289">
                  <c:v>0.12031281985599998</c:v>
                </c:pt>
                <c:pt idx="1290">
                  <c:v>0.12031281985599998</c:v>
                </c:pt>
                <c:pt idx="1291">
                  <c:v>0.12064043509599999</c:v>
                </c:pt>
                <c:pt idx="1292">
                  <c:v>0.12064043509599999</c:v>
                </c:pt>
                <c:pt idx="1293">
                  <c:v>0.12064043509599999</c:v>
                </c:pt>
                <c:pt idx="1294">
                  <c:v>0.12064043509599999</c:v>
                </c:pt>
                <c:pt idx="1295">
                  <c:v>0.12064043509599999</c:v>
                </c:pt>
                <c:pt idx="1296">
                  <c:v>0.12064043509599999</c:v>
                </c:pt>
                <c:pt idx="1297">
                  <c:v>0.12064043509599999</c:v>
                </c:pt>
                <c:pt idx="1298">
                  <c:v>0.12064043509599999</c:v>
                </c:pt>
                <c:pt idx="1299">
                  <c:v>0.12064043509599999</c:v>
                </c:pt>
                <c:pt idx="1300">
                  <c:v>0.12064043509599999</c:v>
                </c:pt>
                <c:pt idx="1301">
                  <c:v>0.12064043509599999</c:v>
                </c:pt>
                <c:pt idx="1302">
                  <c:v>0.12064043509599999</c:v>
                </c:pt>
                <c:pt idx="1303">
                  <c:v>0.12064043509599999</c:v>
                </c:pt>
                <c:pt idx="1304">
                  <c:v>0.12064043509599999</c:v>
                </c:pt>
                <c:pt idx="1305">
                  <c:v>0.12064043509599999</c:v>
                </c:pt>
                <c:pt idx="1306">
                  <c:v>0.12064043509599999</c:v>
                </c:pt>
                <c:pt idx="1307">
                  <c:v>0.12064043509599999</c:v>
                </c:pt>
                <c:pt idx="1308">
                  <c:v>0.12064043509599999</c:v>
                </c:pt>
                <c:pt idx="1309">
                  <c:v>0.12064043509599999</c:v>
                </c:pt>
                <c:pt idx="1310">
                  <c:v>0.12064043509599999</c:v>
                </c:pt>
                <c:pt idx="1311">
                  <c:v>0.12325168941600297</c:v>
                </c:pt>
                <c:pt idx="1312">
                  <c:v>0.12325168941600297</c:v>
                </c:pt>
                <c:pt idx="1313">
                  <c:v>0.12325168941600297</c:v>
                </c:pt>
                <c:pt idx="1314">
                  <c:v>0.12325168941600297</c:v>
                </c:pt>
                <c:pt idx="1315">
                  <c:v>0.12325168941600297</c:v>
                </c:pt>
                <c:pt idx="1316">
                  <c:v>0.12325168941600297</c:v>
                </c:pt>
                <c:pt idx="1317">
                  <c:v>0.12325168941600297</c:v>
                </c:pt>
                <c:pt idx="1318">
                  <c:v>0.12325168941600297</c:v>
                </c:pt>
                <c:pt idx="1319">
                  <c:v>0.12325168941600297</c:v>
                </c:pt>
                <c:pt idx="1320">
                  <c:v>0.12325168941600297</c:v>
                </c:pt>
                <c:pt idx="1321">
                  <c:v>0.12325168941600297</c:v>
                </c:pt>
                <c:pt idx="1322">
                  <c:v>0.12325168941600297</c:v>
                </c:pt>
                <c:pt idx="1323">
                  <c:v>0.12325168941600297</c:v>
                </c:pt>
                <c:pt idx="1324">
                  <c:v>0.12325168941600297</c:v>
                </c:pt>
                <c:pt idx="1325">
                  <c:v>0.12325168941600297</c:v>
                </c:pt>
                <c:pt idx="1326">
                  <c:v>0.12325168941600297</c:v>
                </c:pt>
                <c:pt idx="1327">
                  <c:v>0.12325168941600297</c:v>
                </c:pt>
                <c:pt idx="1328">
                  <c:v>0.12325168941600297</c:v>
                </c:pt>
                <c:pt idx="1329">
                  <c:v>0.12325168941600297</c:v>
                </c:pt>
                <c:pt idx="1330">
                  <c:v>0.12325168941600297</c:v>
                </c:pt>
                <c:pt idx="1331">
                  <c:v>0.12325168941600297</c:v>
                </c:pt>
                <c:pt idx="1332">
                  <c:v>0.12325168941600297</c:v>
                </c:pt>
                <c:pt idx="1333">
                  <c:v>0.12325168941600297</c:v>
                </c:pt>
                <c:pt idx="1334">
                  <c:v>0.12325168941600297</c:v>
                </c:pt>
                <c:pt idx="1335">
                  <c:v>0.12325168941600297</c:v>
                </c:pt>
                <c:pt idx="1336">
                  <c:v>0.12325168941600297</c:v>
                </c:pt>
                <c:pt idx="1337">
                  <c:v>0.12325168941600297</c:v>
                </c:pt>
                <c:pt idx="1338">
                  <c:v>0.12325168941600297</c:v>
                </c:pt>
                <c:pt idx="1339">
                  <c:v>0.12325168941600297</c:v>
                </c:pt>
                <c:pt idx="1340">
                  <c:v>0.12325168941600297</c:v>
                </c:pt>
                <c:pt idx="1341">
                  <c:v>0.12325168941600297</c:v>
                </c:pt>
                <c:pt idx="1342">
                  <c:v>0.12325168941600297</c:v>
                </c:pt>
                <c:pt idx="1343">
                  <c:v>0.12325168941600297</c:v>
                </c:pt>
                <c:pt idx="1344">
                  <c:v>0.12325168941600297</c:v>
                </c:pt>
                <c:pt idx="1345">
                  <c:v>0.12325168941600297</c:v>
                </c:pt>
                <c:pt idx="1346">
                  <c:v>0.12325168941600297</c:v>
                </c:pt>
                <c:pt idx="1347">
                  <c:v>0.12325168941600297</c:v>
                </c:pt>
                <c:pt idx="1348">
                  <c:v>0.12325168941600297</c:v>
                </c:pt>
                <c:pt idx="1349">
                  <c:v>0.12325168941600297</c:v>
                </c:pt>
                <c:pt idx="1350">
                  <c:v>0.12325168941600297</c:v>
                </c:pt>
                <c:pt idx="1351">
                  <c:v>0.12325168941600297</c:v>
                </c:pt>
                <c:pt idx="1352">
                  <c:v>0.12325168941600297</c:v>
                </c:pt>
                <c:pt idx="1353">
                  <c:v>0.12325168941600297</c:v>
                </c:pt>
                <c:pt idx="1354">
                  <c:v>0.12325168941600297</c:v>
                </c:pt>
                <c:pt idx="1355">
                  <c:v>0.12325168941600297</c:v>
                </c:pt>
                <c:pt idx="1356">
                  <c:v>0.12325168941600297</c:v>
                </c:pt>
                <c:pt idx="1357">
                  <c:v>0.12325168941600297</c:v>
                </c:pt>
                <c:pt idx="1358">
                  <c:v>0.12325168941600297</c:v>
                </c:pt>
                <c:pt idx="1359">
                  <c:v>0.12325168941600297</c:v>
                </c:pt>
                <c:pt idx="1360">
                  <c:v>0.12325168941600297</c:v>
                </c:pt>
                <c:pt idx="1361">
                  <c:v>0.12325168941600297</c:v>
                </c:pt>
                <c:pt idx="1362">
                  <c:v>0.12325168941600297</c:v>
                </c:pt>
                <c:pt idx="1363">
                  <c:v>0.12325168941600297</c:v>
                </c:pt>
                <c:pt idx="1364">
                  <c:v>0.12325168941600297</c:v>
                </c:pt>
                <c:pt idx="1365">
                  <c:v>0.12325168941600297</c:v>
                </c:pt>
                <c:pt idx="1366">
                  <c:v>0.12371680517600234</c:v>
                </c:pt>
                <c:pt idx="1367">
                  <c:v>0.12371680517600234</c:v>
                </c:pt>
                <c:pt idx="1368">
                  <c:v>0.12371680517600234</c:v>
                </c:pt>
                <c:pt idx="1369">
                  <c:v>0.12371680517600234</c:v>
                </c:pt>
                <c:pt idx="1370">
                  <c:v>0.12371680517600234</c:v>
                </c:pt>
                <c:pt idx="1371">
                  <c:v>0.12371680517600234</c:v>
                </c:pt>
                <c:pt idx="1372">
                  <c:v>0.12371680517600234</c:v>
                </c:pt>
                <c:pt idx="1373">
                  <c:v>0.12371680517600234</c:v>
                </c:pt>
                <c:pt idx="1374">
                  <c:v>0.12371680517600234</c:v>
                </c:pt>
                <c:pt idx="1375">
                  <c:v>0.12371680517600234</c:v>
                </c:pt>
                <c:pt idx="1376">
                  <c:v>0.12371680517600234</c:v>
                </c:pt>
                <c:pt idx="1377">
                  <c:v>0.12371680517600234</c:v>
                </c:pt>
                <c:pt idx="1378">
                  <c:v>0.12371680517600234</c:v>
                </c:pt>
                <c:pt idx="1379">
                  <c:v>0.12371680517600234</c:v>
                </c:pt>
                <c:pt idx="1380">
                  <c:v>0.12371680517600234</c:v>
                </c:pt>
                <c:pt idx="1381">
                  <c:v>0.12371680517600234</c:v>
                </c:pt>
                <c:pt idx="1382">
                  <c:v>0.12371680517600234</c:v>
                </c:pt>
                <c:pt idx="1383">
                  <c:v>0.12371680517600234</c:v>
                </c:pt>
                <c:pt idx="1384">
                  <c:v>0.12371680517600234</c:v>
                </c:pt>
                <c:pt idx="1385">
                  <c:v>0.12371680517600234</c:v>
                </c:pt>
                <c:pt idx="1386">
                  <c:v>0.12371680517600234</c:v>
                </c:pt>
                <c:pt idx="1387">
                  <c:v>0.12371680517600234</c:v>
                </c:pt>
                <c:pt idx="1388">
                  <c:v>0.12371680517600234</c:v>
                </c:pt>
                <c:pt idx="1389">
                  <c:v>0.12371680517600234</c:v>
                </c:pt>
                <c:pt idx="1390">
                  <c:v>0.12371680517600234</c:v>
                </c:pt>
                <c:pt idx="1391">
                  <c:v>0.12371680517600234</c:v>
                </c:pt>
                <c:pt idx="1392">
                  <c:v>0.12371680517600234</c:v>
                </c:pt>
                <c:pt idx="1393">
                  <c:v>0.12371680517600234</c:v>
                </c:pt>
                <c:pt idx="1394">
                  <c:v>0.12371680517600234</c:v>
                </c:pt>
                <c:pt idx="1395">
                  <c:v>0.12371680517600234</c:v>
                </c:pt>
                <c:pt idx="1396">
                  <c:v>0.12371680517600234</c:v>
                </c:pt>
                <c:pt idx="1397">
                  <c:v>0.12371680517600234</c:v>
                </c:pt>
                <c:pt idx="1398">
                  <c:v>0.12371680517600234</c:v>
                </c:pt>
                <c:pt idx="1399">
                  <c:v>0.12371680517600234</c:v>
                </c:pt>
                <c:pt idx="1400">
                  <c:v>0.12371680517600234</c:v>
                </c:pt>
                <c:pt idx="1401">
                  <c:v>0.12371680517600234</c:v>
                </c:pt>
                <c:pt idx="1402">
                  <c:v>0.12371680517600234</c:v>
                </c:pt>
                <c:pt idx="1403">
                  <c:v>0.12371680517600234</c:v>
                </c:pt>
                <c:pt idx="1404">
                  <c:v>0.12371680517600234</c:v>
                </c:pt>
                <c:pt idx="1405">
                  <c:v>0.12371680517600234</c:v>
                </c:pt>
                <c:pt idx="1406">
                  <c:v>0.12371680517600234</c:v>
                </c:pt>
                <c:pt idx="1407">
                  <c:v>0.12371680517600234</c:v>
                </c:pt>
                <c:pt idx="1408">
                  <c:v>0.12371680517600234</c:v>
                </c:pt>
                <c:pt idx="1409">
                  <c:v>0.12371680517600234</c:v>
                </c:pt>
                <c:pt idx="1410">
                  <c:v>0.12371680517600234</c:v>
                </c:pt>
                <c:pt idx="1411">
                  <c:v>0.12371680517600234</c:v>
                </c:pt>
                <c:pt idx="1412">
                  <c:v>0.12371680517600234</c:v>
                </c:pt>
                <c:pt idx="1413">
                  <c:v>0.12371680517600234</c:v>
                </c:pt>
                <c:pt idx="1414">
                  <c:v>0.12371680517600234</c:v>
                </c:pt>
                <c:pt idx="1415">
                  <c:v>0.12371680517600234</c:v>
                </c:pt>
                <c:pt idx="1416">
                  <c:v>0.12371680517600234</c:v>
                </c:pt>
                <c:pt idx="1417">
                  <c:v>0.12371680517600234</c:v>
                </c:pt>
                <c:pt idx="1418">
                  <c:v>0.12371680517600234</c:v>
                </c:pt>
                <c:pt idx="1419">
                  <c:v>0.12371680517600234</c:v>
                </c:pt>
                <c:pt idx="1420">
                  <c:v>0.12371680517600234</c:v>
                </c:pt>
                <c:pt idx="1421">
                  <c:v>0.12371680517600234</c:v>
                </c:pt>
                <c:pt idx="1422">
                  <c:v>0.12371680517600234</c:v>
                </c:pt>
                <c:pt idx="1423">
                  <c:v>0.12371680517600234</c:v>
                </c:pt>
                <c:pt idx="1424">
                  <c:v>0.12371680517600234</c:v>
                </c:pt>
                <c:pt idx="1425">
                  <c:v>0.12371680517600234</c:v>
                </c:pt>
                <c:pt idx="1426">
                  <c:v>0.12371680517600234</c:v>
                </c:pt>
                <c:pt idx="1427">
                  <c:v>0.12371680517600234</c:v>
                </c:pt>
                <c:pt idx="1428">
                  <c:v>0.12371680517600234</c:v>
                </c:pt>
                <c:pt idx="1429">
                  <c:v>0.12371680517600234</c:v>
                </c:pt>
                <c:pt idx="1430">
                  <c:v>0.12371680517600234</c:v>
                </c:pt>
                <c:pt idx="1431">
                  <c:v>0.12371680517600234</c:v>
                </c:pt>
                <c:pt idx="1432">
                  <c:v>0.12371680517600234</c:v>
                </c:pt>
                <c:pt idx="1433">
                  <c:v>0.12371680517600234</c:v>
                </c:pt>
                <c:pt idx="1434">
                  <c:v>0.12371680517600234</c:v>
                </c:pt>
                <c:pt idx="1435">
                  <c:v>0.12371680517600234</c:v>
                </c:pt>
                <c:pt idx="1436">
                  <c:v>0.12371680517600234</c:v>
                </c:pt>
                <c:pt idx="1437">
                  <c:v>0.12371680517600234</c:v>
                </c:pt>
                <c:pt idx="1438">
                  <c:v>0.12371680517600234</c:v>
                </c:pt>
                <c:pt idx="1439">
                  <c:v>0.12371680517600234</c:v>
                </c:pt>
                <c:pt idx="1440">
                  <c:v>0.12371680517600234</c:v>
                </c:pt>
                <c:pt idx="1441">
                  <c:v>0.12371680517600234</c:v>
                </c:pt>
                <c:pt idx="1442">
                  <c:v>0.12371680517600234</c:v>
                </c:pt>
                <c:pt idx="1443">
                  <c:v>0.12371680517600234</c:v>
                </c:pt>
                <c:pt idx="1444">
                  <c:v>0.12371680517600234</c:v>
                </c:pt>
                <c:pt idx="1445">
                  <c:v>0.12371680517600234</c:v>
                </c:pt>
                <c:pt idx="1446">
                  <c:v>0.12371680517600234</c:v>
                </c:pt>
                <c:pt idx="1447">
                  <c:v>0.12371680517600234</c:v>
                </c:pt>
                <c:pt idx="1448">
                  <c:v>0.12371680517600234</c:v>
                </c:pt>
                <c:pt idx="1449">
                  <c:v>0.12371680517600234</c:v>
                </c:pt>
                <c:pt idx="1450">
                  <c:v>0.12371680517600234</c:v>
                </c:pt>
                <c:pt idx="1451">
                  <c:v>0.12371680517600234</c:v>
                </c:pt>
                <c:pt idx="1452">
                  <c:v>0.12371680517600234</c:v>
                </c:pt>
                <c:pt idx="1453">
                  <c:v>0.12371680517600234</c:v>
                </c:pt>
                <c:pt idx="1454">
                  <c:v>0.12371680517600234</c:v>
                </c:pt>
                <c:pt idx="1455">
                  <c:v>0.12371680517600234</c:v>
                </c:pt>
                <c:pt idx="1456">
                  <c:v>0.12371680517600234</c:v>
                </c:pt>
                <c:pt idx="1457">
                  <c:v>0.12371680517600234</c:v>
                </c:pt>
                <c:pt idx="1458">
                  <c:v>0.12371680517600234</c:v>
                </c:pt>
                <c:pt idx="1459">
                  <c:v>0.12371680517600234</c:v>
                </c:pt>
              </c:numCache>
            </c:numRef>
          </c:val>
        </c:ser>
        <c:dLbls/>
        <c:marker val="1"/>
        <c:axId val="133752320"/>
        <c:axId val="133754240"/>
      </c:lineChart>
      <c:dateAx>
        <c:axId val="133752320"/>
        <c:scaling>
          <c:orientation val="minMax"/>
        </c:scaling>
        <c:axPos val="b"/>
        <c:title>
          <c:tx>
            <c:rich>
              <a:bodyPr/>
              <a:lstStyle/>
              <a:p>
                <a:pPr>
                  <a:defRPr/>
                </a:pPr>
                <a:r>
                  <a:rPr lang="en-AU"/>
                  <a:t>Date</a:t>
                </a:r>
              </a:p>
            </c:rich>
          </c:tx>
        </c:title>
        <c:numFmt formatCode="d/mm/yyyy" sourceLinked="1"/>
        <c:tickLblPos val="nextTo"/>
        <c:txPr>
          <a:bodyPr rot="-5400000" vert="horz"/>
          <a:lstStyle/>
          <a:p>
            <a:pPr>
              <a:defRPr/>
            </a:pPr>
            <a:endParaRPr lang="en-US"/>
          </a:p>
        </c:txPr>
        <c:crossAx val="133754240"/>
        <c:crosses val="autoZero"/>
        <c:auto val="1"/>
        <c:lblOffset val="100"/>
        <c:baseTimeUnit val="days"/>
      </c:dateAx>
      <c:valAx>
        <c:axId val="133754240"/>
        <c:scaling>
          <c:orientation val="minMax"/>
        </c:scaling>
        <c:axPos val="l"/>
        <c:title>
          <c:tx>
            <c:rich>
              <a:bodyPr rot="-5400000" vert="horz"/>
              <a:lstStyle/>
              <a:p>
                <a:pPr>
                  <a:defRPr/>
                </a:pPr>
                <a:r>
                  <a:rPr lang="en-US"/>
                  <a:t>Sediment yield (m</a:t>
                </a:r>
                <a:r>
                  <a:rPr lang="en-US" baseline="30000"/>
                  <a:t>3</a:t>
                </a:r>
                <a:r>
                  <a:rPr lang="en-US"/>
                  <a:t>)</a:t>
                </a:r>
              </a:p>
            </c:rich>
          </c:tx>
          <c:layout>
            <c:manualLayout>
              <c:xMode val="edge"/>
              <c:yMode val="edge"/>
              <c:x val="0"/>
              <c:y val="0.24371898602274902"/>
            </c:manualLayout>
          </c:layout>
        </c:title>
        <c:numFmt formatCode="General" sourceLinked="1"/>
        <c:tickLblPos val="nextTo"/>
        <c:crossAx val="133752320"/>
        <c:crosses val="autoZero"/>
        <c:crossBetween val="between"/>
      </c:valAx>
    </c:plotArea>
    <c:legend>
      <c:legendPos val="r"/>
      <c:layout>
        <c:manualLayout>
          <c:xMode val="edge"/>
          <c:yMode val="edge"/>
          <c:x val="0.56989196363888051"/>
          <c:y val="0.45502896223718264"/>
          <c:w val="0.38750300987239"/>
          <c:h val="0.22214510179461555"/>
        </c:manualLayout>
      </c:layout>
    </c:legend>
    <c:plotVisOnly val="1"/>
    <c:dispBlanksAs val="gap"/>
  </c:chart>
  <c:externalData r:id="rId2"/>
</c:chartSpace>
</file>

<file path=word/charts/chart3.xml><?xml version="1.0" encoding="utf-8"?>
<c:chartSpace xmlns:c="http://schemas.openxmlformats.org/drawingml/2006/chart" xmlns:a="http://schemas.openxmlformats.org/drawingml/2006/main" xmlns:r="http://schemas.openxmlformats.org/officeDocument/2006/relationships">
  <c:lang val="en-A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1991481327991897"/>
          <c:y val="2.3172142418240452E-2"/>
          <c:w val="0.74076046415250763"/>
          <c:h val="0.83126988559913162"/>
        </c:manualLayout>
      </c:layout>
      <c:barChart>
        <c:barDir val="col"/>
        <c:grouping val="clustered"/>
        <c:ser>
          <c:idx val="0"/>
          <c:order val="0"/>
          <c:tx>
            <c:strRef>
              <c:f>'[plot2-part1&amp;2-PSD6-10yrs-xrain-yr4.xlsx]plot2-prt1'!$Q$1</c:f>
              <c:strCache>
                <c:ptCount val="1"/>
                <c:pt idx="0">
                  <c:v>Discharge</c:v>
                </c:pt>
              </c:strCache>
            </c:strRef>
          </c:tx>
          <c:spPr>
            <a:solidFill>
              <a:prstClr val="white">
                <a:lumMod val="75000"/>
              </a:prstClr>
            </a:solidFill>
          </c:spPr>
          <c:cat>
            <c:strRef>
              <c:f>'[plot2-part1&amp;2-PSD6-10yrs-xrain-yr4.xlsx]plot2-prt1'!$P$2:$P$11</c:f>
              <c:strCache>
                <c:ptCount val="10"/>
                <c:pt idx="0">
                  <c:v>2009-10</c:v>
                </c:pt>
                <c:pt idx="1">
                  <c:v>2010-11</c:v>
                </c:pt>
                <c:pt idx="2">
                  <c:v>2011-12</c:v>
                </c:pt>
                <c:pt idx="3">
                  <c:v>2012-13</c:v>
                </c:pt>
                <c:pt idx="4">
                  <c:v>2013-14</c:v>
                </c:pt>
                <c:pt idx="5">
                  <c:v>2014-15</c:v>
                </c:pt>
                <c:pt idx="6">
                  <c:v>2015-16</c:v>
                </c:pt>
                <c:pt idx="7">
                  <c:v>2016-17</c:v>
                </c:pt>
                <c:pt idx="8">
                  <c:v>2017-18</c:v>
                </c:pt>
                <c:pt idx="9">
                  <c:v>2018-19</c:v>
                </c:pt>
              </c:strCache>
            </c:strRef>
          </c:cat>
          <c:val>
            <c:numRef>
              <c:f>'[plot2-part1&amp;2-PSD6-10yrs-xrain-yr4.xlsx]plot2-prt1'!$Q$2:$Q$11</c:f>
              <c:numCache>
                <c:formatCode>General</c:formatCode>
                <c:ptCount val="10"/>
                <c:pt idx="0">
                  <c:v>1.9272000000000001E-2</c:v>
                </c:pt>
                <c:pt idx="1">
                  <c:v>2.1599999999999998E-2</c:v>
                </c:pt>
                <c:pt idx="2">
                  <c:v>2.6739000000000016E-2</c:v>
                </c:pt>
                <c:pt idx="3">
                  <c:v>1.3752999999999996E-2</c:v>
                </c:pt>
                <c:pt idx="4">
                  <c:v>1.968000000000051E-2</c:v>
                </c:pt>
                <c:pt idx="5">
                  <c:v>2.1044000000000011E-2</c:v>
                </c:pt>
                <c:pt idx="6">
                  <c:v>1.3133999999999996E-2</c:v>
                </c:pt>
                <c:pt idx="7">
                  <c:v>1.1970999999999997E-2</c:v>
                </c:pt>
                <c:pt idx="8">
                  <c:v>1.2218E-2</c:v>
                </c:pt>
                <c:pt idx="9">
                  <c:v>1.1784000000000181E-2</c:v>
                </c:pt>
              </c:numCache>
            </c:numRef>
          </c:val>
        </c:ser>
        <c:dLbls/>
        <c:axId val="160093312"/>
        <c:axId val="160078848"/>
      </c:barChart>
      <c:scatterChart>
        <c:scatterStyle val="smoothMarker"/>
        <c:ser>
          <c:idx val="1"/>
          <c:order val="1"/>
          <c:tx>
            <c:strRef>
              <c:f>'[plot2-part1&amp;2-PSD6-10yrs-xrain-yr4.xlsx]plot2-prt1'!$R$1</c:f>
              <c:strCache>
                <c:ptCount val="1"/>
                <c:pt idx="0">
                  <c:v>TotalLoad</c:v>
                </c:pt>
              </c:strCache>
            </c:strRef>
          </c:tx>
          <c:spPr>
            <a:ln w="31750">
              <a:solidFill>
                <a:srgbClr val="002060"/>
              </a:solidFill>
            </a:ln>
          </c:spPr>
          <c:marker>
            <c:symbol val="none"/>
          </c:marker>
          <c:xVal>
            <c:strRef>
              <c:f>'[plot2-part1&amp;2-PSD6-10yrs-xrain-yr4.xlsx]plot2-prt1'!$P$2:$P$11</c:f>
              <c:strCache>
                <c:ptCount val="10"/>
                <c:pt idx="0">
                  <c:v>2009-10</c:v>
                </c:pt>
                <c:pt idx="1">
                  <c:v>2010-11</c:v>
                </c:pt>
                <c:pt idx="2">
                  <c:v>2011-12</c:v>
                </c:pt>
                <c:pt idx="3">
                  <c:v>2012-13</c:v>
                </c:pt>
                <c:pt idx="4">
                  <c:v>2013-14</c:v>
                </c:pt>
                <c:pt idx="5">
                  <c:v>2014-15</c:v>
                </c:pt>
                <c:pt idx="6">
                  <c:v>2015-16</c:v>
                </c:pt>
                <c:pt idx="7">
                  <c:v>2016-17</c:v>
                </c:pt>
                <c:pt idx="8">
                  <c:v>2017-18</c:v>
                </c:pt>
                <c:pt idx="9">
                  <c:v>2018-19</c:v>
                </c:pt>
              </c:strCache>
            </c:strRef>
          </c:xVal>
          <c:yVal>
            <c:numRef>
              <c:f>'[plot2-part1&amp;2-PSD6-10yrs-xrain-yr4.xlsx]plot2-prt1'!$R$2:$R$11</c:f>
              <c:numCache>
                <c:formatCode>General</c:formatCode>
                <c:ptCount val="10"/>
                <c:pt idx="0">
                  <c:v>5.2777832699999985E-2</c:v>
                </c:pt>
                <c:pt idx="1">
                  <c:v>4.7714669100001876E-2</c:v>
                </c:pt>
                <c:pt idx="2">
                  <c:v>0.30900182930000941</c:v>
                </c:pt>
                <c:pt idx="3">
                  <c:v>4.1303418000000003E-3</c:v>
                </c:pt>
                <c:pt idx="4">
                  <c:v>2.0000000000001402E-10</c:v>
                </c:pt>
                <c:pt idx="5">
                  <c:v>8.8000000000005735E-9</c:v>
                </c:pt>
                <c:pt idx="6">
                  <c:v>0</c:v>
                </c:pt>
                <c:pt idx="7">
                  <c:v>0</c:v>
                </c:pt>
                <c:pt idx="8">
                  <c:v>2.0000000000001402E-10</c:v>
                </c:pt>
                <c:pt idx="9">
                  <c:v>0</c:v>
                </c:pt>
              </c:numCache>
            </c:numRef>
          </c:yVal>
          <c:smooth val="1"/>
        </c:ser>
        <c:ser>
          <c:idx val="2"/>
          <c:order val="2"/>
          <c:tx>
            <c:strRef>
              <c:f>'[plot2-part1&amp;2-PSD6-10yrs-xrain-yr4.xlsx]plot2-prt1'!$S$1</c:f>
              <c:strCache>
                <c:ptCount val="1"/>
                <c:pt idx="0">
                  <c:v>SuspendedSediment</c:v>
                </c:pt>
              </c:strCache>
            </c:strRef>
          </c:tx>
          <c:spPr>
            <a:ln>
              <a:solidFill>
                <a:srgbClr val="002060"/>
              </a:solidFill>
              <a:prstDash val="sysDot"/>
            </a:ln>
          </c:spPr>
          <c:marker>
            <c:symbol val="none"/>
          </c:marker>
          <c:xVal>
            <c:strRef>
              <c:f>'[plot2-part1&amp;2-PSD6-10yrs-xrain-yr4.xlsx]plot2-prt1'!$P$2:$P$11</c:f>
              <c:strCache>
                <c:ptCount val="10"/>
                <c:pt idx="0">
                  <c:v>2009-10</c:v>
                </c:pt>
                <c:pt idx="1">
                  <c:v>2010-11</c:v>
                </c:pt>
                <c:pt idx="2">
                  <c:v>2011-12</c:v>
                </c:pt>
                <c:pt idx="3">
                  <c:v>2012-13</c:v>
                </c:pt>
                <c:pt idx="4">
                  <c:v>2013-14</c:v>
                </c:pt>
                <c:pt idx="5">
                  <c:v>2014-15</c:v>
                </c:pt>
                <c:pt idx="6">
                  <c:v>2015-16</c:v>
                </c:pt>
                <c:pt idx="7">
                  <c:v>2016-17</c:v>
                </c:pt>
                <c:pt idx="8">
                  <c:v>2017-18</c:v>
                </c:pt>
                <c:pt idx="9">
                  <c:v>2018-19</c:v>
                </c:pt>
              </c:strCache>
            </c:strRef>
          </c:xVal>
          <c:yVal>
            <c:numRef>
              <c:f>'[plot2-part1&amp;2-PSD6-10yrs-xrain-yr4.xlsx]plot2-prt1'!$S$2:$S$11</c:f>
              <c:numCache>
                <c:formatCode>General</c:formatCode>
                <c:ptCount val="10"/>
                <c:pt idx="0">
                  <c:v>1.6799414300000003E-2</c:v>
                </c:pt>
                <c:pt idx="1">
                  <c:v>2.971505260000001E-2</c:v>
                </c:pt>
                <c:pt idx="2">
                  <c:v>0.18909988790000454</c:v>
                </c:pt>
                <c:pt idx="3">
                  <c:v>6.6808740000000083E-4</c:v>
                </c:pt>
                <c:pt idx="4">
                  <c:v>1.000000000000067E-10</c:v>
                </c:pt>
                <c:pt idx="5">
                  <c:v>6.3000000000003608E-9</c:v>
                </c:pt>
                <c:pt idx="6">
                  <c:v>0</c:v>
                </c:pt>
                <c:pt idx="7">
                  <c:v>0</c:v>
                </c:pt>
                <c:pt idx="8">
                  <c:v>1.000000000000067E-10</c:v>
                </c:pt>
                <c:pt idx="9">
                  <c:v>0</c:v>
                </c:pt>
              </c:numCache>
            </c:numRef>
          </c:yVal>
          <c:smooth val="1"/>
        </c:ser>
        <c:ser>
          <c:idx val="3"/>
          <c:order val="3"/>
          <c:tx>
            <c:strRef>
              <c:f>'[plot2-part1&amp;2-PSD6-10yrs-xrain-yr4.xlsx]plot2-prt1'!$T$1</c:f>
              <c:strCache>
                <c:ptCount val="1"/>
                <c:pt idx="0">
                  <c:v>Bedload</c:v>
                </c:pt>
              </c:strCache>
            </c:strRef>
          </c:tx>
          <c:spPr>
            <a:ln>
              <a:solidFill>
                <a:srgbClr val="002060"/>
              </a:solidFill>
              <a:prstDash val="sysDash"/>
            </a:ln>
          </c:spPr>
          <c:marker>
            <c:symbol val="none"/>
          </c:marker>
          <c:xVal>
            <c:strRef>
              <c:f>'[plot2-part1&amp;2-PSD6-10yrs-xrain-yr4.xlsx]plot2-prt1'!$P$2:$P$11</c:f>
              <c:strCache>
                <c:ptCount val="10"/>
                <c:pt idx="0">
                  <c:v>2009-10</c:v>
                </c:pt>
                <c:pt idx="1">
                  <c:v>2010-11</c:v>
                </c:pt>
                <c:pt idx="2">
                  <c:v>2011-12</c:v>
                </c:pt>
                <c:pt idx="3">
                  <c:v>2012-13</c:v>
                </c:pt>
                <c:pt idx="4">
                  <c:v>2013-14</c:v>
                </c:pt>
                <c:pt idx="5">
                  <c:v>2014-15</c:v>
                </c:pt>
                <c:pt idx="6">
                  <c:v>2015-16</c:v>
                </c:pt>
                <c:pt idx="7">
                  <c:v>2016-17</c:v>
                </c:pt>
                <c:pt idx="8">
                  <c:v>2017-18</c:v>
                </c:pt>
                <c:pt idx="9">
                  <c:v>2018-19</c:v>
                </c:pt>
              </c:strCache>
            </c:strRef>
          </c:xVal>
          <c:yVal>
            <c:numRef>
              <c:f>'[plot2-part1&amp;2-PSD6-10yrs-xrain-yr4.xlsx]plot2-prt1'!$T$2:$T$11</c:f>
              <c:numCache>
                <c:formatCode>General</c:formatCode>
                <c:ptCount val="10"/>
                <c:pt idx="0">
                  <c:v>3.597841840000001E-2</c:v>
                </c:pt>
                <c:pt idx="1">
                  <c:v>1.7999616499999996E-2</c:v>
                </c:pt>
                <c:pt idx="2">
                  <c:v>0.11990194140000029</c:v>
                </c:pt>
                <c:pt idx="3">
                  <c:v>3.4622544000000011E-3</c:v>
                </c:pt>
                <c:pt idx="4">
                  <c:v>1.000000000000067E-10</c:v>
                </c:pt>
                <c:pt idx="5">
                  <c:v>2.500000000000156E-9</c:v>
                </c:pt>
                <c:pt idx="6">
                  <c:v>0</c:v>
                </c:pt>
                <c:pt idx="7">
                  <c:v>0</c:v>
                </c:pt>
                <c:pt idx="8">
                  <c:v>1.000000000000067E-10</c:v>
                </c:pt>
                <c:pt idx="9">
                  <c:v>0</c:v>
                </c:pt>
              </c:numCache>
            </c:numRef>
          </c:yVal>
          <c:smooth val="1"/>
        </c:ser>
        <c:dLbls/>
        <c:axId val="160046080"/>
        <c:axId val="160076928"/>
      </c:scatterChart>
      <c:valAx>
        <c:axId val="160046080"/>
        <c:scaling>
          <c:orientation val="minMax"/>
          <c:max val="10"/>
        </c:scaling>
        <c:axPos val="b"/>
        <c:title>
          <c:tx>
            <c:rich>
              <a:bodyPr/>
              <a:lstStyle/>
              <a:p>
                <a:pPr>
                  <a:defRPr/>
                </a:pPr>
                <a:r>
                  <a:rPr lang="en-US"/>
                  <a:t>Time (Years)</a:t>
                </a:r>
              </a:p>
            </c:rich>
          </c:tx>
          <c:layout>
            <c:manualLayout>
              <c:xMode val="edge"/>
              <c:yMode val="edge"/>
              <c:x val="0.39833770778652688"/>
              <c:y val="0.92987122502735542"/>
            </c:manualLayout>
          </c:layout>
        </c:title>
        <c:tickLblPos val="nextTo"/>
        <c:crossAx val="160076928"/>
        <c:crosses val="autoZero"/>
        <c:crossBetween val="midCat"/>
      </c:valAx>
      <c:valAx>
        <c:axId val="160076928"/>
        <c:scaling>
          <c:orientation val="minMax"/>
          <c:min val="0"/>
        </c:scaling>
        <c:axPos val="l"/>
        <c:title>
          <c:tx>
            <c:rich>
              <a:bodyPr rot="-5400000" vert="horz"/>
              <a:lstStyle/>
              <a:p>
                <a:pPr>
                  <a:defRPr/>
                </a:pPr>
                <a:r>
                  <a:rPr lang="en-US"/>
                  <a:t>Sediment load (m</a:t>
                </a:r>
                <a:r>
                  <a:rPr lang="en-US" baseline="30000"/>
                  <a:t>3</a:t>
                </a:r>
                <a:r>
                  <a:rPr lang="en-US"/>
                  <a:t>)</a:t>
                </a:r>
              </a:p>
            </c:rich>
          </c:tx>
          <c:layout>
            <c:manualLayout>
              <c:xMode val="edge"/>
              <c:yMode val="edge"/>
              <c:x val="0"/>
              <c:y val="0.26778976911006186"/>
            </c:manualLayout>
          </c:layout>
        </c:title>
        <c:numFmt formatCode="General" sourceLinked="1"/>
        <c:tickLblPos val="nextTo"/>
        <c:crossAx val="160046080"/>
        <c:crosses val="autoZero"/>
        <c:crossBetween val="midCat"/>
      </c:valAx>
      <c:valAx>
        <c:axId val="160078848"/>
        <c:scaling>
          <c:orientation val="minMax"/>
        </c:scaling>
        <c:axPos val="r"/>
        <c:title>
          <c:tx>
            <c:rich>
              <a:bodyPr rot="-5400000" vert="horz"/>
              <a:lstStyle/>
              <a:p>
                <a:pPr>
                  <a:defRPr/>
                </a:pPr>
                <a:r>
                  <a:rPr lang="en-US"/>
                  <a:t>Discharge (cubic metres per second)</a:t>
                </a:r>
              </a:p>
            </c:rich>
          </c:tx>
        </c:title>
        <c:numFmt formatCode="General" sourceLinked="1"/>
        <c:tickLblPos val="nextTo"/>
        <c:crossAx val="160093312"/>
        <c:crosses val="max"/>
        <c:crossBetween val="between"/>
      </c:valAx>
      <c:catAx>
        <c:axId val="160093312"/>
        <c:scaling>
          <c:orientation val="minMax"/>
        </c:scaling>
        <c:delete val="1"/>
        <c:axPos val="b"/>
        <c:tickLblPos val="none"/>
        <c:crossAx val="160078848"/>
        <c:crosses val="autoZero"/>
        <c:auto val="1"/>
        <c:lblAlgn val="ctr"/>
        <c:lblOffset val="100"/>
      </c:catAx>
    </c:plotArea>
    <c:legend>
      <c:legendPos val="r"/>
      <c:layout>
        <c:manualLayout>
          <c:xMode val="edge"/>
          <c:yMode val="edge"/>
          <c:x val="0.54617270775925331"/>
          <c:y val="7.805828089135558E-2"/>
          <c:w val="0.32916744130226644"/>
          <c:h val="0.23099448923842131"/>
        </c:manualLayout>
      </c:layout>
    </c:legend>
    <c:plotVisOnly val="1"/>
    <c:dispBlanksAs val="gap"/>
  </c:chart>
  <c:externalData r:id="rId2"/>
</c:chartSpace>
</file>

<file path=word/charts/chart4.xml><?xml version="1.0" encoding="utf-8"?>
<c:chartSpace xmlns:c="http://schemas.openxmlformats.org/drawingml/2006/chart" xmlns:a="http://schemas.openxmlformats.org/drawingml/2006/main" xmlns:r="http://schemas.openxmlformats.org/officeDocument/2006/relationships">
  <c:lang val="en-AU"/>
  <c:clrMapOvr bg1="lt1" tx1="dk1" bg2="lt2" tx2="dk2" accent1="accent1" accent2="accent2" accent3="accent3" accent4="accent4" accent5="accent5" accent6="accent6" hlink="hlink" folHlink="folHlink"/>
  <c:chart>
    <c:autoTitleDeleted val="1"/>
    <c:plotArea>
      <c:layout>
        <c:manualLayout>
          <c:layoutTarget val="inner"/>
          <c:xMode val="edge"/>
          <c:yMode val="edge"/>
          <c:x val="0.13705125900358317"/>
          <c:y val="2.3172142418240452E-2"/>
          <c:w val="0.7217394743465344"/>
          <c:h val="0.8069341172069816"/>
        </c:manualLayout>
      </c:layout>
      <c:barChart>
        <c:barDir val="col"/>
        <c:grouping val="clustered"/>
        <c:ser>
          <c:idx val="0"/>
          <c:order val="0"/>
          <c:tx>
            <c:strRef>
              <c:f>'[plot2-part1&amp;2-PSD6-10yrs-xrain-end.xlsx]plot2-prt1'!$Q$1</c:f>
              <c:strCache>
                <c:ptCount val="1"/>
                <c:pt idx="0">
                  <c:v>Discharge</c:v>
                </c:pt>
              </c:strCache>
            </c:strRef>
          </c:tx>
          <c:spPr>
            <a:solidFill>
              <a:prstClr val="white">
                <a:lumMod val="75000"/>
              </a:prstClr>
            </a:solidFill>
          </c:spPr>
          <c:cat>
            <c:strRef>
              <c:f>'[plot2-part1&amp;2-PSD6-10yrs-xrain-end.xlsx]plot2-prt1'!$P$2:$P$11</c:f>
              <c:strCache>
                <c:ptCount val="10"/>
                <c:pt idx="0">
                  <c:v>2009-10</c:v>
                </c:pt>
                <c:pt idx="1">
                  <c:v>2010-11</c:v>
                </c:pt>
                <c:pt idx="2">
                  <c:v>2011-12</c:v>
                </c:pt>
                <c:pt idx="3">
                  <c:v>2012-13</c:v>
                </c:pt>
                <c:pt idx="4">
                  <c:v>2013-14</c:v>
                </c:pt>
                <c:pt idx="5">
                  <c:v>2014-15</c:v>
                </c:pt>
                <c:pt idx="6">
                  <c:v>2015-16</c:v>
                </c:pt>
                <c:pt idx="7">
                  <c:v>2016-17</c:v>
                </c:pt>
                <c:pt idx="8">
                  <c:v>2017-18</c:v>
                </c:pt>
                <c:pt idx="9">
                  <c:v>2018-19</c:v>
                </c:pt>
              </c:strCache>
            </c:strRef>
          </c:cat>
          <c:val>
            <c:numRef>
              <c:f>'[plot2-part1&amp;2-PSD6-10yrs-xrain-end.xlsx]plot2-prt1'!$Q$2:$Q$11</c:f>
              <c:numCache>
                <c:formatCode>General</c:formatCode>
                <c:ptCount val="10"/>
                <c:pt idx="0">
                  <c:v>1.9272000000000001E-2</c:v>
                </c:pt>
                <c:pt idx="1">
                  <c:v>2.1599999999999998E-2</c:v>
                </c:pt>
                <c:pt idx="2">
                  <c:v>1.6178999999999999E-2</c:v>
                </c:pt>
                <c:pt idx="3">
                  <c:v>1.2770999999999998E-2</c:v>
                </c:pt>
                <c:pt idx="4">
                  <c:v>1.8428000000000003E-2</c:v>
                </c:pt>
                <c:pt idx="5">
                  <c:v>2.0806999999999999E-2</c:v>
                </c:pt>
                <c:pt idx="6">
                  <c:v>1.4114E-2</c:v>
                </c:pt>
                <c:pt idx="7">
                  <c:v>1.2855E-2</c:v>
                </c:pt>
                <c:pt idx="8">
                  <c:v>2.4109000000000002E-2</c:v>
                </c:pt>
                <c:pt idx="9">
                  <c:v>1.2558999999999996E-2</c:v>
                </c:pt>
              </c:numCache>
            </c:numRef>
          </c:val>
        </c:ser>
        <c:dLbls/>
        <c:axId val="160296320"/>
        <c:axId val="160294400"/>
      </c:barChart>
      <c:scatterChart>
        <c:scatterStyle val="smoothMarker"/>
        <c:ser>
          <c:idx val="1"/>
          <c:order val="1"/>
          <c:tx>
            <c:strRef>
              <c:f>'[plot2-part1&amp;2-PSD6-10yrs-xrain-end.xlsx]plot2-prt1'!$R$1</c:f>
              <c:strCache>
                <c:ptCount val="1"/>
                <c:pt idx="0">
                  <c:v>TotalLoad</c:v>
                </c:pt>
              </c:strCache>
            </c:strRef>
          </c:tx>
          <c:spPr>
            <a:ln w="31750">
              <a:solidFill>
                <a:srgbClr val="002060"/>
              </a:solidFill>
            </a:ln>
          </c:spPr>
          <c:marker>
            <c:symbol val="none"/>
          </c:marker>
          <c:xVal>
            <c:strRef>
              <c:f>'[plot2-part1&amp;2-PSD6-10yrs-xrain-end.xlsx]plot2-prt1'!$P$2:$P$11</c:f>
              <c:strCache>
                <c:ptCount val="10"/>
                <c:pt idx="0">
                  <c:v>2009-10</c:v>
                </c:pt>
                <c:pt idx="1">
                  <c:v>2010-11</c:v>
                </c:pt>
                <c:pt idx="2">
                  <c:v>2011-12</c:v>
                </c:pt>
                <c:pt idx="3">
                  <c:v>2012-13</c:v>
                </c:pt>
                <c:pt idx="4">
                  <c:v>2013-14</c:v>
                </c:pt>
                <c:pt idx="5">
                  <c:v>2014-15</c:v>
                </c:pt>
                <c:pt idx="6">
                  <c:v>2015-16</c:v>
                </c:pt>
                <c:pt idx="7">
                  <c:v>2016-17</c:v>
                </c:pt>
                <c:pt idx="8">
                  <c:v>2017-18</c:v>
                </c:pt>
                <c:pt idx="9">
                  <c:v>2018-19</c:v>
                </c:pt>
              </c:strCache>
            </c:strRef>
          </c:xVal>
          <c:yVal>
            <c:numRef>
              <c:f>'[plot2-part1&amp;2-PSD6-10yrs-xrain-end.xlsx]plot2-prt1'!$R$2:$R$11</c:f>
              <c:numCache>
                <c:formatCode>General</c:formatCode>
                <c:ptCount val="10"/>
                <c:pt idx="0">
                  <c:v>5.2777832699999985E-2</c:v>
                </c:pt>
                <c:pt idx="1">
                  <c:v>4.7714669100001876E-2</c:v>
                </c:pt>
                <c:pt idx="2">
                  <c:v>0.12160246140000019</c:v>
                </c:pt>
                <c:pt idx="3">
                  <c:v>1.5362055100000101E-2</c:v>
                </c:pt>
                <c:pt idx="4">
                  <c:v>4.0000000000002741E-10</c:v>
                </c:pt>
                <c:pt idx="5">
                  <c:v>1.140000000000077E-8</c:v>
                </c:pt>
                <c:pt idx="6">
                  <c:v>0</c:v>
                </c:pt>
                <c:pt idx="7">
                  <c:v>0</c:v>
                </c:pt>
                <c:pt idx="8">
                  <c:v>4.0000000000002741E-10</c:v>
                </c:pt>
                <c:pt idx="9">
                  <c:v>0</c:v>
                </c:pt>
              </c:numCache>
            </c:numRef>
          </c:yVal>
          <c:smooth val="1"/>
        </c:ser>
        <c:ser>
          <c:idx val="2"/>
          <c:order val="2"/>
          <c:tx>
            <c:strRef>
              <c:f>'[plot2-part1&amp;2-PSD6-10yrs-xrain-end.xlsx]plot2-prt1'!$S$1</c:f>
              <c:strCache>
                <c:ptCount val="1"/>
                <c:pt idx="0">
                  <c:v>SuspendedSediment</c:v>
                </c:pt>
              </c:strCache>
            </c:strRef>
          </c:tx>
          <c:spPr>
            <a:ln>
              <a:solidFill>
                <a:srgbClr val="002060"/>
              </a:solidFill>
              <a:prstDash val="sysDot"/>
            </a:ln>
          </c:spPr>
          <c:marker>
            <c:symbol val="none"/>
          </c:marker>
          <c:xVal>
            <c:strRef>
              <c:f>'[plot2-part1&amp;2-PSD6-10yrs-xrain-end.xlsx]plot2-prt1'!$P$2:$P$11</c:f>
              <c:strCache>
                <c:ptCount val="10"/>
                <c:pt idx="0">
                  <c:v>2009-10</c:v>
                </c:pt>
                <c:pt idx="1">
                  <c:v>2010-11</c:v>
                </c:pt>
                <c:pt idx="2">
                  <c:v>2011-12</c:v>
                </c:pt>
                <c:pt idx="3">
                  <c:v>2012-13</c:v>
                </c:pt>
                <c:pt idx="4">
                  <c:v>2013-14</c:v>
                </c:pt>
                <c:pt idx="5">
                  <c:v>2014-15</c:v>
                </c:pt>
                <c:pt idx="6">
                  <c:v>2015-16</c:v>
                </c:pt>
                <c:pt idx="7">
                  <c:v>2016-17</c:v>
                </c:pt>
                <c:pt idx="8">
                  <c:v>2017-18</c:v>
                </c:pt>
                <c:pt idx="9">
                  <c:v>2018-19</c:v>
                </c:pt>
              </c:strCache>
            </c:strRef>
          </c:xVal>
          <c:yVal>
            <c:numRef>
              <c:f>'[plot2-part1&amp;2-PSD6-10yrs-xrain-end.xlsx]plot2-prt1'!$S$2:$S$11</c:f>
              <c:numCache>
                <c:formatCode>General</c:formatCode>
                <c:ptCount val="10"/>
                <c:pt idx="0">
                  <c:v>1.6799414300000003E-2</c:v>
                </c:pt>
                <c:pt idx="1">
                  <c:v>2.971505260000001E-2</c:v>
                </c:pt>
                <c:pt idx="2">
                  <c:v>7.4841303999999984E-2</c:v>
                </c:pt>
                <c:pt idx="3">
                  <c:v>3.2422971000000771E-3</c:v>
                </c:pt>
                <c:pt idx="4">
                  <c:v>2.0000000000001402E-10</c:v>
                </c:pt>
                <c:pt idx="5">
                  <c:v>8.7000000000004237E-9</c:v>
                </c:pt>
                <c:pt idx="6">
                  <c:v>0</c:v>
                </c:pt>
                <c:pt idx="7">
                  <c:v>0</c:v>
                </c:pt>
                <c:pt idx="8">
                  <c:v>2.0000000000001402E-10</c:v>
                </c:pt>
                <c:pt idx="9">
                  <c:v>0</c:v>
                </c:pt>
              </c:numCache>
            </c:numRef>
          </c:yVal>
          <c:smooth val="1"/>
        </c:ser>
        <c:ser>
          <c:idx val="3"/>
          <c:order val="3"/>
          <c:tx>
            <c:strRef>
              <c:f>'[plot2-part1&amp;2-PSD6-10yrs-xrain-end.xlsx]plot2-prt1'!$T$1</c:f>
              <c:strCache>
                <c:ptCount val="1"/>
                <c:pt idx="0">
                  <c:v>Bedload</c:v>
                </c:pt>
              </c:strCache>
            </c:strRef>
          </c:tx>
          <c:spPr>
            <a:ln>
              <a:solidFill>
                <a:srgbClr val="002060"/>
              </a:solidFill>
              <a:prstDash val="sysDash"/>
            </a:ln>
          </c:spPr>
          <c:marker>
            <c:symbol val="none"/>
          </c:marker>
          <c:xVal>
            <c:strRef>
              <c:f>'[plot2-part1&amp;2-PSD6-10yrs-xrain-end.xlsx]plot2-prt1'!$P$2:$P$11</c:f>
              <c:strCache>
                <c:ptCount val="10"/>
                <c:pt idx="0">
                  <c:v>2009-10</c:v>
                </c:pt>
                <c:pt idx="1">
                  <c:v>2010-11</c:v>
                </c:pt>
                <c:pt idx="2">
                  <c:v>2011-12</c:v>
                </c:pt>
                <c:pt idx="3">
                  <c:v>2012-13</c:v>
                </c:pt>
                <c:pt idx="4">
                  <c:v>2013-14</c:v>
                </c:pt>
                <c:pt idx="5">
                  <c:v>2014-15</c:v>
                </c:pt>
                <c:pt idx="6">
                  <c:v>2015-16</c:v>
                </c:pt>
                <c:pt idx="7">
                  <c:v>2016-17</c:v>
                </c:pt>
                <c:pt idx="8">
                  <c:v>2017-18</c:v>
                </c:pt>
                <c:pt idx="9">
                  <c:v>2018-19</c:v>
                </c:pt>
              </c:strCache>
            </c:strRef>
          </c:xVal>
          <c:yVal>
            <c:numRef>
              <c:f>'[plot2-part1&amp;2-PSD6-10yrs-xrain-end.xlsx]plot2-prt1'!$T$2:$T$11</c:f>
              <c:numCache>
                <c:formatCode>General</c:formatCode>
                <c:ptCount val="10"/>
                <c:pt idx="0">
                  <c:v>3.597841840000001E-2</c:v>
                </c:pt>
                <c:pt idx="1">
                  <c:v>1.7999616499999996E-2</c:v>
                </c:pt>
                <c:pt idx="2">
                  <c:v>4.6761157399999947E-2</c:v>
                </c:pt>
                <c:pt idx="3">
                  <c:v>1.2119758E-2</c:v>
                </c:pt>
                <c:pt idx="4">
                  <c:v>2.0000000000001402E-10</c:v>
                </c:pt>
                <c:pt idx="5">
                  <c:v>2.7000000000001892E-9</c:v>
                </c:pt>
                <c:pt idx="6">
                  <c:v>0</c:v>
                </c:pt>
                <c:pt idx="7">
                  <c:v>0</c:v>
                </c:pt>
                <c:pt idx="8">
                  <c:v>2.0000000000001402E-10</c:v>
                </c:pt>
                <c:pt idx="9">
                  <c:v>0</c:v>
                </c:pt>
              </c:numCache>
            </c:numRef>
          </c:yVal>
          <c:smooth val="1"/>
        </c:ser>
        <c:dLbls/>
        <c:axId val="160282112"/>
        <c:axId val="160284032"/>
      </c:scatterChart>
      <c:valAx>
        <c:axId val="160282112"/>
        <c:scaling>
          <c:orientation val="minMax"/>
          <c:max val="10"/>
        </c:scaling>
        <c:axPos val="b"/>
        <c:title>
          <c:tx>
            <c:rich>
              <a:bodyPr/>
              <a:lstStyle/>
              <a:p>
                <a:pPr>
                  <a:defRPr/>
                </a:pPr>
                <a:r>
                  <a:rPr lang="en-US"/>
                  <a:t>Time (Years)</a:t>
                </a:r>
              </a:p>
            </c:rich>
          </c:tx>
        </c:title>
        <c:tickLblPos val="nextTo"/>
        <c:crossAx val="160284032"/>
        <c:crosses val="autoZero"/>
        <c:crossBetween val="midCat"/>
      </c:valAx>
      <c:valAx>
        <c:axId val="160284032"/>
        <c:scaling>
          <c:orientation val="minMax"/>
          <c:max val="0.35000000000000031"/>
          <c:min val="0"/>
        </c:scaling>
        <c:axPos val="l"/>
        <c:title>
          <c:tx>
            <c:rich>
              <a:bodyPr rot="-5400000" vert="horz"/>
              <a:lstStyle/>
              <a:p>
                <a:pPr>
                  <a:defRPr/>
                </a:pPr>
                <a:r>
                  <a:rPr lang="en-US"/>
                  <a:t>Sediment load (m</a:t>
                </a:r>
                <a:r>
                  <a:rPr lang="en-US" baseline="30000"/>
                  <a:t>3</a:t>
                </a:r>
                <a:r>
                  <a:rPr lang="en-US"/>
                  <a:t>)</a:t>
                </a:r>
              </a:p>
            </c:rich>
          </c:tx>
        </c:title>
        <c:numFmt formatCode="General" sourceLinked="1"/>
        <c:tickLblPos val="nextTo"/>
        <c:crossAx val="160282112"/>
        <c:crosses val="autoZero"/>
        <c:crossBetween val="midCat"/>
        <c:majorUnit val="0.05"/>
      </c:valAx>
      <c:valAx>
        <c:axId val="160294400"/>
        <c:scaling>
          <c:orientation val="minMax"/>
        </c:scaling>
        <c:axPos val="r"/>
        <c:title>
          <c:tx>
            <c:rich>
              <a:bodyPr rot="-5400000" vert="horz"/>
              <a:lstStyle/>
              <a:p>
                <a:pPr>
                  <a:defRPr/>
                </a:pPr>
                <a:r>
                  <a:rPr lang="en-US"/>
                  <a:t>Discharge (cubic metres per second)</a:t>
                </a:r>
              </a:p>
            </c:rich>
          </c:tx>
        </c:title>
        <c:numFmt formatCode="General" sourceLinked="1"/>
        <c:tickLblPos val="nextTo"/>
        <c:crossAx val="160296320"/>
        <c:crosses val="max"/>
        <c:crossBetween val="between"/>
      </c:valAx>
      <c:catAx>
        <c:axId val="160296320"/>
        <c:scaling>
          <c:orientation val="minMax"/>
        </c:scaling>
        <c:delete val="1"/>
        <c:axPos val="b"/>
        <c:tickLblPos val="none"/>
        <c:crossAx val="160294400"/>
        <c:crosses val="autoZero"/>
        <c:auto val="1"/>
        <c:lblAlgn val="ctr"/>
        <c:lblOffset val="100"/>
      </c:catAx>
    </c:plotArea>
    <c:legend>
      <c:legendPos val="r"/>
      <c:layout>
        <c:manualLayout>
          <c:xMode val="edge"/>
          <c:yMode val="edge"/>
          <c:x val="0.17445319335083234"/>
          <c:y val="4.6858827853373974E-2"/>
          <c:w val="0.37694086999059145"/>
          <c:h val="0.17673827559304106"/>
        </c:manualLayout>
      </c:layout>
    </c:legend>
    <c:plotVisOnly val="1"/>
    <c:dispBlanksAs val="gap"/>
  </c:chart>
  <c:externalData r:id="rId2"/>
</c:chartSpac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LongProperties xmlns="http://schemas.microsoft.com/office/2006/metadata/longProperties"/>
</file>

<file path=customXml/item2.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1DA99D3-D0EB-4323-852B-9B143270395B}">
  <ds:schemaRefs>
    <ds:schemaRef ds:uri="http://schemas.microsoft.com/office/2006/metadata/longProperties"/>
  </ds:schemaRefs>
</ds:datastoreItem>
</file>

<file path=customXml/itemProps2.xml><?xml version="1.0" encoding="utf-8"?>
<ds:datastoreItem xmlns:ds="http://schemas.openxmlformats.org/officeDocument/2006/customXml" ds:itemID="{9F9E3AE6-4746-4EB4-9EAA-8ECFAF34EAB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190</Pages>
  <Words>57757</Words>
  <Characters>323811</Characters>
  <Application>Microsoft Office Word</Application>
  <DocSecurity>0</DocSecurity>
  <Lines>2698</Lines>
  <Paragraphs>761</Paragraphs>
  <ScaleCrop>false</ScaleCrop>
  <Company/>
  <LinksUpToDate>false</LinksUpToDate>
  <CharactersWithSpaces>380807</CharactersWithSpaces>
  <SharedDoc>false</SharedDoc>
  <HLinks>
    <vt:vector size="594" baseType="variant">
      <vt:variant>
        <vt:i4>983132</vt:i4>
      </vt:variant>
      <vt:variant>
        <vt:i4>816</vt:i4>
      </vt:variant>
      <vt:variant>
        <vt:i4>0</vt:i4>
      </vt:variant>
      <vt:variant>
        <vt:i4>5</vt:i4>
      </vt:variant>
      <vt:variant>
        <vt:lpwstr>http://en.wikipedia.org/wiki/Uranium</vt:lpwstr>
      </vt:variant>
      <vt:variant>
        <vt:lpwstr/>
      </vt:variant>
      <vt:variant>
        <vt:i4>8126505</vt:i4>
      </vt:variant>
      <vt:variant>
        <vt:i4>813</vt:i4>
      </vt:variant>
      <vt:variant>
        <vt:i4>0</vt:i4>
      </vt:variant>
      <vt:variant>
        <vt:i4>5</vt:i4>
      </vt:variant>
      <vt:variant>
        <vt:lpwstr>http://en.wikipedia.org/wiki/Oxide</vt:lpwstr>
      </vt:variant>
      <vt:variant>
        <vt:lpwstr/>
      </vt:variant>
      <vt:variant>
        <vt:i4>8126525</vt:i4>
      </vt:variant>
      <vt:variant>
        <vt:i4>810</vt:i4>
      </vt:variant>
      <vt:variant>
        <vt:i4>0</vt:i4>
      </vt:variant>
      <vt:variant>
        <vt:i4>5</vt:i4>
      </vt:variant>
      <vt:variant>
        <vt:lpwstr>http://en.wikipedia.org/wiki/Radium</vt:lpwstr>
      </vt:variant>
      <vt:variant>
        <vt:lpwstr/>
      </vt:variant>
      <vt:variant>
        <vt:i4>6422536</vt:i4>
      </vt:variant>
      <vt:variant>
        <vt:i4>807</vt:i4>
      </vt:variant>
      <vt:variant>
        <vt:i4>0</vt:i4>
      </vt:variant>
      <vt:variant>
        <vt:i4>5</vt:i4>
      </vt:variant>
      <vt:variant>
        <vt:lpwstr>http://en.wikipedia.org/wiki/Noble_gas</vt:lpwstr>
      </vt:variant>
      <vt:variant>
        <vt:lpwstr/>
      </vt:variant>
      <vt:variant>
        <vt:i4>589918</vt:i4>
      </vt:variant>
      <vt:variant>
        <vt:i4>804</vt:i4>
      </vt:variant>
      <vt:variant>
        <vt:i4>0</vt:i4>
      </vt:variant>
      <vt:variant>
        <vt:i4>5</vt:i4>
      </vt:variant>
      <vt:variant>
        <vt:lpwstr>http://en.wikipedia.org/wiki/Radioactive</vt:lpwstr>
      </vt:variant>
      <vt:variant>
        <vt:lpwstr/>
      </vt:variant>
      <vt:variant>
        <vt:i4>983132</vt:i4>
      </vt:variant>
      <vt:variant>
        <vt:i4>801</vt:i4>
      </vt:variant>
      <vt:variant>
        <vt:i4>0</vt:i4>
      </vt:variant>
      <vt:variant>
        <vt:i4>5</vt:i4>
      </vt:variant>
      <vt:variant>
        <vt:lpwstr>http://en.wikipedia.org/wiki/Uranium</vt:lpwstr>
      </vt:variant>
      <vt:variant>
        <vt:lpwstr/>
      </vt:variant>
      <vt:variant>
        <vt:i4>5505101</vt:i4>
      </vt:variant>
      <vt:variant>
        <vt:i4>798</vt:i4>
      </vt:variant>
      <vt:variant>
        <vt:i4>0</vt:i4>
      </vt:variant>
      <vt:variant>
        <vt:i4>5</vt:i4>
      </vt:variant>
      <vt:variant>
        <vt:lpwstr>http://notes.nt.gov.au/dcm/legislat/legislat.nsf/linkreference/MINING MANAGEMENT ACT 2001</vt:lpwstr>
      </vt:variant>
      <vt:variant>
        <vt:lpwstr/>
      </vt:variant>
      <vt:variant>
        <vt:i4>1638455</vt:i4>
      </vt:variant>
      <vt:variant>
        <vt:i4>548</vt:i4>
      </vt:variant>
      <vt:variant>
        <vt:i4>0</vt:i4>
      </vt:variant>
      <vt:variant>
        <vt:i4>5</vt:i4>
      </vt:variant>
      <vt:variant>
        <vt:lpwstr/>
      </vt:variant>
      <vt:variant>
        <vt:lpwstr>_Toc274817060</vt:lpwstr>
      </vt:variant>
      <vt:variant>
        <vt:i4>1703991</vt:i4>
      </vt:variant>
      <vt:variant>
        <vt:i4>542</vt:i4>
      </vt:variant>
      <vt:variant>
        <vt:i4>0</vt:i4>
      </vt:variant>
      <vt:variant>
        <vt:i4>5</vt:i4>
      </vt:variant>
      <vt:variant>
        <vt:lpwstr/>
      </vt:variant>
      <vt:variant>
        <vt:lpwstr>_Toc274817059</vt:lpwstr>
      </vt:variant>
      <vt:variant>
        <vt:i4>1703991</vt:i4>
      </vt:variant>
      <vt:variant>
        <vt:i4>536</vt:i4>
      </vt:variant>
      <vt:variant>
        <vt:i4>0</vt:i4>
      </vt:variant>
      <vt:variant>
        <vt:i4>5</vt:i4>
      </vt:variant>
      <vt:variant>
        <vt:lpwstr/>
      </vt:variant>
      <vt:variant>
        <vt:lpwstr>_Toc274817055</vt:lpwstr>
      </vt:variant>
      <vt:variant>
        <vt:i4>1900599</vt:i4>
      </vt:variant>
      <vt:variant>
        <vt:i4>530</vt:i4>
      </vt:variant>
      <vt:variant>
        <vt:i4>0</vt:i4>
      </vt:variant>
      <vt:variant>
        <vt:i4>5</vt:i4>
      </vt:variant>
      <vt:variant>
        <vt:lpwstr/>
      </vt:variant>
      <vt:variant>
        <vt:lpwstr>_Toc274817028</vt:lpwstr>
      </vt:variant>
      <vt:variant>
        <vt:i4>1900599</vt:i4>
      </vt:variant>
      <vt:variant>
        <vt:i4>524</vt:i4>
      </vt:variant>
      <vt:variant>
        <vt:i4>0</vt:i4>
      </vt:variant>
      <vt:variant>
        <vt:i4>5</vt:i4>
      </vt:variant>
      <vt:variant>
        <vt:lpwstr/>
      </vt:variant>
      <vt:variant>
        <vt:lpwstr>_Toc274817027</vt:lpwstr>
      </vt:variant>
      <vt:variant>
        <vt:i4>1900599</vt:i4>
      </vt:variant>
      <vt:variant>
        <vt:i4>518</vt:i4>
      </vt:variant>
      <vt:variant>
        <vt:i4>0</vt:i4>
      </vt:variant>
      <vt:variant>
        <vt:i4>5</vt:i4>
      </vt:variant>
      <vt:variant>
        <vt:lpwstr/>
      </vt:variant>
      <vt:variant>
        <vt:lpwstr>_Toc274817025</vt:lpwstr>
      </vt:variant>
      <vt:variant>
        <vt:i4>1900599</vt:i4>
      </vt:variant>
      <vt:variant>
        <vt:i4>512</vt:i4>
      </vt:variant>
      <vt:variant>
        <vt:i4>0</vt:i4>
      </vt:variant>
      <vt:variant>
        <vt:i4>5</vt:i4>
      </vt:variant>
      <vt:variant>
        <vt:lpwstr/>
      </vt:variant>
      <vt:variant>
        <vt:lpwstr>_Toc274817024</vt:lpwstr>
      </vt:variant>
      <vt:variant>
        <vt:i4>1900599</vt:i4>
      </vt:variant>
      <vt:variant>
        <vt:i4>506</vt:i4>
      </vt:variant>
      <vt:variant>
        <vt:i4>0</vt:i4>
      </vt:variant>
      <vt:variant>
        <vt:i4>5</vt:i4>
      </vt:variant>
      <vt:variant>
        <vt:lpwstr/>
      </vt:variant>
      <vt:variant>
        <vt:lpwstr>_Toc274817023</vt:lpwstr>
      </vt:variant>
      <vt:variant>
        <vt:i4>1900599</vt:i4>
      </vt:variant>
      <vt:variant>
        <vt:i4>500</vt:i4>
      </vt:variant>
      <vt:variant>
        <vt:i4>0</vt:i4>
      </vt:variant>
      <vt:variant>
        <vt:i4>5</vt:i4>
      </vt:variant>
      <vt:variant>
        <vt:lpwstr/>
      </vt:variant>
      <vt:variant>
        <vt:lpwstr>_Toc274817022</vt:lpwstr>
      </vt:variant>
      <vt:variant>
        <vt:i4>1900599</vt:i4>
      </vt:variant>
      <vt:variant>
        <vt:i4>494</vt:i4>
      </vt:variant>
      <vt:variant>
        <vt:i4>0</vt:i4>
      </vt:variant>
      <vt:variant>
        <vt:i4>5</vt:i4>
      </vt:variant>
      <vt:variant>
        <vt:lpwstr/>
      </vt:variant>
      <vt:variant>
        <vt:lpwstr>_Toc274817021</vt:lpwstr>
      </vt:variant>
      <vt:variant>
        <vt:i4>1900599</vt:i4>
      </vt:variant>
      <vt:variant>
        <vt:i4>488</vt:i4>
      </vt:variant>
      <vt:variant>
        <vt:i4>0</vt:i4>
      </vt:variant>
      <vt:variant>
        <vt:i4>5</vt:i4>
      </vt:variant>
      <vt:variant>
        <vt:lpwstr/>
      </vt:variant>
      <vt:variant>
        <vt:lpwstr>_Toc274817020</vt:lpwstr>
      </vt:variant>
      <vt:variant>
        <vt:i4>1966135</vt:i4>
      </vt:variant>
      <vt:variant>
        <vt:i4>482</vt:i4>
      </vt:variant>
      <vt:variant>
        <vt:i4>0</vt:i4>
      </vt:variant>
      <vt:variant>
        <vt:i4>5</vt:i4>
      </vt:variant>
      <vt:variant>
        <vt:lpwstr/>
      </vt:variant>
      <vt:variant>
        <vt:lpwstr>_Toc274817019</vt:lpwstr>
      </vt:variant>
      <vt:variant>
        <vt:i4>1966135</vt:i4>
      </vt:variant>
      <vt:variant>
        <vt:i4>476</vt:i4>
      </vt:variant>
      <vt:variant>
        <vt:i4>0</vt:i4>
      </vt:variant>
      <vt:variant>
        <vt:i4>5</vt:i4>
      </vt:variant>
      <vt:variant>
        <vt:lpwstr/>
      </vt:variant>
      <vt:variant>
        <vt:lpwstr>_Toc274817018</vt:lpwstr>
      </vt:variant>
      <vt:variant>
        <vt:i4>1966135</vt:i4>
      </vt:variant>
      <vt:variant>
        <vt:i4>470</vt:i4>
      </vt:variant>
      <vt:variant>
        <vt:i4>0</vt:i4>
      </vt:variant>
      <vt:variant>
        <vt:i4>5</vt:i4>
      </vt:variant>
      <vt:variant>
        <vt:lpwstr/>
      </vt:variant>
      <vt:variant>
        <vt:lpwstr>_Toc274817017</vt:lpwstr>
      </vt:variant>
      <vt:variant>
        <vt:i4>1966135</vt:i4>
      </vt:variant>
      <vt:variant>
        <vt:i4>464</vt:i4>
      </vt:variant>
      <vt:variant>
        <vt:i4>0</vt:i4>
      </vt:variant>
      <vt:variant>
        <vt:i4>5</vt:i4>
      </vt:variant>
      <vt:variant>
        <vt:lpwstr/>
      </vt:variant>
      <vt:variant>
        <vt:lpwstr>_Toc274817016</vt:lpwstr>
      </vt:variant>
      <vt:variant>
        <vt:i4>1966135</vt:i4>
      </vt:variant>
      <vt:variant>
        <vt:i4>458</vt:i4>
      </vt:variant>
      <vt:variant>
        <vt:i4>0</vt:i4>
      </vt:variant>
      <vt:variant>
        <vt:i4>5</vt:i4>
      </vt:variant>
      <vt:variant>
        <vt:lpwstr/>
      </vt:variant>
      <vt:variant>
        <vt:lpwstr>_Toc274817015</vt:lpwstr>
      </vt:variant>
      <vt:variant>
        <vt:i4>1966135</vt:i4>
      </vt:variant>
      <vt:variant>
        <vt:i4>452</vt:i4>
      </vt:variant>
      <vt:variant>
        <vt:i4>0</vt:i4>
      </vt:variant>
      <vt:variant>
        <vt:i4>5</vt:i4>
      </vt:variant>
      <vt:variant>
        <vt:lpwstr/>
      </vt:variant>
      <vt:variant>
        <vt:lpwstr>_Toc274817014</vt:lpwstr>
      </vt:variant>
      <vt:variant>
        <vt:i4>1966135</vt:i4>
      </vt:variant>
      <vt:variant>
        <vt:i4>446</vt:i4>
      </vt:variant>
      <vt:variant>
        <vt:i4>0</vt:i4>
      </vt:variant>
      <vt:variant>
        <vt:i4>5</vt:i4>
      </vt:variant>
      <vt:variant>
        <vt:lpwstr/>
      </vt:variant>
      <vt:variant>
        <vt:lpwstr>_Toc274817013</vt:lpwstr>
      </vt:variant>
      <vt:variant>
        <vt:i4>1966135</vt:i4>
      </vt:variant>
      <vt:variant>
        <vt:i4>440</vt:i4>
      </vt:variant>
      <vt:variant>
        <vt:i4>0</vt:i4>
      </vt:variant>
      <vt:variant>
        <vt:i4>5</vt:i4>
      </vt:variant>
      <vt:variant>
        <vt:lpwstr/>
      </vt:variant>
      <vt:variant>
        <vt:lpwstr>_Toc274817012</vt:lpwstr>
      </vt:variant>
      <vt:variant>
        <vt:i4>1966135</vt:i4>
      </vt:variant>
      <vt:variant>
        <vt:i4>434</vt:i4>
      </vt:variant>
      <vt:variant>
        <vt:i4>0</vt:i4>
      </vt:variant>
      <vt:variant>
        <vt:i4>5</vt:i4>
      </vt:variant>
      <vt:variant>
        <vt:lpwstr/>
      </vt:variant>
      <vt:variant>
        <vt:lpwstr>_Toc274817011</vt:lpwstr>
      </vt:variant>
      <vt:variant>
        <vt:i4>1966135</vt:i4>
      </vt:variant>
      <vt:variant>
        <vt:i4>428</vt:i4>
      </vt:variant>
      <vt:variant>
        <vt:i4>0</vt:i4>
      </vt:variant>
      <vt:variant>
        <vt:i4>5</vt:i4>
      </vt:variant>
      <vt:variant>
        <vt:lpwstr/>
      </vt:variant>
      <vt:variant>
        <vt:lpwstr>_Toc274817010</vt:lpwstr>
      </vt:variant>
      <vt:variant>
        <vt:i4>2031671</vt:i4>
      </vt:variant>
      <vt:variant>
        <vt:i4>422</vt:i4>
      </vt:variant>
      <vt:variant>
        <vt:i4>0</vt:i4>
      </vt:variant>
      <vt:variant>
        <vt:i4>5</vt:i4>
      </vt:variant>
      <vt:variant>
        <vt:lpwstr/>
      </vt:variant>
      <vt:variant>
        <vt:lpwstr>_Toc274817009</vt:lpwstr>
      </vt:variant>
      <vt:variant>
        <vt:i4>2031671</vt:i4>
      </vt:variant>
      <vt:variant>
        <vt:i4>416</vt:i4>
      </vt:variant>
      <vt:variant>
        <vt:i4>0</vt:i4>
      </vt:variant>
      <vt:variant>
        <vt:i4>5</vt:i4>
      </vt:variant>
      <vt:variant>
        <vt:lpwstr/>
      </vt:variant>
      <vt:variant>
        <vt:lpwstr>_Toc274817008</vt:lpwstr>
      </vt:variant>
      <vt:variant>
        <vt:i4>2031671</vt:i4>
      </vt:variant>
      <vt:variant>
        <vt:i4>410</vt:i4>
      </vt:variant>
      <vt:variant>
        <vt:i4>0</vt:i4>
      </vt:variant>
      <vt:variant>
        <vt:i4>5</vt:i4>
      </vt:variant>
      <vt:variant>
        <vt:lpwstr/>
      </vt:variant>
      <vt:variant>
        <vt:lpwstr>_Toc274817007</vt:lpwstr>
      </vt:variant>
      <vt:variant>
        <vt:i4>2031671</vt:i4>
      </vt:variant>
      <vt:variant>
        <vt:i4>404</vt:i4>
      </vt:variant>
      <vt:variant>
        <vt:i4>0</vt:i4>
      </vt:variant>
      <vt:variant>
        <vt:i4>5</vt:i4>
      </vt:variant>
      <vt:variant>
        <vt:lpwstr/>
      </vt:variant>
      <vt:variant>
        <vt:lpwstr>_Toc274817006</vt:lpwstr>
      </vt:variant>
      <vt:variant>
        <vt:i4>2031671</vt:i4>
      </vt:variant>
      <vt:variant>
        <vt:i4>398</vt:i4>
      </vt:variant>
      <vt:variant>
        <vt:i4>0</vt:i4>
      </vt:variant>
      <vt:variant>
        <vt:i4>5</vt:i4>
      </vt:variant>
      <vt:variant>
        <vt:lpwstr/>
      </vt:variant>
      <vt:variant>
        <vt:lpwstr>_Toc274817005</vt:lpwstr>
      </vt:variant>
      <vt:variant>
        <vt:i4>2031671</vt:i4>
      </vt:variant>
      <vt:variant>
        <vt:i4>392</vt:i4>
      </vt:variant>
      <vt:variant>
        <vt:i4>0</vt:i4>
      </vt:variant>
      <vt:variant>
        <vt:i4>5</vt:i4>
      </vt:variant>
      <vt:variant>
        <vt:lpwstr/>
      </vt:variant>
      <vt:variant>
        <vt:lpwstr>_Toc274817004</vt:lpwstr>
      </vt:variant>
      <vt:variant>
        <vt:i4>2031671</vt:i4>
      </vt:variant>
      <vt:variant>
        <vt:i4>386</vt:i4>
      </vt:variant>
      <vt:variant>
        <vt:i4>0</vt:i4>
      </vt:variant>
      <vt:variant>
        <vt:i4>5</vt:i4>
      </vt:variant>
      <vt:variant>
        <vt:lpwstr/>
      </vt:variant>
      <vt:variant>
        <vt:lpwstr>_Toc274817003</vt:lpwstr>
      </vt:variant>
      <vt:variant>
        <vt:i4>2031671</vt:i4>
      </vt:variant>
      <vt:variant>
        <vt:i4>380</vt:i4>
      </vt:variant>
      <vt:variant>
        <vt:i4>0</vt:i4>
      </vt:variant>
      <vt:variant>
        <vt:i4>5</vt:i4>
      </vt:variant>
      <vt:variant>
        <vt:lpwstr/>
      </vt:variant>
      <vt:variant>
        <vt:lpwstr>_Toc274817002</vt:lpwstr>
      </vt:variant>
      <vt:variant>
        <vt:i4>2031671</vt:i4>
      </vt:variant>
      <vt:variant>
        <vt:i4>374</vt:i4>
      </vt:variant>
      <vt:variant>
        <vt:i4>0</vt:i4>
      </vt:variant>
      <vt:variant>
        <vt:i4>5</vt:i4>
      </vt:variant>
      <vt:variant>
        <vt:lpwstr/>
      </vt:variant>
      <vt:variant>
        <vt:lpwstr>_Toc274817001</vt:lpwstr>
      </vt:variant>
      <vt:variant>
        <vt:i4>2031671</vt:i4>
      </vt:variant>
      <vt:variant>
        <vt:i4>368</vt:i4>
      </vt:variant>
      <vt:variant>
        <vt:i4>0</vt:i4>
      </vt:variant>
      <vt:variant>
        <vt:i4>5</vt:i4>
      </vt:variant>
      <vt:variant>
        <vt:lpwstr/>
      </vt:variant>
      <vt:variant>
        <vt:lpwstr>_Toc274817000</vt:lpwstr>
      </vt:variant>
      <vt:variant>
        <vt:i4>1507390</vt:i4>
      </vt:variant>
      <vt:variant>
        <vt:i4>362</vt:i4>
      </vt:variant>
      <vt:variant>
        <vt:i4>0</vt:i4>
      </vt:variant>
      <vt:variant>
        <vt:i4>5</vt:i4>
      </vt:variant>
      <vt:variant>
        <vt:lpwstr/>
      </vt:variant>
      <vt:variant>
        <vt:lpwstr>_Toc274816999</vt:lpwstr>
      </vt:variant>
      <vt:variant>
        <vt:i4>1507390</vt:i4>
      </vt:variant>
      <vt:variant>
        <vt:i4>356</vt:i4>
      </vt:variant>
      <vt:variant>
        <vt:i4>0</vt:i4>
      </vt:variant>
      <vt:variant>
        <vt:i4>5</vt:i4>
      </vt:variant>
      <vt:variant>
        <vt:lpwstr/>
      </vt:variant>
      <vt:variant>
        <vt:lpwstr>_Toc274816998</vt:lpwstr>
      </vt:variant>
      <vt:variant>
        <vt:i4>1507390</vt:i4>
      </vt:variant>
      <vt:variant>
        <vt:i4>350</vt:i4>
      </vt:variant>
      <vt:variant>
        <vt:i4>0</vt:i4>
      </vt:variant>
      <vt:variant>
        <vt:i4>5</vt:i4>
      </vt:variant>
      <vt:variant>
        <vt:lpwstr/>
      </vt:variant>
      <vt:variant>
        <vt:lpwstr>_Toc274816997</vt:lpwstr>
      </vt:variant>
      <vt:variant>
        <vt:i4>1507390</vt:i4>
      </vt:variant>
      <vt:variant>
        <vt:i4>344</vt:i4>
      </vt:variant>
      <vt:variant>
        <vt:i4>0</vt:i4>
      </vt:variant>
      <vt:variant>
        <vt:i4>5</vt:i4>
      </vt:variant>
      <vt:variant>
        <vt:lpwstr/>
      </vt:variant>
      <vt:variant>
        <vt:lpwstr>_Toc274816996</vt:lpwstr>
      </vt:variant>
      <vt:variant>
        <vt:i4>1507390</vt:i4>
      </vt:variant>
      <vt:variant>
        <vt:i4>338</vt:i4>
      </vt:variant>
      <vt:variant>
        <vt:i4>0</vt:i4>
      </vt:variant>
      <vt:variant>
        <vt:i4>5</vt:i4>
      </vt:variant>
      <vt:variant>
        <vt:lpwstr/>
      </vt:variant>
      <vt:variant>
        <vt:lpwstr>_Toc274816995</vt:lpwstr>
      </vt:variant>
      <vt:variant>
        <vt:i4>1507390</vt:i4>
      </vt:variant>
      <vt:variant>
        <vt:i4>332</vt:i4>
      </vt:variant>
      <vt:variant>
        <vt:i4>0</vt:i4>
      </vt:variant>
      <vt:variant>
        <vt:i4>5</vt:i4>
      </vt:variant>
      <vt:variant>
        <vt:lpwstr/>
      </vt:variant>
      <vt:variant>
        <vt:lpwstr>_Toc274816994</vt:lpwstr>
      </vt:variant>
      <vt:variant>
        <vt:i4>1507390</vt:i4>
      </vt:variant>
      <vt:variant>
        <vt:i4>326</vt:i4>
      </vt:variant>
      <vt:variant>
        <vt:i4>0</vt:i4>
      </vt:variant>
      <vt:variant>
        <vt:i4>5</vt:i4>
      </vt:variant>
      <vt:variant>
        <vt:lpwstr/>
      </vt:variant>
      <vt:variant>
        <vt:lpwstr>_Toc274816993</vt:lpwstr>
      </vt:variant>
      <vt:variant>
        <vt:i4>1507390</vt:i4>
      </vt:variant>
      <vt:variant>
        <vt:i4>320</vt:i4>
      </vt:variant>
      <vt:variant>
        <vt:i4>0</vt:i4>
      </vt:variant>
      <vt:variant>
        <vt:i4>5</vt:i4>
      </vt:variant>
      <vt:variant>
        <vt:lpwstr/>
      </vt:variant>
      <vt:variant>
        <vt:lpwstr>_Toc274816992</vt:lpwstr>
      </vt:variant>
      <vt:variant>
        <vt:i4>1507390</vt:i4>
      </vt:variant>
      <vt:variant>
        <vt:i4>314</vt:i4>
      </vt:variant>
      <vt:variant>
        <vt:i4>0</vt:i4>
      </vt:variant>
      <vt:variant>
        <vt:i4>5</vt:i4>
      </vt:variant>
      <vt:variant>
        <vt:lpwstr/>
      </vt:variant>
      <vt:variant>
        <vt:lpwstr>_Toc274816991</vt:lpwstr>
      </vt:variant>
      <vt:variant>
        <vt:i4>1507390</vt:i4>
      </vt:variant>
      <vt:variant>
        <vt:i4>308</vt:i4>
      </vt:variant>
      <vt:variant>
        <vt:i4>0</vt:i4>
      </vt:variant>
      <vt:variant>
        <vt:i4>5</vt:i4>
      </vt:variant>
      <vt:variant>
        <vt:lpwstr/>
      </vt:variant>
      <vt:variant>
        <vt:lpwstr>_Toc274816990</vt:lpwstr>
      </vt:variant>
      <vt:variant>
        <vt:i4>1441854</vt:i4>
      </vt:variant>
      <vt:variant>
        <vt:i4>302</vt:i4>
      </vt:variant>
      <vt:variant>
        <vt:i4>0</vt:i4>
      </vt:variant>
      <vt:variant>
        <vt:i4>5</vt:i4>
      </vt:variant>
      <vt:variant>
        <vt:lpwstr/>
      </vt:variant>
      <vt:variant>
        <vt:lpwstr>_Toc274816989</vt:lpwstr>
      </vt:variant>
      <vt:variant>
        <vt:i4>1441854</vt:i4>
      </vt:variant>
      <vt:variant>
        <vt:i4>296</vt:i4>
      </vt:variant>
      <vt:variant>
        <vt:i4>0</vt:i4>
      </vt:variant>
      <vt:variant>
        <vt:i4>5</vt:i4>
      </vt:variant>
      <vt:variant>
        <vt:lpwstr/>
      </vt:variant>
      <vt:variant>
        <vt:lpwstr>_Toc274816988</vt:lpwstr>
      </vt:variant>
      <vt:variant>
        <vt:i4>1441854</vt:i4>
      </vt:variant>
      <vt:variant>
        <vt:i4>290</vt:i4>
      </vt:variant>
      <vt:variant>
        <vt:i4>0</vt:i4>
      </vt:variant>
      <vt:variant>
        <vt:i4>5</vt:i4>
      </vt:variant>
      <vt:variant>
        <vt:lpwstr/>
      </vt:variant>
      <vt:variant>
        <vt:lpwstr>_Toc274816984</vt:lpwstr>
      </vt:variant>
      <vt:variant>
        <vt:i4>1441854</vt:i4>
      </vt:variant>
      <vt:variant>
        <vt:i4>284</vt:i4>
      </vt:variant>
      <vt:variant>
        <vt:i4>0</vt:i4>
      </vt:variant>
      <vt:variant>
        <vt:i4>5</vt:i4>
      </vt:variant>
      <vt:variant>
        <vt:lpwstr/>
      </vt:variant>
      <vt:variant>
        <vt:lpwstr>_Toc274816983</vt:lpwstr>
      </vt:variant>
      <vt:variant>
        <vt:i4>1638462</vt:i4>
      </vt:variant>
      <vt:variant>
        <vt:i4>278</vt:i4>
      </vt:variant>
      <vt:variant>
        <vt:i4>0</vt:i4>
      </vt:variant>
      <vt:variant>
        <vt:i4>5</vt:i4>
      </vt:variant>
      <vt:variant>
        <vt:lpwstr/>
      </vt:variant>
      <vt:variant>
        <vt:lpwstr>_Toc274816978</vt:lpwstr>
      </vt:variant>
      <vt:variant>
        <vt:i4>1638462</vt:i4>
      </vt:variant>
      <vt:variant>
        <vt:i4>272</vt:i4>
      </vt:variant>
      <vt:variant>
        <vt:i4>0</vt:i4>
      </vt:variant>
      <vt:variant>
        <vt:i4>5</vt:i4>
      </vt:variant>
      <vt:variant>
        <vt:lpwstr/>
      </vt:variant>
      <vt:variant>
        <vt:lpwstr>_Toc274816974</vt:lpwstr>
      </vt:variant>
      <vt:variant>
        <vt:i4>1638462</vt:i4>
      </vt:variant>
      <vt:variant>
        <vt:i4>266</vt:i4>
      </vt:variant>
      <vt:variant>
        <vt:i4>0</vt:i4>
      </vt:variant>
      <vt:variant>
        <vt:i4>5</vt:i4>
      </vt:variant>
      <vt:variant>
        <vt:lpwstr/>
      </vt:variant>
      <vt:variant>
        <vt:lpwstr>_Toc274816973</vt:lpwstr>
      </vt:variant>
      <vt:variant>
        <vt:i4>1638462</vt:i4>
      </vt:variant>
      <vt:variant>
        <vt:i4>260</vt:i4>
      </vt:variant>
      <vt:variant>
        <vt:i4>0</vt:i4>
      </vt:variant>
      <vt:variant>
        <vt:i4>5</vt:i4>
      </vt:variant>
      <vt:variant>
        <vt:lpwstr/>
      </vt:variant>
      <vt:variant>
        <vt:lpwstr>_Toc274816972</vt:lpwstr>
      </vt:variant>
      <vt:variant>
        <vt:i4>1572926</vt:i4>
      </vt:variant>
      <vt:variant>
        <vt:i4>254</vt:i4>
      </vt:variant>
      <vt:variant>
        <vt:i4>0</vt:i4>
      </vt:variant>
      <vt:variant>
        <vt:i4>5</vt:i4>
      </vt:variant>
      <vt:variant>
        <vt:lpwstr/>
      </vt:variant>
      <vt:variant>
        <vt:lpwstr>_Toc274816969</vt:lpwstr>
      </vt:variant>
      <vt:variant>
        <vt:i4>1572926</vt:i4>
      </vt:variant>
      <vt:variant>
        <vt:i4>248</vt:i4>
      </vt:variant>
      <vt:variant>
        <vt:i4>0</vt:i4>
      </vt:variant>
      <vt:variant>
        <vt:i4>5</vt:i4>
      </vt:variant>
      <vt:variant>
        <vt:lpwstr/>
      </vt:variant>
      <vt:variant>
        <vt:lpwstr>_Toc274816968</vt:lpwstr>
      </vt:variant>
      <vt:variant>
        <vt:i4>1572926</vt:i4>
      </vt:variant>
      <vt:variant>
        <vt:i4>242</vt:i4>
      </vt:variant>
      <vt:variant>
        <vt:i4>0</vt:i4>
      </vt:variant>
      <vt:variant>
        <vt:i4>5</vt:i4>
      </vt:variant>
      <vt:variant>
        <vt:lpwstr/>
      </vt:variant>
      <vt:variant>
        <vt:lpwstr>_Toc274816962</vt:lpwstr>
      </vt:variant>
      <vt:variant>
        <vt:i4>1572926</vt:i4>
      </vt:variant>
      <vt:variant>
        <vt:i4>236</vt:i4>
      </vt:variant>
      <vt:variant>
        <vt:i4>0</vt:i4>
      </vt:variant>
      <vt:variant>
        <vt:i4>5</vt:i4>
      </vt:variant>
      <vt:variant>
        <vt:lpwstr/>
      </vt:variant>
      <vt:variant>
        <vt:lpwstr>_Toc274816961</vt:lpwstr>
      </vt:variant>
      <vt:variant>
        <vt:i4>1572926</vt:i4>
      </vt:variant>
      <vt:variant>
        <vt:i4>230</vt:i4>
      </vt:variant>
      <vt:variant>
        <vt:i4>0</vt:i4>
      </vt:variant>
      <vt:variant>
        <vt:i4>5</vt:i4>
      </vt:variant>
      <vt:variant>
        <vt:lpwstr/>
      </vt:variant>
      <vt:variant>
        <vt:lpwstr>_Toc274816960</vt:lpwstr>
      </vt:variant>
      <vt:variant>
        <vt:i4>1769534</vt:i4>
      </vt:variant>
      <vt:variant>
        <vt:i4>224</vt:i4>
      </vt:variant>
      <vt:variant>
        <vt:i4>0</vt:i4>
      </vt:variant>
      <vt:variant>
        <vt:i4>5</vt:i4>
      </vt:variant>
      <vt:variant>
        <vt:lpwstr/>
      </vt:variant>
      <vt:variant>
        <vt:lpwstr>_Toc274816959</vt:lpwstr>
      </vt:variant>
      <vt:variant>
        <vt:i4>1769534</vt:i4>
      </vt:variant>
      <vt:variant>
        <vt:i4>218</vt:i4>
      </vt:variant>
      <vt:variant>
        <vt:i4>0</vt:i4>
      </vt:variant>
      <vt:variant>
        <vt:i4>5</vt:i4>
      </vt:variant>
      <vt:variant>
        <vt:lpwstr/>
      </vt:variant>
      <vt:variant>
        <vt:lpwstr>_Toc274816958</vt:lpwstr>
      </vt:variant>
      <vt:variant>
        <vt:i4>1769534</vt:i4>
      </vt:variant>
      <vt:variant>
        <vt:i4>212</vt:i4>
      </vt:variant>
      <vt:variant>
        <vt:i4>0</vt:i4>
      </vt:variant>
      <vt:variant>
        <vt:i4>5</vt:i4>
      </vt:variant>
      <vt:variant>
        <vt:lpwstr/>
      </vt:variant>
      <vt:variant>
        <vt:lpwstr>_Toc274816957</vt:lpwstr>
      </vt:variant>
      <vt:variant>
        <vt:i4>1769534</vt:i4>
      </vt:variant>
      <vt:variant>
        <vt:i4>206</vt:i4>
      </vt:variant>
      <vt:variant>
        <vt:i4>0</vt:i4>
      </vt:variant>
      <vt:variant>
        <vt:i4>5</vt:i4>
      </vt:variant>
      <vt:variant>
        <vt:lpwstr/>
      </vt:variant>
      <vt:variant>
        <vt:lpwstr>_Toc274816956</vt:lpwstr>
      </vt:variant>
      <vt:variant>
        <vt:i4>1769534</vt:i4>
      </vt:variant>
      <vt:variant>
        <vt:i4>200</vt:i4>
      </vt:variant>
      <vt:variant>
        <vt:i4>0</vt:i4>
      </vt:variant>
      <vt:variant>
        <vt:i4>5</vt:i4>
      </vt:variant>
      <vt:variant>
        <vt:lpwstr/>
      </vt:variant>
      <vt:variant>
        <vt:lpwstr>_Toc274816955</vt:lpwstr>
      </vt:variant>
      <vt:variant>
        <vt:i4>1769534</vt:i4>
      </vt:variant>
      <vt:variant>
        <vt:i4>194</vt:i4>
      </vt:variant>
      <vt:variant>
        <vt:i4>0</vt:i4>
      </vt:variant>
      <vt:variant>
        <vt:i4>5</vt:i4>
      </vt:variant>
      <vt:variant>
        <vt:lpwstr/>
      </vt:variant>
      <vt:variant>
        <vt:lpwstr>_Toc274816954</vt:lpwstr>
      </vt:variant>
      <vt:variant>
        <vt:i4>1769534</vt:i4>
      </vt:variant>
      <vt:variant>
        <vt:i4>188</vt:i4>
      </vt:variant>
      <vt:variant>
        <vt:i4>0</vt:i4>
      </vt:variant>
      <vt:variant>
        <vt:i4>5</vt:i4>
      </vt:variant>
      <vt:variant>
        <vt:lpwstr/>
      </vt:variant>
      <vt:variant>
        <vt:lpwstr>_Toc274816953</vt:lpwstr>
      </vt:variant>
      <vt:variant>
        <vt:i4>1769534</vt:i4>
      </vt:variant>
      <vt:variant>
        <vt:i4>182</vt:i4>
      </vt:variant>
      <vt:variant>
        <vt:i4>0</vt:i4>
      </vt:variant>
      <vt:variant>
        <vt:i4>5</vt:i4>
      </vt:variant>
      <vt:variant>
        <vt:lpwstr/>
      </vt:variant>
      <vt:variant>
        <vt:lpwstr>_Toc274816952</vt:lpwstr>
      </vt:variant>
      <vt:variant>
        <vt:i4>1769534</vt:i4>
      </vt:variant>
      <vt:variant>
        <vt:i4>176</vt:i4>
      </vt:variant>
      <vt:variant>
        <vt:i4>0</vt:i4>
      </vt:variant>
      <vt:variant>
        <vt:i4>5</vt:i4>
      </vt:variant>
      <vt:variant>
        <vt:lpwstr/>
      </vt:variant>
      <vt:variant>
        <vt:lpwstr>_Toc274816951</vt:lpwstr>
      </vt:variant>
      <vt:variant>
        <vt:i4>1769534</vt:i4>
      </vt:variant>
      <vt:variant>
        <vt:i4>170</vt:i4>
      </vt:variant>
      <vt:variant>
        <vt:i4>0</vt:i4>
      </vt:variant>
      <vt:variant>
        <vt:i4>5</vt:i4>
      </vt:variant>
      <vt:variant>
        <vt:lpwstr/>
      </vt:variant>
      <vt:variant>
        <vt:lpwstr>_Toc274816950</vt:lpwstr>
      </vt:variant>
      <vt:variant>
        <vt:i4>1703998</vt:i4>
      </vt:variant>
      <vt:variant>
        <vt:i4>164</vt:i4>
      </vt:variant>
      <vt:variant>
        <vt:i4>0</vt:i4>
      </vt:variant>
      <vt:variant>
        <vt:i4>5</vt:i4>
      </vt:variant>
      <vt:variant>
        <vt:lpwstr/>
      </vt:variant>
      <vt:variant>
        <vt:lpwstr>_Toc274816949</vt:lpwstr>
      </vt:variant>
      <vt:variant>
        <vt:i4>1703998</vt:i4>
      </vt:variant>
      <vt:variant>
        <vt:i4>158</vt:i4>
      </vt:variant>
      <vt:variant>
        <vt:i4>0</vt:i4>
      </vt:variant>
      <vt:variant>
        <vt:i4>5</vt:i4>
      </vt:variant>
      <vt:variant>
        <vt:lpwstr/>
      </vt:variant>
      <vt:variant>
        <vt:lpwstr>_Toc274816948</vt:lpwstr>
      </vt:variant>
      <vt:variant>
        <vt:i4>1703998</vt:i4>
      </vt:variant>
      <vt:variant>
        <vt:i4>152</vt:i4>
      </vt:variant>
      <vt:variant>
        <vt:i4>0</vt:i4>
      </vt:variant>
      <vt:variant>
        <vt:i4>5</vt:i4>
      </vt:variant>
      <vt:variant>
        <vt:lpwstr/>
      </vt:variant>
      <vt:variant>
        <vt:lpwstr>_Toc274816947</vt:lpwstr>
      </vt:variant>
      <vt:variant>
        <vt:i4>1703998</vt:i4>
      </vt:variant>
      <vt:variant>
        <vt:i4>146</vt:i4>
      </vt:variant>
      <vt:variant>
        <vt:i4>0</vt:i4>
      </vt:variant>
      <vt:variant>
        <vt:i4>5</vt:i4>
      </vt:variant>
      <vt:variant>
        <vt:lpwstr/>
      </vt:variant>
      <vt:variant>
        <vt:lpwstr>_Toc274816946</vt:lpwstr>
      </vt:variant>
      <vt:variant>
        <vt:i4>1703998</vt:i4>
      </vt:variant>
      <vt:variant>
        <vt:i4>140</vt:i4>
      </vt:variant>
      <vt:variant>
        <vt:i4>0</vt:i4>
      </vt:variant>
      <vt:variant>
        <vt:i4>5</vt:i4>
      </vt:variant>
      <vt:variant>
        <vt:lpwstr/>
      </vt:variant>
      <vt:variant>
        <vt:lpwstr>_Toc274816945</vt:lpwstr>
      </vt:variant>
      <vt:variant>
        <vt:i4>1703998</vt:i4>
      </vt:variant>
      <vt:variant>
        <vt:i4>134</vt:i4>
      </vt:variant>
      <vt:variant>
        <vt:i4>0</vt:i4>
      </vt:variant>
      <vt:variant>
        <vt:i4>5</vt:i4>
      </vt:variant>
      <vt:variant>
        <vt:lpwstr/>
      </vt:variant>
      <vt:variant>
        <vt:lpwstr>_Toc274816944</vt:lpwstr>
      </vt:variant>
      <vt:variant>
        <vt:i4>1703998</vt:i4>
      </vt:variant>
      <vt:variant>
        <vt:i4>128</vt:i4>
      </vt:variant>
      <vt:variant>
        <vt:i4>0</vt:i4>
      </vt:variant>
      <vt:variant>
        <vt:i4>5</vt:i4>
      </vt:variant>
      <vt:variant>
        <vt:lpwstr/>
      </vt:variant>
      <vt:variant>
        <vt:lpwstr>_Toc274816943</vt:lpwstr>
      </vt:variant>
      <vt:variant>
        <vt:i4>1703998</vt:i4>
      </vt:variant>
      <vt:variant>
        <vt:i4>122</vt:i4>
      </vt:variant>
      <vt:variant>
        <vt:i4>0</vt:i4>
      </vt:variant>
      <vt:variant>
        <vt:i4>5</vt:i4>
      </vt:variant>
      <vt:variant>
        <vt:lpwstr/>
      </vt:variant>
      <vt:variant>
        <vt:lpwstr>_Toc274816942</vt:lpwstr>
      </vt:variant>
      <vt:variant>
        <vt:i4>1703998</vt:i4>
      </vt:variant>
      <vt:variant>
        <vt:i4>116</vt:i4>
      </vt:variant>
      <vt:variant>
        <vt:i4>0</vt:i4>
      </vt:variant>
      <vt:variant>
        <vt:i4>5</vt:i4>
      </vt:variant>
      <vt:variant>
        <vt:lpwstr/>
      </vt:variant>
      <vt:variant>
        <vt:lpwstr>_Toc274816941</vt:lpwstr>
      </vt:variant>
      <vt:variant>
        <vt:i4>1703998</vt:i4>
      </vt:variant>
      <vt:variant>
        <vt:i4>110</vt:i4>
      </vt:variant>
      <vt:variant>
        <vt:i4>0</vt:i4>
      </vt:variant>
      <vt:variant>
        <vt:i4>5</vt:i4>
      </vt:variant>
      <vt:variant>
        <vt:lpwstr/>
      </vt:variant>
      <vt:variant>
        <vt:lpwstr>_Toc274816940</vt:lpwstr>
      </vt:variant>
      <vt:variant>
        <vt:i4>1900606</vt:i4>
      </vt:variant>
      <vt:variant>
        <vt:i4>104</vt:i4>
      </vt:variant>
      <vt:variant>
        <vt:i4>0</vt:i4>
      </vt:variant>
      <vt:variant>
        <vt:i4>5</vt:i4>
      </vt:variant>
      <vt:variant>
        <vt:lpwstr/>
      </vt:variant>
      <vt:variant>
        <vt:lpwstr>_Toc274816939</vt:lpwstr>
      </vt:variant>
      <vt:variant>
        <vt:i4>1900606</vt:i4>
      </vt:variant>
      <vt:variant>
        <vt:i4>98</vt:i4>
      </vt:variant>
      <vt:variant>
        <vt:i4>0</vt:i4>
      </vt:variant>
      <vt:variant>
        <vt:i4>5</vt:i4>
      </vt:variant>
      <vt:variant>
        <vt:lpwstr/>
      </vt:variant>
      <vt:variant>
        <vt:lpwstr>_Toc274816938</vt:lpwstr>
      </vt:variant>
      <vt:variant>
        <vt:i4>1900606</vt:i4>
      </vt:variant>
      <vt:variant>
        <vt:i4>92</vt:i4>
      </vt:variant>
      <vt:variant>
        <vt:i4>0</vt:i4>
      </vt:variant>
      <vt:variant>
        <vt:i4>5</vt:i4>
      </vt:variant>
      <vt:variant>
        <vt:lpwstr/>
      </vt:variant>
      <vt:variant>
        <vt:lpwstr>_Toc274816937</vt:lpwstr>
      </vt:variant>
      <vt:variant>
        <vt:i4>1900606</vt:i4>
      </vt:variant>
      <vt:variant>
        <vt:i4>86</vt:i4>
      </vt:variant>
      <vt:variant>
        <vt:i4>0</vt:i4>
      </vt:variant>
      <vt:variant>
        <vt:i4>5</vt:i4>
      </vt:variant>
      <vt:variant>
        <vt:lpwstr/>
      </vt:variant>
      <vt:variant>
        <vt:lpwstr>_Toc274816936</vt:lpwstr>
      </vt:variant>
      <vt:variant>
        <vt:i4>1900606</vt:i4>
      </vt:variant>
      <vt:variant>
        <vt:i4>80</vt:i4>
      </vt:variant>
      <vt:variant>
        <vt:i4>0</vt:i4>
      </vt:variant>
      <vt:variant>
        <vt:i4>5</vt:i4>
      </vt:variant>
      <vt:variant>
        <vt:lpwstr/>
      </vt:variant>
      <vt:variant>
        <vt:lpwstr>_Toc274816935</vt:lpwstr>
      </vt:variant>
      <vt:variant>
        <vt:i4>1900606</vt:i4>
      </vt:variant>
      <vt:variant>
        <vt:i4>74</vt:i4>
      </vt:variant>
      <vt:variant>
        <vt:i4>0</vt:i4>
      </vt:variant>
      <vt:variant>
        <vt:i4>5</vt:i4>
      </vt:variant>
      <vt:variant>
        <vt:lpwstr/>
      </vt:variant>
      <vt:variant>
        <vt:lpwstr>_Toc274816934</vt:lpwstr>
      </vt:variant>
      <vt:variant>
        <vt:i4>1900606</vt:i4>
      </vt:variant>
      <vt:variant>
        <vt:i4>68</vt:i4>
      </vt:variant>
      <vt:variant>
        <vt:i4>0</vt:i4>
      </vt:variant>
      <vt:variant>
        <vt:i4>5</vt:i4>
      </vt:variant>
      <vt:variant>
        <vt:lpwstr/>
      </vt:variant>
      <vt:variant>
        <vt:lpwstr>_Toc274816933</vt:lpwstr>
      </vt:variant>
      <vt:variant>
        <vt:i4>1900606</vt:i4>
      </vt:variant>
      <vt:variant>
        <vt:i4>62</vt:i4>
      </vt:variant>
      <vt:variant>
        <vt:i4>0</vt:i4>
      </vt:variant>
      <vt:variant>
        <vt:i4>5</vt:i4>
      </vt:variant>
      <vt:variant>
        <vt:lpwstr/>
      </vt:variant>
      <vt:variant>
        <vt:lpwstr>_Toc274816932</vt:lpwstr>
      </vt:variant>
      <vt:variant>
        <vt:i4>1900606</vt:i4>
      </vt:variant>
      <vt:variant>
        <vt:i4>56</vt:i4>
      </vt:variant>
      <vt:variant>
        <vt:i4>0</vt:i4>
      </vt:variant>
      <vt:variant>
        <vt:i4>5</vt:i4>
      </vt:variant>
      <vt:variant>
        <vt:lpwstr/>
      </vt:variant>
      <vt:variant>
        <vt:lpwstr>_Toc274816931</vt:lpwstr>
      </vt:variant>
      <vt:variant>
        <vt:i4>1900606</vt:i4>
      </vt:variant>
      <vt:variant>
        <vt:i4>50</vt:i4>
      </vt:variant>
      <vt:variant>
        <vt:i4>0</vt:i4>
      </vt:variant>
      <vt:variant>
        <vt:i4>5</vt:i4>
      </vt:variant>
      <vt:variant>
        <vt:lpwstr/>
      </vt:variant>
      <vt:variant>
        <vt:lpwstr>_Toc274816930</vt:lpwstr>
      </vt:variant>
      <vt:variant>
        <vt:i4>1835070</vt:i4>
      </vt:variant>
      <vt:variant>
        <vt:i4>44</vt:i4>
      </vt:variant>
      <vt:variant>
        <vt:i4>0</vt:i4>
      </vt:variant>
      <vt:variant>
        <vt:i4>5</vt:i4>
      </vt:variant>
      <vt:variant>
        <vt:lpwstr/>
      </vt:variant>
      <vt:variant>
        <vt:lpwstr>_Toc274816929</vt:lpwstr>
      </vt:variant>
      <vt:variant>
        <vt:i4>1835070</vt:i4>
      </vt:variant>
      <vt:variant>
        <vt:i4>38</vt:i4>
      </vt:variant>
      <vt:variant>
        <vt:i4>0</vt:i4>
      </vt:variant>
      <vt:variant>
        <vt:i4>5</vt:i4>
      </vt:variant>
      <vt:variant>
        <vt:lpwstr/>
      </vt:variant>
      <vt:variant>
        <vt:lpwstr>_Toc274816928</vt:lpwstr>
      </vt:variant>
      <vt:variant>
        <vt:i4>1835070</vt:i4>
      </vt:variant>
      <vt:variant>
        <vt:i4>32</vt:i4>
      </vt:variant>
      <vt:variant>
        <vt:i4>0</vt:i4>
      </vt:variant>
      <vt:variant>
        <vt:i4>5</vt:i4>
      </vt:variant>
      <vt:variant>
        <vt:lpwstr/>
      </vt:variant>
      <vt:variant>
        <vt:lpwstr>_Toc274816927</vt:lpwstr>
      </vt:variant>
      <vt:variant>
        <vt:i4>1835070</vt:i4>
      </vt:variant>
      <vt:variant>
        <vt:i4>26</vt:i4>
      </vt:variant>
      <vt:variant>
        <vt:i4>0</vt:i4>
      </vt:variant>
      <vt:variant>
        <vt:i4>5</vt:i4>
      </vt:variant>
      <vt:variant>
        <vt:lpwstr/>
      </vt:variant>
      <vt:variant>
        <vt:lpwstr>_Toc274816926</vt:lpwstr>
      </vt:variant>
      <vt:variant>
        <vt:i4>1835070</vt:i4>
      </vt:variant>
      <vt:variant>
        <vt:i4>20</vt:i4>
      </vt:variant>
      <vt:variant>
        <vt:i4>0</vt:i4>
      </vt:variant>
      <vt:variant>
        <vt:i4>5</vt:i4>
      </vt:variant>
      <vt:variant>
        <vt:lpwstr/>
      </vt:variant>
      <vt:variant>
        <vt:lpwstr>_Toc274816925</vt:lpwstr>
      </vt:variant>
      <vt:variant>
        <vt:i4>1835070</vt:i4>
      </vt:variant>
      <vt:variant>
        <vt:i4>14</vt:i4>
      </vt:variant>
      <vt:variant>
        <vt:i4>0</vt:i4>
      </vt:variant>
      <vt:variant>
        <vt:i4>5</vt:i4>
      </vt:variant>
      <vt:variant>
        <vt:lpwstr/>
      </vt:variant>
      <vt:variant>
        <vt:lpwstr>_Toc274816924</vt:lpwstr>
      </vt:variant>
      <vt:variant>
        <vt:i4>1835070</vt:i4>
      </vt:variant>
      <vt:variant>
        <vt:i4>8</vt:i4>
      </vt:variant>
      <vt:variant>
        <vt:i4>0</vt:i4>
      </vt:variant>
      <vt:variant>
        <vt:i4>5</vt:i4>
      </vt:variant>
      <vt:variant>
        <vt:lpwstr/>
      </vt:variant>
      <vt:variant>
        <vt:lpwstr>_Toc274816923</vt:lpwstr>
      </vt:variant>
      <vt:variant>
        <vt:i4>1835070</vt:i4>
      </vt:variant>
      <vt:variant>
        <vt:i4>2</vt:i4>
      </vt:variant>
      <vt:variant>
        <vt:i4>0</vt:i4>
      </vt:variant>
      <vt:variant>
        <vt:i4>5</vt:i4>
      </vt:variant>
      <vt:variant>
        <vt:lpwstr/>
      </vt:variant>
      <vt:variant>
        <vt:lpwstr>_Toc274816922</vt:lpwstr>
      </vt:variant>
    </vt:vector>
  </HLinks>
  <HyperlinksChanged>true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Supervising Scientist Annual Report 2013-2014</dc:title>
  <dc:subject/>
  <dc:creator/>
  <cp:lastModifiedBy/>
  <cp:revision>1</cp:revision>
  <dcterms:created xsi:type="dcterms:W3CDTF">2014-10-27T23:23:00Z</dcterms:created>
  <dcterms:modified xsi:type="dcterms:W3CDTF">2014-10-27T23:24:00Z</dcterms:modified>
</cp:coreProperties>
</file>