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BFF" w:rsidRDefault="00534BFF" w:rsidP="00534BFF">
      <w:pPr>
        <w:pStyle w:val="Heading1"/>
        <w:spacing w:before="2000" w:after="800"/>
      </w:pPr>
      <w:bookmarkStart w:id="0" w:name="_Toc319670765"/>
      <w:r>
        <w:t>Research consultancies</w:t>
      </w:r>
      <w:bookmarkEnd w:id="0"/>
    </w:p>
    <w:p w:rsidR="00534BFF" w:rsidRPr="001B303A" w:rsidRDefault="00534BFF" w:rsidP="00534BFF">
      <w:r>
        <w:t xml:space="preserve">This section contains a summary of non-uranium mining related research consultancies carried out by </w:t>
      </w:r>
      <w:proofErr w:type="spellStart"/>
      <w:r>
        <w:rPr>
          <w:b/>
          <w:i/>
          <w:sz w:val="26"/>
        </w:rPr>
        <w:t>eriss</w:t>
      </w:r>
      <w:proofErr w:type="spellEnd"/>
      <w:r>
        <w:t xml:space="preserve"> during 2010–2011. Most of these reports are commercial-in-confidence and are not available for public release.</w:t>
      </w:r>
    </w:p>
    <w:p w:rsidR="00534BFF" w:rsidRDefault="00534BFF" w:rsidP="00534BFF"/>
    <w:p w:rsidR="00534BFF" w:rsidRDefault="00534BFF" w:rsidP="00534BFF">
      <w:pPr>
        <w:sectPr w:rsidR="00534BFF" w:rsidSect="00534BFF">
          <w:headerReference w:type="default" r:id="rId10"/>
          <w:footerReference w:type="default" r:id="rId11"/>
          <w:headerReference w:type="first" r:id="rId12"/>
          <w:footerReference w:type="first" r:id="rId13"/>
          <w:footnotePr>
            <w:numRestart w:val="eachSect"/>
          </w:footnotePr>
          <w:pgSz w:w="11906" w:h="16838" w:code="9"/>
          <w:pgMar w:top="1440" w:right="1797" w:bottom="1440" w:left="1797" w:header="851" w:footer="833" w:gutter="0"/>
          <w:pgNumType w:start="175"/>
          <w:cols w:space="360"/>
          <w:noEndnote/>
        </w:sectPr>
      </w:pPr>
    </w:p>
    <w:p w:rsidR="00534BFF" w:rsidRDefault="00534BFF" w:rsidP="00534BFF">
      <w:pPr>
        <w:pStyle w:val="Heading1"/>
        <w:rPr>
          <w:lang w:val="en-US"/>
        </w:rPr>
      </w:pPr>
      <w:bookmarkStart w:id="1" w:name="_Toc319670766"/>
      <w:r>
        <w:rPr>
          <w:lang w:val="en-US"/>
        </w:rPr>
        <w:lastRenderedPageBreak/>
        <w:t>Ecological risk assessment for aquatic ecosystems of northern Australia</w:t>
      </w:r>
      <w:bookmarkEnd w:id="1"/>
    </w:p>
    <w:p w:rsidR="00534BFF" w:rsidRPr="008E44C5" w:rsidRDefault="00534BFF" w:rsidP="00534BFF">
      <w:pPr>
        <w:pStyle w:val="authors"/>
        <w:spacing w:after="800"/>
      </w:pPr>
      <w:bookmarkStart w:id="2" w:name="_Toc316987269"/>
      <w:bookmarkStart w:id="3" w:name="_Toc319670767"/>
      <w:r>
        <w:t xml:space="preserve">RE </w:t>
      </w:r>
      <w:proofErr w:type="spellStart"/>
      <w:r>
        <w:t>Bartolo</w:t>
      </w:r>
      <w:bookmarkEnd w:id="2"/>
      <w:bookmarkEnd w:id="3"/>
      <w:proofErr w:type="spellEnd"/>
    </w:p>
    <w:p w:rsidR="00534BFF" w:rsidRDefault="00534BFF" w:rsidP="00534BFF">
      <w:pPr>
        <w:pStyle w:val="Heading2"/>
      </w:pPr>
      <w:bookmarkStart w:id="4" w:name="_Toc316985454"/>
      <w:r>
        <w:t>Background</w:t>
      </w:r>
      <w:bookmarkEnd w:id="4"/>
    </w:p>
    <w:p w:rsidR="00534BFF" w:rsidRDefault="00534BFF" w:rsidP="00534BFF">
      <w:r>
        <w:t xml:space="preserve">The Northern Australia Water Futures Assessment (NAWFA) is a multidisciplinary program being managed by the Environmental Water and Natural Resources Branch within </w:t>
      </w:r>
      <w:proofErr w:type="spellStart"/>
      <w:r>
        <w:t>SEWPaC</w:t>
      </w:r>
      <w:proofErr w:type="spellEnd"/>
      <w:r>
        <w:t>. The objective is to provide an enduring knowledge base to inform development of northern Australia’s water resources, so that development proceeds in an ecologically, culturally and economically sustainable manner. Ecological risk assessment has been undertaken for the Ecological Program of NAWFA in collaboration with a team of researchers led by the University of Western Australia. The project is titled ‘</w:t>
      </w:r>
      <w:proofErr w:type="spellStart"/>
      <w:r>
        <w:t>Assesing</w:t>
      </w:r>
      <w:proofErr w:type="spellEnd"/>
      <w:r>
        <w:t xml:space="preserve"> the likely impacts of development on aquatic ecological assets in northern Australia’ and builds on the ecological risk assessments previously undertaken by </w:t>
      </w:r>
      <w:proofErr w:type="spellStart"/>
      <w:r>
        <w:rPr>
          <w:b/>
          <w:i/>
          <w:sz w:val="26"/>
        </w:rPr>
        <w:t>eriss</w:t>
      </w:r>
      <w:proofErr w:type="spellEnd"/>
      <w:r>
        <w:t xml:space="preserve"> for the Tropical Rivers Inventory and Assessment project (TRIAP) (</w:t>
      </w:r>
      <w:proofErr w:type="spellStart"/>
      <w:r>
        <w:t>Bartolo</w:t>
      </w:r>
      <w:proofErr w:type="spellEnd"/>
      <w:r>
        <w:t xml:space="preserve"> et al 2008).</w:t>
      </w:r>
    </w:p>
    <w:p w:rsidR="00534BFF" w:rsidRPr="00B030B6" w:rsidRDefault="00534BFF" w:rsidP="00534BFF">
      <w:pPr>
        <w:pStyle w:val="Heading2"/>
      </w:pPr>
      <w:bookmarkStart w:id="5" w:name="_Toc316985455"/>
      <w:r>
        <w:t>Summary of work</w:t>
      </w:r>
      <w:bookmarkEnd w:id="5"/>
    </w:p>
    <w:p w:rsidR="00534BFF" w:rsidRDefault="00534BFF" w:rsidP="00534BFF">
      <w:r>
        <w:t xml:space="preserve">A key challenge in conducting ecological risk assessments at the regional scale is </w:t>
      </w:r>
      <w:proofErr w:type="gramStart"/>
      <w:r>
        <w:t>incorporating  multiple</w:t>
      </w:r>
      <w:proofErr w:type="gramEnd"/>
      <w:r>
        <w:t xml:space="preserve"> pressures/threats and their effects pathways on multiple ecological assets over large areas. Like the previous TRIAP work, we applied the Relative Risk Model (RRM) and tested the utility of this tool for ecological risk assessment for tropical rivers at two scales: northern Australia (62 risk regions) and a focus catchment, the Finniss River catchment (52 risk regions). </w:t>
      </w:r>
    </w:p>
    <w:p w:rsidR="00534BFF" w:rsidRDefault="00534BFF" w:rsidP="00534BFF">
      <w:r>
        <w:t xml:space="preserve">The results of the RRM appear to be in agreement with general knowledge of risk </w:t>
      </w:r>
      <w:proofErr w:type="gramStart"/>
      <w:r>
        <w:t>to  catchments</w:t>
      </w:r>
      <w:proofErr w:type="gramEnd"/>
      <w:r>
        <w:t xml:space="preserve"> within northern Australia. That is, those risk regions that were ranked as higher risk concord with our knowledge of risk and general information at </w:t>
      </w:r>
      <w:r w:rsidRPr="0097521C">
        <w:t>hand. Figure 1 shows</w:t>
      </w:r>
      <w:r>
        <w:t xml:space="preserve"> the results of the total relative risk for the 62 risk regions (catchments) across northern Australia. </w:t>
      </w:r>
      <w:r w:rsidRPr="00195B5D">
        <w:t>Th</w:t>
      </w:r>
      <w:r>
        <w:t>e</w:t>
      </w:r>
      <w:r w:rsidRPr="00195B5D">
        <w:t xml:space="preserve"> analysis show</w:t>
      </w:r>
      <w:r>
        <w:t>ed</w:t>
      </w:r>
      <w:r w:rsidRPr="00195B5D">
        <w:t xml:space="preserve"> tha</w:t>
      </w:r>
      <w:r>
        <w:t xml:space="preserve">t grazing natural vegetation </w:t>
      </w:r>
      <w:r w:rsidRPr="00195B5D">
        <w:t xml:space="preserve">is the threat with the largest relative score followed by </w:t>
      </w:r>
      <w:r>
        <w:t>river disturbance</w:t>
      </w:r>
      <w:r w:rsidRPr="00195B5D">
        <w:t xml:space="preserve"> and </w:t>
      </w:r>
      <w:r>
        <w:t>sea level rise</w:t>
      </w:r>
      <w:r w:rsidRPr="00195B5D">
        <w:t xml:space="preserve"> </w:t>
      </w:r>
      <w:r>
        <w:t>for catchments across northern Australia. Also, for northern Australia, t</w:t>
      </w:r>
      <w:r w:rsidRPr="00502EFE">
        <w:t>he ecological assessment endpoint with the highest total risk is water quality to meet or exceed a specified standard</w:t>
      </w:r>
      <w:r>
        <w:t xml:space="preserve">. </w:t>
      </w:r>
      <w:r w:rsidRPr="00502EFE">
        <w:t>Conversely, the ecological assessment endpoint with the lowest total risk is maintenance of flow regime</w:t>
      </w:r>
    </w:p>
    <w:p w:rsidR="00534BFF" w:rsidRPr="0097521C" w:rsidRDefault="00534BFF" w:rsidP="00534BFF">
      <w:pPr>
        <w:rPr>
          <w:spacing w:val="-2"/>
        </w:rPr>
      </w:pPr>
      <w:r w:rsidRPr="0097521C">
        <w:rPr>
          <w:spacing w:val="-2"/>
        </w:rPr>
        <w:t>The ability to output various components of the RRM as maps facilitates visual communication with stakeholders and decision makers who can readily relate to interpreting a map.</w:t>
      </w:r>
    </w:p>
    <w:p w:rsidR="00534BFF" w:rsidRDefault="00534BFF" w:rsidP="00534BFF">
      <w:r>
        <w:t>We have built upon the work undertaken for the TRIAP and extended the assessment to include the North-East Drainage Division (</w:t>
      </w:r>
      <w:proofErr w:type="spellStart"/>
      <w:r>
        <w:t>ie</w:t>
      </w:r>
      <w:proofErr w:type="spellEnd"/>
      <w:r>
        <w:t xml:space="preserve"> the North-East Queensland coastal catchments from Cairns to Somerset). This resulting RRM has provided a high level screening tool for prioritising areas for further research in terms of ecological risk assessment for aquatic ecosystems with a focus on development scenarios, in northern Australia. </w:t>
      </w:r>
    </w:p>
    <w:p w:rsidR="00534BFF" w:rsidRDefault="00534BFF" w:rsidP="00534BFF">
      <w:r>
        <w:rPr>
          <w:noProof/>
          <w:lang w:eastAsia="en-AU"/>
        </w:rPr>
        <w:lastRenderedPageBreak/>
        <w:drawing>
          <wp:anchor distT="0" distB="0" distL="114300" distR="114300" simplePos="0" relativeHeight="251659264" behindDoc="0" locked="0" layoutInCell="1" allowOverlap="1">
            <wp:simplePos x="0" y="0"/>
            <wp:positionH relativeFrom="column">
              <wp:posOffset>2540</wp:posOffset>
            </wp:positionH>
            <wp:positionV relativeFrom="paragraph">
              <wp:posOffset>735965</wp:posOffset>
            </wp:positionV>
            <wp:extent cx="5264785" cy="2700655"/>
            <wp:effectExtent l="19050" t="0" r="0" b="0"/>
            <wp:wrapSquare wrapText="bothSides"/>
            <wp:docPr id="2" name="Picture 0" descr="62_catchmentsmaps-risk-annual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_catchmentsmaps-risk-annualreport.jpg"/>
                    <pic:cNvPicPr/>
                  </pic:nvPicPr>
                  <pic:blipFill>
                    <a:blip r:embed="rId14" cstate="print">
                      <a:grayscl/>
                    </a:blip>
                    <a:stretch>
                      <a:fillRect/>
                    </a:stretch>
                  </pic:blipFill>
                  <pic:spPr>
                    <a:xfrm>
                      <a:off x="0" y="0"/>
                      <a:ext cx="5264785" cy="2700655"/>
                    </a:xfrm>
                    <a:prstGeom prst="rect">
                      <a:avLst/>
                    </a:prstGeom>
                  </pic:spPr>
                </pic:pic>
              </a:graphicData>
            </a:graphic>
          </wp:anchor>
        </w:drawing>
      </w:r>
      <w:r>
        <w:t>Further work should be conducted on the application of filters and weights to the input pressures and threats to further refine the models and quantitative uncertainty measures should be included.</w:t>
      </w:r>
    </w:p>
    <w:p w:rsidR="00534BFF" w:rsidRDefault="00534BFF" w:rsidP="00534BFF"/>
    <w:tbl>
      <w:tblPr>
        <w:tblW w:w="0" w:type="auto"/>
        <w:jc w:val="center"/>
        <w:tblLook w:val="0000"/>
      </w:tblPr>
      <w:tblGrid>
        <w:gridCol w:w="350"/>
        <w:gridCol w:w="1344"/>
        <w:gridCol w:w="350"/>
        <w:gridCol w:w="1310"/>
        <w:gridCol w:w="350"/>
        <w:gridCol w:w="1144"/>
        <w:gridCol w:w="350"/>
        <w:gridCol w:w="1517"/>
      </w:tblGrid>
      <w:tr w:rsidR="00534BFF" w:rsidTr="008F70D3">
        <w:trPr>
          <w:trHeight w:hRule="exact" w:val="283"/>
          <w:jc w:val="center"/>
        </w:trPr>
        <w:tc>
          <w:tcPr>
            <w:tcW w:w="0" w:type="auto"/>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1</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Cape Leveque Coast</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17</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Mary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33</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Robinson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49</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proofErr w:type="spellStart"/>
            <w:r w:rsidRPr="00114912">
              <w:rPr>
                <w:rFonts w:ascii="Arial" w:hAnsi="Arial" w:cs="Arial"/>
                <w:sz w:val="12"/>
                <w:szCs w:val="12"/>
              </w:rPr>
              <w:t>Embley</w:t>
            </w:r>
            <w:proofErr w:type="spellEnd"/>
            <w:r w:rsidRPr="00114912">
              <w:rPr>
                <w:rFonts w:ascii="Arial" w:hAnsi="Arial" w:cs="Arial"/>
                <w:sz w:val="12"/>
                <w:szCs w:val="12"/>
              </w:rPr>
              <w:t xml:space="preserve"> River</w:t>
            </w:r>
          </w:p>
        </w:tc>
      </w:tr>
      <w:tr w:rsidR="00534BFF" w:rsidTr="008F70D3">
        <w:trPr>
          <w:trHeight w:hRule="exact" w:val="283"/>
          <w:jc w:val="center"/>
        </w:trPr>
        <w:tc>
          <w:tcPr>
            <w:tcW w:w="0" w:type="auto"/>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2</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Fitzroy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18</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Wildman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34</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Calvert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50</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proofErr w:type="spellStart"/>
            <w:r w:rsidRPr="00114912">
              <w:rPr>
                <w:rFonts w:ascii="Arial" w:hAnsi="Arial" w:cs="Arial"/>
                <w:sz w:val="12"/>
                <w:szCs w:val="12"/>
              </w:rPr>
              <w:t>Ducie</w:t>
            </w:r>
            <w:proofErr w:type="spellEnd"/>
            <w:r w:rsidRPr="00114912">
              <w:rPr>
                <w:rFonts w:ascii="Arial" w:hAnsi="Arial" w:cs="Arial"/>
                <w:sz w:val="12"/>
                <w:szCs w:val="12"/>
              </w:rPr>
              <w:t xml:space="preserve"> River</w:t>
            </w:r>
          </w:p>
        </w:tc>
      </w:tr>
      <w:tr w:rsidR="00534BFF" w:rsidTr="008F70D3">
        <w:trPr>
          <w:trHeight w:hRule="exact" w:val="283"/>
          <w:jc w:val="center"/>
        </w:trPr>
        <w:tc>
          <w:tcPr>
            <w:tcW w:w="0" w:type="auto"/>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3</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Lennard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19</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South Alligator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35</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Settlement Creek</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51</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Jardine River</w:t>
            </w:r>
          </w:p>
        </w:tc>
      </w:tr>
      <w:tr w:rsidR="00534BFF" w:rsidTr="008F70D3">
        <w:trPr>
          <w:trHeight w:hRule="exact" w:val="283"/>
          <w:jc w:val="center"/>
        </w:trPr>
        <w:tc>
          <w:tcPr>
            <w:tcW w:w="0" w:type="auto"/>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4</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proofErr w:type="spellStart"/>
            <w:r w:rsidRPr="00114912">
              <w:rPr>
                <w:rFonts w:ascii="Arial" w:hAnsi="Arial" w:cs="Arial"/>
                <w:sz w:val="12"/>
                <w:szCs w:val="12"/>
              </w:rPr>
              <w:t>Isdell</w:t>
            </w:r>
            <w:proofErr w:type="spellEnd"/>
            <w:r w:rsidRPr="00114912">
              <w:rPr>
                <w:rFonts w:ascii="Arial" w:hAnsi="Arial" w:cs="Arial"/>
                <w:sz w:val="12"/>
                <w:szCs w:val="12"/>
              </w:rPr>
              <w:t xml:space="preserve">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20</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East Alligator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36</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Nicholson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52</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 xml:space="preserve">Jacky </w:t>
            </w:r>
            <w:proofErr w:type="spellStart"/>
            <w:r w:rsidRPr="00114912">
              <w:rPr>
                <w:rFonts w:ascii="Arial" w:hAnsi="Arial" w:cs="Arial"/>
                <w:sz w:val="12"/>
                <w:szCs w:val="12"/>
              </w:rPr>
              <w:t>Jacky</w:t>
            </w:r>
            <w:proofErr w:type="spellEnd"/>
            <w:r w:rsidRPr="00114912">
              <w:rPr>
                <w:rFonts w:ascii="Arial" w:hAnsi="Arial" w:cs="Arial"/>
                <w:sz w:val="12"/>
                <w:szCs w:val="12"/>
              </w:rPr>
              <w:t xml:space="preserve"> Creek</w:t>
            </w:r>
          </w:p>
        </w:tc>
      </w:tr>
      <w:tr w:rsidR="00534BFF" w:rsidTr="008F70D3">
        <w:trPr>
          <w:trHeight w:hRule="exact" w:val="283"/>
          <w:jc w:val="center"/>
        </w:trPr>
        <w:tc>
          <w:tcPr>
            <w:tcW w:w="0" w:type="auto"/>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5</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Prince Regent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21</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proofErr w:type="spellStart"/>
            <w:r w:rsidRPr="00114912">
              <w:rPr>
                <w:rFonts w:ascii="Arial" w:hAnsi="Arial" w:cs="Arial"/>
                <w:sz w:val="12"/>
                <w:szCs w:val="12"/>
              </w:rPr>
              <w:t>Goomadeer</w:t>
            </w:r>
            <w:proofErr w:type="spellEnd"/>
            <w:r w:rsidRPr="00114912">
              <w:rPr>
                <w:rFonts w:ascii="Arial" w:hAnsi="Arial" w:cs="Arial"/>
                <w:sz w:val="12"/>
                <w:szCs w:val="12"/>
              </w:rPr>
              <w:t xml:space="preserve">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37</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Leichhardt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53</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Olive-Pascoe Rivers</w:t>
            </w:r>
          </w:p>
        </w:tc>
      </w:tr>
      <w:tr w:rsidR="00534BFF" w:rsidTr="008F70D3">
        <w:trPr>
          <w:trHeight w:hRule="exact" w:val="283"/>
          <w:jc w:val="center"/>
        </w:trPr>
        <w:tc>
          <w:tcPr>
            <w:tcW w:w="0" w:type="auto"/>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6</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King Edward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22</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Liverpool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38</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Morning Inlet</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54</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Lockhart River</w:t>
            </w:r>
          </w:p>
        </w:tc>
      </w:tr>
      <w:tr w:rsidR="00534BFF" w:rsidTr="008F70D3">
        <w:trPr>
          <w:trHeight w:hRule="exact" w:val="283"/>
          <w:jc w:val="center"/>
        </w:trPr>
        <w:tc>
          <w:tcPr>
            <w:tcW w:w="0" w:type="auto"/>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7</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Drysdale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23</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Blyth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39</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Flinders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55</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Stewart River</w:t>
            </w:r>
          </w:p>
        </w:tc>
      </w:tr>
      <w:tr w:rsidR="00534BFF" w:rsidTr="008F70D3">
        <w:trPr>
          <w:trHeight w:hRule="exact" w:val="283"/>
          <w:jc w:val="center"/>
        </w:trPr>
        <w:tc>
          <w:tcPr>
            <w:tcW w:w="0" w:type="auto"/>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8</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Pentecost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24</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Goyder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40</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Norman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56</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Normanby River</w:t>
            </w:r>
          </w:p>
        </w:tc>
      </w:tr>
      <w:tr w:rsidR="00534BFF" w:rsidTr="008F70D3">
        <w:trPr>
          <w:trHeight w:hRule="exact" w:val="283"/>
          <w:jc w:val="center"/>
        </w:trPr>
        <w:tc>
          <w:tcPr>
            <w:tcW w:w="0" w:type="auto"/>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9</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Ord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25</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Roper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41</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Gilbert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57</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Jeannie River</w:t>
            </w:r>
          </w:p>
        </w:tc>
      </w:tr>
      <w:tr w:rsidR="00534BFF" w:rsidTr="008F70D3">
        <w:trPr>
          <w:trHeight w:hRule="exact" w:val="283"/>
          <w:jc w:val="center"/>
        </w:trPr>
        <w:tc>
          <w:tcPr>
            <w:tcW w:w="0" w:type="auto"/>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10</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Keep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26</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Buckingham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42</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Staaten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58</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Endeavour River</w:t>
            </w:r>
          </w:p>
        </w:tc>
      </w:tr>
      <w:tr w:rsidR="00534BFF" w:rsidTr="008F70D3">
        <w:trPr>
          <w:trHeight w:hRule="exact" w:val="283"/>
          <w:jc w:val="center"/>
        </w:trPr>
        <w:tc>
          <w:tcPr>
            <w:tcW w:w="0" w:type="auto"/>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11</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Victoria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27</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proofErr w:type="spellStart"/>
            <w:r w:rsidRPr="00114912">
              <w:rPr>
                <w:rFonts w:ascii="Arial" w:hAnsi="Arial" w:cs="Arial"/>
                <w:sz w:val="12"/>
                <w:szCs w:val="12"/>
              </w:rPr>
              <w:t>Koolatong</w:t>
            </w:r>
            <w:proofErr w:type="spellEnd"/>
            <w:r w:rsidRPr="00114912">
              <w:rPr>
                <w:rFonts w:ascii="Arial" w:hAnsi="Arial" w:cs="Arial"/>
                <w:sz w:val="12"/>
                <w:szCs w:val="12"/>
              </w:rPr>
              <w:t xml:space="preserve">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43</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Pr>
                <w:rFonts w:ascii="Arial" w:hAnsi="Arial" w:cs="Arial"/>
                <w:sz w:val="12"/>
                <w:szCs w:val="12"/>
              </w:rPr>
              <w:t>Mitc</w:t>
            </w:r>
            <w:r w:rsidRPr="00114912">
              <w:rPr>
                <w:rFonts w:ascii="Arial" w:hAnsi="Arial" w:cs="Arial"/>
                <w:sz w:val="12"/>
                <w:szCs w:val="12"/>
              </w:rPr>
              <w:t>hell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59</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Daintree River</w:t>
            </w:r>
          </w:p>
        </w:tc>
      </w:tr>
      <w:tr w:rsidR="00534BFF" w:rsidTr="008F70D3">
        <w:trPr>
          <w:trHeight w:hRule="exact" w:val="283"/>
          <w:jc w:val="center"/>
        </w:trPr>
        <w:tc>
          <w:tcPr>
            <w:tcW w:w="0" w:type="auto"/>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12</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Pr>
                <w:rFonts w:ascii="Arial" w:hAnsi="Arial" w:cs="Arial"/>
                <w:sz w:val="12"/>
                <w:szCs w:val="12"/>
              </w:rPr>
              <w:t>Fitzmaurice R</w:t>
            </w:r>
            <w:r w:rsidRPr="00114912">
              <w:rPr>
                <w:rFonts w:ascii="Arial" w:hAnsi="Arial" w:cs="Arial"/>
                <w:sz w:val="12"/>
                <w:szCs w:val="12"/>
              </w:rPr>
              <w:t>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28</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Walker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44</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Coleman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60</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Mossman River</w:t>
            </w:r>
          </w:p>
        </w:tc>
      </w:tr>
      <w:tr w:rsidR="00534BFF" w:rsidTr="008F70D3">
        <w:trPr>
          <w:trHeight w:hRule="exact" w:val="283"/>
          <w:jc w:val="center"/>
        </w:trPr>
        <w:tc>
          <w:tcPr>
            <w:tcW w:w="0" w:type="auto"/>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13</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Moyle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29</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Towns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45</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Holroyd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61</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Barron River</w:t>
            </w:r>
          </w:p>
        </w:tc>
      </w:tr>
      <w:tr w:rsidR="00534BFF" w:rsidTr="008F70D3">
        <w:trPr>
          <w:trHeight w:hRule="exact" w:val="283"/>
          <w:jc w:val="center"/>
        </w:trPr>
        <w:tc>
          <w:tcPr>
            <w:tcW w:w="0" w:type="auto"/>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14</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Daly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30</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proofErr w:type="spellStart"/>
            <w:r w:rsidRPr="00114912">
              <w:rPr>
                <w:rFonts w:ascii="Arial" w:hAnsi="Arial" w:cs="Arial"/>
                <w:sz w:val="12"/>
                <w:szCs w:val="12"/>
              </w:rPr>
              <w:t>Limmen</w:t>
            </w:r>
            <w:proofErr w:type="spellEnd"/>
            <w:r w:rsidRPr="00114912">
              <w:rPr>
                <w:rFonts w:ascii="Arial" w:hAnsi="Arial" w:cs="Arial"/>
                <w:sz w:val="12"/>
                <w:szCs w:val="12"/>
              </w:rPr>
              <w:t xml:space="preserve"> Bight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46</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Archer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62</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Mulgrave-Russell Rivers</w:t>
            </w:r>
          </w:p>
        </w:tc>
      </w:tr>
      <w:tr w:rsidR="00534BFF" w:rsidTr="008F70D3">
        <w:trPr>
          <w:trHeight w:hRule="exact" w:val="283"/>
          <w:jc w:val="center"/>
        </w:trPr>
        <w:tc>
          <w:tcPr>
            <w:tcW w:w="0" w:type="auto"/>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15</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Finniss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31</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Rosie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47</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Watson River</w:t>
            </w:r>
          </w:p>
        </w:tc>
        <w:tc>
          <w:tcPr>
            <w:tcW w:w="0" w:type="auto"/>
            <w:tcBorders>
              <w:left w:val="single" w:sz="4" w:space="0" w:color="auto"/>
            </w:tcBorders>
          </w:tcPr>
          <w:p w:rsidR="00534BFF" w:rsidRPr="00114912" w:rsidRDefault="00534BFF" w:rsidP="008F70D3">
            <w:pPr>
              <w:jc w:val="left"/>
              <w:rPr>
                <w:rFonts w:ascii="Arial" w:hAnsi="Arial" w:cs="Arial"/>
                <w:sz w:val="12"/>
                <w:szCs w:val="12"/>
              </w:rPr>
            </w:pPr>
          </w:p>
        </w:tc>
        <w:tc>
          <w:tcPr>
            <w:tcW w:w="0" w:type="auto"/>
            <w:tcBorders>
              <w:right w:val="single" w:sz="4" w:space="0" w:color="auto"/>
            </w:tcBorders>
          </w:tcPr>
          <w:p w:rsidR="00534BFF" w:rsidRPr="00114912" w:rsidRDefault="00534BFF" w:rsidP="008F70D3">
            <w:pPr>
              <w:jc w:val="left"/>
              <w:rPr>
                <w:rFonts w:ascii="Arial" w:hAnsi="Arial" w:cs="Arial"/>
                <w:sz w:val="12"/>
                <w:szCs w:val="12"/>
              </w:rPr>
            </w:pPr>
          </w:p>
        </w:tc>
      </w:tr>
      <w:tr w:rsidR="00534BFF" w:rsidTr="008F70D3">
        <w:trPr>
          <w:trHeight w:hRule="exact" w:val="283"/>
          <w:jc w:val="center"/>
        </w:trPr>
        <w:tc>
          <w:tcPr>
            <w:tcW w:w="0" w:type="auto"/>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16</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Adelaide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32</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McArthur River</w:t>
            </w:r>
          </w:p>
        </w:tc>
        <w:tc>
          <w:tcPr>
            <w:tcW w:w="0" w:type="auto"/>
            <w:tcBorders>
              <w:left w:val="single" w:sz="4" w:space="0" w:color="auto"/>
            </w:tcBorders>
          </w:tcPr>
          <w:p w:rsidR="00534BFF" w:rsidRPr="00114912" w:rsidRDefault="00534BFF" w:rsidP="008F70D3">
            <w:pPr>
              <w:jc w:val="left"/>
              <w:rPr>
                <w:rFonts w:ascii="Arial" w:hAnsi="Arial" w:cs="Arial"/>
                <w:b/>
                <w:sz w:val="12"/>
                <w:szCs w:val="12"/>
              </w:rPr>
            </w:pPr>
            <w:r w:rsidRPr="00114912">
              <w:rPr>
                <w:rFonts w:ascii="Arial" w:hAnsi="Arial" w:cs="Arial"/>
                <w:b/>
                <w:sz w:val="12"/>
                <w:szCs w:val="12"/>
              </w:rPr>
              <w:t>48</w:t>
            </w:r>
          </w:p>
        </w:tc>
        <w:tc>
          <w:tcPr>
            <w:tcW w:w="0" w:type="auto"/>
            <w:tcBorders>
              <w:right w:val="single" w:sz="4" w:space="0" w:color="auto"/>
            </w:tcBorders>
          </w:tcPr>
          <w:p w:rsidR="00534BFF" w:rsidRPr="00114912" w:rsidRDefault="00534BFF" w:rsidP="008F70D3">
            <w:pPr>
              <w:jc w:val="left"/>
              <w:rPr>
                <w:rFonts w:ascii="Arial" w:hAnsi="Arial" w:cs="Arial"/>
                <w:sz w:val="12"/>
                <w:szCs w:val="12"/>
              </w:rPr>
            </w:pPr>
            <w:r w:rsidRPr="00114912">
              <w:rPr>
                <w:rFonts w:ascii="Arial" w:hAnsi="Arial" w:cs="Arial"/>
                <w:sz w:val="12"/>
                <w:szCs w:val="12"/>
              </w:rPr>
              <w:t>Wenlock River</w:t>
            </w:r>
          </w:p>
        </w:tc>
        <w:tc>
          <w:tcPr>
            <w:tcW w:w="0" w:type="auto"/>
            <w:tcBorders>
              <w:left w:val="single" w:sz="4" w:space="0" w:color="auto"/>
            </w:tcBorders>
          </w:tcPr>
          <w:p w:rsidR="00534BFF" w:rsidRPr="00114912" w:rsidRDefault="00534BFF" w:rsidP="008F70D3">
            <w:pPr>
              <w:jc w:val="left"/>
              <w:rPr>
                <w:rFonts w:ascii="Arial" w:hAnsi="Arial" w:cs="Arial"/>
                <w:sz w:val="12"/>
                <w:szCs w:val="12"/>
              </w:rPr>
            </w:pPr>
          </w:p>
        </w:tc>
        <w:tc>
          <w:tcPr>
            <w:tcW w:w="0" w:type="auto"/>
            <w:tcBorders>
              <w:right w:val="single" w:sz="4" w:space="0" w:color="auto"/>
            </w:tcBorders>
          </w:tcPr>
          <w:p w:rsidR="00534BFF" w:rsidRPr="00114912" w:rsidRDefault="00534BFF" w:rsidP="008F70D3">
            <w:pPr>
              <w:jc w:val="left"/>
              <w:rPr>
                <w:rFonts w:ascii="Arial" w:hAnsi="Arial" w:cs="Arial"/>
                <w:sz w:val="12"/>
                <w:szCs w:val="12"/>
              </w:rPr>
            </w:pPr>
          </w:p>
        </w:tc>
      </w:tr>
    </w:tbl>
    <w:p w:rsidR="00534BFF" w:rsidRDefault="00534BFF" w:rsidP="00534BFF"/>
    <w:p w:rsidR="00534BFF" w:rsidRDefault="00534BFF" w:rsidP="00534BFF">
      <w:pPr>
        <w:pStyle w:val="figurecaption"/>
      </w:pPr>
      <w:r w:rsidRPr="0097521C">
        <w:rPr>
          <w:b/>
        </w:rPr>
        <w:t xml:space="preserve">Figure </w:t>
      </w:r>
      <w:proofErr w:type="gramStart"/>
      <w:r w:rsidRPr="0097521C">
        <w:rPr>
          <w:b/>
        </w:rPr>
        <w:t xml:space="preserve">1 </w:t>
      </w:r>
      <w:r w:rsidRPr="0097521C">
        <w:t xml:space="preserve"> Total</w:t>
      </w:r>
      <w:proofErr w:type="gramEnd"/>
      <w:r w:rsidRPr="0097521C">
        <w:t xml:space="preserve"> relative risk shown as higher, medium or lower for the 62 risk regions (catchments) of</w:t>
      </w:r>
      <w:r>
        <w:t xml:space="preserve"> northern Australia</w:t>
      </w:r>
    </w:p>
    <w:p w:rsidR="00534BFF" w:rsidRPr="00B030B6" w:rsidRDefault="00534BFF" w:rsidP="00534BFF">
      <w:pPr>
        <w:pStyle w:val="Heading2"/>
      </w:pPr>
      <w:bookmarkStart w:id="6" w:name="_Toc316985456"/>
      <w:r>
        <w:t>References</w:t>
      </w:r>
      <w:bookmarkEnd w:id="6"/>
    </w:p>
    <w:p w:rsidR="00534BFF" w:rsidRDefault="00534BFF" w:rsidP="00534BFF">
      <w:pPr>
        <w:pStyle w:val="referencelist1"/>
        <w:rPr>
          <w:rFonts w:ascii="TimesNewRomanPSMT" w:hAnsi="TimesNewRomanPSMT" w:cs="TimesNewRomanPSMT"/>
          <w:szCs w:val="22"/>
          <w:lang w:eastAsia="en-AU"/>
        </w:rPr>
      </w:pPr>
      <w:proofErr w:type="spellStart"/>
      <w:r>
        <w:t>Bartolo</w:t>
      </w:r>
      <w:proofErr w:type="spellEnd"/>
      <w:r>
        <w:t xml:space="preserve"> R, </w:t>
      </w:r>
      <w:proofErr w:type="spellStart"/>
      <w:r>
        <w:t>Bayliss</w:t>
      </w:r>
      <w:proofErr w:type="spellEnd"/>
      <w:r>
        <w:t xml:space="preserve"> P &amp; van Dam R 2008. </w:t>
      </w:r>
      <w:proofErr w:type="gramStart"/>
      <w:r>
        <w:rPr>
          <w:i/>
          <w:lang w:eastAsia="en-AU"/>
        </w:rPr>
        <w:t>Ecological risk assessment for Australia’s northern tropical rivers.</w:t>
      </w:r>
      <w:proofErr w:type="gramEnd"/>
      <w:r>
        <w:rPr>
          <w:i/>
          <w:lang w:eastAsia="en-AU"/>
        </w:rPr>
        <w:t xml:space="preserve"> Sub-project 2 of Australia’s Tropical Rivers – an integrated data assessment and analysis (DET18)</w:t>
      </w:r>
      <w:r>
        <w:rPr>
          <w:rFonts w:ascii="TimesNewRomanPSMT" w:hAnsi="TimesNewRomanPSMT" w:cs="TimesNewRomanPSMT"/>
          <w:lang w:eastAsia="en-AU"/>
        </w:rPr>
        <w:t xml:space="preserve">. </w:t>
      </w:r>
      <w:proofErr w:type="gramStart"/>
      <w:r>
        <w:rPr>
          <w:rFonts w:ascii="TimesNewRomanPSMT" w:hAnsi="TimesNewRomanPSMT" w:cs="TimesNewRomanPSMT"/>
          <w:lang w:eastAsia="en-AU"/>
        </w:rPr>
        <w:t>A report to Land &amp; Water Australia.</w:t>
      </w:r>
      <w:proofErr w:type="gramEnd"/>
      <w:r>
        <w:rPr>
          <w:rFonts w:ascii="TimesNewRomanPSMT" w:hAnsi="TimesNewRomanPSMT" w:cs="TimesNewRomanPSMT"/>
          <w:lang w:eastAsia="en-AU"/>
        </w:rPr>
        <w:t xml:space="preserve"> </w:t>
      </w:r>
      <w:proofErr w:type="gramStart"/>
      <w:r>
        <w:rPr>
          <w:rFonts w:ascii="TimesNewRomanPSMT" w:hAnsi="TimesNewRomanPSMT" w:cs="TimesNewRomanPSMT"/>
          <w:lang w:eastAsia="en-AU"/>
        </w:rPr>
        <w:t xml:space="preserve">Environmental Research Institute of the Supervising Scientist, National Centre for Tropical Wetland </w:t>
      </w:r>
      <w:r>
        <w:rPr>
          <w:rFonts w:ascii="TimesNewRomanPSMT" w:hAnsi="TimesNewRomanPSMT" w:cs="TimesNewRomanPSMT"/>
          <w:szCs w:val="22"/>
          <w:lang w:eastAsia="en-AU"/>
        </w:rPr>
        <w:t>Research, Darwin NT. www.environment.gov.au/ssd/tropical-rivers/triap-sp2.html.</w:t>
      </w:r>
      <w:proofErr w:type="gramEnd"/>
    </w:p>
    <w:p w:rsidR="00534BFF" w:rsidRDefault="00534BFF" w:rsidP="00534BFF">
      <w:pPr>
        <w:sectPr w:rsidR="00534BFF" w:rsidSect="00534BFF">
          <w:headerReference w:type="even" r:id="rId15"/>
          <w:footnotePr>
            <w:numRestart w:val="eachSect"/>
          </w:footnotePr>
          <w:pgSz w:w="11906" w:h="16838" w:code="9"/>
          <w:pgMar w:top="1440" w:right="1797" w:bottom="1440" w:left="1797" w:header="851" w:footer="833" w:gutter="0"/>
          <w:cols w:space="360"/>
          <w:noEndnote/>
        </w:sectPr>
      </w:pPr>
    </w:p>
    <w:p w:rsidR="00534BFF" w:rsidRPr="00AF1BCA" w:rsidRDefault="00534BFF" w:rsidP="00534BFF">
      <w:pPr>
        <w:pStyle w:val="Heading1"/>
      </w:pPr>
      <w:bookmarkStart w:id="7" w:name="_Toc310522038"/>
      <w:bookmarkStart w:id="8" w:name="_Toc310584709"/>
      <w:bookmarkStart w:id="9" w:name="_Toc310934680"/>
      <w:bookmarkStart w:id="10" w:name="_Toc313525566"/>
      <w:bookmarkStart w:id="11" w:name="_Toc319670768"/>
      <w:r w:rsidRPr="00AF1BCA">
        <w:lastRenderedPageBreak/>
        <w:t>Assessment of the radiological exposure pathways at Rum Jungle Creek S</w:t>
      </w:r>
      <w:r>
        <w:t xml:space="preserve">outh </w:t>
      </w:r>
      <w:r>
        <w:br/>
        <w:t>(Rum Jungle Lake Reserve) –</w:t>
      </w:r>
      <w:r w:rsidRPr="00AF1BCA">
        <w:t xml:space="preserve"> </w:t>
      </w:r>
      <w:proofErr w:type="spellStart"/>
      <w:r w:rsidRPr="00AF1BCA">
        <w:t>Batchelor</w:t>
      </w:r>
      <w:bookmarkEnd w:id="7"/>
      <w:bookmarkEnd w:id="8"/>
      <w:bookmarkEnd w:id="9"/>
      <w:bookmarkEnd w:id="10"/>
      <w:bookmarkEnd w:id="11"/>
      <w:proofErr w:type="spellEnd"/>
    </w:p>
    <w:p w:rsidR="00534BFF" w:rsidRPr="00AF1BCA" w:rsidRDefault="00534BFF" w:rsidP="00534BFF">
      <w:pPr>
        <w:pStyle w:val="authors"/>
      </w:pPr>
      <w:bookmarkStart w:id="12" w:name="_Toc316987271"/>
      <w:bookmarkStart w:id="13" w:name="_Toc319670769"/>
      <w:r w:rsidRPr="00AF1BCA">
        <w:t xml:space="preserve">A </w:t>
      </w:r>
      <w:proofErr w:type="spellStart"/>
      <w:r w:rsidRPr="00AF1BCA">
        <w:t>Bollhöfer</w:t>
      </w:r>
      <w:proofErr w:type="spellEnd"/>
      <w:r w:rsidRPr="00AF1BCA">
        <w:t xml:space="preserve">, C Doering, G Fox, J </w:t>
      </w:r>
      <w:proofErr w:type="spellStart"/>
      <w:r w:rsidRPr="00AF1BCA">
        <w:t>Pfitzner</w:t>
      </w:r>
      <w:proofErr w:type="spellEnd"/>
      <w:r>
        <w:t xml:space="preserve"> &amp;</w:t>
      </w:r>
      <w:r w:rsidRPr="00AF1BCA">
        <w:t xml:space="preserve"> P Medley</w:t>
      </w:r>
      <w:bookmarkEnd w:id="12"/>
      <w:bookmarkEnd w:id="13"/>
    </w:p>
    <w:p w:rsidR="00534BFF" w:rsidRDefault="00534BFF" w:rsidP="00534BFF">
      <w:pPr>
        <w:pStyle w:val="Heading2"/>
      </w:pPr>
      <w:bookmarkStart w:id="14" w:name="_Toc316985458"/>
      <w:r>
        <w:t>Summary</w:t>
      </w:r>
      <w:bookmarkEnd w:id="14"/>
    </w:p>
    <w:p w:rsidR="00534BFF" w:rsidRDefault="00534BFF" w:rsidP="00534BFF">
      <w:pPr>
        <w:rPr>
          <w:i/>
        </w:rPr>
      </w:pPr>
      <w:r>
        <w:t xml:space="preserve">In November 2010 </w:t>
      </w:r>
      <w:proofErr w:type="spellStart"/>
      <w:r>
        <w:t>eriss</w:t>
      </w:r>
      <w:proofErr w:type="spellEnd"/>
      <w:r>
        <w:t xml:space="preserve"> was commissioned by the Northern Territory Department of Resources to determine the magnitude of the radiological exposure pathways at Rum Jungle Lake Reserve, a popular recreation area near the township of </w:t>
      </w:r>
      <w:proofErr w:type="spellStart"/>
      <w:r>
        <w:t>Batchelor</w:t>
      </w:r>
      <w:proofErr w:type="spellEnd"/>
      <w:r>
        <w:t xml:space="preserve"> that </w:t>
      </w:r>
      <w:proofErr w:type="gramStart"/>
      <w:r>
        <w:t>lies</w:t>
      </w:r>
      <w:proofErr w:type="gramEnd"/>
      <w:r>
        <w:t xml:space="preserve"> on the footprint of the rehabilitated Rum Jungle Creek South (RJCS) uranium mine. The assessment was considered necessary to determine whether or not radiation risks to the public from current recreational uses of the site are acceptable in the context of international recommendations for radiation protection. </w:t>
      </w:r>
      <w:r w:rsidRPr="00C620F1">
        <w:t xml:space="preserve">The assessment forms part of the works conducted under the </w:t>
      </w:r>
      <w:r w:rsidRPr="00C620F1">
        <w:rPr>
          <w:i/>
        </w:rPr>
        <w:t>National Partnership Agreement on the Management of the Former Rum Jungle Mine Site</w:t>
      </w:r>
      <w:r>
        <w:rPr>
          <w:i/>
        </w:rPr>
        <w:t xml:space="preserve">. </w:t>
      </w:r>
    </w:p>
    <w:p w:rsidR="00534BFF" w:rsidRDefault="00534BFF" w:rsidP="00534BFF">
      <w:r w:rsidRPr="0055232E">
        <w:t xml:space="preserve">Radiological conditions at the site were determined through an extensive program of environmental sampling and measurement, which included a site-wide gamma survey, measurement of radon and radon decay product concentrations in air and analysis of </w:t>
      </w:r>
      <w:proofErr w:type="spellStart"/>
      <w:r w:rsidRPr="0055232E">
        <w:t>radionuclides</w:t>
      </w:r>
      <w:proofErr w:type="spellEnd"/>
      <w:r w:rsidRPr="0055232E">
        <w:t xml:space="preserve"> in </w:t>
      </w:r>
      <w:proofErr w:type="spellStart"/>
      <w:r w:rsidRPr="0055232E">
        <w:t>bushfoods</w:t>
      </w:r>
      <w:proofErr w:type="spellEnd"/>
      <w:r w:rsidRPr="0055232E">
        <w:t xml:space="preserve"> and water. Gamma radiation levels are generally similar to those from a radiological assessment conducted by </w:t>
      </w:r>
      <w:proofErr w:type="spellStart"/>
      <w:r w:rsidRPr="0055232E">
        <w:t>Kvasnicka</w:t>
      </w:r>
      <w:proofErr w:type="spellEnd"/>
      <w:r w:rsidRPr="0055232E">
        <w:t xml:space="preserve"> </w:t>
      </w:r>
      <w:r>
        <w:t>et al</w:t>
      </w:r>
      <w:r w:rsidRPr="0055232E">
        <w:t xml:space="preserve"> (1992) after site rehabilitation in 1990–91. The conclusion is that there has been no general deterioration in radiological conditions at the site in the ~20 years since rehabilitation works were completed.</w:t>
      </w:r>
    </w:p>
    <w:p w:rsidR="00534BFF" w:rsidRDefault="00534BFF" w:rsidP="00534BFF">
      <w:r>
        <w:t xml:space="preserve">For people accessing the RJCS site for daytime only picnics and associated recreation activities, external gamma radiation is the primary radiological exposure pathway that needs to be addressed, contributing an above background dose of only 0.0015 </w:t>
      </w:r>
      <w:proofErr w:type="spellStart"/>
      <w:r>
        <w:t>mSv</w:t>
      </w:r>
      <w:proofErr w:type="spellEnd"/>
      <w:r>
        <w:t xml:space="preserve"> per day (or 0.02 </w:t>
      </w:r>
      <w:proofErr w:type="spellStart"/>
      <w:r>
        <w:t>mSv</w:t>
      </w:r>
      <w:proofErr w:type="spellEnd"/>
      <w:r>
        <w:t xml:space="preserve"> per year if the site was accessed 14 times per year). There is effectively no above background contribution to daytime dose from radon decay products due to the air being well mixed during the day. The ingestion dose to people picnicking is considered to be zero, as it was assumed that no </w:t>
      </w:r>
      <w:proofErr w:type="spellStart"/>
      <w:r>
        <w:t>bushfoods</w:t>
      </w:r>
      <w:proofErr w:type="spellEnd"/>
      <w:r>
        <w:t xml:space="preserve"> or water from the site </w:t>
      </w:r>
      <w:proofErr w:type="gramStart"/>
      <w:r>
        <w:t>are</w:t>
      </w:r>
      <w:proofErr w:type="gramEnd"/>
      <w:r>
        <w:t xml:space="preserve"> consumed in this scenario.</w:t>
      </w:r>
    </w:p>
    <w:p w:rsidR="00534BFF" w:rsidRDefault="00534BFF" w:rsidP="00534BFF">
      <w:r>
        <w:t xml:space="preserve">For people accessing the site for camping and food gathering activities, external gamma radiation (~0.007 </w:t>
      </w:r>
      <w:proofErr w:type="spellStart"/>
      <w:r>
        <w:t>mSv</w:t>
      </w:r>
      <w:proofErr w:type="spellEnd"/>
      <w:r>
        <w:t xml:space="preserve"> per day), radon decay product inhalation (~0.012 </w:t>
      </w:r>
      <w:proofErr w:type="spellStart"/>
      <w:r>
        <w:t>mSv</w:t>
      </w:r>
      <w:proofErr w:type="spellEnd"/>
      <w:r>
        <w:t xml:space="preserve"> per day) and </w:t>
      </w:r>
      <w:proofErr w:type="spellStart"/>
      <w:r>
        <w:t>bushfood</w:t>
      </w:r>
      <w:proofErr w:type="spellEnd"/>
      <w:r>
        <w:t xml:space="preserve"> ingestion (~0.03 </w:t>
      </w:r>
      <w:proofErr w:type="spellStart"/>
      <w:r>
        <w:t>mSv</w:t>
      </w:r>
      <w:proofErr w:type="spellEnd"/>
      <w:r>
        <w:t xml:space="preserve"> per day) are the most important radiological exposure pathways and make similar contributions to the above background dose received by a member of the public. Average annual doses above background amount to 0.65 </w:t>
      </w:r>
      <w:proofErr w:type="spellStart"/>
      <w:r>
        <w:t>mSv</w:t>
      </w:r>
      <w:proofErr w:type="spellEnd"/>
      <w:r>
        <w:t>, assuming that people camp on site for 14 days. It has to be emphasised that for this scenario it has been assumed that the majority of food ingested is hunted (wallaby, pig and fish) and collected (mussels, fruit and yam) on site, rather than reliance on shop bought food.</w:t>
      </w:r>
    </w:p>
    <w:p w:rsidR="00534BFF" w:rsidRDefault="00534BFF" w:rsidP="00534BFF">
      <w:r>
        <w:t xml:space="preserve">The total annual dose to a person that accesses the site for daytime visits is not appreciably different to the annual dose that would be received by a resident of </w:t>
      </w:r>
      <w:proofErr w:type="spellStart"/>
      <w:r>
        <w:t>Batchelor</w:t>
      </w:r>
      <w:proofErr w:type="spellEnd"/>
      <w:r>
        <w:t xml:space="preserve"> from natural background radiation. The total annual dose to a person camping and consuming </w:t>
      </w:r>
      <w:proofErr w:type="spellStart"/>
      <w:r>
        <w:t>bushfoods</w:t>
      </w:r>
      <w:proofErr w:type="spellEnd"/>
      <w:r>
        <w:t xml:space="preserve"> is higher, but the above background contribution from time spent on site is typically less than 1 </w:t>
      </w:r>
      <w:proofErr w:type="spellStart"/>
      <w:r>
        <w:t>mSv</w:t>
      </w:r>
      <w:proofErr w:type="spellEnd"/>
      <w:r>
        <w:t>.</w:t>
      </w:r>
      <w:r w:rsidRPr="008B1E4E">
        <w:t xml:space="preserve"> </w:t>
      </w:r>
      <w:r w:rsidRPr="002D3CC0">
        <w:t xml:space="preserve">This </w:t>
      </w:r>
      <w:r>
        <w:t>is</w:t>
      </w:r>
      <w:r w:rsidRPr="002D3CC0">
        <w:t xml:space="preserve"> below the general reference level band of 1–20 </w:t>
      </w:r>
      <w:proofErr w:type="spellStart"/>
      <w:r w:rsidRPr="002D3CC0">
        <w:t>mSv</w:t>
      </w:r>
      <w:proofErr w:type="spellEnd"/>
      <w:r w:rsidRPr="002D3CC0">
        <w:t xml:space="preserve"> per year recommended by the </w:t>
      </w:r>
      <w:r>
        <w:rPr>
          <w:snapToGrid w:val="0"/>
          <w:lang w:val="en-US"/>
        </w:rPr>
        <w:t xml:space="preserve">International Commission on </w:t>
      </w:r>
      <w:r w:rsidRPr="00A4594B">
        <w:t>Radiological</w:t>
      </w:r>
      <w:r>
        <w:rPr>
          <w:rFonts w:ascii="Arial" w:hAnsi="Arial" w:cs="Arial"/>
          <w:sz w:val="20"/>
          <w:lang w:eastAsia="en-AU"/>
        </w:rPr>
        <w:t xml:space="preserve"> </w:t>
      </w:r>
      <w:r>
        <w:rPr>
          <w:snapToGrid w:val="0"/>
          <w:lang w:val="en-US"/>
        </w:rPr>
        <w:t xml:space="preserve">Protection </w:t>
      </w:r>
      <w:r w:rsidRPr="002D3CC0">
        <w:t>for existing exposure situations</w:t>
      </w:r>
      <w:r>
        <w:t xml:space="preserve"> </w:t>
      </w:r>
      <w:r>
        <w:lastRenderedPageBreak/>
        <w:t>(which are exposure situations that already exist when a decision on control has to be taken) (ICRP 2007)</w:t>
      </w:r>
      <w:r w:rsidRPr="002D3CC0">
        <w:t>. The implication is that there is no unacceptable radiation risk to people accessing the site</w:t>
      </w:r>
      <w:r>
        <w:t>, both for daytime picnics and for camping and food gathering activities.</w:t>
      </w:r>
    </w:p>
    <w:p w:rsidR="00534BFF" w:rsidRDefault="00534BFF" w:rsidP="00534BFF">
      <w:pPr>
        <w:pStyle w:val="Heading2"/>
      </w:pPr>
      <w:bookmarkStart w:id="15" w:name="_Toc316985459"/>
      <w:r>
        <w:t>References</w:t>
      </w:r>
      <w:bookmarkEnd w:id="15"/>
    </w:p>
    <w:p w:rsidR="00534BFF" w:rsidRDefault="00534BFF" w:rsidP="00534BFF">
      <w:pPr>
        <w:pStyle w:val="referencelist1"/>
      </w:pPr>
      <w:proofErr w:type="gramStart"/>
      <w:r>
        <w:t>ICRP 2007.</w:t>
      </w:r>
      <w:proofErr w:type="gramEnd"/>
      <w:r>
        <w:t xml:space="preserve"> </w:t>
      </w:r>
      <w:r w:rsidRPr="00116F0B">
        <w:rPr>
          <w:i/>
        </w:rPr>
        <w:t>The 2007 Recommendations of the International Commission on Radiological Protection</w:t>
      </w:r>
      <w:r>
        <w:t>. ICRP Publication 103, Annals of the ICRP 37(2–4).</w:t>
      </w:r>
    </w:p>
    <w:p w:rsidR="00534BFF" w:rsidRDefault="00534BFF" w:rsidP="00534BFF">
      <w:pPr>
        <w:pStyle w:val="referencelist1"/>
      </w:pPr>
      <w:proofErr w:type="spellStart"/>
      <w:proofErr w:type="gramStart"/>
      <w:r>
        <w:t>Kvasnicka</w:t>
      </w:r>
      <w:proofErr w:type="spellEnd"/>
      <w:r>
        <w:t xml:space="preserve"> J, Li C-C &amp; Robinson R 1992.</w:t>
      </w:r>
      <w:proofErr w:type="gramEnd"/>
      <w:r>
        <w:t xml:space="preserve"> Rum Jungle Creek South abandoned uranium mine: radiation fields before, during and after the site rehabilitation. </w:t>
      </w:r>
      <w:proofErr w:type="gramStart"/>
      <w:r>
        <w:t>Environmental Technical Report 92/2, Mines Environment Directorate, Northern Territory Department of Mines and Energy, Darwin NT, Australia.</w:t>
      </w:r>
      <w:proofErr w:type="gramEnd"/>
    </w:p>
    <w:p w:rsidR="00534BFF" w:rsidRDefault="00534BFF" w:rsidP="00534BFF"/>
    <w:p w:rsidR="00534BFF" w:rsidRDefault="00534BFF" w:rsidP="00534BFF"/>
    <w:p w:rsidR="00534BFF" w:rsidRDefault="00534BFF" w:rsidP="00534BFF">
      <w:pPr>
        <w:pStyle w:val="Heading1"/>
        <w:rPr>
          <w:spacing w:val="-2"/>
        </w:rPr>
        <w:sectPr w:rsidR="00534BFF" w:rsidSect="00534BFF">
          <w:headerReference w:type="even" r:id="rId16"/>
          <w:footnotePr>
            <w:numRestart w:val="eachSect"/>
          </w:footnotePr>
          <w:pgSz w:w="11906" w:h="16838" w:code="9"/>
          <w:pgMar w:top="1440" w:right="1797" w:bottom="1440" w:left="1797" w:header="851" w:footer="833" w:gutter="0"/>
          <w:cols w:space="360"/>
          <w:noEndnote/>
        </w:sectPr>
      </w:pPr>
      <w:bookmarkStart w:id="16" w:name="_Toc308710374"/>
      <w:bookmarkStart w:id="17" w:name="_Toc309215827"/>
    </w:p>
    <w:p w:rsidR="00534BFF" w:rsidRDefault="00534BFF" w:rsidP="00534BFF">
      <w:pPr>
        <w:pStyle w:val="Heading1"/>
      </w:pPr>
      <w:bookmarkStart w:id="18" w:name="_Toc319670770"/>
      <w:bookmarkEnd w:id="16"/>
      <w:bookmarkEnd w:id="17"/>
      <w:proofErr w:type="spellStart"/>
      <w:r>
        <w:lastRenderedPageBreak/>
        <w:t>Ecotoxicological</w:t>
      </w:r>
      <w:proofErr w:type="spellEnd"/>
      <w:r>
        <w:t xml:space="preserve"> assessment of seepage water from Woodcutters mine</w:t>
      </w:r>
      <w:bookmarkEnd w:id="18"/>
    </w:p>
    <w:p w:rsidR="00534BFF" w:rsidRDefault="00534BFF" w:rsidP="00534BFF">
      <w:pPr>
        <w:pStyle w:val="authors"/>
        <w:spacing w:after="800"/>
      </w:pPr>
      <w:bookmarkStart w:id="19" w:name="_Toc316987273"/>
      <w:bookmarkStart w:id="20" w:name="_Toc319670771"/>
      <w:r>
        <w:t xml:space="preserve">K Cheng, </w:t>
      </w:r>
      <w:proofErr w:type="gramStart"/>
      <w:r>
        <w:t>A</w:t>
      </w:r>
      <w:proofErr w:type="gramEnd"/>
      <w:r>
        <w:t xml:space="preserve"> Harford &amp; R van Dam</w:t>
      </w:r>
      <w:bookmarkEnd w:id="19"/>
      <w:bookmarkEnd w:id="20"/>
    </w:p>
    <w:p w:rsidR="00534BFF" w:rsidRDefault="00534BFF" w:rsidP="00534BFF">
      <w:pPr>
        <w:rPr>
          <w:lang w:val="en-US"/>
        </w:rPr>
      </w:pPr>
      <w:r>
        <w:t>Newmont Asia Pacific</w:t>
      </w:r>
      <w:r w:rsidRPr="00961A59">
        <w:t xml:space="preserve"> </w:t>
      </w:r>
      <w:r>
        <w:t>is seeking to develop site-specific Trigger Values for specific metals (</w:t>
      </w:r>
      <w:proofErr w:type="spellStart"/>
      <w:r>
        <w:t>eg</w:t>
      </w:r>
      <w:proofErr w:type="spellEnd"/>
      <w:r>
        <w:t xml:space="preserve"> zinc; Zn) in Woodcutters Creek as part of its closure plan for the rehabilitated Woodcutter’s mine</w:t>
      </w:r>
      <w:r w:rsidRPr="00961A59">
        <w:rPr>
          <w:lang w:val="en-US"/>
        </w:rPr>
        <w:t xml:space="preserve">. </w:t>
      </w:r>
      <w:r>
        <w:rPr>
          <w:lang w:val="en-US"/>
        </w:rPr>
        <w:t xml:space="preserve">As part of the ANZECC Guidelines process, </w:t>
      </w:r>
      <w:r>
        <w:rPr>
          <w:szCs w:val="22"/>
          <w:lang w:eastAsia="en-AU"/>
        </w:rPr>
        <w:t xml:space="preserve">toxicity testing was performed on ambient waters from Woodcutters and </w:t>
      </w:r>
      <w:proofErr w:type="spellStart"/>
      <w:r>
        <w:rPr>
          <w:szCs w:val="22"/>
          <w:lang w:eastAsia="en-AU"/>
        </w:rPr>
        <w:t>Coomalie</w:t>
      </w:r>
      <w:proofErr w:type="spellEnd"/>
      <w:r>
        <w:rPr>
          <w:szCs w:val="22"/>
          <w:lang w:eastAsia="en-AU"/>
        </w:rPr>
        <w:t xml:space="preserve"> creeks during 2007 (2006–07 wet season recessional flow and 2007–08 early wet season) and </w:t>
      </w:r>
      <w:smartTag w:uri="urn:schemas-microsoft-com:office:smarttags" w:element="State">
        <w:smartTag w:uri="urn:schemas-microsoft-com:office:smarttags" w:element="place">
          <w:r>
            <w:rPr>
              <w:szCs w:val="22"/>
              <w:lang w:eastAsia="en-AU"/>
            </w:rPr>
            <w:t>ind</w:t>
          </w:r>
        </w:smartTag>
      </w:smartTag>
      <w:r>
        <w:rPr>
          <w:szCs w:val="22"/>
          <w:lang w:eastAsia="en-AU"/>
        </w:rPr>
        <w:t>icated, at worst, low effects on aquatic species. However, the testing had sampling</w:t>
      </w:r>
      <w:r w:rsidDel="00061F91">
        <w:rPr>
          <w:szCs w:val="22"/>
          <w:lang w:eastAsia="en-AU"/>
        </w:rPr>
        <w:t xml:space="preserve"> </w:t>
      </w:r>
      <w:r>
        <w:rPr>
          <w:szCs w:val="22"/>
          <w:lang w:eastAsia="en-AU"/>
        </w:rPr>
        <w:t xml:space="preserve">limitations and it was proposed that a </w:t>
      </w:r>
      <w:smartTag w:uri="urn:schemas-microsoft-com:office:smarttags" w:element="City">
        <w:smartTag w:uri="urn:schemas-microsoft-com:office:smarttags" w:element="place">
          <w:r>
            <w:rPr>
              <w:szCs w:val="22"/>
              <w:lang w:eastAsia="en-AU"/>
            </w:rPr>
            <w:t>furth</w:t>
          </w:r>
        </w:smartTag>
      </w:smartTag>
      <w:r>
        <w:rPr>
          <w:szCs w:val="22"/>
          <w:lang w:eastAsia="en-AU"/>
        </w:rPr>
        <w:t xml:space="preserve">er laboratory testing program, addressing the limitations, be undertaken. </w:t>
      </w:r>
      <w:r>
        <w:rPr>
          <w:lang w:eastAsia="en-AU"/>
        </w:rPr>
        <w:t xml:space="preserve">Consequently, another </w:t>
      </w:r>
      <w:proofErr w:type="spellStart"/>
      <w:r>
        <w:rPr>
          <w:lang w:val="en-US"/>
        </w:rPr>
        <w:t>ecotoxicological</w:t>
      </w:r>
      <w:proofErr w:type="spellEnd"/>
      <w:r>
        <w:rPr>
          <w:lang w:val="en-US"/>
        </w:rPr>
        <w:t xml:space="preserve"> assessment, conducted in September 2011 focused on the effects of higher salinity shallow seepage water entering Woodcutters Creek to five freshwater species. Previous monitoring data identified a seepage water source that was representative of the highest possible solute (especially Zn) input from the site and should be of sufficient concentration to calculate protective concentrations for receiving waters. However, concentrations of zinc (Zn) and other metals were lower than expected, which may have been due to the higher than average wet season rainfall that occurred prior to testing. Nonetheless, some effects were measurable in two species, </w:t>
      </w:r>
      <w:r w:rsidRPr="000B0A84">
        <w:rPr>
          <w:i/>
          <w:lang w:val="en-US"/>
        </w:rPr>
        <w:t>H</w:t>
      </w:r>
      <w:r>
        <w:rPr>
          <w:i/>
          <w:lang w:val="en-US"/>
        </w:rPr>
        <w:t>ydra</w:t>
      </w:r>
      <w:r w:rsidRPr="000B0A84">
        <w:rPr>
          <w:i/>
          <w:lang w:val="en-US"/>
        </w:rPr>
        <w:t xml:space="preserve"> </w:t>
      </w:r>
      <w:proofErr w:type="spellStart"/>
      <w:r w:rsidRPr="000B0A84">
        <w:rPr>
          <w:i/>
          <w:lang w:val="en-US"/>
        </w:rPr>
        <w:t>viridissima</w:t>
      </w:r>
      <w:proofErr w:type="spellEnd"/>
      <w:r>
        <w:rPr>
          <w:lang w:val="en-US"/>
        </w:rPr>
        <w:t xml:space="preserve"> and </w:t>
      </w:r>
      <w:proofErr w:type="spellStart"/>
      <w:r w:rsidRPr="000B0A84">
        <w:rPr>
          <w:i/>
          <w:lang w:val="en-US"/>
        </w:rPr>
        <w:t>M</w:t>
      </w:r>
      <w:r>
        <w:rPr>
          <w:i/>
          <w:lang w:val="en-US"/>
        </w:rPr>
        <w:t>oinodaphnia</w:t>
      </w:r>
      <w:proofErr w:type="spellEnd"/>
      <w:r w:rsidRPr="000B0A84">
        <w:rPr>
          <w:i/>
          <w:lang w:val="en-US"/>
        </w:rPr>
        <w:t xml:space="preserve"> </w:t>
      </w:r>
      <w:proofErr w:type="spellStart"/>
      <w:r w:rsidRPr="000B0A84">
        <w:rPr>
          <w:i/>
          <w:lang w:val="en-US"/>
        </w:rPr>
        <w:t>macleayi</w:t>
      </w:r>
      <w:proofErr w:type="spellEnd"/>
      <w:r>
        <w:rPr>
          <w:lang w:val="en-US"/>
        </w:rPr>
        <w:t>, which may allow for the calculation of Trigger Values based on the salinity of the seepage water. A report for this study was in preparation at the time of publication of the Annual Research Summary.</w:t>
      </w:r>
    </w:p>
    <w:p w:rsidR="00534BFF" w:rsidRPr="000969DD" w:rsidRDefault="00534BFF" w:rsidP="00534BFF">
      <w:pPr>
        <w:rPr>
          <w:rFonts w:ascii="Arial" w:hAnsi="Arial" w:cs="Arial"/>
          <w:sz w:val="20"/>
        </w:rPr>
      </w:pPr>
    </w:p>
    <w:p w:rsidR="00534BFF" w:rsidRDefault="00534BFF" w:rsidP="00534BFF">
      <w:pPr>
        <w:sectPr w:rsidR="00534BFF" w:rsidSect="00534BFF">
          <w:footnotePr>
            <w:numRestart w:val="eachSect"/>
          </w:footnotePr>
          <w:pgSz w:w="11906" w:h="16838" w:code="9"/>
          <w:pgMar w:top="1440" w:right="1797" w:bottom="1440" w:left="1797" w:header="851" w:footer="833" w:gutter="0"/>
          <w:cols w:space="360"/>
          <w:noEndnote/>
        </w:sectPr>
      </w:pPr>
    </w:p>
    <w:p w:rsidR="00534BFF" w:rsidRPr="000107AE" w:rsidRDefault="00534BFF" w:rsidP="00534BFF">
      <w:pPr>
        <w:pStyle w:val="Heading1"/>
      </w:pPr>
      <w:bookmarkStart w:id="21" w:name="_Toc319670772"/>
      <w:r w:rsidRPr="000107AE">
        <w:lastRenderedPageBreak/>
        <w:t xml:space="preserve">Identifying the cause of </w:t>
      </w:r>
      <w:r>
        <w:t xml:space="preserve">aquatic </w:t>
      </w:r>
      <w:r w:rsidRPr="000107AE">
        <w:t>toxicity associated with a saline mine water</w:t>
      </w:r>
      <w:bookmarkEnd w:id="21"/>
    </w:p>
    <w:p w:rsidR="00534BFF" w:rsidRDefault="00534BFF" w:rsidP="00534BFF">
      <w:pPr>
        <w:pStyle w:val="authors"/>
      </w:pPr>
      <w:bookmarkStart w:id="22" w:name="_Toc319670773"/>
      <w:r>
        <w:t xml:space="preserve">S </w:t>
      </w:r>
      <w:proofErr w:type="spellStart"/>
      <w:proofErr w:type="gramStart"/>
      <w:r>
        <w:t>Lunn</w:t>
      </w:r>
      <w:proofErr w:type="spellEnd"/>
      <w:r>
        <w:rPr>
          <w:rStyle w:val="FootnoteReference"/>
        </w:rPr>
        <w:footnoteReference w:id="1"/>
      </w:r>
      <w:r>
        <w:t>, R van Dam, A</w:t>
      </w:r>
      <w:proofErr w:type="gramEnd"/>
      <w:r>
        <w:t xml:space="preserve"> Harford &amp; M Gagnon</w:t>
      </w:r>
      <w:r w:rsidRPr="009551C1">
        <w:rPr>
          <w:snapToGrid w:val="0"/>
          <w:color w:val="000000"/>
          <w:position w:val="6"/>
          <w:sz w:val="16"/>
          <w:szCs w:val="0"/>
          <w:u w:color="000000"/>
        </w:rPr>
        <w:t>1</w:t>
      </w:r>
      <w:bookmarkEnd w:id="22"/>
    </w:p>
    <w:p w:rsidR="00534BFF" w:rsidRDefault="00534BFF" w:rsidP="00534BFF">
      <w:pPr>
        <w:pStyle w:val="Heading2"/>
      </w:pPr>
      <w:r>
        <w:t>Introduction</w:t>
      </w:r>
    </w:p>
    <w:p w:rsidR="00534BFF" w:rsidRDefault="00534BFF" w:rsidP="00534BFF">
      <w:r w:rsidRPr="0002610E">
        <w:t xml:space="preserve">In March 2009, the toxicity of saline seepage water (electrical conductivity 2300 </w:t>
      </w:r>
      <w:r w:rsidRPr="0002610E">
        <w:sym w:font="Symbol" w:char="F06D"/>
      </w:r>
      <w:r w:rsidRPr="0002610E">
        <w:t xml:space="preserve">S/cm) from the Savannah Nickel Mine (SNM) in the </w:t>
      </w:r>
      <w:smartTag w:uri="urn:schemas-microsoft-com:office:smarttags" w:element="place">
        <w:r w:rsidRPr="0002610E">
          <w:t>East Kimberley</w:t>
        </w:r>
      </w:smartTag>
      <w:r w:rsidRPr="0002610E">
        <w:t xml:space="preserve"> was assessed using five tropical freshwater </w:t>
      </w:r>
      <w:proofErr w:type="gramStart"/>
      <w:r w:rsidRPr="0002610E">
        <w:t>species</w:t>
      </w:r>
      <w:proofErr w:type="gramEnd"/>
      <w:r>
        <w:rPr>
          <w:rStyle w:val="FootnoteReference"/>
          <w:sz w:val="20"/>
        </w:rPr>
        <w:t xml:space="preserve"> </w:t>
      </w:r>
      <w:r>
        <w:t>(Harford et al 2009).</w:t>
      </w:r>
      <w:r w:rsidRPr="0002610E">
        <w:t xml:space="preserve"> </w:t>
      </w:r>
      <w:r>
        <w:t xml:space="preserve">Two species, </w:t>
      </w:r>
      <w:r w:rsidRPr="0002610E">
        <w:t xml:space="preserve">the </w:t>
      </w:r>
      <w:proofErr w:type="spellStart"/>
      <w:r w:rsidRPr="0002610E">
        <w:t>cladoceran</w:t>
      </w:r>
      <w:proofErr w:type="spellEnd"/>
      <w:r w:rsidRPr="0002610E">
        <w:t xml:space="preserve">, </w:t>
      </w:r>
      <w:proofErr w:type="spellStart"/>
      <w:r w:rsidRPr="0002610E">
        <w:rPr>
          <w:i/>
        </w:rPr>
        <w:t>Moinodaphnia</w:t>
      </w:r>
      <w:proofErr w:type="spellEnd"/>
      <w:r w:rsidRPr="0002610E">
        <w:rPr>
          <w:i/>
        </w:rPr>
        <w:t xml:space="preserve"> </w:t>
      </w:r>
      <w:proofErr w:type="spellStart"/>
      <w:r w:rsidRPr="0002610E">
        <w:rPr>
          <w:i/>
        </w:rPr>
        <w:t>macleayi</w:t>
      </w:r>
      <w:proofErr w:type="spellEnd"/>
      <w:r>
        <w:t xml:space="preserve">, and </w:t>
      </w:r>
      <w:r w:rsidRPr="0002610E">
        <w:t xml:space="preserve">the green alga, </w:t>
      </w:r>
      <w:r w:rsidRPr="0002610E">
        <w:rPr>
          <w:i/>
        </w:rPr>
        <w:t>Chlorella</w:t>
      </w:r>
      <w:r w:rsidRPr="0002610E">
        <w:t xml:space="preserve"> sp</w:t>
      </w:r>
      <w:r>
        <w:t>, were found to be significantly adversely affected by the seepage water</w:t>
      </w:r>
      <w:r w:rsidRPr="0002610E">
        <w:t>.</w:t>
      </w:r>
      <w:r>
        <w:t xml:space="preserve"> </w:t>
      </w:r>
      <w:r w:rsidRPr="0002610E">
        <w:t xml:space="preserve">Whilst it was not possible to definitively identify the chemical constituents causing the observed toxicity of the seepage water to </w:t>
      </w:r>
      <w:r w:rsidRPr="00400E5B">
        <w:t xml:space="preserve">these two species, </w:t>
      </w:r>
      <w:r>
        <w:t>it was hypothesised</w:t>
      </w:r>
      <w:r w:rsidRPr="0002610E">
        <w:t xml:space="preserve"> that the observed effects were due to the elevated major ion concentrations, in particular, SO</w:t>
      </w:r>
      <w:r w:rsidRPr="006775BB">
        <w:rPr>
          <w:snapToGrid w:val="0"/>
          <w:color w:val="000000"/>
          <w:position w:val="-5"/>
          <w:sz w:val="13"/>
          <w:szCs w:val="0"/>
          <w:u w:color="000000"/>
        </w:rPr>
        <w:t>4</w:t>
      </w:r>
      <w:r w:rsidRPr="0002610E">
        <w:t xml:space="preserve">, Ca, Mg and Na resulting in an ion imbalance </w:t>
      </w:r>
      <w:r>
        <w:t>that leads to osmotic stress (</w:t>
      </w:r>
      <w:proofErr w:type="spellStart"/>
      <w:r>
        <w:t>i</w:t>
      </w:r>
      <w:r w:rsidRPr="0002610E">
        <w:t>e</w:t>
      </w:r>
      <w:proofErr w:type="spellEnd"/>
      <w:r w:rsidRPr="0002610E">
        <w:t xml:space="preserve"> a salinity effect). However, exactly which ion/s contributed to the toxicity </w:t>
      </w:r>
      <w:r>
        <w:t>could not be</w:t>
      </w:r>
      <w:r w:rsidRPr="0002610E">
        <w:t xml:space="preserve"> determine</w:t>
      </w:r>
      <w:r>
        <w:t>d</w:t>
      </w:r>
      <w:r w:rsidRPr="0002610E">
        <w:t xml:space="preserve"> without further specific assessment. </w:t>
      </w:r>
      <w:r>
        <w:t xml:space="preserve">Such knowledge </w:t>
      </w:r>
      <w:r w:rsidRPr="0002610E">
        <w:t>would inform water management at SNM</w:t>
      </w:r>
      <w:r>
        <w:t xml:space="preserve">, whilst information on major ion toxicity and salinity effects on tropical freshwater biota in general would also have broader relevance across northern Australia. Consequently, an Honours project was undertaken, supported by funding from SNM, with the key aim of identifying the </w:t>
      </w:r>
      <w:r w:rsidRPr="0002610E">
        <w:t xml:space="preserve">cause/s of toxicity of </w:t>
      </w:r>
      <w:r>
        <w:t xml:space="preserve">the </w:t>
      </w:r>
      <w:r w:rsidRPr="0002610E">
        <w:t>saline seepage water</w:t>
      </w:r>
      <w:r>
        <w:t xml:space="preserve">. </w:t>
      </w:r>
    </w:p>
    <w:p w:rsidR="00534BFF" w:rsidRDefault="00534BFF" w:rsidP="00534BFF">
      <w:pPr>
        <w:pStyle w:val="Heading2"/>
      </w:pPr>
      <w:r>
        <w:t>Methods</w:t>
      </w:r>
    </w:p>
    <w:p w:rsidR="00534BFF" w:rsidRPr="0002610E" w:rsidRDefault="00534BFF" w:rsidP="00534BFF">
      <w:r>
        <w:t>The laboratory-based project focused on the two above-mentioned species, and involved several distinct stages, as follows:</w:t>
      </w:r>
    </w:p>
    <w:p w:rsidR="00534BFF" w:rsidRPr="0002610E" w:rsidRDefault="00534BFF" w:rsidP="00534BFF">
      <w:pPr>
        <w:pStyle w:val="Normallist1"/>
      </w:pPr>
      <w:proofErr w:type="spellStart"/>
      <w:proofErr w:type="gramStart"/>
      <w:r>
        <w:t>i</w:t>
      </w:r>
      <w:proofErr w:type="spellEnd"/>
      <w:proofErr w:type="gramEnd"/>
      <w:r>
        <w:tab/>
        <w:t>Comparison of seepage toxicity in 2011 with 2009 seepage toxicity</w:t>
      </w:r>
    </w:p>
    <w:p w:rsidR="00534BFF" w:rsidRDefault="00534BFF" w:rsidP="00534BFF">
      <w:pPr>
        <w:pStyle w:val="Normallist1"/>
      </w:pPr>
      <w:proofErr w:type="gramStart"/>
      <w:r>
        <w:t>ii</w:t>
      </w:r>
      <w:proofErr w:type="gramEnd"/>
      <w:r>
        <w:tab/>
        <w:t>Assessment of salinity/major ions as the cause of seepage toxicity</w:t>
      </w:r>
    </w:p>
    <w:p w:rsidR="00534BFF" w:rsidRPr="0002610E" w:rsidRDefault="00534BFF" w:rsidP="00534BFF">
      <w:pPr>
        <w:pStyle w:val="Normallist1"/>
      </w:pPr>
      <w:proofErr w:type="gramStart"/>
      <w:r>
        <w:t>iii</w:t>
      </w:r>
      <w:proofErr w:type="gramEnd"/>
      <w:r>
        <w:tab/>
        <w:t>Assessment of specific major ions as the cause of seepage toxicity.</w:t>
      </w:r>
    </w:p>
    <w:p w:rsidR="00534BFF" w:rsidRDefault="00534BFF" w:rsidP="00534BFF">
      <w:r>
        <w:t>Seepage from SNM was collected from the same location (</w:t>
      </w:r>
      <w:r w:rsidRPr="00D81D47">
        <w:t xml:space="preserve">Mine Creek at the toe of the </w:t>
      </w:r>
      <w:r>
        <w:t xml:space="preserve">water storage facility) as the seepage that was assessed in 2009. Toxicity testing focused on two methods: the 72-h </w:t>
      </w:r>
      <w:r w:rsidRPr="00EF627C">
        <w:rPr>
          <w:i/>
        </w:rPr>
        <w:t>Chlorella</w:t>
      </w:r>
      <w:r>
        <w:t xml:space="preserve"> sp growth rate test and the 3-brood (~6-d) </w:t>
      </w:r>
      <w:r w:rsidRPr="00EF627C">
        <w:rPr>
          <w:i/>
        </w:rPr>
        <w:t xml:space="preserve">M. </w:t>
      </w:r>
      <w:proofErr w:type="spellStart"/>
      <w:r w:rsidRPr="00EF627C">
        <w:rPr>
          <w:i/>
        </w:rPr>
        <w:t>macleayi</w:t>
      </w:r>
      <w:proofErr w:type="spellEnd"/>
      <w:r>
        <w:t xml:space="preserve"> reproduction test. Assessment of the contribution to toxicity by the major ions was achieved by assessing the toxicity of a synthetic seepage (SS) </w:t>
      </w:r>
      <w:r w:rsidRPr="00EF627C">
        <w:t>that simulate</w:t>
      </w:r>
      <w:r>
        <w:t>d</w:t>
      </w:r>
      <w:r w:rsidRPr="00EF627C">
        <w:t xml:space="preserve"> the major ion composition and concentrations in the </w:t>
      </w:r>
      <w:r>
        <w:t xml:space="preserve">natural </w:t>
      </w:r>
      <w:r w:rsidRPr="00EF627C">
        <w:t xml:space="preserve">seepage </w:t>
      </w:r>
      <w:r>
        <w:t>(NS), and comparing the results to those for NS toxicity. Identification of specific ion/s causing toxicity was achieved by assessing the toxicity of various combinations of the major ions in the SS and, in some cases, assessing the toxicity of single salts (</w:t>
      </w:r>
      <w:proofErr w:type="spellStart"/>
      <w:r>
        <w:t>eg</w:t>
      </w:r>
      <w:proofErr w:type="spellEnd"/>
      <w:r>
        <w:t xml:space="preserve"> </w:t>
      </w:r>
      <w:proofErr w:type="spellStart"/>
      <w:r>
        <w:t>NaCl</w:t>
      </w:r>
      <w:proofErr w:type="spellEnd"/>
      <w:r>
        <w:t>).</w:t>
      </w:r>
    </w:p>
    <w:p w:rsidR="00534BFF" w:rsidRDefault="00534BFF" w:rsidP="00534BFF">
      <w:pPr>
        <w:pStyle w:val="Heading2"/>
      </w:pPr>
      <w:r>
        <w:t>Results and discussion</w:t>
      </w:r>
    </w:p>
    <w:p w:rsidR="00534BFF" w:rsidRDefault="00534BFF" w:rsidP="00534BFF">
      <w:r>
        <w:t>Overall, some differences in seepage toxicity between 2009 and 2011 were observed (</w:t>
      </w:r>
      <w:proofErr w:type="spellStart"/>
      <w:r>
        <w:t>ie</w:t>
      </w:r>
      <w:proofErr w:type="spellEnd"/>
      <w:r>
        <w:t xml:space="preserve"> slightly higher 2011 toxicity to </w:t>
      </w:r>
      <w:r w:rsidRPr="00783228">
        <w:rPr>
          <w:i/>
        </w:rPr>
        <w:t xml:space="preserve">M. </w:t>
      </w:r>
      <w:proofErr w:type="spellStart"/>
      <w:r w:rsidRPr="00783228">
        <w:rPr>
          <w:i/>
        </w:rPr>
        <w:t>macleayi</w:t>
      </w:r>
      <w:proofErr w:type="spellEnd"/>
      <w:r>
        <w:t xml:space="preserve"> and slightly lower 2011 toxicity to </w:t>
      </w:r>
      <w:r w:rsidRPr="00783228">
        <w:rPr>
          <w:i/>
        </w:rPr>
        <w:t>Chlorella</w:t>
      </w:r>
      <w:r>
        <w:t xml:space="preserve"> sp). </w:t>
      </w:r>
      <w:proofErr w:type="gramStart"/>
      <w:r>
        <w:t>However, a sufficient effect of NS relative to the control response (</w:t>
      </w:r>
      <w:proofErr w:type="spellStart"/>
      <w:r>
        <w:t>ie</w:t>
      </w:r>
      <w:proofErr w:type="spellEnd"/>
      <w:r>
        <w:t>.</w:t>
      </w:r>
      <w:proofErr w:type="gramEnd"/>
      <w:r>
        <w:t xml:space="preserve"> &gt;25% for </w:t>
      </w:r>
      <w:r w:rsidRPr="00503D82">
        <w:rPr>
          <w:i/>
        </w:rPr>
        <w:lastRenderedPageBreak/>
        <w:t>Chlorella</w:t>
      </w:r>
      <w:r>
        <w:t xml:space="preserve"> sp, ~80% for </w:t>
      </w:r>
      <w:r w:rsidRPr="00503D82">
        <w:rPr>
          <w:i/>
        </w:rPr>
        <w:t xml:space="preserve">M. </w:t>
      </w:r>
      <w:proofErr w:type="spellStart"/>
      <w:r w:rsidRPr="00503D82">
        <w:rPr>
          <w:i/>
        </w:rPr>
        <w:t>macelayi</w:t>
      </w:r>
      <w:proofErr w:type="spellEnd"/>
      <w:r>
        <w:t>) was observed for both species to enable the subsequent assessment of the possible cause/s of toxicity.</w:t>
      </w:r>
    </w:p>
    <w:p w:rsidR="00534BFF" w:rsidRDefault="00534BFF" w:rsidP="00534BFF">
      <w:r>
        <w:t xml:space="preserve">The toxicities of SS and NS to </w:t>
      </w:r>
      <w:r w:rsidRPr="00203118">
        <w:rPr>
          <w:i/>
        </w:rPr>
        <w:t xml:space="preserve">M. </w:t>
      </w:r>
      <w:proofErr w:type="spellStart"/>
      <w:r w:rsidRPr="00203118">
        <w:rPr>
          <w:i/>
        </w:rPr>
        <w:t>macleayi</w:t>
      </w:r>
      <w:proofErr w:type="spellEnd"/>
      <w:r>
        <w:t xml:space="preserve"> were statistically similar and, hence, it was concluded that the cause of toxicity of the NS was most likely due to its major ion composition/concentration. In contrast, this could not be concluded for </w:t>
      </w:r>
      <w:r w:rsidRPr="00203118">
        <w:rPr>
          <w:i/>
        </w:rPr>
        <w:t>Chlorella</w:t>
      </w:r>
      <w:r>
        <w:t xml:space="preserve"> sp, with SS exhibiting little to no toxicity compared to NS. More detailed analysis of the NS chemistry identified three metals, </w:t>
      </w:r>
      <w:r w:rsidRPr="00203118">
        <w:t>manganese (</w:t>
      </w:r>
      <w:proofErr w:type="spellStart"/>
      <w:r w:rsidRPr="00203118">
        <w:t>Mn</w:t>
      </w:r>
      <w:proofErr w:type="spellEnd"/>
      <w:r w:rsidRPr="00203118">
        <w:t>), bromide (Br) and strontium (</w:t>
      </w:r>
      <w:proofErr w:type="spellStart"/>
      <w:r w:rsidRPr="00203118">
        <w:t>Sr</w:t>
      </w:r>
      <w:proofErr w:type="spellEnd"/>
      <w:proofErr w:type="gramStart"/>
      <w:r w:rsidRPr="00203118">
        <w:t>)</w:t>
      </w:r>
      <w:r>
        <w:t>, that</w:t>
      </w:r>
      <w:proofErr w:type="gramEnd"/>
      <w:r>
        <w:t xml:space="preserve"> might have been contributing to toxicity </w:t>
      </w:r>
      <w:r w:rsidRPr="00203118">
        <w:rPr>
          <w:i/>
        </w:rPr>
        <w:t>Chlorella</w:t>
      </w:r>
      <w:r>
        <w:t xml:space="preserve"> sp. However, addition of these to SS did not increase its toxicity. Consequently, the cause of toxicity of NS to </w:t>
      </w:r>
      <w:r w:rsidRPr="00EC7BDC">
        <w:rPr>
          <w:i/>
        </w:rPr>
        <w:t>Chlorella</w:t>
      </w:r>
      <w:r>
        <w:t xml:space="preserve"> sp could not be identified.</w:t>
      </w:r>
    </w:p>
    <w:p w:rsidR="00534BFF" w:rsidRPr="007C1D03" w:rsidRDefault="00534BFF" w:rsidP="00534BFF">
      <w:r>
        <w:t xml:space="preserve">The results of a further experiment to identify the major ion/s causing toxicity to </w:t>
      </w:r>
      <w:r w:rsidRPr="007C1D03">
        <w:rPr>
          <w:i/>
        </w:rPr>
        <w:t xml:space="preserve">M. </w:t>
      </w:r>
      <w:proofErr w:type="spellStart"/>
      <w:r w:rsidRPr="007C1D03">
        <w:rPr>
          <w:i/>
        </w:rPr>
        <w:t>macleayi</w:t>
      </w:r>
      <w:proofErr w:type="spellEnd"/>
      <w:r>
        <w:t>, focusing on Mg, SO</w:t>
      </w:r>
      <w:r w:rsidRPr="00033A2D">
        <w:rPr>
          <w:snapToGrid w:val="0"/>
          <w:color w:val="000000"/>
          <w:position w:val="-5"/>
          <w:sz w:val="15"/>
          <w:szCs w:val="0"/>
          <w:u w:color="000000"/>
        </w:rPr>
        <w:t>4</w:t>
      </w:r>
      <w:r>
        <w:t xml:space="preserve"> and Ca, were equivocal. There were noticeable, but non-significant, reductions in SS toxicity when Mg or Ca were excluded, suggesting the experiment should be repeated. Notwithstanding this uncertainty, the evidence to date suggests</w:t>
      </w:r>
      <w:r w:rsidRPr="007C1D03">
        <w:t xml:space="preserve"> that the observed toxicity may </w:t>
      </w:r>
      <w:r>
        <w:t>be</w:t>
      </w:r>
      <w:r w:rsidRPr="007C1D03">
        <w:t xml:space="preserve"> due to the overall conductivity/salinity of the seepage rather than its composition of ions.</w:t>
      </w:r>
    </w:p>
    <w:p w:rsidR="00534BFF" w:rsidRDefault="00534BFF" w:rsidP="00534BFF">
      <w:r>
        <w:t>The Honours thesis was submitted in November 2011. Additional experiments to further inform this issue may be undertaken.</w:t>
      </w:r>
    </w:p>
    <w:p w:rsidR="00534BFF" w:rsidRDefault="00534BFF" w:rsidP="00534BFF">
      <w:pPr>
        <w:pStyle w:val="Heading2"/>
      </w:pPr>
      <w:r>
        <w:t>References</w:t>
      </w:r>
    </w:p>
    <w:p w:rsidR="00534BFF" w:rsidRPr="00557A7B" w:rsidRDefault="00534BFF" w:rsidP="00534BFF">
      <w:pPr>
        <w:pStyle w:val="referencelist1"/>
      </w:pPr>
      <w:r w:rsidRPr="002F3CB6">
        <w:rPr>
          <w:lang w:val="pt-BR"/>
        </w:rPr>
        <w:t xml:space="preserve">Harford A, van Dam R &amp; Hogan A 2009. </w:t>
      </w:r>
      <w:proofErr w:type="spellStart"/>
      <w:proofErr w:type="gramStart"/>
      <w:r w:rsidRPr="002F3CB6">
        <w:t>Ecotoxicological</w:t>
      </w:r>
      <w:proofErr w:type="spellEnd"/>
      <w:r w:rsidRPr="002F3CB6">
        <w:t xml:space="preserve"> assessment of seepage water from the Savannah Nickel Mines.</w:t>
      </w:r>
      <w:proofErr w:type="gramEnd"/>
      <w:r w:rsidRPr="002F3CB6">
        <w:t xml:space="preserve"> Commercial-in-Confidence Report for Panoramic Resources Ltd, April 2009.</w:t>
      </w:r>
    </w:p>
    <w:p w:rsidR="00534BFF" w:rsidRDefault="00534BFF" w:rsidP="00534BFF"/>
    <w:p w:rsidR="00534BFF" w:rsidRDefault="00534BFF" w:rsidP="00534BFF"/>
    <w:p w:rsidR="005315FA" w:rsidRPr="00557A7B" w:rsidRDefault="005315FA" w:rsidP="00557A7B"/>
    <w:sectPr w:rsidR="005315FA" w:rsidRPr="00557A7B" w:rsidSect="003D3AEE">
      <w:headerReference w:type="even" r:id="rId17"/>
      <w:footerReference w:type="even" r:id="rId18"/>
      <w:footerReference w:type="default" r:id="rId19"/>
      <w:headerReference w:type="first" r:id="rId20"/>
      <w:footerReference w:type="first" r:id="rId21"/>
      <w:pgSz w:w="11906" w:h="16838" w:code="9"/>
      <w:pgMar w:top="1440" w:right="1797" w:bottom="1440" w:left="1797" w:header="851" w:footer="833" w:gutter="0"/>
      <w:cols w:space="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FA7" w:rsidRDefault="005B3FA7">
      <w:r>
        <w:separator/>
      </w:r>
    </w:p>
  </w:endnote>
  <w:endnote w:type="continuationSeparator" w:id="0">
    <w:p w:rsidR="005B3FA7" w:rsidRDefault="005B3F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060586"/>
      <w:docPartObj>
        <w:docPartGallery w:val="Page Numbers (Bottom of Page)"/>
        <w:docPartUnique/>
      </w:docPartObj>
    </w:sdtPr>
    <w:sdtContent>
      <w:p w:rsidR="00534BFF" w:rsidRDefault="000E21C0">
        <w:pPr>
          <w:pStyle w:val="Footer"/>
        </w:pPr>
        <w:fldSimple w:instr=" PAGE   \* MERGEFORMAT ">
          <w:r w:rsidR="00FD140A">
            <w:rPr>
              <w:noProof/>
            </w:rPr>
            <w:t>175</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060582"/>
      <w:docPartObj>
        <w:docPartGallery w:val="Page Numbers (Bottom of Page)"/>
        <w:docPartUnique/>
      </w:docPartObj>
    </w:sdtPr>
    <w:sdtContent>
      <w:p w:rsidR="00534BFF" w:rsidRDefault="000E21C0">
        <w:pPr>
          <w:pStyle w:val="Footer"/>
        </w:pPr>
        <w:fldSimple w:instr=" PAGE   \* MERGEFORMAT ">
          <w:r w:rsidR="00534BFF">
            <w:rPr>
              <w:noProof/>
            </w:rPr>
            <w:t>178</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A8" w:rsidRDefault="000E21C0">
    <w:pPr>
      <w:pStyle w:val="Footer"/>
    </w:pPr>
    <w:fldSimple w:instr="PAGE">
      <w:r w:rsidR="00745AA8">
        <w:t>1</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A8" w:rsidRDefault="000E21C0">
    <w:pPr>
      <w:pStyle w:val="Footer"/>
    </w:pPr>
    <w:fldSimple w:instr="PAGE">
      <w:r w:rsidR="00FD140A">
        <w:rPr>
          <w:noProof/>
        </w:rPr>
        <w:t>182</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A8" w:rsidRDefault="000E21C0">
    <w:pPr>
      <w:pStyle w:val="Footer"/>
    </w:pPr>
    <w:fldSimple w:instr="PAGE">
      <w:r w:rsidR="00745AA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FA7" w:rsidRDefault="005B3FA7">
      <w:r>
        <w:separator/>
      </w:r>
    </w:p>
  </w:footnote>
  <w:footnote w:type="continuationSeparator" w:id="0">
    <w:p w:rsidR="005B3FA7" w:rsidRDefault="005B3FA7">
      <w:r>
        <w:continuationSeparator/>
      </w:r>
    </w:p>
  </w:footnote>
  <w:footnote w:id="1">
    <w:p w:rsidR="00534BFF" w:rsidRDefault="00534BFF" w:rsidP="00534BFF">
      <w:pPr>
        <w:pStyle w:val="FootnoteText"/>
        <w:spacing w:after="0"/>
      </w:pPr>
      <w:r>
        <w:rPr>
          <w:rStyle w:val="FootnoteReference"/>
        </w:rPr>
        <w:footnoteRef/>
      </w:r>
      <w:r>
        <w:t xml:space="preserve"> </w:t>
      </w:r>
      <w:r>
        <w:tab/>
      </w:r>
      <w:proofErr w:type="gramStart"/>
      <w:r>
        <w:t>Department of Environmental Biology, Curtin University of Technology, P</w:t>
      </w:r>
      <w:r w:rsidRPr="001F03C0">
        <w:t>O Box U1987</w:t>
      </w:r>
      <w:r>
        <w:t xml:space="preserve">, </w:t>
      </w:r>
      <w:r w:rsidRPr="001F03C0">
        <w:t>Perth Western Australia 6845</w:t>
      </w:r>
      <w: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BFF" w:rsidRPr="003D3AEE" w:rsidRDefault="00534BFF" w:rsidP="001B303A">
    <w:pPr>
      <w:pStyle w:val="Header"/>
      <w:jc w:val="right"/>
      <w:rPr>
        <w:rFonts w:ascii="Arial" w:hAnsi="Arial"/>
        <w:sz w:val="16"/>
      </w:rPr>
    </w:pPr>
    <w:r w:rsidRPr="003D3AEE">
      <w:rPr>
        <w:rFonts w:ascii="Arial" w:hAnsi="Arial"/>
        <w:sz w:val="16"/>
      </w:rPr>
      <w:t>Research consultancies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BFF" w:rsidRPr="00675222" w:rsidRDefault="00534BFF" w:rsidP="00675222">
    <w:pPr>
      <w:pStyle w:val="Header"/>
      <w:jc w:val="right"/>
    </w:pPr>
    <w:r>
      <w:t>Research consultancies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BFF" w:rsidRPr="00675222" w:rsidRDefault="00534BFF" w:rsidP="00675222">
    <w:pPr>
      <w:pStyle w:val="Header"/>
    </w:pPr>
    <w:r>
      <w:t xml:space="preserve">KKN </w:t>
    </w:r>
    <w:proofErr w:type="gramStart"/>
    <w:r w:rsidRPr="00675222">
      <w:t>5.2.1  Assessment</w:t>
    </w:r>
    <w:proofErr w:type="gramEnd"/>
    <w:r w:rsidRPr="00675222">
      <w:t xml:space="preserve"> of past mining and milling sites in the South Alligator River valley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BFF" w:rsidRPr="009971FF" w:rsidRDefault="00534BFF" w:rsidP="00533482">
    <w:pPr>
      <w:pStyle w:val="Header"/>
    </w:pPr>
    <w:r>
      <w:t>Appendix 1 SSD publications and presentations for 2010–11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A8" w:rsidRDefault="00745AA8">
    <w:pPr>
      <w:pStyle w:val="Header"/>
      <w:jc w:val="right"/>
      <w:rPr>
        <w:smallCaps/>
        <w:sz w:val="1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A8" w:rsidRDefault="000E21C0">
    <w:pPr>
      <w:pStyle w:val="Header"/>
      <w:jc w:val="right"/>
      <w:rPr>
        <w:rFonts w:ascii="Arial" w:hAnsi="Arial"/>
        <w:sz w:val="14"/>
      </w:rPr>
    </w:pPr>
    <w:fldSimple w:instr=" FILENAME \* Lower\p  \* MERGEFORMAT ">
      <w:r w:rsidR="00745AA8">
        <w:rPr>
          <w:rFonts w:ascii="Arial" w:hAnsi="Arial"/>
          <w:noProof/>
          <w:sz w:val="14"/>
        </w:rPr>
        <w:t>h:\eriss-templates\normal.dot</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82936"/>
    <w:multiLevelType w:val="hybridMultilevel"/>
    <w:tmpl w:val="B824CCFE"/>
    <w:lvl w:ilvl="0" w:tplc="2F704094">
      <w:start w:val="1"/>
      <w:numFmt w:val="bullet"/>
      <w:pStyle w:val="bulletlis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DF4337D"/>
    <w:multiLevelType w:val="hybridMultilevel"/>
    <w:tmpl w:val="4FAC12CC"/>
    <w:lvl w:ilvl="0" w:tplc="805E3A28">
      <w:start w:val="1"/>
      <w:numFmt w:val="bullet"/>
      <w:lvlText w:val=""/>
      <w:lvlJc w:val="left"/>
      <w:pPr>
        <w:tabs>
          <w:tab w:val="num" w:pos="360"/>
        </w:tabs>
        <w:ind w:left="357" w:hanging="357"/>
      </w:pPr>
      <w:rPr>
        <w:rFonts w:ascii="Symbol" w:hAnsi="Symbol" w:hint="default"/>
      </w:rPr>
    </w:lvl>
    <w:lvl w:ilvl="1" w:tplc="A6FCB9A4">
      <w:start w:val="1"/>
      <w:numFmt w:val="bullet"/>
      <w:pStyle w:val="bulletlist2"/>
      <w:lvlText w:val="–"/>
      <w:lvlJc w:val="left"/>
      <w:pPr>
        <w:tabs>
          <w:tab w:val="num" w:pos="717"/>
        </w:tabs>
        <w:ind w:left="357" w:firstLine="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64B5B03"/>
    <w:multiLevelType w:val="hybridMultilevel"/>
    <w:tmpl w:val="0E564588"/>
    <w:lvl w:ilvl="0" w:tplc="3FF880CE">
      <w:start w:val="1"/>
      <w:numFmt w:val="decimal"/>
      <w:pStyle w:val="numberlist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1"/>
  </w:num>
  <w:num w:numId="8">
    <w:abstractNumId w:val="1"/>
  </w:num>
  <w:num w:numId="9">
    <w:abstractNumId w:val="1"/>
  </w:num>
  <w:num w:numId="10">
    <w:abstractNumId w:val="1"/>
  </w:num>
  <w:num w:numId="11">
    <w:abstractNumId w:val="1"/>
  </w:num>
  <w:num w:numId="12">
    <w:abstractNumId w:val="1"/>
  </w:num>
  <w:num w:numId="13">
    <w:abstractNumId w:val="0"/>
  </w:num>
  <w:num w:numId="14">
    <w:abstractNumId w:val="1"/>
  </w:num>
  <w:num w:numId="15">
    <w:abstractNumId w:val="2"/>
  </w:num>
  <w:num w:numId="16">
    <w:abstractNumId w:val="0"/>
  </w:num>
  <w:num w:numId="17">
    <w:abstractNumId w:val="1"/>
  </w:num>
  <w:num w:numId="18">
    <w:abstractNumId w:val="2"/>
  </w:num>
  <w:num w:numId="19">
    <w:abstractNumId w:val="0"/>
  </w:num>
  <w:num w:numId="20">
    <w:abstractNumId w:val="1"/>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intFractionalCharacterWidth/>
  <w:hideSpellingErrors/>
  <w:hideGrammaticalErrors/>
  <w:proofState w:spelling="clean" w:grammar="clean"/>
  <w:stylePaneFormatFilter w:val="3F01"/>
  <w:defaultTabStop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numRestart w:val="eachSect"/>
    <w:footnote w:id="-1"/>
    <w:footnote w:id="0"/>
  </w:footnotePr>
  <w:endnotePr>
    <w:endnote w:id="-1"/>
    <w:endnote w:id="0"/>
  </w:endnotePr>
  <w:compat/>
  <w:rsids>
    <w:rsidRoot w:val="003D3AEE"/>
    <w:rsid w:val="00000C98"/>
    <w:rsid w:val="00006C0E"/>
    <w:rsid w:val="0001589D"/>
    <w:rsid w:val="00017B14"/>
    <w:rsid w:val="00017DB7"/>
    <w:rsid w:val="0002272C"/>
    <w:rsid w:val="0003782C"/>
    <w:rsid w:val="00050B13"/>
    <w:rsid w:val="0005479D"/>
    <w:rsid w:val="000669BE"/>
    <w:rsid w:val="00066C4E"/>
    <w:rsid w:val="000713C6"/>
    <w:rsid w:val="00075939"/>
    <w:rsid w:val="000845D9"/>
    <w:rsid w:val="00087931"/>
    <w:rsid w:val="00097528"/>
    <w:rsid w:val="000A2B5B"/>
    <w:rsid w:val="000B2922"/>
    <w:rsid w:val="000B29C9"/>
    <w:rsid w:val="000B2D97"/>
    <w:rsid w:val="000B2EEC"/>
    <w:rsid w:val="000B3732"/>
    <w:rsid w:val="000B545B"/>
    <w:rsid w:val="000B7847"/>
    <w:rsid w:val="000C092F"/>
    <w:rsid w:val="000C0E75"/>
    <w:rsid w:val="000C571C"/>
    <w:rsid w:val="000C6829"/>
    <w:rsid w:val="000D11B6"/>
    <w:rsid w:val="000E21C0"/>
    <w:rsid w:val="000E50A5"/>
    <w:rsid w:val="000E58C4"/>
    <w:rsid w:val="000E65F5"/>
    <w:rsid w:val="000E76C9"/>
    <w:rsid w:val="000E7C07"/>
    <w:rsid w:val="000F0830"/>
    <w:rsid w:val="000F5233"/>
    <w:rsid w:val="00110195"/>
    <w:rsid w:val="00111997"/>
    <w:rsid w:val="0011217A"/>
    <w:rsid w:val="00113765"/>
    <w:rsid w:val="0011436C"/>
    <w:rsid w:val="001214C4"/>
    <w:rsid w:val="00123CF8"/>
    <w:rsid w:val="00125327"/>
    <w:rsid w:val="00125F0A"/>
    <w:rsid w:val="0012678B"/>
    <w:rsid w:val="001269FC"/>
    <w:rsid w:val="001270F4"/>
    <w:rsid w:val="00134186"/>
    <w:rsid w:val="00134695"/>
    <w:rsid w:val="00134D9F"/>
    <w:rsid w:val="00142D27"/>
    <w:rsid w:val="00145731"/>
    <w:rsid w:val="00154A5E"/>
    <w:rsid w:val="001601EF"/>
    <w:rsid w:val="00163EEA"/>
    <w:rsid w:val="001656AC"/>
    <w:rsid w:val="0016597F"/>
    <w:rsid w:val="00176891"/>
    <w:rsid w:val="00180D27"/>
    <w:rsid w:val="0019142D"/>
    <w:rsid w:val="001A4E41"/>
    <w:rsid w:val="001A7136"/>
    <w:rsid w:val="001B053F"/>
    <w:rsid w:val="001B09BD"/>
    <w:rsid w:val="001B78A2"/>
    <w:rsid w:val="001B7E04"/>
    <w:rsid w:val="001C0E26"/>
    <w:rsid w:val="001C1173"/>
    <w:rsid w:val="001C2362"/>
    <w:rsid w:val="001C3301"/>
    <w:rsid w:val="001C3A3E"/>
    <w:rsid w:val="001C4EE1"/>
    <w:rsid w:val="001C6950"/>
    <w:rsid w:val="001D61DA"/>
    <w:rsid w:val="001E2550"/>
    <w:rsid w:val="001E300A"/>
    <w:rsid w:val="001E357E"/>
    <w:rsid w:val="001E6A03"/>
    <w:rsid w:val="001F4AA1"/>
    <w:rsid w:val="00211FB4"/>
    <w:rsid w:val="00213B63"/>
    <w:rsid w:val="00213B6C"/>
    <w:rsid w:val="00214161"/>
    <w:rsid w:val="002142E4"/>
    <w:rsid w:val="002156A7"/>
    <w:rsid w:val="00215B62"/>
    <w:rsid w:val="00221233"/>
    <w:rsid w:val="00222BE9"/>
    <w:rsid w:val="00223FBD"/>
    <w:rsid w:val="002245D8"/>
    <w:rsid w:val="00226125"/>
    <w:rsid w:val="00226DCA"/>
    <w:rsid w:val="00226F5A"/>
    <w:rsid w:val="00231192"/>
    <w:rsid w:val="002326AF"/>
    <w:rsid w:val="00233DF2"/>
    <w:rsid w:val="00235C96"/>
    <w:rsid w:val="00235E84"/>
    <w:rsid w:val="00235F26"/>
    <w:rsid w:val="00235F94"/>
    <w:rsid w:val="00243311"/>
    <w:rsid w:val="002448D0"/>
    <w:rsid w:val="00245C83"/>
    <w:rsid w:val="0025118E"/>
    <w:rsid w:val="00277807"/>
    <w:rsid w:val="00280BAB"/>
    <w:rsid w:val="002B4431"/>
    <w:rsid w:val="002B44AF"/>
    <w:rsid w:val="002B4C07"/>
    <w:rsid w:val="002C106A"/>
    <w:rsid w:val="002C380E"/>
    <w:rsid w:val="002D23B7"/>
    <w:rsid w:val="002D35E4"/>
    <w:rsid w:val="002D447D"/>
    <w:rsid w:val="002E2F0F"/>
    <w:rsid w:val="002E3D13"/>
    <w:rsid w:val="002E5826"/>
    <w:rsid w:val="002F0BA5"/>
    <w:rsid w:val="002F707B"/>
    <w:rsid w:val="003100CE"/>
    <w:rsid w:val="00311B98"/>
    <w:rsid w:val="00313409"/>
    <w:rsid w:val="00315F5E"/>
    <w:rsid w:val="0031698F"/>
    <w:rsid w:val="00317937"/>
    <w:rsid w:val="00317AF0"/>
    <w:rsid w:val="00320C74"/>
    <w:rsid w:val="0032274C"/>
    <w:rsid w:val="00322964"/>
    <w:rsid w:val="00325CC8"/>
    <w:rsid w:val="003263BE"/>
    <w:rsid w:val="00327272"/>
    <w:rsid w:val="00327BBC"/>
    <w:rsid w:val="0033105C"/>
    <w:rsid w:val="00331506"/>
    <w:rsid w:val="0034332C"/>
    <w:rsid w:val="003448B8"/>
    <w:rsid w:val="00346BE6"/>
    <w:rsid w:val="00347201"/>
    <w:rsid w:val="00355414"/>
    <w:rsid w:val="00356AF1"/>
    <w:rsid w:val="003667F8"/>
    <w:rsid w:val="00370817"/>
    <w:rsid w:val="00371A8C"/>
    <w:rsid w:val="00376E45"/>
    <w:rsid w:val="0037727B"/>
    <w:rsid w:val="00384BD8"/>
    <w:rsid w:val="00386168"/>
    <w:rsid w:val="00386C78"/>
    <w:rsid w:val="00394A27"/>
    <w:rsid w:val="00396106"/>
    <w:rsid w:val="003A067F"/>
    <w:rsid w:val="003A0DD0"/>
    <w:rsid w:val="003A26E8"/>
    <w:rsid w:val="003A2704"/>
    <w:rsid w:val="003B1789"/>
    <w:rsid w:val="003B299C"/>
    <w:rsid w:val="003B3460"/>
    <w:rsid w:val="003C76D0"/>
    <w:rsid w:val="003D1712"/>
    <w:rsid w:val="003D3AEE"/>
    <w:rsid w:val="003D55F8"/>
    <w:rsid w:val="003D7C88"/>
    <w:rsid w:val="003D7C8C"/>
    <w:rsid w:val="003E08F8"/>
    <w:rsid w:val="003E4BFC"/>
    <w:rsid w:val="003E54C7"/>
    <w:rsid w:val="003E64BA"/>
    <w:rsid w:val="003F13C7"/>
    <w:rsid w:val="003F3829"/>
    <w:rsid w:val="00400D67"/>
    <w:rsid w:val="00404DF1"/>
    <w:rsid w:val="00406518"/>
    <w:rsid w:val="004117E8"/>
    <w:rsid w:val="00413BFC"/>
    <w:rsid w:val="00414B20"/>
    <w:rsid w:val="004207B3"/>
    <w:rsid w:val="00425A27"/>
    <w:rsid w:val="00430666"/>
    <w:rsid w:val="00445C20"/>
    <w:rsid w:val="004479D5"/>
    <w:rsid w:val="00451B07"/>
    <w:rsid w:val="00454032"/>
    <w:rsid w:val="00457754"/>
    <w:rsid w:val="0046129E"/>
    <w:rsid w:val="00463B64"/>
    <w:rsid w:val="00465089"/>
    <w:rsid w:val="004657FE"/>
    <w:rsid w:val="004756D5"/>
    <w:rsid w:val="004761F4"/>
    <w:rsid w:val="004767AE"/>
    <w:rsid w:val="00480BD5"/>
    <w:rsid w:val="00482DE9"/>
    <w:rsid w:val="0048329E"/>
    <w:rsid w:val="004866CD"/>
    <w:rsid w:val="00486FC5"/>
    <w:rsid w:val="00492C28"/>
    <w:rsid w:val="00494101"/>
    <w:rsid w:val="0049749E"/>
    <w:rsid w:val="004A4033"/>
    <w:rsid w:val="004A579F"/>
    <w:rsid w:val="004B2F3D"/>
    <w:rsid w:val="004B401B"/>
    <w:rsid w:val="004C68AF"/>
    <w:rsid w:val="004D15CD"/>
    <w:rsid w:val="004E1F27"/>
    <w:rsid w:val="004E4021"/>
    <w:rsid w:val="004F1DEB"/>
    <w:rsid w:val="004F327F"/>
    <w:rsid w:val="004F6802"/>
    <w:rsid w:val="004F6F50"/>
    <w:rsid w:val="0050266D"/>
    <w:rsid w:val="005068E7"/>
    <w:rsid w:val="00510078"/>
    <w:rsid w:val="00510AB6"/>
    <w:rsid w:val="0051503C"/>
    <w:rsid w:val="00516F7C"/>
    <w:rsid w:val="005227D4"/>
    <w:rsid w:val="00525BE1"/>
    <w:rsid w:val="005303CA"/>
    <w:rsid w:val="00530AA8"/>
    <w:rsid w:val="005315FA"/>
    <w:rsid w:val="005321FE"/>
    <w:rsid w:val="00533656"/>
    <w:rsid w:val="00534BFF"/>
    <w:rsid w:val="00536229"/>
    <w:rsid w:val="005439C2"/>
    <w:rsid w:val="00544239"/>
    <w:rsid w:val="00544A97"/>
    <w:rsid w:val="005479DC"/>
    <w:rsid w:val="00551213"/>
    <w:rsid w:val="00557A7B"/>
    <w:rsid w:val="00561274"/>
    <w:rsid w:val="0056309D"/>
    <w:rsid w:val="005662DE"/>
    <w:rsid w:val="00571270"/>
    <w:rsid w:val="005806E9"/>
    <w:rsid w:val="00581172"/>
    <w:rsid w:val="00586E16"/>
    <w:rsid w:val="00591815"/>
    <w:rsid w:val="00595FA4"/>
    <w:rsid w:val="005A4C7F"/>
    <w:rsid w:val="005A5C40"/>
    <w:rsid w:val="005B1EF0"/>
    <w:rsid w:val="005B3FA7"/>
    <w:rsid w:val="005B4285"/>
    <w:rsid w:val="005B5ACB"/>
    <w:rsid w:val="005B68C8"/>
    <w:rsid w:val="005C7833"/>
    <w:rsid w:val="005C7EE2"/>
    <w:rsid w:val="005D1AC4"/>
    <w:rsid w:val="005D407F"/>
    <w:rsid w:val="005D52DC"/>
    <w:rsid w:val="005D60E2"/>
    <w:rsid w:val="005E354E"/>
    <w:rsid w:val="005E3E46"/>
    <w:rsid w:val="005E4AFB"/>
    <w:rsid w:val="005E68DA"/>
    <w:rsid w:val="005F327D"/>
    <w:rsid w:val="005F4A4B"/>
    <w:rsid w:val="005F65E6"/>
    <w:rsid w:val="00601C9B"/>
    <w:rsid w:val="00606BEC"/>
    <w:rsid w:val="0061240B"/>
    <w:rsid w:val="00614B21"/>
    <w:rsid w:val="0061709F"/>
    <w:rsid w:val="00624D46"/>
    <w:rsid w:val="0062759B"/>
    <w:rsid w:val="00630609"/>
    <w:rsid w:val="00635B10"/>
    <w:rsid w:val="00642034"/>
    <w:rsid w:val="00642D5F"/>
    <w:rsid w:val="00644AD8"/>
    <w:rsid w:val="006542DC"/>
    <w:rsid w:val="00654608"/>
    <w:rsid w:val="006553B6"/>
    <w:rsid w:val="0065608E"/>
    <w:rsid w:val="00656167"/>
    <w:rsid w:val="00666DB4"/>
    <w:rsid w:val="00667337"/>
    <w:rsid w:val="00672CB5"/>
    <w:rsid w:val="00674D13"/>
    <w:rsid w:val="0067603A"/>
    <w:rsid w:val="00676BD7"/>
    <w:rsid w:val="0067722C"/>
    <w:rsid w:val="00677BB2"/>
    <w:rsid w:val="00677DF6"/>
    <w:rsid w:val="00691D8E"/>
    <w:rsid w:val="00691E0C"/>
    <w:rsid w:val="00693703"/>
    <w:rsid w:val="006969EF"/>
    <w:rsid w:val="006977F4"/>
    <w:rsid w:val="006A040F"/>
    <w:rsid w:val="006A21A8"/>
    <w:rsid w:val="006A29AE"/>
    <w:rsid w:val="006A2F31"/>
    <w:rsid w:val="006B44D2"/>
    <w:rsid w:val="006B4740"/>
    <w:rsid w:val="006C16BC"/>
    <w:rsid w:val="006C2ABD"/>
    <w:rsid w:val="006C3035"/>
    <w:rsid w:val="006C3ADE"/>
    <w:rsid w:val="006D14C8"/>
    <w:rsid w:val="006E54AF"/>
    <w:rsid w:val="006F3939"/>
    <w:rsid w:val="006F3C87"/>
    <w:rsid w:val="006F4A8E"/>
    <w:rsid w:val="00701036"/>
    <w:rsid w:val="00701E39"/>
    <w:rsid w:val="00704EA0"/>
    <w:rsid w:val="00705831"/>
    <w:rsid w:val="007135BC"/>
    <w:rsid w:val="00715816"/>
    <w:rsid w:val="0073509E"/>
    <w:rsid w:val="00735FE2"/>
    <w:rsid w:val="00743C22"/>
    <w:rsid w:val="00745AA8"/>
    <w:rsid w:val="00745D45"/>
    <w:rsid w:val="00747309"/>
    <w:rsid w:val="00751503"/>
    <w:rsid w:val="00764540"/>
    <w:rsid w:val="00764710"/>
    <w:rsid w:val="00767F4F"/>
    <w:rsid w:val="00772DBE"/>
    <w:rsid w:val="007773C1"/>
    <w:rsid w:val="00781BA0"/>
    <w:rsid w:val="007934E3"/>
    <w:rsid w:val="007936D6"/>
    <w:rsid w:val="00794C12"/>
    <w:rsid w:val="007A0813"/>
    <w:rsid w:val="007A615F"/>
    <w:rsid w:val="007B27C6"/>
    <w:rsid w:val="007B34B6"/>
    <w:rsid w:val="007B3880"/>
    <w:rsid w:val="007B4340"/>
    <w:rsid w:val="007B6D4E"/>
    <w:rsid w:val="007C1242"/>
    <w:rsid w:val="007C2263"/>
    <w:rsid w:val="007C5B39"/>
    <w:rsid w:val="007C5EC6"/>
    <w:rsid w:val="007D07BC"/>
    <w:rsid w:val="007D3A08"/>
    <w:rsid w:val="007D68EC"/>
    <w:rsid w:val="007E0142"/>
    <w:rsid w:val="007E65D9"/>
    <w:rsid w:val="007E6805"/>
    <w:rsid w:val="007F5ED7"/>
    <w:rsid w:val="007F6CE3"/>
    <w:rsid w:val="008071A0"/>
    <w:rsid w:val="00815A1F"/>
    <w:rsid w:val="00817522"/>
    <w:rsid w:val="00817627"/>
    <w:rsid w:val="00821E45"/>
    <w:rsid w:val="00826BDB"/>
    <w:rsid w:val="00831F5A"/>
    <w:rsid w:val="00835364"/>
    <w:rsid w:val="008428E5"/>
    <w:rsid w:val="0084399C"/>
    <w:rsid w:val="008513CD"/>
    <w:rsid w:val="00852E02"/>
    <w:rsid w:val="00852E88"/>
    <w:rsid w:val="00855E93"/>
    <w:rsid w:val="00857F28"/>
    <w:rsid w:val="00862649"/>
    <w:rsid w:val="008641E7"/>
    <w:rsid w:val="00870CCB"/>
    <w:rsid w:val="008712D9"/>
    <w:rsid w:val="00874E67"/>
    <w:rsid w:val="00880D91"/>
    <w:rsid w:val="00886AA4"/>
    <w:rsid w:val="008912CB"/>
    <w:rsid w:val="00895B4F"/>
    <w:rsid w:val="00896920"/>
    <w:rsid w:val="008A34C9"/>
    <w:rsid w:val="008A3864"/>
    <w:rsid w:val="008A69D5"/>
    <w:rsid w:val="008A7B98"/>
    <w:rsid w:val="008B21CC"/>
    <w:rsid w:val="008C1A00"/>
    <w:rsid w:val="008C2A7C"/>
    <w:rsid w:val="008C3B77"/>
    <w:rsid w:val="008C598B"/>
    <w:rsid w:val="008E24CB"/>
    <w:rsid w:val="008E3DBA"/>
    <w:rsid w:val="008E4325"/>
    <w:rsid w:val="008E67E0"/>
    <w:rsid w:val="008F44E5"/>
    <w:rsid w:val="008F57ED"/>
    <w:rsid w:val="009005D0"/>
    <w:rsid w:val="00911EB6"/>
    <w:rsid w:val="00914032"/>
    <w:rsid w:val="009142FA"/>
    <w:rsid w:val="009178D9"/>
    <w:rsid w:val="009212C2"/>
    <w:rsid w:val="00922F9B"/>
    <w:rsid w:val="00925EDE"/>
    <w:rsid w:val="00930FF3"/>
    <w:rsid w:val="009318CE"/>
    <w:rsid w:val="00941A63"/>
    <w:rsid w:val="009429EF"/>
    <w:rsid w:val="00944246"/>
    <w:rsid w:val="00945766"/>
    <w:rsid w:val="009459C1"/>
    <w:rsid w:val="0094612A"/>
    <w:rsid w:val="00946376"/>
    <w:rsid w:val="00946AA7"/>
    <w:rsid w:val="00953F0C"/>
    <w:rsid w:val="00954AD2"/>
    <w:rsid w:val="00963094"/>
    <w:rsid w:val="009676DA"/>
    <w:rsid w:val="00967F02"/>
    <w:rsid w:val="00976D42"/>
    <w:rsid w:val="00977BB0"/>
    <w:rsid w:val="00984157"/>
    <w:rsid w:val="00984795"/>
    <w:rsid w:val="00986822"/>
    <w:rsid w:val="009876A4"/>
    <w:rsid w:val="009909E5"/>
    <w:rsid w:val="00992DA0"/>
    <w:rsid w:val="00993F53"/>
    <w:rsid w:val="009957C5"/>
    <w:rsid w:val="009A2583"/>
    <w:rsid w:val="009A5FB0"/>
    <w:rsid w:val="009C1AF7"/>
    <w:rsid w:val="009C4161"/>
    <w:rsid w:val="009D6920"/>
    <w:rsid w:val="009E0EA3"/>
    <w:rsid w:val="009E397B"/>
    <w:rsid w:val="009E7101"/>
    <w:rsid w:val="009F0803"/>
    <w:rsid w:val="009F15D6"/>
    <w:rsid w:val="009F6522"/>
    <w:rsid w:val="00A03FA2"/>
    <w:rsid w:val="00A050B9"/>
    <w:rsid w:val="00A15AE6"/>
    <w:rsid w:val="00A22B7A"/>
    <w:rsid w:val="00A25498"/>
    <w:rsid w:val="00A25708"/>
    <w:rsid w:val="00A27F8A"/>
    <w:rsid w:val="00A321D9"/>
    <w:rsid w:val="00A32CB9"/>
    <w:rsid w:val="00A346F7"/>
    <w:rsid w:val="00A34C1B"/>
    <w:rsid w:val="00A3527B"/>
    <w:rsid w:val="00A464D5"/>
    <w:rsid w:val="00A512F1"/>
    <w:rsid w:val="00A52D6E"/>
    <w:rsid w:val="00A57542"/>
    <w:rsid w:val="00A61748"/>
    <w:rsid w:val="00A62268"/>
    <w:rsid w:val="00A62C27"/>
    <w:rsid w:val="00A63FD5"/>
    <w:rsid w:val="00A657FD"/>
    <w:rsid w:val="00A74A35"/>
    <w:rsid w:val="00A85E4F"/>
    <w:rsid w:val="00A861E2"/>
    <w:rsid w:val="00A918BB"/>
    <w:rsid w:val="00A94040"/>
    <w:rsid w:val="00A96176"/>
    <w:rsid w:val="00AA34DA"/>
    <w:rsid w:val="00AA3BDE"/>
    <w:rsid w:val="00AA3D6F"/>
    <w:rsid w:val="00AA4F45"/>
    <w:rsid w:val="00AA763E"/>
    <w:rsid w:val="00AA7A0E"/>
    <w:rsid w:val="00AA7DB0"/>
    <w:rsid w:val="00AB3335"/>
    <w:rsid w:val="00AB3EB9"/>
    <w:rsid w:val="00AC1960"/>
    <w:rsid w:val="00AC76DB"/>
    <w:rsid w:val="00AD0B6C"/>
    <w:rsid w:val="00AD0E22"/>
    <w:rsid w:val="00AE00CF"/>
    <w:rsid w:val="00AF0824"/>
    <w:rsid w:val="00AF2ABA"/>
    <w:rsid w:val="00B0177E"/>
    <w:rsid w:val="00B01AF0"/>
    <w:rsid w:val="00B1003A"/>
    <w:rsid w:val="00B14C89"/>
    <w:rsid w:val="00B208E1"/>
    <w:rsid w:val="00B23F79"/>
    <w:rsid w:val="00B24861"/>
    <w:rsid w:val="00B310C0"/>
    <w:rsid w:val="00B515EF"/>
    <w:rsid w:val="00B527A4"/>
    <w:rsid w:val="00B55093"/>
    <w:rsid w:val="00B57DBA"/>
    <w:rsid w:val="00B6029B"/>
    <w:rsid w:val="00B6095B"/>
    <w:rsid w:val="00B62C88"/>
    <w:rsid w:val="00B63343"/>
    <w:rsid w:val="00B64E71"/>
    <w:rsid w:val="00B66F58"/>
    <w:rsid w:val="00B76697"/>
    <w:rsid w:val="00B83178"/>
    <w:rsid w:val="00B85A5C"/>
    <w:rsid w:val="00B8630E"/>
    <w:rsid w:val="00B86674"/>
    <w:rsid w:val="00B90AB1"/>
    <w:rsid w:val="00B924A2"/>
    <w:rsid w:val="00B92DD7"/>
    <w:rsid w:val="00B97C80"/>
    <w:rsid w:val="00BA7217"/>
    <w:rsid w:val="00BA7FF7"/>
    <w:rsid w:val="00BB32F7"/>
    <w:rsid w:val="00BB7038"/>
    <w:rsid w:val="00BB7F0E"/>
    <w:rsid w:val="00BC0B47"/>
    <w:rsid w:val="00BC0C5D"/>
    <w:rsid w:val="00BC2592"/>
    <w:rsid w:val="00BC364D"/>
    <w:rsid w:val="00BC5B18"/>
    <w:rsid w:val="00BD074F"/>
    <w:rsid w:val="00BD42D1"/>
    <w:rsid w:val="00BE0AEE"/>
    <w:rsid w:val="00BE2324"/>
    <w:rsid w:val="00BE28B0"/>
    <w:rsid w:val="00BE6172"/>
    <w:rsid w:val="00BF3A98"/>
    <w:rsid w:val="00C0482E"/>
    <w:rsid w:val="00C104ED"/>
    <w:rsid w:val="00C120F3"/>
    <w:rsid w:val="00C132A2"/>
    <w:rsid w:val="00C1445E"/>
    <w:rsid w:val="00C1660F"/>
    <w:rsid w:val="00C16FB6"/>
    <w:rsid w:val="00C2224D"/>
    <w:rsid w:val="00C3004F"/>
    <w:rsid w:val="00C308F0"/>
    <w:rsid w:val="00C31720"/>
    <w:rsid w:val="00C34B03"/>
    <w:rsid w:val="00C3775D"/>
    <w:rsid w:val="00C37DF0"/>
    <w:rsid w:val="00C46D53"/>
    <w:rsid w:val="00C55B73"/>
    <w:rsid w:val="00C61C5E"/>
    <w:rsid w:val="00C620C4"/>
    <w:rsid w:val="00C637AC"/>
    <w:rsid w:val="00C646F8"/>
    <w:rsid w:val="00C649FC"/>
    <w:rsid w:val="00C6779C"/>
    <w:rsid w:val="00C7221B"/>
    <w:rsid w:val="00C84273"/>
    <w:rsid w:val="00C84B98"/>
    <w:rsid w:val="00C94FB9"/>
    <w:rsid w:val="00C95117"/>
    <w:rsid w:val="00C96358"/>
    <w:rsid w:val="00C978A4"/>
    <w:rsid w:val="00CA0335"/>
    <w:rsid w:val="00CA2C35"/>
    <w:rsid w:val="00CA6136"/>
    <w:rsid w:val="00CA6FAA"/>
    <w:rsid w:val="00CB17F9"/>
    <w:rsid w:val="00CB3C73"/>
    <w:rsid w:val="00CC06F9"/>
    <w:rsid w:val="00CD35DC"/>
    <w:rsid w:val="00CD3A88"/>
    <w:rsid w:val="00CD6922"/>
    <w:rsid w:val="00CE200E"/>
    <w:rsid w:val="00CE5DC5"/>
    <w:rsid w:val="00CE7036"/>
    <w:rsid w:val="00CF3120"/>
    <w:rsid w:val="00CF4C4E"/>
    <w:rsid w:val="00D01FDF"/>
    <w:rsid w:val="00D3065D"/>
    <w:rsid w:val="00D41D04"/>
    <w:rsid w:val="00D42073"/>
    <w:rsid w:val="00D4231A"/>
    <w:rsid w:val="00D44129"/>
    <w:rsid w:val="00D444BD"/>
    <w:rsid w:val="00D44924"/>
    <w:rsid w:val="00D46CBF"/>
    <w:rsid w:val="00D55CEB"/>
    <w:rsid w:val="00D56FD0"/>
    <w:rsid w:val="00D5773F"/>
    <w:rsid w:val="00D60ED8"/>
    <w:rsid w:val="00D61DB6"/>
    <w:rsid w:val="00D63FD9"/>
    <w:rsid w:val="00D716AC"/>
    <w:rsid w:val="00D77C3E"/>
    <w:rsid w:val="00DA0BA8"/>
    <w:rsid w:val="00DA1E1D"/>
    <w:rsid w:val="00DA240F"/>
    <w:rsid w:val="00DA5E0F"/>
    <w:rsid w:val="00DA7E32"/>
    <w:rsid w:val="00DB41D8"/>
    <w:rsid w:val="00DC4DA7"/>
    <w:rsid w:val="00DD0076"/>
    <w:rsid w:val="00DD0D7B"/>
    <w:rsid w:val="00DD4F41"/>
    <w:rsid w:val="00DE4192"/>
    <w:rsid w:val="00DE60B1"/>
    <w:rsid w:val="00DE6BCF"/>
    <w:rsid w:val="00DF1F6B"/>
    <w:rsid w:val="00DF3E74"/>
    <w:rsid w:val="00E01296"/>
    <w:rsid w:val="00E11374"/>
    <w:rsid w:val="00E122A4"/>
    <w:rsid w:val="00E1324A"/>
    <w:rsid w:val="00E1621C"/>
    <w:rsid w:val="00E16763"/>
    <w:rsid w:val="00E2354F"/>
    <w:rsid w:val="00E24065"/>
    <w:rsid w:val="00E30C70"/>
    <w:rsid w:val="00E32EB8"/>
    <w:rsid w:val="00E36CA9"/>
    <w:rsid w:val="00E36FAF"/>
    <w:rsid w:val="00E408D3"/>
    <w:rsid w:val="00E43C18"/>
    <w:rsid w:val="00E513FB"/>
    <w:rsid w:val="00E534CC"/>
    <w:rsid w:val="00E53C0F"/>
    <w:rsid w:val="00E56C72"/>
    <w:rsid w:val="00E57C7E"/>
    <w:rsid w:val="00E60560"/>
    <w:rsid w:val="00E61FFD"/>
    <w:rsid w:val="00E63E7C"/>
    <w:rsid w:val="00E7741E"/>
    <w:rsid w:val="00E858BF"/>
    <w:rsid w:val="00E86865"/>
    <w:rsid w:val="00E873EC"/>
    <w:rsid w:val="00E90067"/>
    <w:rsid w:val="00E93AB9"/>
    <w:rsid w:val="00EA142C"/>
    <w:rsid w:val="00EA37E8"/>
    <w:rsid w:val="00EA400E"/>
    <w:rsid w:val="00EA43B5"/>
    <w:rsid w:val="00EA4F58"/>
    <w:rsid w:val="00EA54C5"/>
    <w:rsid w:val="00EA6A34"/>
    <w:rsid w:val="00EB4E2E"/>
    <w:rsid w:val="00EB4F5C"/>
    <w:rsid w:val="00EC033C"/>
    <w:rsid w:val="00EC0787"/>
    <w:rsid w:val="00EC3042"/>
    <w:rsid w:val="00EC7E08"/>
    <w:rsid w:val="00ED1053"/>
    <w:rsid w:val="00EE2797"/>
    <w:rsid w:val="00EE319D"/>
    <w:rsid w:val="00EE70A1"/>
    <w:rsid w:val="00EF0C63"/>
    <w:rsid w:val="00EF69FF"/>
    <w:rsid w:val="00F028C0"/>
    <w:rsid w:val="00F0423E"/>
    <w:rsid w:val="00F15B3B"/>
    <w:rsid w:val="00F15F53"/>
    <w:rsid w:val="00F167CB"/>
    <w:rsid w:val="00F23506"/>
    <w:rsid w:val="00F25869"/>
    <w:rsid w:val="00F274D2"/>
    <w:rsid w:val="00F342EE"/>
    <w:rsid w:val="00F344E8"/>
    <w:rsid w:val="00F4009A"/>
    <w:rsid w:val="00F41E45"/>
    <w:rsid w:val="00F478B6"/>
    <w:rsid w:val="00F504B4"/>
    <w:rsid w:val="00F523CA"/>
    <w:rsid w:val="00F54767"/>
    <w:rsid w:val="00F57D8F"/>
    <w:rsid w:val="00F6647C"/>
    <w:rsid w:val="00F71F1C"/>
    <w:rsid w:val="00F76205"/>
    <w:rsid w:val="00F92BC1"/>
    <w:rsid w:val="00F935E5"/>
    <w:rsid w:val="00FA1789"/>
    <w:rsid w:val="00FA18C0"/>
    <w:rsid w:val="00FA29AC"/>
    <w:rsid w:val="00FB63F8"/>
    <w:rsid w:val="00FB782D"/>
    <w:rsid w:val="00FC0B7C"/>
    <w:rsid w:val="00FC229A"/>
    <w:rsid w:val="00FC4C3D"/>
    <w:rsid w:val="00FD140A"/>
    <w:rsid w:val="00FD3FBB"/>
    <w:rsid w:val="00FE1E4F"/>
    <w:rsid w:val="00FF1A8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2" w:defSemiHidden="0" w:defUnhideWhenUsed="0" w:defQFormat="0" w:count="267">
    <w:lsdException w:name="Normal" w:uiPriority="0" w:qFormat="1"/>
    <w:lsdException w:name="heading 1" w:uiPriority="1" w:qFormat="1"/>
    <w:lsdException w:name="heading 2" w:uiPriority="0"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0"/>
    <w:lsdException w:name="footnote text" w:uiPriority="0"/>
    <w:lsdException w:name="header" w:uiPriority="0" w:qFormat="1"/>
    <w:lsdException w:name="footer" w:uiPriority="99"/>
    <w:lsdException w:name="caption" w:semiHidden="1" w:unhideWhenUsed="1" w:qFormat="1"/>
    <w:lsdException w:name="footnote reference" w:uiPriority="0"/>
    <w:lsdException w:name="Title" w:qFormat="1"/>
    <w:lsdException w:name="Subtitle" w:qFormat="1"/>
    <w:lsdException w:name="Strong" w:qFormat="1"/>
    <w:lsdException w:name="Emphasis" w:qFormat="1"/>
    <w:lsdException w:name="HTML Top of Form" w:uiPriority="0"/>
    <w:lsdException w:name="HTML Bottom of Form" w:uiPriority="0"/>
    <w:lsdException w:name="Normal Table"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534BFF"/>
    <w:pPr>
      <w:spacing w:after="120" w:line="280" w:lineRule="atLeast"/>
      <w:jc w:val="both"/>
    </w:pPr>
    <w:rPr>
      <w:sz w:val="22"/>
      <w:lang w:eastAsia="en-US"/>
    </w:rPr>
  </w:style>
  <w:style w:type="paragraph" w:styleId="Heading1">
    <w:name w:val="heading 1"/>
    <w:next w:val="Normal"/>
    <w:link w:val="Heading1Char"/>
    <w:uiPriority w:val="1"/>
    <w:qFormat/>
    <w:rsid w:val="00322964"/>
    <w:pPr>
      <w:keepNext/>
      <w:spacing w:after="240" w:line="470" w:lineRule="exact"/>
      <w:jc w:val="center"/>
      <w:outlineLvl w:val="0"/>
    </w:pPr>
    <w:rPr>
      <w:rFonts w:ascii="Arial" w:hAnsi="Arial"/>
      <w:b/>
      <w:sz w:val="36"/>
      <w:lang w:eastAsia="en-US"/>
    </w:rPr>
  </w:style>
  <w:style w:type="paragraph" w:styleId="Heading2">
    <w:name w:val="heading 2"/>
    <w:next w:val="Normal"/>
    <w:link w:val="Heading2Char"/>
    <w:qFormat/>
    <w:rsid w:val="00322964"/>
    <w:pPr>
      <w:keepNext/>
      <w:spacing w:before="240" w:after="140" w:line="350" w:lineRule="exact"/>
      <w:outlineLvl w:val="1"/>
    </w:pPr>
    <w:rPr>
      <w:rFonts w:ascii="Arial" w:hAnsi="Arial"/>
      <w:b/>
      <w:sz w:val="28"/>
      <w:lang w:eastAsia="en-US"/>
    </w:rPr>
  </w:style>
  <w:style w:type="paragraph" w:styleId="Heading3">
    <w:name w:val="heading 3"/>
    <w:next w:val="Normal"/>
    <w:uiPriority w:val="1"/>
    <w:qFormat/>
    <w:rsid w:val="00322964"/>
    <w:pPr>
      <w:keepNext/>
      <w:spacing w:before="180" w:after="100" w:line="300" w:lineRule="exact"/>
      <w:outlineLvl w:val="2"/>
    </w:pPr>
    <w:rPr>
      <w:rFonts w:ascii="Arial" w:hAnsi="Arial"/>
      <w:b/>
      <w:sz w:val="24"/>
      <w:lang w:eastAsia="en-US"/>
    </w:rPr>
  </w:style>
  <w:style w:type="paragraph" w:styleId="Heading4">
    <w:name w:val="heading 4"/>
    <w:next w:val="Normal"/>
    <w:uiPriority w:val="1"/>
    <w:qFormat/>
    <w:rsid w:val="00322964"/>
    <w:pPr>
      <w:keepNext/>
      <w:spacing w:before="100" w:after="20" w:line="250" w:lineRule="exact"/>
      <w:outlineLvl w:val="3"/>
    </w:pPr>
    <w:rPr>
      <w:rFonts w:ascii="Arial" w:hAnsi="Arial"/>
      <w:b/>
      <w:lang w:eastAsia="en-US"/>
    </w:rPr>
  </w:style>
  <w:style w:type="paragraph" w:styleId="Heading5">
    <w:name w:val="heading 5"/>
    <w:next w:val="Normal"/>
    <w:uiPriority w:val="1"/>
    <w:qFormat/>
    <w:rsid w:val="00322964"/>
    <w:pPr>
      <w:keepNext/>
      <w:spacing w:before="60" w:after="20" w:line="250" w:lineRule="exact"/>
      <w:outlineLvl w:val="4"/>
    </w:pPr>
    <w:rPr>
      <w:rFonts w:ascii="Arial" w:hAnsi="Arial"/>
      <w:i/>
      <w:lang w:eastAsia="en-US"/>
    </w:rPr>
  </w:style>
  <w:style w:type="paragraph" w:styleId="Heading6">
    <w:name w:val="heading 6"/>
    <w:basedOn w:val="Normal"/>
    <w:next w:val="Normal"/>
    <w:uiPriority w:val="1"/>
    <w:qFormat/>
    <w:rsid w:val="00322964"/>
    <w:pPr>
      <w:keepNext/>
      <w:spacing w:before="60" w:after="20" w:line="250" w:lineRule="atLeast"/>
      <w:jc w:val="left"/>
      <w:outlineLvl w:val="5"/>
    </w:pPr>
    <w:rPr>
      <w:b/>
      <w:sz w:val="20"/>
    </w:rPr>
  </w:style>
  <w:style w:type="paragraph" w:styleId="Heading7">
    <w:name w:val="heading 7"/>
    <w:basedOn w:val="Normal"/>
    <w:next w:val="Normal"/>
    <w:uiPriority w:val="1"/>
    <w:qFormat/>
    <w:rsid w:val="00322964"/>
    <w:pPr>
      <w:spacing w:before="60" w:after="40" w:line="240" w:lineRule="atLeast"/>
      <w:jc w:val="left"/>
      <w:outlineLvl w:val="6"/>
    </w:pPr>
    <w:rPr>
      <w:i/>
      <w:sz w:val="20"/>
    </w:rPr>
  </w:style>
  <w:style w:type="paragraph" w:styleId="Heading8">
    <w:name w:val="heading 8"/>
    <w:uiPriority w:val="1"/>
    <w:qFormat/>
    <w:rsid w:val="00322964"/>
    <w:pPr>
      <w:spacing w:after="240" w:line="260" w:lineRule="atLeast"/>
      <w:jc w:val="center"/>
      <w:outlineLvl w:val="7"/>
    </w:pPr>
    <w:rPr>
      <w:rFonts w:ascii="Arial" w:hAnsi="Arial"/>
      <w:lang w:eastAsia="en-US"/>
    </w:rPr>
  </w:style>
  <w:style w:type="paragraph" w:styleId="Heading9">
    <w:name w:val="heading 9"/>
    <w:uiPriority w:val="1"/>
    <w:qFormat/>
    <w:rsid w:val="00322964"/>
    <w:pPr>
      <w:keepNext/>
      <w:spacing w:before="120" w:after="120" w:line="260" w:lineRule="atLeast"/>
      <w:outlineLvl w:val="8"/>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uiPriority w:val="39"/>
    <w:rsid w:val="009909E5"/>
    <w:pPr>
      <w:tabs>
        <w:tab w:val="left" w:pos="357"/>
        <w:tab w:val="right" w:pos="8250"/>
      </w:tabs>
      <w:spacing w:before="240" w:after="60" w:line="300" w:lineRule="atLeast"/>
      <w:ind w:left="357" w:right="1077" w:hanging="357"/>
    </w:pPr>
    <w:rPr>
      <w:rFonts w:ascii="Arial Bold" w:hAnsi="Arial Bold"/>
      <w:b/>
      <w:bCs/>
      <w:sz w:val="24"/>
      <w:lang w:eastAsia="en-US"/>
    </w:rPr>
  </w:style>
  <w:style w:type="paragraph" w:styleId="TOC4">
    <w:name w:val="toc 4"/>
    <w:basedOn w:val="TOC1"/>
    <w:semiHidden/>
    <w:rsid w:val="009909E5"/>
    <w:pPr>
      <w:tabs>
        <w:tab w:val="left" w:pos="8307"/>
      </w:tabs>
      <w:spacing w:before="40" w:after="40" w:line="260" w:lineRule="atLeast"/>
      <w:ind w:left="1554" w:hanging="482"/>
    </w:pPr>
    <w:rPr>
      <w:b w:val="0"/>
      <w:i/>
      <w:sz w:val="18"/>
      <w:szCs w:val="18"/>
    </w:rPr>
  </w:style>
  <w:style w:type="paragraph" w:styleId="TOC3">
    <w:name w:val="toc 3"/>
    <w:basedOn w:val="TOC1"/>
    <w:uiPriority w:val="39"/>
    <w:rsid w:val="009909E5"/>
    <w:pPr>
      <w:tabs>
        <w:tab w:val="left" w:pos="8307"/>
      </w:tabs>
      <w:spacing w:before="60" w:line="280" w:lineRule="atLeast"/>
      <w:ind w:left="1071"/>
    </w:pPr>
    <w:rPr>
      <w:b w:val="0"/>
      <w:iCs/>
      <w:sz w:val="20"/>
    </w:rPr>
  </w:style>
  <w:style w:type="paragraph" w:styleId="TOC2">
    <w:name w:val="toc 2"/>
    <w:basedOn w:val="TOC1"/>
    <w:uiPriority w:val="39"/>
    <w:rsid w:val="009909E5"/>
    <w:pPr>
      <w:tabs>
        <w:tab w:val="left" w:pos="8307"/>
      </w:tabs>
      <w:spacing w:before="60" w:line="280" w:lineRule="atLeast"/>
      <w:ind w:left="839" w:hanging="482"/>
    </w:pPr>
    <w:rPr>
      <w:b w:val="0"/>
      <w:sz w:val="22"/>
    </w:rPr>
  </w:style>
  <w:style w:type="paragraph" w:styleId="Footer">
    <w:name w:val="footer"/>
    <w:link w:val="FooterChar"/>
    <w:uiPriority w:val="99"/>
    <w:rsid w:val="00322964"/>
    <w:pPr>
      <w:jc w:val="center"/>
    </w:pPr>
    <w:rPr>
      <w:rFonts w:ascii="Arial" w:hAnsi="Arial"/>
      <w:lang w:eastAsia="en-US"/>
    </w:rPr>
  </w:style>
  <w:style w:type="paragraph" w:styleId="Header">
    <w:name w:val="header"/>
    <w:link w:val="HeaderChar"/>
    <w:qFormat/>
    <w:rsid w:val="00322964"/>
    <w:rPr>
      <w:lang w:eastAsia="en-US"/>
    </w:rPr>
  </w:style>
  <w:style w:type="paragraph" w:styleId="NormalIndent">
    <w:name w:val="Normal Indent"/>
    <w:basedOn w:val="Normal"/>
    <w:uiPriority w:val="2"/>
    <w:rsid w:val="00322964"/>
    <w:pPr>
      <w:ind w:firstLine="360"/>
    </w:pPr>
  </w:style>
  <w:style w:type="paragraph" w:customStyle="1" w:styleId="Normallist1">
    <w:name w:val="Normal list 1"/>
    <w:basedOn w:val="Normal"/>
    <w:uiPriority w:val="2"/>
    <w:qFormat/>
    <w:rsid w:val="00322964"/>
    <w:pPr>
      <w:ind w:left="360" w:hanging="360"/>
    </w:pPr>
  </w:style>
  <w:style w:type="paragraph" w:customStyle="1" w:styleId="Normalno">
    <w:name w:val="Normal no #"/>
    <w:basedOn w:val="Normal"/>
    <w:uiPriority w:val="2"/>
    <w:rsid w:val="00322964"/>
    <w:pPr>
      <w:spacing w:after="0"/>
    </w:pPr>
  </w:style>
  <w:style w:type="paragraph" w:customStyle="1" w:styleId="byline">
    <w:name w:val="byline"/>
    <w:next w:val="Normal"/>
    <w:uiPriority w:val="2"/>
    <w:rsid w:val="00322964"/>
    <w:pPr>
      <w:spacing w:before="240" w:after="60"/>
    </w:pPr>
    <w:rPr>
      <w:rFonts w:ascii="Arial" w:hAnsi="Arial"/>
      <w:b/>
      <w:lang w:eastAsia="en-US"/>
    </w:rPr>
  </w:style>
  <w:style w:type="paragraph" w:customStyle="1" w:styleId="Normallist2">
    <w:name w:val="Normal list 2"/>
    <w:basedOn w:val="Normal"/>
    <w:uiPriority w:val="2"/>
    <w:qFormat/>
    <w:rsid w:val="00322964"/>
    <w:pPr>
      <w:ind w:left="720" w:hanging="360"/>
    </w:pPr>
  </w:style>
  <w:style w:type="paragraph" w:customStyle="1" w:styleId="subhead">
    <w:name w:val="subhead"/>
    <w:next w:val="Normal"/>
    <w:uiPriority w:val="2"/>
    <w:rsid w:val="00322964"/>
    <w:pPr>
      <w:spacing w:before="140" w:after="300"/>
      <w:jc w:val="center"/>
    </w:pPr>
    <w:rPr>
      <w:rFonts w:ascii="Arial" w:hAnsi="Arial"/>
      <w:sz w:val="30"/>
      <w:lang w:eastAsia="en-US"/>
    </w:rPr>
  </w:style>
  <w:style w:type="paragraph" w:customStyle="1" w:styleId="figurecaption">
    <w:name w:val="figure caption"/>
    <w:next w:val="Normal"/>
    <w:link w:val="figurecaptionChar"/>
    <w:uiPriority w:val="2"/>
    <w:qFormat/>
    <w:rsid w:val="00322964"/>
    <w:pPr>
      <w:spacing w:after="240" w:line="240" w:lineRule="atLeast"/>
      <w:jc w:val="center"/>
    </w:pPr>
    <w:rPr>
      <w:rFonts w:ascii="Arial" w:hAnsi="Arial"/>
      <w:sz w:val="18"/>
      <w:lang w:eastAsia="en-US"/>
    </w:rPr>
  </w:style>
  <w:style w:type="paragraph" w:customStyle="1" w:styleId="tablecaption">
    <w:name w:val="table caption"/>
    <w:next w:val="Normal"/>
    <w:uiPriority w:val="2"/>
    <w:qFormat/>
    <w:rsid w:val="00322964"/>
    <w:pPr>
      <w:keepNext/>
      <w:spacing w:before="120" w:after="120" w:line="240" w:lineRule="atLeast"/>
    </w:pPr>
    <w:rPr>
      <w:rFonts w:ascii="Arial" w:hAnsi="Arial"/>
      <w:sz w:val="18"/>
      <w:lang w:eastAsia="en-US"/>
    </w:rPr>
  </w:style>
  <w:style w:type="paragraph" w:customStyle="1" w:styleId="table1">
    <w:name w:val="table 1"/>
    <w:uiPriority w:val="2"/>
    <w:qFormat/>
    <w:rsid w:val="00322964"/>
    <w:pPr>
      <w:spacing w:before="60" w:after="60" w:line="200" w:lineRule="atLeast"/>
    </w:pPr>
    <w:rPr>
      <w:rFonts w:ascii="Arial" w:hAnsi="Arial"/>
      <w:sz w:val="16"/>
      <w:lang w:eastAsia="en-US"/>
    </w:rPr>
  </w:style>
  <w:style w:type="paragraph" w:customStyle="1" w:styleId="table1list">
    <w:name w:val="table 1 list"/>
    <w:basedOn w:val="table1"/>
    <w:uiPriority w:val="2"/>
    <w:rsid w:val="00322964"/>
    <w:pPr>
      <w:ind w:left="240" w:hanging="240"/>
    </w:pPr>
  </w:style>
  <w:style w:type="paragraph" w:customStyle="1" w:styleId="tablenote">
    <w:name w:val="table note"/>
    <w:basedOn w:val="table1"/>
    <w:uiPriority w:val="2"/>
    <w:qFormat/>
    <w:rsid w:val="00322964"/>
    <w:pPr>
      <w:tabs>
        <w:tab w:val="left" w:pos="240"/>
      </w:tabs>
      <w:spacing w:after="180" w:line="180" w:lineRule="atLeast"/>
      <w:ind w:left="238" w:hanging="238"/>
    </w:pPr>
    <w:rPr>
      <w:sz w:val="14"/>
    </w:rPr>
  </w:style>
  <w:style w:type="paragraph" w:customStyle="1" w:styleId="bulletlist1">
    <w:name w:val="bullet list 1"/>
    <w:basedOn w:val="Normal"/>
    <w:uiPriority w:val="2"/>
    <w:qFormat/>
    <w:rsid w:val="00322964"/>
    <w:pPr>
      <w:numPr>
        <w:numId w:val="19"/>
      </w:numPr>
    </w:pPr>
  </w:style>
  <w:style w:type="paragraph" w:customStyle="1" w:styleId="4point">
    <w:name w:val="4 point #"/>
    <w:uiPriority w:val="2"/>
    <w:qFormat/>
    <w:rsid w:val="00322964"/>
    <w:rPr>
      <w:sz w:val="8"/>
      <w:lang w:eastAsia="en-US"/>
    </w:rPr>
  </w:style>
  <w:style w:type="paragraph" w:customStyle="1" w:styleId="referencelist1">
    <w:name w:val="reference list 1"/>
    <w:link w:val="referencelist1Char"/>
    <w:qFormat/>
    <w:rsid w:val="00322964"/>
    <w:pPr>
      <w:spacing w:after="120" w:line="280" w:lineRule="atLeast"/>
      <w:ind w:left="360" w:hanging="360"/>
      <w:jc w:val="both"/>
    </w:pPr>
    <w:rPr>
      <w:sz w:val="22"/>
      <w:lang w:eastAsia="en-US"/>
    </w:rPr>
  </w:style>
  <w:style w:type="paragraph" w:customStyle="1" w:styleId="table2">
    <w:name w:val="table 2"/>
    <w:basedOn w:val="table1"/>
    <w:uiPriority w:val="2"/>
    <w:qFormat/>
    <w:rsid w:val="00322964"/>
    <w:pPr>
      <w:spacing w:before="20" w:after="20"/>
    </w:pPr>
  </w:style>
  <w:style w:type="paragraph" w:customStyle="1" w:styleId="equation1">
    <w:name w:val="equation 1"/>
    <w:basedOn w:val="Normal"/>
    <w:uiPriority w:val="2"/>
    <w:rsid w:val="00322964"/>
    <w:pPr>
      <w:tabs>
        <w:tab w:val="right" w:pos="5280"/>
      </w:tabs>
      <w:spacing w:before="40" w:after="140"/>
      <w:ind w:left="360"/>
      <w:jc w:val="left"/>
    </w:pPr>
    <w:rPr>
      <w:rFonts w:ascii="Arial" w:hAnsi="Arial"/>
      <w:sz w:val="20"/>
    </w:rPr>
  </w:style>
  <w:style w:type="paragraph" w:customStyle="1" w:styleId="verso1">
    <w:name w:val="verso 1"/>
    <w:uiPriority w:val="2"/>
    <w:rsid w:val="00322964"/>
    <w:pPr>
      <w:spacing w:after="80" w:line="220" w:lineRule="atLeast"/>
      <w:ind w:left="240" w:right="720"/>
    </w:pPr>
    <w:rPr>
      <w:rFonts w:ascii="Arial" w:hAnsi="Arial"/>
      <w:sz w:val="18"/>
      <w:lang w:eastAsia="en-US"/>
    </w:rPr>
  </w:style>
  <w:style w:type="paragraph" w:styleId="FootnoteText">
    <w:name w:val="footnote text"/>
    <w:basedOn w:val="Normal"/>
    <w:link w:val="FootnoteTextChar"/>
    <w:semiHidden/>
    <w:rsid w:val="00322964"/>
    <w:pPr>
      <w:tabs>
        <w:tab w:val="left" w:pos="240"/>
      </w:tabs>
      <w:spacing w:after="80" w:line="240" w:lineRule="atLeast"/>
      <w:ind w:left="240" w:hanging="240"/>
    </w:pPr>
    <w:rPr>
      <w:sz w:val="18"/>
    </w:rPr>
  </w:style>
  <w:style w:type="paragraph" w:styleId="Bibliography">
    <w:name w:val="Bibliography"/>
    <w:basedOn w:val="referencelist1"/>
    <w:uiPriority w:val="2"/>
    <w:rsid w:val="00322964"/>
  </w:style>
  <w:style w:type="paragraph" w:customStyle="1" w:styleId="address">
    <w:name w:val="address"/>
    <w:basedOn w:val="Heading4"/>
    <w:uiPriority w:val="2"/>
    <w:qFormat/>
    <w:rsid w:val="00322964"/>
    <w:pPr>
      <w:spacing w:after="800"/>
      <w:jc w:val="center"/>
    </w:pPr>
    <w:rPr>
      <w:b w:val="0"/>
    </w:rPr>
  </w:style>
  <w:style w:type="paragraph" w:customStyle="1" w:styleId="Normallist3">
    <w:name w:val="Normal list 3"/>
    <w:basedOn w:val="Normallist2"/>
    <w:uiPriority w:val="2"/>
    <w:rsid w:val="00322964"/>
    <w:pPr>
      <w:ind w:left="1320"/>
    </w:pPr>
  </w:style>
  <w:style w:type="paragraph" w:customStyle="1" w:styleId="quote">
    <w:name w:val="quote"/>
    <w:basedOn w:val="Normal"/>
    <w:uiPriority w:val="2"/>
    <w:qFormat/>
    <w:rsid w:val="00322964"/>
    <w:pPr>
      <w:spacing w:line="260" w:lineRule="atLeast"/>
      <w:ind w:left="360"/>
    </w:pPr>
    <w:rPr>
      <w:sz w:val="20"/>
    </w:rPr>
  </w:style>
  <w:style w:type="paragraph" w:customStyle="1" w:styleId="bulletlist2">
    <w:name w:val="bullet list 2"/>
    <w:basedOn w:val="bulletlist1"/>
    <w:uiPriority w:val="2"/>
    <w:qFormat/>
    <w:rsid w:val="00322964"/>
    <w:pPr>
      <w:numPr>
        <w:ilvl w:val="1"/>
        <w:numId w:val="20"/>
      </w:numPr>
    </w:pPr>
  </w:style>
  <w:style w:type="paragraph" w:customStyle="1" w:styleId="landscape">
    <w:name w:val="landscape#"/>
    <w:basedOn w:val="Normal"/>
    <w:uiPriority w:val="2"/>
    <w:qFormat/>
    <w:rsid w:val="00322964"/>
    <w:pPr>
      <w:framePr w:w="567" w:h="1134" w:hSpace="181" w:wrap="around" w:vAnchor="page" w:hAnchor="page" w:x="568" w:yAlign="center"/>
      <w:shd w:val="solid" w:color="FFFFFF" w:fill="FFFFFF"/>
      <w:jc w:val="center"/>
      <w:textDirection w:val="tbRl"/>
    </w:pPr>
    <w:rPr>
      <w:rFonts w:ascii="Arial" w:hAnsi="Arial"/>
      <w:sz w:val="20"/>
    </w:rPr>
  </w:style>
  <w:style w:type="paragraph" w:customStyle="1" w:styleId="authors">
    <w:name w:val="authors"/>
    <w:basedOn w:val="Heading3"/>
    <w:uiPriority w:val="2"/>
    <w:rsid w:val="00322964"/>
    <w:pPr>
      <w:spacing w:after="400"/>
      <w:jc w:val="center"/>
    </w:pPr>
  </w:style>
  <w:style w:type="paragraph" w:customStyle="1" w:styleId="numberlist1">
    <w:name w:val="number list 1"/>
    <w:basedOn w:val="Normal"/>
    <w:uiPriority w:val="2"/>
    <w:qFormat/>
    <w:rsid w:val="00322964"/>
    <w:pPr>
      <w:numPr>
        <w:numId w:val="21"/>
      </w:numPr>
    </w:pPr>
    <w:rPr>
      <w:snapToGrid w:val="0"/>
    </w:rPr>
  </w:style>
  <w:style w:type="paragraph" w:customStyle="1" w:styleId="platecaption">
    <w:name w:val="plate caption"/>
    <w:basedOn w:val="figurecaption"/>
    <w:uiPriority w:val="2"/>
    <w:qFormat/>
    <w:rsid w:val="00322964"/>
  </w:style>
  <w:style w:type="character" w:styleId="Emphasis">
    <w:name w:val="Emphasis"/>
    <w:basedOn w:val="DefaultParagraphFont"/>
    <w:uiPriority w:val="2"/>
    <w:rsid w:val="00322964"/>
    <w:rPr>
      <w:i/>
      <w:iCs/>
    </w:rPr>
  </w:style>
  <w:style w:type="paragraph" w:styleId="Quote0">
    <w:name w:val="Quote"/>
    <w:basedOn w:val="Normal"/>
    <w:next w:val="Normal"/>
    <w:link w:val="QuoteChar"/>
    <w:uiPriority w:val="2"/>
    <w:rsid w:val="00322964"/>
    <w:rPr>
      <w:i/>
      <w:iCs/>
      <w:color w:val="000000" w:themeColor="text1"/>
    </w:rPr>
  </w:style>
  <w:style w:type="character" w:customStyle="1" w:styleId="QuoteChar">
    <w:name w:val="Quote Char"/>
    <w:basedOn w:val="DefaultParagraphFont"/>
    <w:link w:val="Quote0"/>
    <w:uiPriority w:val="2"/>
    <w:rsid w:val="00322964"/>
    <w:rPr>
      <w:i/>
      <w:iCs/>
      <w:color w:val="000000" w:themeColor="text1"/>
      <w:sz w:val="22"/>
      <w:lang w:eastAsia="en-US"/>
    </w:rPr>
  </w:style>
  <w:style w:type="paragraph" w:styleId="NoSpacing">
    <w:name w:val="No Spacing"/>
    <w:uiPriority w:val="2"/>
    <w:rsid w:val="00322964"/>
    <w:pPr>
      <w:jc w:val="both"/>
    </w:pPr>
    <w:rPr>
      <w:sz w:val="22"/>
      <w:lang w:eastAsia="en-US"/>
    </w:rPr>
  </w:style>
  <w:style w:type="paragraph" w:styleId="Title">
    <w:name w:val="Title"/>
    <w:basedOn w:val="Normal"/>
    <w:next w:val="Normal"/>
    <w:link w:val="TitleChar"/>
    <w:uiPriority w:val="2"/>
    <w:rsid w:val="003229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2"/>
    <w:rsid w:val="00322964"/>
    <w:rPr>
      <w:rFonts w:asciiTheme="majorHAnsi" w:eastAsiaTheme="majorEastAsia" w:hAnsiTheme="majorHAnsi" w:cstheme="majorBidi"/>
      <w:color w:val="17365D" w:themeColor="text2" w:themeShade="BF"/>
      <w:spacing w:val="5"/>
      <w:kern w:val="28"/>
      <w:sz w:val="52"/>
      <w:szCs w:val="52"/>
      <w:lang w:eastAsia="en-US"/>
    </w:rPr>
  </w:style>
  <w:style w:type="character" w:styleId="SubtleEmphasis">
    <w:name w:val="Subtle Emphasis"/>
    <w:basedOn w:val="DefaultParagraphFont"/>
    <w:uiPriority w:val="2"/>
    <w:rsid w:val="00322964"/>
    <w:rPr>
      <w:i/>
      <w:iCs/>
      <w:color w:val="808080" w:themeColor="text1" w:themeTint="7F"/>
    </w:rPr>
  </w:style>
  <w:style w:type="character" w:styleId="IntenseEmphasis">
    <w:name w:val="Intense Emphasis"/>
    <w:basedOn w:val="DefaultParagraphFont"/>
    <w:uiPriority w:val="2"/>
    <w:rsid w:val="00322964"/>
    <w:rPr>
      <w:b/>
      <w:bCs/>
      <w:i/>
      <w:iCs/>
      <w:color w:val="4F81BD" w:themeColor="accent1"/>
    </w:rPr>
  </w:style>
  <w:style w:type="paragraph" w:styleId="IntenseQuote">
    <w:name w:val="Intense Quote"/>
    <w:basedOn w:val="Normal"/>
    <w:next w:val="Normal"/>
    <w:link w:val="IntenseQuoteChar"/>
    <w:uiPriority w:val="2"/>
    <w:rsid w:val="003229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2"/>
    <w:rsid w:val="00322964"/>
    <w:rPr>
      <w:b/>
      <w:bCs/>
      <w:i/>
      <w:iCs/>
      <w:color w:val="4F81BD" w:themeColor="accent1"/>
      <w:sz w:val="22"/>
      <w:lang w:eastAsia="en-US"/>
    </w:rPr>
  </w:style>
  <w:style w:type="character" w:styleId="SubtleReference">
    <w:name w:val="Subtle Reference"/>
    <w:basedOn w:val="DefaultParagraphFont"/>
    <w:uiPriority w:val="2"/>
    <w:rsid w:val="00322964"/>
    <w:rPr>
      <w:smallCaps/>
      <w:color w:val="C0504D" w:themeColor="accent2"/>
      <w:u w:val="single"/>
    </w:rPr>
  </w:style>
  <w:style w:type="character" w:styleId="IntenseReference">
    <w:name w:val="Intense Reference"/>
    <w:basedOn w:val="DefaultParagraphFont"/>
    <w:uiPriority w:val="2"/>
    <w:rsid w:val="00322964"/>
    <w:rPr>
      <w:b/>
      <w:bCs/>
      <w:smallCaps/>
      <w:color w:val="C0504D" w:themeColor="accent2"/>
      <w:spacing w:val="5"/>
      <w:u w:val="single"/>
    </w:rPr>
  </w:style>
  <w:style w:type="paragraph" w:styleId="ListParagraph">
    <w:name w:val="List Paragraph"/>
    <w:basedOn w:val="Normal"/>
    <w:uiPriority w:val="2"/>
    <w:rsid w:val="00322964"/>
    <w:pPr>
      <w:ind w:left="720"/>
      <w:contextualSpacing/>
    </w:pPr>
  </w:style>
  <w:style w:type="character" w:styleId="Strong">
    <w:name w:val="Strong"/>
    <w:basedOn w:val="DefaultParagraphFont"/>
    <w:uiPriority w:val="2"/>
    <w:rsid w:val="00322964"/>
    <w:rPr>
      <w:b/>
      <w:bCs/>
    </w:rPr>
  </w:style>
  <w:style w:type="paragraph" w:styleId="Subtitle">
    <w:name w:val="Subtitle"/>
    <w:basedOn w:val="Normal"/>
    <w:next w:val="Normal"/>
    <w:link w:val="SubtitleChar"/>
    <w:uiPriority w:val="2"/>
    <w:rsid w:val="003229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2"/>
    <w:rsid w:val="00322964"/>
    <w:rPr>
      <w:rFonts w:asciiTheme="majorHAnsi" w:eastAsiaTheme="majorEastAsia" w:hAnsiTheme="majorHAnsi" w:cstheme="majorBidi"/>
      <w:i/>
      <w:iCs/>
      <w:color w:val="4F81BD" w:themeColor="accent1"/>
      <w:spacing w:val="15"/>
      <w:sz w:val="24"/>
      <w:szCs w:val="24"/>
      <w:lang w:eastAsia="en-US"/>
    </w:rPr>
  </w:style>
  <w:style w:type="character" w:styleId="BookTitle">
    <w:name w:val="Book Title"/>
    <w:basedOn w:val="DefaultParagraphFont"/>
    <w:uiPriority w:val="2"/>
    <w:rsid w:val="00322964"/>
    <w:rPr>
      <w:b/>
      <w:bCs/>
      <w:smallCaps/>
      <w:spacing w:val="5"/>
    </w:rPr>
  </w:style>
  <w:style w:type="character" w:customStyle="1" w:styleId="Heading2Char">
    <w:name w:val="Heading 2 Char"/>
    <w:basedOn w:val="DefaultParagraphFont"/>
    <w:link w:val="Heading2"/>
    <w:rsid w:val="00534BFF"/>
    <w:rPr>
      <w:rFonts w:ascii="Arial" w:hAnsi="Arial"/>
      <w:b/>
      <w:sz w:val="28"/>
      <w:lang w:eastAsia="en-US"/>
    </w:rPr>
  </w:style>
  <w:style w:type="character" w:customStyle="1" w:styleId="referencelist1Char">
    <w:name w:val="reference list 1 Char"/>
    <w:basedOn w:val="DefaultParagraphFont"/>
    <w:link w:val="referencelist1"/>
    <w:rsid w:val="00534BFF"/>
    <w:rPr>
      <w:sz w:val="22"/>
      <w:lang w:eastAsia="en-US"/>
    </w:rPr>
  </w:style>
  <w:style w:type="character" w:customStyle="1" w:styleId="figurecaptionChar">
    <w:name w:val="figure caption Char"/>
    <w:basedOn w:val="DefaultParagraphFont"/>
    <w:link w:val="figurecaption"/>
    <w:uiPriority w:val="2"/>
    <w:rsid w:val="00534BFF"/>
    <w:rPr>
      <w:rFonts w:ascii="Arial" w:hAnsi="Arial"/>
      <w:sz w:val="18"/>
      <w:lang w:eastAsia="en-US"/>
    </w:rPr>
  </w:style>
  <w:style w:type="character" w:customStyle="1" w:styleId="HeaderChar">
    <w:name w:val="Header Char"/>
    <w:basedOn w:val="DefaultParagraphFont"/>
    <w:link w:val="Header"/>
    <w:rsid w:val="00534BFF"/>
    <w:rPr>
      <w:lang w:eastAsia="en-US"/>
    </w:rPr>
  </w:style>
  <w:style w:type="character" w:styleId="FootnoteReference">
    <w:name w:val="footnote reference"/>
    <w:basedOn w:val="DefaultParagraphFont"/>
    <w:rsid w:val="00534BFF"/>
    <w:rPr>
      <w:vertAlign w:val="superscript"/>
    </w:rPr>
  </w:style>
  <w:style w:type="character" w:customStyle="1" w:styleId="Heading1Char">
    <w:name w:val="Heading 1 Char"/>
    <w:basedOn w:val="DefaultParagraphFont"/>
    <w:link w:val="Heading1"/>
    <w:uiPriority w:val="1"/>
    <w:rsid w:val="00534BFF"/>
    <w:rPr>
      <w:rFonts w:ascii="Arial" w:hAnsi="Arial"/>
      <w:b/>
      <w:sz w:val="36"/>
      <w:lang w:eastAsia="en-US"/>
    </w:rPr>
  </w:style>
  <w:style w:type="character" w:customStyle="1" w:styleId="FootnoteTextChar">
    <w:name w:val="Footnote Text Char"/>
    <w:basedOn w:val="DefaultParagraphFont"/>
    <w:link w:val="FootnoteText"/>
    <w:semiHidden/>
    <w:rsid w:val="00534BFF"/>
    <w:rPr>
      <w:sz w:val="18"/>
      <w:lang w:eastAsia="en-US"/>
    </w:rPr>
  </w:style>
  <w:style w:type="character" w:customStyle="1" w:styleId="FooterChar">
    <w:name w:val="Footer Char"/>
    <w:basedOn w:val="DefaultParagraphFont"/>
    <w:link w:val="Footer"/>
    <w:uiPriority w:val="99"/>
    <w:rsid w:val="00534BFF"/>
    <w:rPr>
      <w:rFonts w:ascii="Arial" w:hAnsi="Arial"/>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84309824B1146AAD399139940223E" ma:contentTypeVersion="6" ma:contentTypeDescription="Create a new document." ma:contentTypeScope="" ma:versionID="c433e366543f397711934eb711b5bb60">
  <xsd:schema xmlns:xsd="http://www.w3.org/2001/XMLSchema" xmlns:p="http://schemas.microsoft.com/office/2006/metadata/properties" xmlns:ns1="http://schemas.microsoft.com/sharepoint/v3" xmlns:ns2="deda4f78-c946-4019-9afe-72b647367a98" xmlns:ns3="d3d3a9f2-d6b9-4ac6-938b-c1d69a470220" targetNamespace="http://schemas.microsoft.com/office/2006/metadata/properties" ma:root="true" ma:fieldsID="7f42b83dab360dc63f9daff7defe803a" ns1:_="" ns2:_="" ns3:_="">
    <xsd:import namespace="http://schemas.microsoft.com/sharepoint/v3"/>
    <xsd:import namespace="deda4f78-c946-4019-9afe-72b647367a98"/>
    <xsd:import namespace="d3d3a9f2-d6b9-4ac6-938b-c1d69a470220"/>
    <xsd:element name="properties">
      <xsd:complexType>
        <xsd:sequence>
          <xsd:element name="documentManagement">
            <xsd:complexType>
              <xsd:all>
                <xsd:element ref="ns2:Departmental_x0020_Keywords" minOccurs="0"/>
                <xsd:element ref="ns3:Publishing_x0020_Section"/>
                <xsd:element ref="ns3:Keywords1" minOccurs="0"/>
                <xsd:element ref="ns3:Themes"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9" nillable="true" ma:displayName="Scheduling Start Date" ma:description="" ma:hidden="true" ma:internalName="PublishingStartDate">
      <xsd:simpleType>
        <xsd:restriction base="dms:Unknown"/>
      </xsd:simpleType>
    </xsd:element>
    <xsd:element name="PublishingExpirationDate" ma:index="10"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deda4f78-c946-4019-9afe-72b647367a98" elementFormDefault="qualified">
    <xsd:import namespace="http://schemas.microsoft.com/office/2006/documentManagement/types"/>
    <xsd:element name="Departmental_x0020_Keywords" ma:index="2"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Publishing_x0020_Section" ma:index="3" ma:displayName="Publishing Section" ma:description="Select a departmental owner" ma:format="Dropdown" ma:internalName="Publishing_x0020_Section">
      <xsd:simpleType>
        <xsd:restriction base="dms:Choice">
          <xsd:enumeration value="All Department"/>
          <xsd:enumeration value="Australian Antarctic Division"/>
          <xsd:enumeration value="Business Improvement Division"/>
          <xsd:enumeration value="Corporate Strategies Division"/>
          <xsd:enumeration value="Department of Climate Change"/>
          <xsd:enumeration value="Director of National Parks"/>
          <xsd:enumeration value="Environment Assessment and Compliance Division"/>
          <xsd:enumeration value="Environment Quality Division"/>
          <xsd:enumeration value="Executive"/>
          <xsd:enumeration value="Great Barrier Reef Marine Park Authority"/>
          <xsd:enumeration value="Heritage and Wildlife Division"/>
          <xsd:enumeration value="Information Management Division"/>
          <xsd:enumeration value="Land &amp; Coasts"/>
          <xsd:enumeration value="Marine Division"/>
          <xsd:enumeration value="National Water Commission"/>
          <xsd:enumeration value="Natural Resource Management Programs Division"/>
          <xsd:enumeration value="Office of the Renewable Energy Regulator"/>
          <xsd:enumeration value="Parks Australia"/>
          <xsd:enumeration value="Policy and Communications Division"/>
          <xsd:enumeration value="Renewable &amp; Energy Efficiency Division"/>
          <xsd:enumeration value="Supervising Scientist Division"/>
          <xsd:enumeration value="Sustainability Policy and Analysis Division"/>
          <xsd:enumeration value="Sustainable Population Division"/>
          <xsd:enumeration value="Sydney Harbour Federation Trust"/>
          <xsd:enumeration value="Water Group"/>
        </xsd:restriction>
      </xsd:simpleType>
    </xsd:element>
    <xsd:element name="Keywords1" ma:index="4" nillable="true" ma:displayName="Category keywords" ma:internalName="Keywords1">
      <xsd:simpleType>
        <xsd:restriction base="dms:Text">
          <xsd:maxLength value="255"/>
        </xsd:restriction>
      </xsd:simpleType>
    </xsd:element>
    <xsd:element name="Themes" ma:index="6" nillable="true" ma:displayName="Themes" ma:default="" ma:description="Select a theme that applies" ma:internalName="Themes">
      <xsd:complexType>
        <xsd:complexContent>
          <xsd:extension base="dms:MultiChoice">
            <xsd:sequence>
              <xsd:element name="Value" maxOccurs="unbounded" minOccurs="0" nillable="true">
                <xsd:simpleType>
                  <xsd:restriction base="dms:Choice">
                    <xsd:enumeration value="Arts and Culture"/>
                    <xsd:enumeration value="Atmosphere"/>
                    <xsd:enumeration value="Biodiversity"/>
                    <xsd:enumeration value="Coasts and Oceans"/>
                    <xsd:enumeration value="Education for Sustainability"/>
                    <xsd:enumeration value="Energy"/>
                    <xsd:enumeration value="EPBC Act"/>
                    <xsd:enumeration value="Heritage"/>
                    <xsd:enumeration value="Indigenous"/>
                    <xsd:enumeration value="Land management"/>
                    <xsd:enumeration value="Natural Resource Management"/>
                    <xsd:enumeration value="Parks and reserves"/>
                    <xsd:enumeration value="Water"/>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ma:readOnly="true"/>
        <xsd:element ref="dc:title" minOccurs="0" maxOccurs="1" ma:index="1" ma:displayName="Title"/>
        <xsd:element ref="dc:subject" minOccurs="0" maxOccurs="1"/>
        <xsd:element ref="dc:description" minOccurs="0" maxOccurs="1" ma:index="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_x0020_Section xmlns="d3d3a9f2-d6b9-4ac6-938b-c1d69a470220">Supervising Scientist Division</Publishing_x0020_Section>
    <Keywords1 xmlns="d3d3a9f2-d6b9-4ac6-938b-c1d69a470220" xsi:nil="true"/>
    <PublishingExpirationDate xmlns="http://schemas.microsoft.com/sharepoint/v3" xsi:nil="true"/>
    <Departmental_x0020_Keywords xmlns="deda4f78-c946-4019-9afe-72b647367a98" xsi:nil="true"/>
    <PublishingStartDate xmlns="http://schemas.microsoft.com/sharepoint/v3" xsi:nil="true"/>
    <Themes xmlns="d3d3a9f2-d6b9-4ac6-938b-c1d69a47022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12F9A3-B4F3-4008-8BF4-E0F280745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da4f78-c946-4019-9afe-72b647367a98"/>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C257790-E92B-42C2-BD03-EC1EB8B9AE46}">
  <ds:schemaRefs>
    <ds:schemaRef ds:uri="http://schemas.microsoft.com/office/2006/metadata/properties"/>
    <ds:schemaRef ds:uri="d3d3a9f2-d6b9-4ac6-938b-c1d69a470220"/>
    <ds:schemaRef ds:uri="http://schemas.microsoft.com/sharepoint/v3"/>
    <ds:schemaRef ds:uri="deda4f78-c946-4019-9afe-72b647367a98"/>
  </ds:schemaRefs>
</ds:datastoreItem>
</file>

<file path=customXml/itemProps3.xml><?xml version="1.0" encoding="utf-8"?>
<ds:datastoreItem xmlns:ds="http://schemas.openxmlformats.org/officeDocument/2006/customXml" ds:itemID="{2D23DF62-A110-45C5-835A-7F62D9A51E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2321</Words>
  <Characters>12735</Characters>
  <Application>Microsoft Office Word</Application>
  <DocSecurity>0</DocSecurity>
  <Lines>106</Lines>
  <Paragraphs>30</Paragraphs>
  <ScaleCrop>false</ScaleCrop>
  <Company>DEWHA</Company>
  <LinksUpToDate>false</LinksUpToDate>
  <CharactersWithSpaces>15026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SSR 203 - research consultancies</dc:title>
  <dc:creator>Australian Government Department of Sustainaiblity, Environment, Water, Population and Communities</dc:creator>
  <dc:description/>
  <cp:lastModifiedBy>a06368</cp:lastModifiedBy>
  <cp:revision>3</cp:revision>
  <cp:lastPrinted>1996-06-07T01:24:00Z</cp:lastPrinted>
  <dcterms:created xsi:type="dcterms:W3CDTF">2012-03-23T07:29:00Z</dcterms:created>
  <dcterms:modified xsi:type="dcterms:W3CDTF">2012-03-25T23:56:00Z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0x01010088984309824B1146AAD399139940223E</vt:lpwstr>
  </property>
</Properties>
</file>