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footer22.xml" ContentType="application/vnd.openxmlformats-officedocument.wordprocessingml.footer+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footer20.xml" ContentType="application/vnd.openxmlformats-officedocument.wordprocessingml.footer+xml"/>
  <Override PartName="/word/charts/chart1.xml" ContentType="application/vnd.openxmlformats-officedocument.drawingml.chart+xml"/>
  <Override PartName="/word/header39.xml" ContentType="application/vnd.openxmlformats-officedocument.wordprocessingml.header+xml"/>
  <Override PartName="/customXml/itemProps2.xml" ContentType="application/vnd.openxmlformats-officedocument.customXmlProperties+xml"/>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Default Extension="png" ContentType="image/png"/>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charts/chart4.xml" ContentType="application/vnd.openxmlformats-officedocument.drawingml.chart+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FAC" w:rsidRDefault="00D85FAC" w:rsidP="00D85FAC">
      <w:pPr>
        <w:pStyle w:val="Heading1"/>
        <w:spacing w:before="2000"/>
      </w:pPr>
      <w:bookmarkStart w:id="0" w:name="_Toc308710346"/>
      <w:bookmarkStart w:id="1" w:name="_Toc309215778"/>
      <w:bookmarkStart w:id="2" w:name="_Toc319670700"/>
      <w:bookmarkStart w:id="3" w:name="OLE_LINK2"/>
      <w:r>
        <w:t>Part 1:  Ranger – current operations</w:t>
      </w:r>
      <w:bookmarkEnd w:id="0"/>
      <w:bookmarkEnd w:id="1"/>
      <w:bookmarkEnd w:id="2"/>
      <w:bookmarkEnd w:id="3"/>
    </w:p>
    <w:p w:rsidR="00D85FAC" w:rsidRDefault="00D85FAC" w:rsidP="00D85FAC"/>
    <w:p w:rsidR="00D85FAC" w:rsidRPr="00243EB3" w:rsidRDefault="00D85FAC" w:rsidP="00D85FAC"/>
    <w:p w:rsidR="00D85FAC" w:rsidRDefault="00D85FAC" w:rsidP="00D85FAC">
      <w:pPr>
        <w:pStyle w:val="Heading2"/>
        <w:sectPr w:rsidR="00D85FAC" w:rsidSect="00D85FAC">
          <w:headerReference w:type="even" r:id="rId10"/>
          <w:footerReference w:type="even" r:id="rId11"/>
          <w:footerReference w:type="default" r:id="rId12"/>
          <w:headerReference w:type="first" r:id="rId13"/>
          <w:footerReference w:type="first" r:id="rId14"/>
          <w:footnotePr>
            <w:numRestart w:val="eachSect"/>
          </w:footnotePr>
          <w:pgSz w:w="11906" w:h="16838" w:code="9"/>
          <w:pgMar w:top="1440" w:right="1797" w:bottom="1440" w:left="1797" w:header="851" w:footer="833" w:gutter="0"/>
          <w:pgNumType w:start="1"/>
          <w:cols w:space="360"/>
          <w:noEndnote/>
        </w:sectPr>
      </w:pPr>
      <w:bookmarkStart w:id="4" w:name="_Toc308710347"/>
      <w:bookmarkStart w:id="5" w:name="_Toc309215779"/>
    </w:p>
    <w:p w:rsidR="00D85FAC" w:rsidRDefault="00D85FAC" w:rsidP="00D85FAC">
      <w:pPr>
        <w:pStyle w:val="Heading1"/>
        <w:rPr>
          <w:lang w:val="en-US"/>
        </w:rPr>
      </w:pPr>
      <w:bookmarkStart w:id="6" w:name="_Toc309215781"/>
      <w:bookmarkStart w:id="7" w:name="_Toc319670701"/>
      <w:bookmarkEnd w:id="4"/>
      <w:bookmarkEnd w:id="5"/>
      <w:r w:rsidRPr="00B030B6">
        <w:rPr>
          <w:lang w:val="en-US"/>
        </w:rPr>
        <w:lastRenderedPageBreak/>
        <w:t>Conceptual models of contaminant transport pathways for the operational phase of the Ranger mine</w:t>
      </w:r>
      <w:bookmarkEnd w:id="6"/>
      <w:bookmarkEnd w:id="7"/>
    </w:p>
    <w:p w:rsidR="00D85FAC" w:rsidRPr="008E44C5" w:rsidRDefault="00D85FAC" w:rsidP="00D85FAC">
      <w:pPr>
        <w:pStyle w:val="authors"/>
        <w:spacing w:after="800"/>
      </w:pPr>
      <w:bookmarkStart w:id="8" w:name="_Toc316987204"/>
      <w:bookmarkStart w:id="9" w:name="_Toc319670702"/>
      <w:r>
        <w:t>S Parker, RE Bartolo &amp; RA van Dam</w:t>
      </w:r>
      <w:bookmarkEnd w:id="8"/>
      <w:bookmarkEnd w:id="9"/>
    </w:p>
    <w:p w:rsidR="00D85FAC" w:rsidRDefault="00D85FAC" w:rsidP="00D85FAC">
      <w:pPr>
        <w:pStyle w:val="Heading2"/>
      </w:pPr>
      <w:bookmarkStart w:id="10" w:name="_Toc313523399"/>
      <w:bookmarkStart w:id="11" w:name="_Toc316985242"/>
      <w:r>
        <w:t>Background</w:t>
      </w:r>
      <w:bookmarkEnd w:id="10"/>
      <w:bookmarkEnd w:id="11"/>
    </w:p>
    <w:p w:rsidR="00D85FAC" w:rsidRDefault="00D85FAC" w:rsidP="00D85FAC">
      <w:r>
        <w:t>Conceptual models of potential contaminant pathways associated with uranium mining in the ARR have been developed as part of the evolving ecological risk assessment framework that was started by the Supervising Scientist in the early 1980s. In response to recommendations by the World Heritage Commission Independent Scientific Panel and ARRTC, a specific project was initiated to produce a comprehensive conceptual model of contaminant pathways associated with the operational phase of the Ranger mine.</w:t>
      </w:r>
    </w:p>
    <w:p w:rsidR="00D85FAC" w:rsidRDefault="00D85FAC" w:rsidP="00D85FAC">
      <w:r>
        <w:t>Development of a new conceptual model of contaminant pathways associated with the operational mining phase was commenced in 2004. The primary purpose of the conceptual model was to place off-site environmental impact issues associated with the operational phase of mining at Ranger into a risk management context. Although an overall tabular and diagrammatic form of the main elements of the conceptual model was produced, sub-models for the multiple contaminant pathways identified in the conceptual model were not finalised at the time.</w:t>
      </w:r>
      <w:r w:rsidDel="00930FF0">
        <w:t xml:space="preserve"> </w:t>
      </w:r>
      <w:r>
        <w:t xml:space="preserve">Much of this work was completed in 2009–10 (see 2009–10 Supervising Scientist annual report), resulting in a total of 32 stressor/contaminant pathway sub-models identified and reviewed. Efforts in 2010–11 focused on finalising an assessment of the relative importance of each pathway in terms of its potential to cause adverse ecological effects to the off-site environment. </w:t>
      </w:r>
    </w:p>
    <w:p w:rsidR="00D85FAC" w:rsidRPr="00B030B6" w:rsidRDefault="00D85FAC" w:rsidP="00D85FAC">
      <w:pPr>
        <w:pStyle w:val="Heading2"/>
      </w:pPr>
      <w:bookmarkStart w:id="12" w:name="_Toc303074376"/>
      <w:bookmarkStart w:id="13" w:name="_Toc313523400"/>
      <w:bookmarkStart w:id="14" w:name="_Toc316985243"/>
      <w:r w:rsidRPr="00B030B6">
        <w:t>Methods</w:t>
      </w:r>
      <w:bookmarkEnd w:id="12"/>
      <w:bookmarkEnd w:id="13"/>
      <w:bookmarkEnd w:id="14"/>
    </w:p>
    <w:p w:rsidR="00D85FAC" w:rsidRDefault="00D85FAC" w:rsidP="00D85FAC">
      <w:pPr>
        <w:pStyle w:val="bulletlist1"/>
        <w:tabs>
          <w:tab w:val="clear" w:pos="720"/>
        </w:tabs>
        <w:ind w:left="0" w:firstLine="0"/>
        <w:rPr>
          <w:spacing w:val="-2"/>
          <w:lang w:eastAsia="en-AU"/>
        </w:rPr>
      </w:pPr>
      <w:r w:rsidRPr="00F34878">
        <w:rPr>
          <w:spacing w:val="-2"/>
        </w:rPr>
        <w:t xml:space="preserve">An internal expert panel approach was used to produce a total importance score for each contaminant pathway. A standard 3 </w:t>
      </w:r>
      <w:r w:rsidRPr="00F34878">
        <w:rPr>
          <w:spacing w:val="-2"/>
        </w:rPr>
        <w:sym w:font="Symbol" w:char="F0B4"/>
      </w:r>
      <w:r w:rsidRPr="00F34878">
        <w:rPr>
          <w:spacing w:val="-2"/>
        </w:rPr>
        <w:t xml:space="preserve"> 3 scoring matrix (Table </w:t>
      </w:r>
      <w:r>
        <w:rPr>
          <w:spacing w:val="-2"/>
        </w:rPr>
        <w:t>1</w:t>
      </w:r>
      <w:r w:rsidRPr="00F34878">
        <w:rPr>
          <w:spacing w:val="-2"/>
        </w:rPr>
        <w:t xml:space="preserve">) was developed with the magnitude of the assigned score being based </w:t>
      </w:r>
      <w:r w:rsidRPr="00595B11">
        <w:t>on (a) the size/potential maximum generating capacity of the relevant contaminant source (</w:t>
      </w:r>
      <w:r w:rsidRPr="00595B11">
        <w:rPr>
          <w:i/>
        </w:rPr>
        <w:t>high</w:t>
      </w:r>
      <w:r w:rsidRPr="00595B11">
        <w:t xml:space="preserve">, </w:t>
      </w:r>
      <w:r w:rsidRPr="00595B11">
        <w:rPr>
          <w:i/>
        </w:rPr>
        <w:t>medium</w:t>
      </w:r>
      <w:r w:rsidRPr="00595B11">
        <w:t xml:space="preserve"> or </w:t>
      </w:r>
      <w:r w:rsidRPr="00595B11">
        <w:rPr>
          <w:i/>
        </w:rPr>
        <w:t>low</w:t>
      </w:r>
      <w:r w:rsidRPr="00595B11">
        <w:t>); and (b) the potential maximum capacity (load and rate) of the relevant pathway to transport contaminants from the mine site to the surrounding environment (</w:t>
      </w:r>
      <w:r w:rsidRPr="00595B11">
        <w:rPr>
          <w:i/>
        </w:rPr>
        <w:t>high</w:t>
      </w:r>
      <w:r w:rsidRPr="00595B11">
        <w:t xml:space="preserve">, </w:t>
      </w:r>
      <w:r w:rsidRPr="00595B11">
        <w:rPr>
          <w:i/>
        </w:rPr>
        <w:t>medium</w:t>
      </w:r>
      <w:r w:rsidRPr="00595B11">
        <w:t xml:space="preserve"> or </w:t>
      </w:r>
      <w:r w:rsidRPr="00595B11">
        <w:rPr>
          <w:i/>
        </w:rPr>
        <w:t>low</w:t>
      </w:r>
      <w:r w:rsidRPr="00595B11">
        <w:t>).</w:t>
      </w:r>
      <w:r w:rsidRPr="00F34878">
        <w:rPr>
          <w:spacing w:val="-2"/>
        </w:rPr>
        <w:t xml:space="preserve"> </w:t>
      </w:r>
      <w:r w:rsidRPr="00F34878">
        <w:rPr>
          <w:spacing w:val="-2"/>
          <w:lang w:val="en-US" w:eastAsia="en-AU"/>
        </w:rPr>
        <w:t xml:space="preserve">The current level of scientific </w:t>
      </w:r>
      <w:r w:rsidRPr="00F34878">
        <w:rPr>
          <w:spacing w:val="-2"/>
          <w:lang w:eastAsia="en-AU"/>
        </w:rPr>
        <w:t>certainty</w:t>
      </w:r>
      <w:r>
        <w:rPr>
          <w:spacing w:val="-2"/>
          <w:lang w:eastAsia="en-AU"/>
        </w:rPr>
        <w:t xml:space="preserve"> (for knowledge pertaining to pathways, excluding impact)</w:t>
      </w:r>
      <w:r w:rsidRPr="00F34878">
        <w:rPr>
          <w:spacing w:val="-2"/>
          <w:lang w:eastAsia="en-AU"/>
        </w:rPr>
        <w:t xml:space="preserve"> based on existing research and monitoring (</w:t>
      </w:r>
      <w:r w:rsidRPr="00F34878">
        <w:rPr>
          <w:i/>
          <w:spacing w:val="-2"/>
          <w:lang w:eastAsia="en-AU"/>
        </w:rPr>
        <w:t>high</w:t>
      </w:r>
      <w:r w:rsidRPr="00F34878">
        <w:rPr>
          <w:spacing w:val="-2"/>
          <w:lang w:eastAsia="en-AU"/>
        </w:rPr>
        <w:t xml:space="preserve">, </w:t>
      </w:r>
      <w:r w:rsidRPr="00F34878">
        <w:rPr>
          <w:i/>
          <w:spacing w:val="-2"/>
          <w:lang w:eastAsia="en-AU"/>
        </w:rPr>
        <w:t>medium</w:t>
      </w:r>
      <w:r w:rsidRPr="00F34878">
        <w:rPr>
          <w:spacing w:val="-2"/>
          <w:lang w:eastAsia="en-AU"/>
        </w:rPr>
        <w:t xml:space="preserve"> or </w:t>
      </w:r>
      <w:r w:rsidRPr="00F34878">
        <w:rPr>
          <w:i/>
          <w:spacing w:val="-2"/>
          <w:lang w:eastAsia="en-AU"/>
        </w:rPr>
        <w:t>low</w:t>
      </w:r>
      <w:r w:rsidRPr="00F34878">
        <w:rPr>
          <w:spacing w:val="-2"/>
          <w:lang w:eastAsia="en-AU"/>
        </w:rPr>
        <w:t xml:space="preserve">) information and the current level of adverse </w:t>
      </w:r>
      <w:r>
        <w:rPr>
          <w:spacing w:val="-2"/>
          <w:lang w:eastAsia="en-AU"/>
        </w:rPr>
        <w:t>eco</w:t>
      </w:r>
      <w:r w:rsidRPr="00F34878">
        <w:rPr>
          <w:spacing w:val="-2"/>
          <w:lang w:eastAsia="en-AU"/>
        </w:rPr>
        <w:t>logical impact on receptors based on results from monitoring (</w:t>
      </w:r>
      <w:r w:rsidRPr="00F34878">
        <w:rPr>
          <w:i/>
          <w:spacing w:val="-2"/>
          <w:lang w:eastAsia="en-AU"/>
        </w:rPr>
        <w:t>yes</w:t>
      </w:r>
      <w:r w:rsidRPr="00F34878">
        <w:rPr>
          <w:spacing w:val="-2"/>
          <w:lang w:eastAsia="en-AU"/>
        </w:rPr>
        <w:t xml:space="preserve">, </w:t>
      </w:r>
      <w:r w:rsidRPr="00F34878">
        <w:rPr>
          <w:i/>
          <w:spacing w:val="-2"/>
          <w:lang w:eastAsia="en-AU"/>
        </w:rPr>
        <w:t>no</w:t>
      </w:r>
      <w:r w:rsidRPr="00F34878">
        <w:rPr>
          <w:spacing w:val="-2"/>
          <w:lang w:eastAsia="en-AU"/>
        </w:rPr>
        <w:t xml:space="preserve"> or </w:t>
      </w:r>
      <w:r w:rsidRPr="00F34878">
        <w:rPr>
          <w:i/>
          <w:spacing w:val="-2"/>
          <w:lang w:eastAsia="en-AU"/>
        </w:rPr>
        <w:t>unknown</w:t>
      </w:r>
      <w:r w:rsidRPr="00F34878">
        <w:rPr>
          <w:spacing w:val="-2"/>
          <w:lang w:eastAsia="en-AU"/>
        </w:rPr>
        <w:t xml:space="preserve">) associated with each contaminant pathway was also determined and reported. </w:t>
      </w:r>
    </w:p>
    <w:p w:rsidR="00D85FAC" w:rsidRPr="00F34878" w:rsidRDefault="00D85FAC" w:rsidP="00D85FAC">
      <w:pPr>
        <w:pStyle w:val="tablecaption"/>
        <w:rPr>
          <w:spacing w:val="-2"/>
        </w:rPr>
      </w:pPr>
      <w:r w:rsidRPr="00595B11">
        <w:rPr>
          <w:b/>
        </w:rPr>
        <w:t xml:space="preserve">Table </w:t>
      </w:r>
      <w:proofErr w:type="gramStart"/>
      <w:r w:rsidRPr="00595B11">
        <w:rPr>
          <w:b/>
        </w:rPr>
        <w:t>1</w:t>
      </w:r>
      <w:r>
        <w:t xml:space="preserve">  scoring</w:t>
      </w:r>
      <w:proofErr w:type="gramEnd"/>
      <w:r>
        <w:t xml:space="preserve"> matrix for assessment of relative importance of contaminant pathways</w:t>
      </w:r>
    </w:p>
    <w:tbl>
      <w:tblPr>
        <w:tblW w:w="0" w:type="auto"/>
        <w:tblLook w:val="01E0"/>
      </w:tblPr>
      <w:tblGrid>
        <w:gridCol w:w="1532"/>
        <w:gridCol w:w="1532"/>
        <w:gridCol w:w="1532"/>
        <w:gridCol w:w="1532"/>
        <w:gridCol w:w="1533"/>
      </w:tblGrid>
      <w:tr w:rsidR="00D85FAC" w:rsidTr="00D85FAC">
        <w:tc>
          <w:tcPr>
            <w:tcW w:w="3064" w:type="dxa"/>
            <w:gridSpan w:val="2"/>
            <w:tcBorders>
              <w:bottom w:val="single" w:sz="8" w:space="0" w:color="C0C0C0"/>
            </w:tcBorders>
          </w:tcPr>
          <w:p w:rsidR="00D85FAC" w:rsidRDefault="00D85FAC" w:rsidP="00D85FAC">
            <w:pPr>
              <w:pStyle w:val="table1"/>
            </w:pPr>
          </w:p>
        </w:tc>
        <w:tc>
          <w:tcPr>
            <w:tcW w:w="4597" w:type="dxa"/>
            <w:gridSpan w:val="3"/>
            <w:tcBorders>
              <w:bottom w:val="single" w:sz="8" w:space="0" w:color="C0C0C0"/>
              <w:right w:val="single" w:sz="8" w:space="0" w:color="C0C0C0"/>
            </w:tcBorders>
          </w:tcPr>
          <w:p w:rsidR="00D85FAC" w:rsidRPr="001160E7" w:rsidRDefault="00D85FAC" w:rsidP="00D85FAC">
            <w:pPr>
              <w:pStyle w:val="table1"/>
              <w:jc w:val="center"/>
              <w:rPr>
                <w:b/>
              </w:rPr>
            </w:pPr>
            <w:r>
              <w:rPr>
                <w:b/>
              </w:rPr>
              <w:t>Maximum size/generating capacity of source</w:t>
            </w:r>
          </w:p>
        </w:tc>
      </w:tr>
      <w:tr w:rsidR="00D85FAC" w:rsidTr="00D85FAC">
        <w:tc>
          <w:tcPr>
            <w:tcW w:w="1532" w:type="dxa"/>
            <w:vMerge w:val="restart"/>
            <w:tcBorders>
              <w:top w:val="single" w:sz="8" w:space="0" w:color="C0C0C0"/>
            </w:tcBorders>
            <w:textDirection w:val="btLr"/>
          </w:tcPr>
          <w:p w:rsidR="00D85FAC" w:rsidRPr="00441281" w:rsidRDefault="00D85FAC" w:rsidP="00D85FAC">
            <w:pPr>
              <w:pStyle w:val="table1"/>
              <w:ind w:left="113" w:right="113"/>
              <w:jc w:val="center"/>
              <w:rPr>
                <w:b/>
              </w:rPr>
            </w:pPr>
            <w:r>
              <w:rPr>
                <w:b/>
              </w:rPr>
              <w:t>Maximum capacity of pathway</w:t>
            </w:r>
          </w:p>
        </w:tc>
        <w:tc>
          <w:tcPr>
            <w:tcW w:w="1532" w:type="dxa"/>
            <w:tcBorders>
              <w:top w:val="single" w:sz="8" w:space="0" w:color="C0C0C0"/>
            </w:tcBorders>
          </w:tcPr>
          <w:p w:rsidR="00D85FAC" w:rsidRDefault="00D85FAC" w:rsidP="00D85FAC">
            <w:pPr>
              <w:pStyle w:val="table1"/>
            </w:pPr>
          </w:p>
        </w:tc>
        <w:tc>
          <w:tcPr>
            <w:tcW w:w="1532" w:type="dxa"/>
            <w:tcBorders>
              <w:top w:val="single" w:sz="8" w:space="0" w:color="C0C0C0"/>
            </w:tcBorders>
          </w:tcPr>
          <w:p w:rsidR="00D85FAC" w:rsidRPr="001160E7" w:rsidRDefault="00D85FAC" w:rsidP="00D85FAC">
            <w:pPr>
              <w:pStyle w:val="table1"/>
              <w:jc w:val="center"/>
              <w:rPr>
                <w:b/>
              </w:rPr>
            </w:pPr>
            <w:r w:rsidRPr="001160E7">
              <w:rPr>
                <w:b/>
              </w:rPr>
              <w:t>Low</w:t>
            </w:r>
          </w:p>
        </w:tc>
        <w:tc>
          <w:tcPr>
            <w:tcW w:w="1532" w:type="dxa"/>
            <w:tcBorders>
              <w:top w:val="single" w:sz="8" w:space="0" w:color="C0C0C0"/>
            </w:tcBorders>
          </w:tcPr>
          <w:p w:rsidR="00D85FAC" w:rsidRPr="001160E7" w:rsidRDefault="00D85FAC" w:rsidP="00D85FAC">
            <w:pPr>
              <w:pStyle w:val="table1"/>
              <w:jc w:val="center"/>
              <w:rPr>
                <w:b/>
              </w:rPr>
            </w:pPr>
            <w:r w:rsidRPr="001160E7">
              <w:rPr>
                <w:b/>
              </w:rPr>
              <w:t>Medium</w:t>
            </w:r>
          </w:p>
        </w:tc>
        <w:tc>
          <w:tcPr>
            <w:tcW w:w="1533" w:type="dxa"/>
            <w:tcBorders>
              <w:top w:val="single" w:sz="8" w:space="0" w:color="C0C0C0"/>
              <w:right w:val="single" w:sz="8" w:space="0" w:color="C0C0C0"/>
            </w:tcBorders>
          </w:tcPr>
          <w:p w:rsidR="00D85FAC" w:rsidRPr="001160E7" w:rsidRDefault="00D85FAC" w:rsidP="00D85FAC">
            <w:pPr>
              <w:pStyle w:val="table1"/>
              <w:jc w:val="center"/>
              <w:rPr>
                <w:b/>
              </w:rPr>
            </w:pPr>
            <w:r w:rsidRPr="001160E7">
              <w:rPr>
                <w:b/>
              </w:rPr>
              <w:t>High</w:t>
            </w:r>
          </w:p>
        </w:tc>
      </w:tr>
      <w:tr w:rsidR="00D85FAC" w:rsidTr="00D85FAC">
        <w:tc>
          <w:tcPr>
            <w:tcW w:w="1532" w:type="dxa"/>
            <w:vMerge/>
          </w:tcPr>
          <w:p w:rsidR="00D85FAC" w:rsidRDefault="00D85FAC" w:rsidP="00D85FAC">
            <w:pPr>
              <w:pStyle w:val="table1"/>
            </w:pPr>
          </w:p>
        </w:tc>
        <w:tc>
          <w:tcPr>
            <w:tcW w:w="1532" w:type="dxa"/>
          </w:tcPr>
          <w:p w:rsidR="00D85FAC" w:rsidRPr="00441281" w:rsidRDefault="00D85FAC" w:rsidP="00D85FAC">
            <w:pPr>
              <w:pStyle w:val="table1"/>
              <w:jc w:val="center"/>
              <w:rPr>
                <w:b/>
              </w:rPr>
            </w:pPr>
            <w:r w:rsidRPr="00441281">
              <w:rPr>
                <w:b/>
              </w:rPr>
              <w:t>Low</w:t>
            </w:r>
          </w:p>
        </w:tc>
        <w:tc>
          <w:tcPr>
            <w:tcW w:w="1532" w:type="dxa"/>
            <w:shd w:val="clear" w:color="auto" w:fill="E0E0E0"/>
          </w:tcPr>
          <w:p w:rsidR="00D85FAC" w:rsidRDefault="00D85FAC" w:rsidP="00D85FAC">
            <w:pPr>
              <w:pStyle w:val="table1"/>
              <w:jc w:val="center"/>
            </w:pPr>
            <w:r>
              <w:t>Low</w:t>
            </w:r>
          </w:p>
        </w:tc>
        <w:tc>
          <w:tcPr>
            <w:tcW w:w="1532" w:type="dxa"/>
            <w:shd w:val="clear" w:color="auto" w:fill="E0E0E0"/>
          </w:tcPr>
          <w:p w:rsidR="00D85FAC" w:rsidRDefault="00D85FAC" w:rsidP="00D85FAC">
            <w:pPr>
              <w:pStyle w:val="table1"/>
              <w:jc w:val="center"/>
            </w:pPr>
            <w:r>
              <w:t>Low</w:t>
            </w:r>
          </w:p>
        </w:tc>
        <w:tc>
          <w:tcPr>
            <w:tcW w:w="1533" w:type="dxa"/>
            <w:tcBorders>
              <w:right w:val="single" w:sz="8" w:space="0" w:color="C0C0C0"/>
            </w:tcBorders>
            <w:shd w:val="clear" w:color="auto" w:fill="B3B3B3"/>
          </w:tcPr>
          <w:p w:rsidR="00D85FAC" w:rsidRDefault="00D85FAC" w:rsidP="00D85FAC">
            <w:pPr>
              <w:pStyle w:val="table1"/>
              <w:jc w:val="center"/>
            </w:pPr>
            <w:r>
              <w:t>Medium</w:t>
            </w:r>
          </w:p>
        </w:tc>
      </w:tr>
      <w:tr w:rsidR="00D85FAC" w:rsidTr="00D85FAC">
        <w:tc>
          <w:tcPr>
            <w:tcW w:w="1532" w:type="dxa"/>
            <w:vMerge/>
          </w:tcPr>
          <w:p w:rsidR="00D85FAC" w:rsidRDefault="00D85FAC" w:rsidP="00D85FAC">
            <w:pPr>
              <w:pStyle w:val="table1"/>
            </w:pPr>
          </w:p>
        </w:tc>
        <w:tc>
          <w:tcPr>
            <w:tcW w:w="1532" w:type="dxa"/>
          </w:tcPr>
          <w:p w:rsidR="00D85FAC" w:rsidRPr="00441281" w:rsidRDefault="00D85FAC" w:rsidP="00D85FAC">
            <w:pPr>
              <w:pStyle w:val="table1"/>
              <w:jc w:val="center"/>
              <w:rPr>
                <w:b/>
              </w:rPr>
            </w:pPr>
            <w:r w:rsidRPr="00441281">
              <w:rPr>
                <w:b/>
              </w:rPr>
              <w:t>Medium</w:t>
            </w:r>
          </w:p>
        </w:tc>
        <w:tc>
          <w:tcPr>
            <w:tcW w:w="1532" w:type="dxa"/>
            <w:shd w:val="clear" w:color="auto" w:fill="E0E0E0"/>
          </w:tcPr>
          <w:p w:rsidR="00D85FAC" w:rsidRDefault="00D85FAC" w:rsidP="00D85FAC">
            <w:pPr>
              <w:pStyle w:val="table1"/>
              <w:jc w:val="center"/>
            </w:pPr>
            <w:r>
              <w:t>Low</w:t>
            </w:r>
          </w:p>
        </w:tc>
        <w:tc>
          <w:tcPr>
            <w:tcW w:w="1532" w:type="dxa"/>
            <w:shd w:val="clear" w:color="auto" w:fill="B3B3B3"/>
          </w:tcPr>
          <w:p w:rsidR="00D85FAC" w:rsidRDefault="00D85FAC" w:rsidP="00D85FAC">
            <w:pPr>
              <w:pStyle w:val="table1"/>
              <w:jc w:val="center"/>
            </w:pPr>
            <w:r>
              <w:t>Medium</w:t>
            </w:r>
          </w:p>
        </w:tc>
        <w:tc>
          <w:tcPr>
            <w:tcW w:w="1533" w:type="dxa"/>
            <w:tcBorders>
              <w:right w:val="single" w:sz="8" w:space="0" w:color="C0C0C0"/>
            </w:tcBorders>
            <w:shd w:val="clear" w:color="auto" w:fill="B3B3B3"/>
          </w:tcPr>
          <w:p w:rsidR="00D85FAC" w:rsidRDefault="00D85FAC" w:rsidP="00D85FAC">
            <w:pPr>
              <w:pStyle w:val="table1"/>
              <w:jc w:val="center"/>
            </w:pPr>
            <w:r>
              <w:t>Medium</w:t>
            </w:r>
          </w:p>
        </w:tc>
      </w:tr>
      <w:tr w:rsidR="00D85FAC" w:rsidTr="00D85FAC">
        <w:tc>
          <w:tcPr>
            <w:tcW w:w="1532" w:type="dxa"/>
            <w:vMerge/>
            <w:tcBorders>
              <w:bottom w:val="single" w:sz="8" w:space="0" w:color="C0C0C0"/>
            </w:tcBorders>
          </w:tcPr>
          <w:p w:rsidR="00D85FAC" w:rsidRDefault="00D85FAC" w:rsidP="00D85FAC">
            <w:pPr>
              <w:pStyle w:val="table1"/>
            </w:pPr>
          </w:p>
        </w:tc>
        <w:tc>
          <w:tcPr>
            <w:tcW w:w="1532" w:type="dxa"/>
            <w:tcBorders>
              <w:bottom w:val="single" w:sz="8" w:space="0" w:color="C0C0C0"/>
            </w:tcBorders>
          </w:tcPr>
          <w:p w:rsidR="00D85FAC" w:rsidRPr="00441281" w:rsidRDefault="00D85FAC" w:rsidP="00D85FAC">
            <w:pPr>
              <w:pStyle w:val="table1"/>
              <w:jc w:val="center"/>
              <w:rPr>
                <w:b/>
              </w:rPr>
            </w:pPr>
            <w:r w:rsidRPr="00441281">
              <w:rPr>
                <w:b/>
              </w:rPr>
              <w:t>High</w:t>
            </w:r>
          </w:p>
        </w:tc>
        <w:tc>
          <w:tcPr>
            <w:tcW w:w="1532" w:type="dxa"/>
            <w:tcBorders>
              <w:bottom w:val="single" w:sz="8" w:space="0" w:color="C0C0C0"/>
            </w:tcBorders>
            <w:shd w:val="clear" w:color="auto" w:fill="B3B3B3"/>
          </w:tcPr>
          <w:p w:rsidR="00D85FAC" w:rsidRDefault="00D85FAC" w:rsidP="00D85FAC">
            <w:pPr>
              <w:pStyle w:val="table1"/>
              <w:jc w:val="center"/>
            </w:pPr>
            <w:r>
              <w:t>Medium</w:t>
            </w:r>
          </w:p>
        </w:tc>
        <w:tc>
          <w:tcPr>
            <w:tcW w:w="1532" w:type="dxa"/>
            <w:tcBorders>
              <w:bottom w:val="single" w:sz="8" w:space="0" w:color="C0C0C0"/>
            </w:tcBorders>
            <w:shd w:val="clear" w:color="auto" w:fill="B3B3B3"/>
          </w:tcPr>
          <w:p w:rsidR="00D85FAC" w:rsidRDefault="00D85FAC" w:rsidP="00D85FAC">
            <w:pPr>
              <w:pStyle w:val="table1"/>
              <w:jc w:val="center"/>
            </w:pPr>
            <w:r>
              <w:t>Medium</w:t>
            </w:r>
          </w:p>
        </w:tc>
        <w:tc>
          <w:tcPr>
            <w:tcW w:w="1533" w:type="dxa"/>
            <w:tcBorders>
              <w:bottom w:val="single" w:sz="8" w:space="0" w:color="C0C0C0"/>
              <w:right w:val="single" w:sz="8" w:space="0" w:color="C0C0C0"/>
            </w:tcBorders>
            <w:shd w:val="clear" w:color="auto" w:fill="808080"/>
          </w:tcPr>
          <w:p w:rsidR="00D85FAC" w:rsidRDefault="00D85FAC" w:rsidP="00D85FAC">
            <w:pPr>
              <w:pStyle w:val="table1"/>
              <w:jc w:val="center"/>
            </w:pPr>
            <w:r>
              <w:t>High</w:t>
            </w:r>
          </w:p>
        </w:tc>
      </w:tr>
    </w:tbl>
    <w:p w:rsidR="00D85FAC" w:rsidRDefault="00D85FAC" w:rsidP="00D85FAC">
      <w:pPr>
        <w:pStyle w:val="tablenote"/>
        <w:spacing w:before="0"/>
      </w:pPr>
    </w:p>
    <w:p w:rsidR="00D85FAC" w:rsidRPr="00344789" w:rsidRDefault="00D85FAC" w:rsidP="00D85FAC">
      <w:pPr>
        <w:pStyle w:val="Heading2"/>
      </w:pPr>
      <w:bookmarkStart w:id="15" w:name="_Toc303074377"/>
      <w:bookmarkStart w:id="16" w:name="_Toc308710349"/>
      <w:bookmarkStart w:id="17" w:name="_Toc308773031"/>
      <w:bookmarkStart w:id="18" w:name="_Toc309215782"/>
      <w:bookmarkStart w:id="19" w:name="_Toc313523401"/>
      <w:bookmarkStart w:id="20" w:name="_Toc316985244"/>
      <w:r w:rsidRPr="00344789">
        <w:lastRenderedPageBreak/>
        <w:t>Results</w:t>
      </w:r>
      <w:bookmarkEnd w:id="15"/>
      <w:bookmarkEnd w:id="16"/>
      <w:bookmarkEnd w:id="17"/>
      <w:bookmarkEnd w:id="18"/>
      <w:bookmarkEnd w:id="19"/>
      <w:bookmarkEnd w:id="20"/>
    </w:p>
    <w:p w:rsidR="00D85FAC" w:rsidRDefault="00D85FAC" w:rsidP="00D85FAC">
      <w:r>
        <w:t xml:space="preserve">Six of the 32 stressor/contaminant pathway sub-models were assessed as being of high importance during the operational phase of mining (Table 2). For five of these six pathways the available comprehensive monitoring data indicates no detectable impact on the environment outside of the mining lease. For the case of the remaining pathway (inorganic stressors- airborne emissions) it was judged that there was insufficient evidence to say that there was no measurable environmental impact. </w:t>
      </w:r>
    </w:p>
    <w:p w:rsidR="00D85FAC" w:rsidRPr="00DC14D8" w:rsidRDefault="00D85FAC" w:rsidP="00D85FAC">
      <w:pPr>
        <w:rPr>
          <w:spacing w:val="-2"/>
        </w:rPr>
      </w:pPr>
      <w:r w:rsidRPr="00DC14D8">
        <w:rPr>
          <w:spacing w:val="-2"/>
        </w:rPr>
        <w:t xml:space="preserve">The main mine-derived inorganic contaminants involved in the inorganic stressors- airborne emissions pathway are sulfur (as sulfur dioxide) and nitrogen (as nitrogen oxides) released from the power station stack, nitrogen oxides from the product calciner stack, ammonia released as fugitive emissions from storage tanks and pipes or the water treatment plant, and other inorganic emissions from vehicles and mining plant or equipment. Whilst point source monitoring of stacks on the mine site is conducted by the mine operator, not all of these data have been assessed in an environmental impact context. In the case of sulfur, emissions of sulfur dioxide from the power station are unlikely to be an issue since measurements that were made when the acid plant was also operating, indicated that the mine site made an insignificant contribution to the total load of S being deposited from the atmosphere in the local region. </w:t>
      </w:r>
    </w:p>
    <w:p w:rsidR="00D85FAC" w:rsidRDefault="00D85FAC" w:rsidP="00D85FAC">
      <w:r>
        <w:t xml:space="preserve">Of the remaining sub-models, 21 were assigned medium importance and 6 low </w:t>
      </w:r>
      <w:proofErr w:type="gramStart"/>
      <w:r>
        <w:t>importance</w:t>
      </w:r>
      <w:proofErr w:type="gramEnd"/>
      <w:r>
        <w:t xml:space="preserve"> (details not presented here).</w:t>
      </w:r>
    </w:p>
    <w:p w:rsidR="00D85FAC" w:rsidRDefault="00D85FAC" w:rsidP="00D85FAC">
      <w:r>
        <w:t xml:space="preserve">Three of the six pathways assessed as being of high importance relate to the transport of contaminants via the surface water to surface water pathway. This is not unexpected given that the surrounding surface water systems are the primary potential receptors of contaminants released in runoff from the mine site. </w:t>
      </w:r>
    </w:p>
    <w:p w:rsidR="00D85FAC" w:rsidRDefault="00D85FAC" w:rsidP="00D85FAC">
      <w:pPr>
        <w:pStyle w:val="tablecaption"/>
      </w:pPr>
      <w:r w:rsidRPr="00595B11">
        <w:rPr>
          <w:b/>
        </w:rPr>
        <w:t xml:space="preserve">Table </w:t>
      </w:r>
      <w:proofErr w:type="gramStart"/>
      <w:r w:rsidRPr="00595B11">
        <w:rPr>
          <w:b/>
        </w:rPr>
        <w:t>2</w:t>
      </w:r>
      <w:r>
        <w:t xml:space="preserve">  Contaminant</w:t>
      </w:r>
      <w:proofErr w:type="gramEnd"/>
      <w:r>
        <w:t xml:space="preserve"> pathways for Ranger uranium mine assessed as being of high  importance based on size/maximum capacity of sources and maximum capacity of pathway</w:t>
      </w:r>
    </w:p>
    <w:tbl>
      <w:tblPr>
        <w:tblW w:w="0" w:type="auto"/>
        <w:tblLayout w:type="fixed"/>
        <w:tblLook w:val="01E0"/>
      </w:tblPr>
      <w:tblGrid>
        <w:gridCol w:w="2178"/>
        <w:gridCol w:w="1080"/>
        <w:gridCol w:w="1080"/>
        <w:gridCol w:w="990"/>
        <w:gridCol w:w="1170"/>
        <w:gridCol w:w="1163"/>
      </w:tblGrid>
      <w:tr w:rsidR="00D85FAC" w:rsidTr="00D85FAC">
        <w:tc>
          <w:tcPr>
            <w:tcW w:w="2178" w:type="dxa"/>
            <w:tcBorders>
              <w:bottom w:val="single" w:sz="8" w:space="0" w:color="C0C0C0"/>
            </w:tcBorders>
          </w:tcPr>
          <w:p w:rsidR="00D85FAC" w:rsidRPr="00255724" w:rsidRDefault="00D85FAC" w:rsidP="00D85FAC">
            <w:pPr>
              <w:pStyle w:val="table1"/>
              <w:rPr>
                <w:b/>
              </w:rPr>
            </w:pPr>
            <w:r>
              <w:rPr>
                <w:b/>
              </w:rPr>
              <w:t>Pathway</w:t>
            </w:r>
          </w:p>
        </w:tc>
        <w:tc>
          <w:tcPr>
            <w:tcW w:w="1080" w:type="dxa"/>
            <w:tcBorders>
              <w:bottom w:val="single" w:sz="8" w:space="0" w:color="C0C0C0"/>
            </w:tcBorders>
          </w:tcPr>
          <w:p w:rsidR="00D85FAC" w:rsidRPr="00255724" w:rsidRDefault="00D85FAC" w:rsidP="00D85FAC">
            <w:pPr>
              <w:pStyle w:val="table1"/>
              <w:jc w:val="center"/>
              <w:rPr>
                <w:b/>
              </w:rPr>
            </w:pPr>
            <w:r>
              <w:rPr>
                <w:b/>
              </w:rPr>
              <w:t>Size/max generating capacity of source (H,M,L)</w:t>
            </w:r>
          </w:p>
        </w:tc>
        <w:tc>
          <w:tcPr>
            <w:tcW w:w="1080" w:type="dxa"/>
            <w:tcBorders>
              <w:bottom w:val="single" w:sz="8" w:space="0" w:color="C0C0C0"/>
            </w:tcBorders>
          </w:tcPr>
          <w:p w:rsidR="00D85FAC" w:rsidRPr="00255724" w:rsidRDefault="00D85FAC" w:rsidP="00D85FAC">
            <w:pPr>
              <w:pStyle w:val="table1"/>
              <w:jc w:val="center"/>
              <w:rPr>
                <w:b/>
              </w:rPr>
            </w:pPr>
            <w:r>
              <w:rPr>
                <w:b/>
              </w:rPr>
              <w:t>Max capacity of pathway (H,M,L)</w:t>
            </w:r>
          </w:p>
        </w:tc>
        <w:tc>
          <w:tcPr>
            <w:tcW w:w="990" w:type="dxa"/>
            <w:tcBorders>
              <w:bottom w:val="single" w:sz="8" w:space="0" w:color="C0C0C0"/>
            </w:tcBorders>
          </w:tcPr>
          <w:p w:rsidR="00D85FAC" w:rsidRPr="00255724" w:rsidRDefault="00D85FAC" w:rsidP="00D85FAC">
            <w:pPr>
              <w:pStyle w:val="table1"/>
              <w:jc w:val="center"/>
              <w:rPr>
                <w:b/>
              </w:rPr>
            </w:pPr>
            <w:r w:rsidRPr="00255724">
              <w:rPr>
                <w:b/>
              </w:rPr>
              <w:t>Scienti</w:t>
            </w:r>
            <w:r>
              <w:rPr>
                <w:b/>
              </w:rPr>
              <w:t>fi</w:t>
            </w:r>
            <w:r w:rsidRPr="00255724">
              <w:rPr>
                <w:b/>
              </w:rPr>
              <w:t xml:space="preserve">c </w:t>
            </w:r>
            <w:r>
              <w:rPr>
                <w:b/>
              </w:rPr>
              <w:t>c</w:t>
            </w:r>
            <w:r w:rsidRPr="00255724">
              <w:rPr>
                <w:b/>
              </w:rPr>
              <w:t>ertain</w:t>
            </w:r>
            <w:r>
              <w:rPr>
                <w:b/>
              </w:rPr>
              <w:t>t</w:t>
            </w:r>
            <w:r w:rsidRPr="00255724">
              <w:rPr>
                <w:b/>
              </w:rPr>
              <w:t>y (H,M,L)</w:t>
            </w:r>
          </w:p>
        </w:tc>
        <w:tc>
          <w:tcPr>
            <w:tcW w:w="1170" w:type="dxa"/>
            <w:tcBorders>
              <w:bottom w:val="single" w:sz="8" w:space="0" w:color="C0C0C0"/>
            </w:tcBorders>
          </w:tcPr>
          <w:p w:rsidR="00D85FAC" w:rsidRPr="00255724" w:rsidRDefault="00D85FAC" w:rsidP="00D85FAC">
            <w:pPr>
              <w:pStyle w:val="table1"/>
              <w:jc w:val="center"/>
              <w:rPr>
                <w:b/>
              </w:rPr>
            </w:pPr>
            <w:r w:rsidRPr="00255724">
              <w:rPr>
                <w:b/>
              </w:rPr>
              <w:t>Impact</w:t>
            </w:r>
            <w:r>
              <w:rPr>
                <w:b/>
              </w:rPr>
              <w:br/>
            </w:r>
            <w:r w:rsidRPr="00255724">
              <w:rPr>
                <w:b/>
              </w:rPr>
              <w:t>No = N</w:t>
            </w:r>
            <w:r>
              <w:rPr>
                <w:b/>
              </w:rPr>
              <w:br/>
            </w:r>
            <w:r w:rsidRPr="00255724">
              <w:rPr>
                <w:b/>
              </w:rPr>
              <w:t>Unknown = U</w:t>
            </w:r>
          </w:p>
        </w:tc>
        <w:tc>
          <w:tcPr>
            <w:tcW w:w="1163" w:type="dxa"/>
            <w:tcBorders>
              <w:bottom w:val="single" w:sz="8" w:space="0" w:color="C0C0C0"/>
            </w:tcBorders>
          </w:tcPr>
          <w:p w:rsidR="00D85FAC" w:rsidRPr="00255724" w:rsidRDefault="00D85FAC" w:rsidP="00D85FAC">
            <w:pPr>
              <w:pStyle w:val="table1"/>
              <w:jc w:val="center"/>
              <w:rPr>
                <w:b/>
              </w:rPr>
            </w:pPr>
            <w:r w:rsidRPr="00255724">
              <w:rPr>
                <w:b/>
              </w:rPr>
              <w:t xml:space="preserve">Importance in </w:t>
            </w:r>
            <w:r>
              <w:rPr>
                <w:b/>
              </w:rPr>
              <w:t>o</w:t>
            </w:r>
            <w:r w:rsidRPr="00255724">
              <w:rPr>
                <w:b/>
              </w:rPr>
              <w:t>peration</w:t>
            </w:r>
            <w:r>
              <w:rPr>
                <w:b/>
              </w:rPr>
              <w:t>al</w:t>
            </w:r>
            <w:r w:rsidRPr="00255724">
              <w:rPr>
                <w:b/>
              </w:rPr>
              <w:t xml:space="preserve"> </w:t>
            </w:r>
            <w:r>
              <w:rPr>
                <w:b/>
              </w:rPr>
              <w:t>p</w:t>
            </w:r>
            <w:r w:rsidRPr="00255724">
              <w:rPr>
                <w:b/>
              </w:rPr>
              <w:t>hase</w:t>
            </w:r>
          </w:p>
        </w:tc>
      </w:tr>
      <w:tr w:rsidR="00D85FAC" w:rsidTr="00D85FAC">
        <w:tc>
          <w:tcPr>
            <w:tcW w:w="2178" w:type="dxa"/>
            <w:tcBorders>
              <w:top w:val="single" w:sz="8" w:space="0" w:color="C0C0C0"/>
            </w:tcBorders>
          </w:tcPr>
          <w:p w:rsidR="00D85FAC" w:rsidRPr="00255724" w:rsidRDefault="00D85FAC" w:rsidP="00D85FAC">
            <w:pPr>
              <w:pStyle w:val="table1"/>
            </w:pPr>
            <w:r w:rsidRPr="00255724">
              <w:t>Inorganic stressors</w:t>
            </w:r>
            <w:r>
              <w:t xml:space="preserve"> –</w:t>
            </w:r>
            <w:r w:rsidRPr="00255724">
              <w:t xml:space="preserve"> surface water to surface water pathway</w:t>
            </w:r>
          </w:p>
        </w:tc>
        <w:tc>
          <w:tcPr>
            <w:tcW w:w="1080" w:type="dxa"/>
            <w:tcBorders>
              <w:top w:val="single" w:sz="8" w:space="0" w:color="C0C0C0"/>
            </w:tcBorders>
          </w:tcPr>
          <w:p w:rsidR="00D85FAC" w:rsidRPr="0049008E" w:rsidRDefault="00D85FAC" w:rsidP="00D85FAC">
            <w:pPr>
              <w:pStyle w:val="table1"/>
              <w:spacing w:before="40" w:after="40" w:line="240" w:lineRule="atLeast"/>
              <w:jc w:val="center"/>
              <w:rPr>
                <w:rFonts w:cs="Arial"/>
                <w:szCs w:val="16"/>
              </w:rPr>
            </w:pPr>
            <w:r w:rsidRPr="0049008E">
              <w:rPr>
                <w:rFonts w:cs="Arial"/>
                <w:szCs w:val="16"/>
              </w:rPr>
              <w:t>H</w:t>
            </w:r>
          </w:p>
        </w:tc>
        <w:tc>
          <w:tcPr>
            <w:tcW w:w="1080" w:type="dxa"/>
            <w:tcBorders>
              <w:top w:val="single" w:sz="8" w:space="0" w:color="C0C0C0"/>
            </w:tcBorders>
          </w:tcPr>
          <w:p w:rsidR="00D85FAC" w:rsidRPr="0049008E" w:rsidRDefault="00D85FAC" w:rsidP="00D85FAC">
            <w:pPr>
              <w:pStyle w:val="table1"/>
              <w:spacing w:before="40" w:after="40" w:line="240" w:lineRule="atLeast"/>
              <w:jc w:val="center"/>
              <w:rPr>
                <w:rFonts w:cs="Arial"/>
                <w:szCs w:val="16"/>
              </w:rPr>
            </w:pPr>
            <w:r w:rsidRPr="0049008E">
              <w:rPr>
                <w:rFonts w:cs="Arial"/>
                <w:szCs w:val="16"/>
              </w:rPr>
              <w:t>H</w:t>
            </w:r>
          </w:p>
        </w:tc>
        <w:tc>
          <w:tcPr>
            <w:tcW w:w="990" w:type="dxa"/>
            <w:tcBorders>
              <w:top w:val="single" w:sz="8" w:space="0" w:color="C0C0C0"/>
            </w:tcBorders>
          </w:tcPr>
          <w:p w:rsidR="00D85FAC" w:rsidRPr="0049008E" w:rsidRDefault="00D85FAC" w:rsidP="00D85FAC">
            <w:pPr>
              <w:pStyle w:val="table1"/>
              <w:spacing w:before="40" w:after="40" w:line="240" w:lineRule="atLeast"/>
              <w:jc w:val="center"/>
              <w:rPr>
                <w:rFonts w:cs="Arial"/>
                <w:szCs w:val="16"/>
              </w:rPr>
            </w:pPr>
            <w:r w:rsidRPr="0049008E">
              <w:rPr>
                <w:rFonts w:cs="Arial"/>
                <w:szCs w:val="16"/>
              </w:rPr>
              <w:t>H</w:t>
            </w:r>
          </w:p>
        </w:tc>
        <w:tc>
          <w:tcPr>
            <w:tcW w:w="1170" w:type="dxa"/>
            <w:tcBorders>
              <w:top w:val="single" w:sz="8" w:space="0" w:color="C0C0C0"/>
            </w:tcBorders>
          </w:tcPr>
          <w:p w:rsidR="00D85FAC" w:rsidRPr="0049008E" w:rsidRDefault="00D85FAC" w:rsidP="00D85FAC">
            <w:pPr>
              <w:pStyle w:val="table1"/>
              <w:spacing w:before="40" w:after="40" w:line="240" w:lineRule="atLeast"/>
              <w:jc w:val="center"/>
              <w:rPr>
                <w:rFonts w:cs="Arial"/>
                <w:szCs w:val="16"/>
              </w:rPr>
            </w:pPr>
            <w:r w:rsidRPr="0049008E">
              <w:rPr>
                <w:rFonts w:cs="Arial"/>
                <w:szCs w:val="16"/>
              </w:rPr>
              <w:t>N</w:t>
            </w:r>
          </w:p>
        </w:tc>
        <w:tc>
          <w:tcPr>
            <w:tcW w:w="1163" w:type="dxa"/>
            <w:tcBorders>
              <w:top w:val="single" w:sz="8" w:space="0" w:color="C0C0C0"/>
            </w:tcBorders>
            <w:shd w:val="clear" w:color="auto" w:fill="auto"/>
          </w:tcPr>
          <w:p w:rsidR="00D85FAC" w:rsidRPr="00255724" w:rsidRDefault="00D85FAC" w:rsidP="00D85FAC">
            <w:pPr>
              <w:pStyle w:val="table1"/>
              <w:spacing w:before="40" w:after="40" w:line="240" w:lineRule="atLeast"/>
              <w:jc w:val="center"/>
              <w:rPr>
                <w:rFonts w:cs="Arial"/>
                <w:szCs w:val="16"/>
              </w:rPr>
            </w:pPr>
            <w:r w:rsidRPr="00255724">
              <w:rPr>
                <w:rFonts w:cs="Arial"/>
                <w:szCs w:val="16"/>
              </w:rPr>
              <w:t>High</w:t>
            </w:r>
          </w:p>
        </w:tc>
      </w:tr>
      <w:tr w:rsidR="00D85FAC" w:rsidTr="00D85FAC">
        <w:tc>
          <w:tcPr>
            <w:tcW w:w="2178" w:type="dxa"/>
          </w:tcPr>
          <w:p w:rsidR="00D85FAC" w:rsidRPr="0049008E" w:rsidRDefault="00D85FAC" w:rsidP="00D85FAC">
            <w:pPr>
              <w:pStyle w:val="table1"/>
            </w:pPr>
            <w:r w:rsidRPr="0049008E">
              <w:t>Inorganic stressors</w:t>
            </w:r>
            <w:r>
              <w:t xml:space="preserve"> –</w:t>
            </w:r>
            <w:r w:rsidRPr="00255724">
              <w:t xml:space="preserve"> </w:t>
            </w:r>
            <w:r w:rsidRPr="0049008E">
              <w:t xml:space="preserve">airborne emissions pathway </w:t>
            </w:r>
            <w:r>
              <w:t>(released from stacks and pipes)</w:t>
            </w:r>
          </w:p>
        </w:tc>
        <w:tc>
          <w:tcPr>
            <w:tcW w:w="1080" w:type="dxa"/>
          </w:tcPr>
          <w:p w:rsidR="00D85FAC" w:rsidRPr="0049008E" w:rsidRDefault="00D85FAC" w:rsidP="00D85FAC">
            <w:pPr>
              <w:pStyle w:val="table1"/>
              <w:jc w:val="center"/>
            </w:pPr>
            <w:r w:rsidRPr="0049008E">
              <w:t>H</w:t>
            </w:r>
          </w:p>
        </w:tc>
        <w:tc>
          <w:tcPr>
            <w:tcW w:w="1080" w:type="dxa"/>
          </w:tcPr>
          <w:p w:rsidR="00D85FAC" w:rsidRPr="0049008E" w:rsidRDefault="00D85FAC" w:rsidP="00D85FAC">
            <w:pPr>
              <w:pStyle w:val="table1"/>
              <w:jc w:val="center"/>
            </w:pPr>
            <w:r w:rsidRPr="0049008E">
              <w:t>H</w:t>
            </w:r>
          </w:p>
        </w:tc>
        <w:tc>
          <w:tcPr>
            <w:tcW w:w="990" w:type="dxa"/>
          </w:tcPr>
          <w:p w:rsidR="00D85FAC" w:rsidRPr="0049008E" w:rsidRDefault="00D85FAC" w:rsidP="00D85FAC">
            <w:pPr>
              <w:pStyle w:val="table1"/>
              <w:jc w:val="center"/>
            </w:pPr>
            <w:r w:rsidRPr="0049008E">
              <w:t>H</w:t>
            </w:r>
          </w:p>
        </w:tc>
        <w:tc>
          <w:tcPr>
            <w:tcW w:w="1170" w:type="dxa"/>
          </w:tcPr>
          <w:p w:rsidR="00D85FAC" w:rsidRPr="0049008E" w:rsidRDefault="00D85FAC" w:rsidP="00D85FAC">
            <w:pPr>
              <w:pStyle w:val="table1"/>
              <w:jc w:val="center"/>
            </w:pPr>
            <w:r w:rsidRPr="0049008E">
              <w:t>U</w:t>
            </w:r>
          </w:p>
        </w:tc>
        <w:tc>
          <w:tcPr>
            <w:tcW w:w="1163" w:type="dxa"/>
            <w:shd w:val="clear" w:color="auto" w:fill="auto"/>
          </w:tcPr>
          <w:p w:rsidR="00D85FAC" w:rsidRPr="00255724" w:rsidRDefault="00D85FAC" w:rsidP="00D85FAC">
            <w:pPr>
              <w:pStyle w:val="table1"/>
              <w:jc w:val="center"/>
            </w:pPr>
            <w:r w:rsidRPr="00255724">
              <w:t>High</w:t>
            </w:r>
          </w:p>
        </w:tc>
      </w:tr>
      <w:tr w:rsidR="00D85FAC" w:rsidTr="00D85FAC">
        <w:tc>
          <w:tcPr>
            <w:tcW w:w="2178" w:type="dxa"/>
          </w:tcPr>
          <w:p w:rsidR="00D85FAC" w:rsidRPr="0049008E" w:rsidRDefault="00D85FAC" w:rsidP="00D85FAC">
            <w:pPr>
              <w:pStyle w:val="table1"/>
            </w:pPr>
            <w:r w:rsidRPr="0049008E">
              <w:t>Radionuclides</w:t>
            </w:r>
            <w:r>
              <w:t xml:space="preserve"> –</w:t>
            </w:r>
            <w:r w:rsidRPr="00255724">
              <w:t xml:space="preserve"> </w:t>
            </w:r>
            <w:r w:rsidRPr="0049008E">
              <w:t>surface water to surface water pathway</w:t>
            </w:r>
          </w:p>
        </w:tc>
        <w:tc>
          <w:tcPr>
            <w:tcW w:w="1080" w:type="dxa"/>
          </w:tcPr>
          <w:p w:rsidR="00D85FAC" w:rsidRPr="0049008E" w:rsidRDefault="00D85FAC" w:rsidP="00D85FAC">
            <w:pPr>
              <w:pStyle w:val="table1"/>
              <w:jc w:val="center"/>
            </w:pPr>
            <w:r w:rsidRPr="0049008E">
              <w:t>H</w:t>
            </w:r>
          </w:p>
        </w:tc>
        <w:tc>
          <w:tcPr>
            <w:tcW w:w="1080" w:type="dxa"/>
          </w:tcPr>
          <w:p w:rsidR="00D85FAC" w:rsidRPr="0049008E" w:rsidRDefault="00D85FAC" w:rsidP="00D85FAC">
            <w:pPr>
              <w:pStyle w:val="table1"/>
              <w:jc w:val="center"/>
            </w:pPr>
            <w:r w:rsidRPr="0049008E">
              <w:t>H</w:t>
            </w:r>
          </w:p>
        </w:tc>
        <w:tc>
          <w:tcPr>
            <w:tcW w:w="990" w:type="dxa"/>
          </w:tcPr>
          <w:p w:rsidR="00D85FAC" w:rsidRPr="0049008E" w:rsidRDefault="00D85FAC" w:rsidP="00D85FAC">
            <w:pPr>
              <w:pStyle w:val="table1"/>
              <w:jc w:val="center"/>
            </w:pPr>
            <w:r w:rsidRPr="0049008E">
              <w:t>H</w:t>
            </w:r>
          </w:p>
        </w:tc>
        <w:tc>
          <w:tcPr>
            <w:tcW w:w="1170" w:type="dxa"/>
          </w:tcPr>
          <w:p w:rsidR="00D85FAC" w:rsidRPr="0049008E" w:rsidRDefault="00D85FAC" w:rsidP="00D85FAC">
            <w:pPr>
              <w:pStyle w:val="table1"/>
              <w:jc w:val="center"/>
            </w:pPr>
            <w:r w:rsidRPr="0049008E">
              <w:t>N</w:t>
            </w:r>
          </w:p>
        </w:tc>
        <w:tc>
          <w:tcPr>
            <w:tcW w:w="1163" w:type="dxa"/>
            <w:shd w:val="clear" w:color="auto" w:fill="auto"/>
          </w:tcPr>
          <w:p w:rsidR="00D85FAC" w:rsidRPr="00255724" w:rsidRDefault="00D85FAC" w:rsidP="00D85FAC">
            <w:pPr>
              <w:pStyle w:val="table1"/>
              <w:jc w:val="center"/>
            </w:pPr>
            <w:r w:rsidRPr="00255724">
              <w:t>High</w:t>
            </w:r>
          </w:p>
        </w:tc>
      </w:tr>
      <w:tr w:rsidR="00D85FAC" w:rsidTr="00D85FAC">
        <w:tc>
          <w:tcPr>
            <w:tcW w:w="2178" w:type="dxa"/>
          </w:tcPr>
          <w:p w:rsidR="00D85FAC" w:rsidRPr="0049008E" w:rsidRDefault="00D85FAC" w:rsidP="00D85FAC">
            <w:pPr>
              <w:pStyle w:val="table1"/>
            </w:pPr>
            <w:r w:rsidRPr="0049008E">
              <w:t>Radon-222 attached/unattached radon progeny pathway</w:t>
            </w:r>
          </w:p>
        </w:tc>
        <w:tc>
          <w:tcPr>
            <w:tcW w:w="1080" w:type="dxa"/>
          </w:tcPr>
          <w:p w:rsidR="00D85FAC" w:rsidRPr="0049008E" w:rsidRDefault="00D85FAC" w:rsidP="00D85FAC">
            <w:pPr>
              <w:pStyle w:val="table1"/>
              <w:jc w:val="center"/>
            </w:pPr>
            <w:r w:rsidRPr="0049008E">
              <w:t>H</w:t>
            </w:r>
          </w:p>
        </w:tc>
        <w:tc>
          <w:tcPr>
            <w:tcW w:w="1080" w:type="dxa"/>
          </w:tcPr>
          <w:p w:rsidR="00D85FAC" w:rsidRPr="0049008E" w:rsidRDefault="00D85FAC" w:rsidP="00D85FAC">
            <w:pPr>
              <w:pStyle w:val="table1"/>
              <w:jc w:val="center"/>
            </w:pPr>
            <w:r w:rsidRPr="0049008E">
              <w:t>H</w:t>
            </w:r>
          </w:p>
        </w:tc>
        <w:tc>
          <w:tcPr>
            <w:tcW w:w="990" w:type="dxa"/>
          </w:tcPr>
          <w:p w:rsidR="00D85FAC" w:rsidRPr="0049008E" w:rsidRDefault="00D85FAC" w:rsidP="00D85FAC">
            <w:pPr>
              <w:pStyle w:val="table1"/>
              <w:jc w:val="center"/>
            </w:pPr>
            <w:r w:rsidRPr="0049008E">
              <w:t>M</w:t>
            </w:r>
          </w:p>
        </w:tc>
        <w:tc>
          <w:tcPr>
            <w:tcW w:w="1170" w:type="dxa"/>
          </w:tcPr>
          <w:p w:rsidR="00D85FAC" w:rsidRPr="0049008E" w:rsidRDefault="00D85FAC" w:rsidP="00D85FAC">
            <w:pPr>
              <w:pStyle w:val="table1"/>
              <w:jc w:val="center"/>
            </w:pPr>
            <w:r w:rsidRPr="0049008E">
              <w:t xml:space="preserve">N </w:t>
            </w:r>
            <w:r>
              <w:t>–</w:t>
            </w:r>
            <w:r w:rsidRPr="0049008E">
              <w:t xml:space="preserve"> Human</w:t>
            </w:r>
            <w:r>
              <w:br/>
            </w:r>
            <w:r w:rsidRPr="0049008E">
              <w:t xml:space="preserve">U </w:t>
            </w:r>
            <w:r>
              <w:t>–</w:t>
            </w:r>
            <w:r w:rsidRPr="0049008E">
              <w:t xml:space="preserve"> Biota</w:t>
            </w:r>
          </w:p>
        </w:tc>
        <w:tc>
          <w:tcPr>
            <w:tcW w:w="1163" w:type="dxa"/>
            <w:shd w:val="clear" w:color="auto" w:fill="auto"/>
          </w:tcPr>
          <w:p w:rsidR="00D85FAC" w:rsidRPr="00255724" w:rsidRDefault="00D85FAC" w:rsidP="00D85FAC">
            <w:pPr>
              <w:pStyle w:val="table1"/>
              <w:jc w:val="center"/>
            </w:pPr>
            <w:r w:rsidRPr="00255724">
              <w:t>High</w:t>
            </w:r>
          </w:p>
        </w:tc>
      </w:tr>
      <w:tr w:rsidR="00D85FAC" w:rsidTr="00D85FAC">
        <w:tc>
          <w:tcPr>
            <w:tcW w:w="2178" w:type="dxa"/>
          </w:tcPr>
          <w:p w:rsidR="00D85FAC" w:rsidRPr="0049008E" w:rsidRDefault="00D85FAC" w:rsidP="00D85FAC">
            <w:pPr>
              <w:pStyle w:val="table1"/>
              <w:rPr>
                <w:lang w:val="pt-BR"/>
              </w:rPr>
            </w:pPr>
            <w:r w:rsidRPr="0049008E">
              <w:rPr>
                <w:lang w:val="pt-BR"/>
              </w:rPr>
              <w:t>Radon-222 exhalation pathway</w:t>
            </w:r>
          </w:p>
        </w:tc>
        <w:tc>
          <w:tcPr>
            <w:tcW w:w="1080" w:type="dxa"/>
          </w:tcPr>
          <w:p w:rsidR="00D85FAC" w:rsidRPr="0049008E" w:rsidRDefault="00D85FAC" w:rsidP="00D85FAC">
            <w:pPr>
              <w:pStyle w:val="table1"/>
              <w:jc w:val="center"/>
              <w:rPr>
                <w:lang w:val="pt-BR"/>
              </w:rPr>
            </w:pPr>
            <w:r w:rsidRPr="0049008E">
              <w:rPr>
                <w:lang w:val="pt-BR"/>
              </w:rPr>
              <w:t>H</w:t>
            </w:r>
          </w:p>
        </w:tc>
        <w:tc>
          <w:tcPr>
            <w:tcW w:w="1080" w:type="dxa"/>
          </w:tcPr>
          <w:p w:rsidR="00D85FAC" w:rsidRPr="0049008E" w:rsidRDefault="00D85FAC" w:rsidP="00D85FAC">
            <w:pPr>
              <w:pStyle w:val="table1"/>
              <w:jc w:val="center"/>
              <w:rPr>
                <w:lang w:val="pt-BR"/>
              </w:rPr>
            </w:pPr>
            <w:r w:rsidRPr="0049008E">
              <w:rPr>
                <w:lang w:val="pt-BR"/>
              </w:rPr>
              <w:t>H</w:t>
            </w:r>
          </w:p>
        </w:tc>
        <w:tc>
          <w:tcPr>
            <w:tcW w:w="990" w:type="dxa"/>
          </w:tcPr>
          <w:p w:rsidR="00D85FAC" w:rsidRPr="0049008E" w:rsidRDefault="00D85FAC" w:rsidP="00D85FAC">
            <w:pPr>
              <w:pStyle w:val="table1"/>
              <w:jc w:val="center"/>
              <w:rPr>
                <w:lang w:val="pt-BR"/>
              </w:rPr>
            </w:pPr>
            <w:r w:rsidRPr="0049008E">
              <w:rPr>
                <w:lang w:val="pt-BR"/>
              </w:rPr>
              <w:t>H</w:t>
            </w:r>
          </w:p>
        </w:tc>
        <w:tc>
          <w:tcPr>
            <w:tcW w:w="1170" w:type="dxa"/>
          </w:tcPr>
          <w:p w:rsidR="00D85FAC" w:rsidRPr="0049008E" w:rsidRDefault="00D85FAC" w:rsidP="00D85FAC">
            <w:pPr>
              <w:pStyle w:val="table1"/>
              <w:jc w:val="center"/>
              <w:rPr>
                <w:lang w:val="pt-BR"/>
              </w:rPr>
            </w:pPr>
            <w:r w:rsidRPr="0049008E">
              <w:rPr>
                <w:lang w:val="pt-BR"/>
              </w:rPr>
              <w:t>N</w:t>
            </w:r>
          </w:p>
        </w:tc>
        <w:tc>
          <w:tcPr>
            <w:tcW w:w="1163" w:type="dxa"/>
            <w:shd w:val="clear" w:color="auto" w:fill="auto"/>
          </w:tcPr>
          <w:p w:rsidR="00D85FAC" w:rsidRPr="00255724" w:rsidRDefault="00D85FAC" w:rsidP="00D85FAC">
            <w:pPr>
              <w:pStyle w:val="table1"/>
              <w:jc w:val="center"/>
              <w:rPr>
                <w:lang w:val="pt-BR"/>
              </w:rPr>
            </w:pPr>
            <w:r w:rsidRPr="00255724">
              <w:t>High</w:t>
            </w:r>
          </w:p>
        </w:tc>
      </w:tr>
      <w:tr w:rsidR="00D85FAC" w:rsidTr="00D85FAC">
        <w:tc>
          <w:tcPr>
            <w:tcW w:w="2178" w:type="dxa"/>
            <w:tcBorders>
              <w:bottom w:val="single" w:sz="8" w:space="0" w:color="C0C0C0"/>
            </w:tcBorders>
          </w:tcPr>
          <w:p w:rsidR="00D85FAC" w:rsidRPr="0049008E" w:rsidRDefault="00D85FAC" w:rsidP="00D85FAC">
            <w:pPr>
              <w:pStyle w:val="table1"/>
            </w:pPr>
            <w:r w:rsidRPr="0049008E">
              <w:t>Suspended sediments</w:t>
            </w:r>
            <w:r>
              <w:t xml:space="preserve"> –</w:t>
            </w:r>
            <w:r w:rsidRPr="00255724">
              <w:t xml:space="preserve"> </w:t>
            </w:r>
            <w:r w:rsidRPr="0049008E">
              <w:t xml:space="preserve">surface water to surface water pathway </w:t>
            </w:r>
          </w:p>
        </w:tc>
        <w:tc>
          <w:tcPr>
            <w:tcW w:w="1080" w:type="dxa"/>
            <w:tcBorders>
              <w:bottom w:val="single" w:sz="8" w:space="0" w:color="C0C0C0"/>
            </w:tcBorders>
          </w:tcPr>
          <w:p w:rsidR="00D85FAC" w:rsidRPr="0049008E" w:rsidRDefault="00D85FAC" w:rsidP="00D85FAC">
            <w:pPr>
              <w:pStyle w:val="table1"/>
              <w:jc w:val="center"/>
            </w:pPr>
            <w:r w:rsidRPr="0049008E">
              <w:t>H</w:t>
            </w:r>
          </w:p>
        </w:tc>
        <w:tc>
          <w:tcPr>
            <w:tcW w:w="1080" w:type="dxa"/>
            <w:tcBorders>
              <w:bottom w:val="single" w:sz="8" w:space="0" w:color="C0C0C0"/>
            </w:tcBorders>
          </w:tcPr>
          <w:p w:rsidR="00D85FAC" w:rsidRPr="0049008E" w:rsidRDefault="00D85FAC" w:rsidP="00D85FAC">
            <w:pPr>
              <w:pStyle w:val="table1"/>
              <w:jc w:val="center"/>
            </w:pPr>
            <w:r w:rsidRPr="0049008E">
              <w:t>H</w:t>
            </w:r>
          </w:p>
        </w:tc>
        <w:tc>
          <w:tcPr>
            <w:tcW w:w="990" w:type="dxa"/>
            <w:tcBorders>
              <w:bottom w:val="single" w:sz="8" w:space="0" w:color="C0C0C0"/>
            </w:tcBorders>
          </w:tcPr>
          <w:p w:rsidR="00D85FAC" w:rsidRPr="0049008E" w:rsidRDefault="00D85FAC" w:rsidP="00D85FAC">
            <w:pPr>
              <w:pStyle w:val="table1"/>
              <w:jc w:val="center"/>
            </w:pPr>
            <w:r w:rsidRPr="0049008E">
              <w:t>H</w:t>
            </w:r>
          </w:p>
        </w:tc>
        <w:tc>
          <w:tcPr>
            <w:tcW w:w="1170" w:type="dxa"/>
            <w:tcBorders>
              <w:bottom w:val="single" w:sz="8" w:space="0" w:color="C0C0C0"/>
            </w:tcBorders>
          </w:tcPr>
          <w:p w:rsidR="00D85FAC" w:rsidRPr="0049008E" w:rsidRDefault="00D85FAC" w:rsidP="00D85FAC">
            <w:pPr>
              <w:pStyle w:val="table1"/>
              <w:jc w:val="center"/>
            </w:pPr>
            <w:r w:rsidRPr="0049008E">
              <w:t>N</w:t>
            </w:r>
          </w:p>
        </w:tc>
        <w:tc>
          <w:tcPr>
            <w:tcW w:w="1163" w:type="dxa"/>
            <w:tcBorders>
              <w:bottom w:val="single" w:sz="8" w:space="0" w:color="C0C0C0"/>
            </w:tcBorders>
            <w:shd w:val="clear" w:color="auto" w:fill="auto"/>
          </w:tcPr>
          <w:p w:rsidR="00D85FAC" w:rsidRPr="00255724" w:rsidRDefault="00D85FAC" w:rsidP="00D85FAC">
            <w:pPr>
              <w:pStyle w:val="table1"/>
              <w:jc w:val="center"/>
            </w:pPr>
            <w:r w:rsidRPr="00255724">
              <w:t>High</w:t>
            </w:r>
          </w:p>
        </w:tc>
      </w:tr>
    </w:tbl>
    <w:p w:rsidR="00D85FAC" w:rsidRDefault="00D85FAC" w:rsidP="00D85FAC">
      <w:pPr>
        <w:pStyle w:val="tablenote"/>
        <w:spacing w:before="0"/>
      </w:pPr>
    </w:p>
    <w:p w:rsidR="00D85FAC" w:rsidRPr="00595B11" w:rsidRDefault="00D85FAC" w:rsidP="00D85FAC">
      <w:r w:rsidRPr="00595B11">
        <w:lastRenderedPageBreak/>
        <w:t>The relative importance of each pathway was assigned based on the unmitigated potential of the pathway to transport contaminants from the mine site into the surrounding environment. However, this does not mean that high importance pathways are resulting in, or are likely to result in, impact on receptors within the ARR environment. The actual volume (load) and concentration of contaminants transported by these pathways at any time (and therefore the level of potential risk to receptors) depends on a range of chemical, biological, physical, and radiological factors and the effectiveness of existing management controls. These latter control measures are designed to reduce risks to the environment to acceptable levels either by containing contaminants on the mine site or minimising the volume, concentration and availability of contaminants that may be transported via the various pathways. Given the importance of these controls, details about the risk mitigation measures applicable for each contaminant pathway have been included in the model narratives produced for each of these pathways.</w:t>
      </w:r>
    </w:p>
    <w:p w:rsidR="00D85FAC" w:rsidRDefault="00D85FAC" w:rsidP="00D85FAC">
      <w:r>
        <w:t xml:space="preserve">The assessment identified some knowledge gaps which may be fed into the ARRTC Key Knowledge Needs (KKN) framework following further consideration. Key amongst these was a lack of knowledge about the fate of organic contaminants, for example, hydrocarbons and pesticides used on site; and inorganic contaminants from the mine site stacks, storage tanks and pipes. The specific issue for the organics is that these species have not been analysed, even at a screening level, in the water that exits the site. Hence no specific assessment can be made about potential for impact, despite this likely being a no or low impact issue. In the case of the inorganic contaminants, emissions from the stacks are monitored by ERA. One additional factor that could also warrant closer attention is the potential for transport of weeds off site, despite the existence of an active weed identification and control program. </w:t>
      </w:r>
    </w:p>
    <w:p w:rsidR="00D85FAC" w:rsidRPr="00344789" w:rsidRDefault="00D85FAC" w:rsidP="00D85FAC">
      <w:pPr>
        <w:pStyle w:val="Heading2"/>
      </w:pPr>
      <w:bookmarkStart w:id="21" w:name="_Toc303074378"/>
      <w:bookmarkStart w:id="22" w:name="_Toc308710350"/>
      <w:bookmarkStart w:id="23" w:name="_Toc308773032"/>
      <w:bookmarkStart w:id="24" w:name="_Toc309215783"/>
      <w:bookmarkStart w:id="25" w:name="_Toc313523402"/>
      <w:bookmarkStart w:id="26" w:name="_Toc316985245"/>
      <w:r w:rsidRPr="00344789">
        <w:t>Conclusions and future work</w:t>
      </w:r>
      <w:bookmarkEnd w:id="21"/>
      <w:bookmarkEnd w:id="22"/>
      <w:bookmarkEnd w:id="23"/>
      <w:bookmarkEnd w:id="24"/>
      <w:bookmarkEnd w:id="25"/>
      <w:bookmarkEnd w:id="26"/>
    </w:p>
    <w:p w:rsidR="00D85FAC" w:rsidRPr="00524840" w:rsidRDefault="00D85FAC" w:rsidP="00D85FAC">
      <w:pPr>
        <w:rPr>
          <w:spacing w:val="-2"/>
        </w:rPr>
      </w:pPr>
      <w:r w:rsidRPr="00524840">
        <w:rPr>
          <w:spacing w:val="-2"/>
        </w:rPr>
        <w:t>While knowledge gaps exist for some pathways and contaminants, there is no evidence to suggest that any of these pathways are currently resulting in adverse biological impacts on the environment within the ARR. Results of ongoing chemical, radiological and biological monitoring undertaken by the Supervising Scientist continue to show that the environment of the ARR remains protected from uranium mining related impacts via the aquatic pathway (the dominant potential vector) and from airborne radionuclides in the case of human health protection.</w:t>
      </w:r>
    </w:p>
    <w:p w:rsidR="00D85FAC" w:rsidRDefault="00D85FAC" w:rsidP="00D85FAC">
      <w:r>
        <w:t>The contaminant pathways conceptual models developed by this project, and the associated screening level risk analysis, will assist in communicating the actual level of significance of these pathways to key stakeholders.</w:t>
      </w:r>
    </w:p>
    <w:p w:rsidR="00D85FAC" w:rsidRDefault="00D85FAC" w:rsidP="00D85FAC">
      <w:r>
        <w:t>A related but separate task will be to develop models of the contaminant pathways uniquely associated with the mine closure and rehabilitation phases of mine life. This closure pathways conceptual model will inform and assist the development of closure criteria and the specifying of the monitoring framework needed to address them.</w:t>
      </w:r>
    </w:p>
    <w:p w:rsidR="00D85FAC" w:rsidRPr="00243EB3" w:rsidRDefault="00D85FAC" w:rsidP="00D85FAC"/>
    <w:p w:rsidR="00D85FAC" w:rsidRDefault="00D85FAC" w:rsidP="00D85FAC">
      <w:pPr>
        <w:pStyle w:val="Heading4"/>
        <w:sectPr w:rsidR="00D85FAC" w:rsidSect="00D85FAC">
          <w:headerReference w:type="even" r:id="rId15"/>
          <w:headerReference w:type="default" r:id="rId16"/>
          <w:headerReference w:type="first" r:id="rId17"/>
          <w:footnotePr>
            <w:numRestart w:val="eachSect"/>
          </w:footnotePr>
          <w:pgSz w:w="11906" w:h="16838" w:code="9"/>
          <w:pgMar w:top="1440" w:right="1797" w:bottom="1440" w:left="1797" w:header="851" w:footer="833" w:gutter="0"/>
          <w:cols w:space="360"/>
          <w:noEndnote/>
          <w:titlePg/>
        </w:sectPr>
      </w:pPr>
      <w:bookmarkStart w:id="27" w:name="OLE_LINK7"/>
      <w:bookmarkStart w:id="28" w:name="_Toc309215785"/>
    </w:p>
    <w:p w:rsidR="00D85FAC" w:rsidRDefault="00D85FAC" w:rsidP="00D85FAC">
      <w:pPr>
        <w:pStyle w:val="Heading1"/>
      </w:pPr>
      <w:bookmarkStart w:id="29" w:name="_Toc319670703"/>
      <w:r w:rsidRPr="002C7933">
        <w:lastRenderedPageBreak/>
        <w:t>Characterisation of contamination at land application areas at Ranger</w:t>
      </w:r>
      <w:bookmarkEnd w:id="27"/>
      <w:r w:rsidRPr="002C7933">
        <w:t xml:space="preserve"> (collaborative project with ERA)</w:t>
      </w:r>
      <w:bookmarkEnd w:id="28"/>
      <w:bookmarkEnd w:id="29"/>
    </w:p>
    <w:p w:rsidR="00D85FAC" w:rsidRPr="008E44C5" w:rsidRDefault="00D85FAC" w:rsidP="00D85FAC">
      <w:pPr>
        <w:pStyle w:val="authors"/>
        <w:spacing w:after="800"/>
      </w:pPr>
      <w:bookmarkStart w:id="30" w:name="_Toc316987206"/>
      <w:bookmarkStart w:id="31" w:name="_Toc319670704"/>
      <w:r>
        <w:t>R Akber</w:t>
      </w:r>
      <w:r>
        <w:rPr>
          <w:rStyle w:val="FootnoteReference"/>
        </w:rPr>
        <w:footnoteReference w:id="1"/>
      </w:r>
      <w:r>
        <w:t xml:space="preserve">, </w:t>
      </w:r>
      <w:proofErr w:type="gramStart"/>
      <w:r>
        <w:t>A</w:t>
      </w:r>
      <w:proofErr w:type="gramEnd"/>
      <w:r>
        <w:t xml:space="preserve"> Bollhöfer &amp; P Lu</w:t>
      </w:r>
      <w:r>
        <w:rPr>
          <w:rStyle w:val="FootnoteReference"/>
        </w:rPr>
        <w:footnoteReference w:id="2"/>
      </w:r>
      <w:bookmarkEnd w:id="30"/>
      <w:bookmarkEnd w:id="31"/>
    </w:p>
    <w:p w:rsidR="00D85FAC" w:rsidRPr="002C7933" w:rsidRDefault="00D85FAC" w:rsidP="00D85FAC">
      <w:pPr>
        <w:pStyle w:val="Heading2"/>
      </w:pPr>
      <w:bookmarkStart w:id="32" w:name="_Toc313523404"/>
      <w:bookmarkStart w:id="33" w:name="_Toc316985247"/>
      <w:r w:rsidRPr="002C7933">
        <w:t>Introduction</w:t>
      </w:r>
      <w:bookmarkEnd w:id="32"/>
      <w:bookmarkEnd w:id="33"/>
    </w:p>
    <w:p w:rsidR="00D85FAC" w:rsidRPr="0071374A" w:rsidRDefault="00D85FAC" w:rsidP="00D85FAC">
      <w:pPr>
        <w:rPr>
          <w:spacing w:val="-2"/>
        </w:rPr>
      </w:pPr>
      <w:r w:rsidRPr="0071374A">
        <w:rPr>
          <w:spacing w:val="-2"/>
        </w:rPr>
        <w:t xml:space="preserve">Due to the location of Ranger uranium mine in the wet-dry tropics, where up to 2.5 m of rain can fall in a single wet season, </w:t>
      </w:r>
      <w:proofErr w:type="gramStart"/>
      <w:r w:rsidRPr="0071374A">
        <w:rPr>
          <w:spacing w:val="-2"/>
        </w:rPr>
        <w:t>water</w:t>
      </w:r>
      <w:proofErr w:type="gramEnd"/>
      <w:r w:rsidRPr="0071374A">
        <w:rPr>
          <w:spacing w:val="-2"/>
        </w:rPr>
        <w:t xml:space="preserve"> management at the mine is a major challenge. A series of retention ponds (RP1with relatively clean water and RP2, which receives run-off from the low grade ore and waste rock stockpiles and from the general mine area) has been established to manage the release of water from the mine site into the environment during the wet season. Water is also disposed of on-site during the dry season using land application methods. These methods rely on the fact that radionuclides and most metals have a tendency to bind to the organic rich surface horizons of soil profiles (Davis 1983, Akber &amp; Marten 1992, Willett </w:t>
      </w:r>
      <w:r>
        <w:rPr>
          <w:spacing w:val="-2"/>
        </w:rPr>
        <w:t>et al</w:t>
      </w:r>
      <w:r w:rsidRPr="0071374A">
        <w:rPr>
          <w:spacing w:val="-2"/>
        </w:rPr>
        <w:t xml:space="preserve"> 1993, Hollingsworth </w:t>
      </w:r>
      <w:r>
        <w:rPr>
          <w:spacing w:val="-2"/>
        </w:rPr>
        <w:t>et al</w:t>
      </w:r>
      <w:r w:rsidRPr="0071374A">
        <w:rPr>
          <w:spacing w:val="-2"/>
        </w:rPr>
        <w:t xml:space="preserve"> 2005). The bound metals and radionuclides have a low leachability and will therefore be unlikely to be released from the site to the aquatic environment downstream of Ranger. However, there has been some stakeholder concern about the radiological status of the Ranger land application areas (LAAs), in particular with regards to soils in the Magela LAA and their capacity to continue to adsorb radionuclides at the current rate of application. </w:t>
      </w:r>
    </w:p>
    <w:p w:rsidR="00D85FAC" w:rsidRDefault="00D85FAC" w:rsidP="00D85FAC">
      <w:r>
        <w:t xml:space="preserve">The Magela A LAA was the first to be established in 1985 and has received untreated RP2 water throughout its entire operational life up until 2008. Additional LAAs were developed (Table 1) as the amount of water to be disposed of rose through time as a result of the increasing footprint of the mine site. From 2006 onwards increasing volumes of pond water have been treated by MF/RO water treatment during the wet season, with the clean permeate being discharged into the Corridor Creek catchment. The introduction of active pond water treatment during the wet season has progressively reduced the volume needed to be disposed of by land application during the dry season. </w:t>
      </w:r>
    </w:p>
    <w:p w:rsidR="00D85FAC" w:rsidRDefault="00D85FAC" w:rsidP="00D85FAC">
      <w:pPr>
        <w:pStyle w:val="tablecaption"/>
      </w:pPr>
      <w:r w:rsidRPr="00951D50">
        <w:rPr>
          <w:b/>
        </w:rPr>
        <w:t xml:space="preserve">Table </w:t>
      </w:r>
      <w:proofErr w:type="gramStart"/>
      <w:r>
        <w:rPr>
          <w:b/>
        </w:rPr>
        <w:t xml:space="preserve">1 </w:t>
      </w:r>
      <w:r>
        <w:t xml:space="preserve"> Sources</w:t>
      </w:r>
      <w:proofErr w:type="gramEnd"/>
      <w:r>
        <w:t xml:space="preserve"> of </w:t>
      </w:r>
      <w:smartTag w:uri="urn:schemas-microsoft-com:office:smarttags" w:element="place">
        <w:smartTag w:uri="urn:schemas-microsoft-com:office:smarttags" w:element="PlaceName">
          <w:r>
            <w:t>water</w:t>
          </w:r>
        </w:smartTag>
        <w:r>
          <w:t xml:space="preserve"> </w:t>
        </w:r>
        <w:smartTag w:uri="urn:schemas-microsoft-com:office:smarttags" w:element="PlaceName">
          <w:r>
            <w:t>for</w:t>
          </w:r>
        </w:smartTag>
        <w:r>
          <w:t xml:space="preserve"> </w:t>
        </w:r>
        <w:smartTag w:uri="urn:schemas-microsoft-com:office:smarttags" w:element="PlaceType">
          <w:r>
            <w:t>land</w:t>
          </w:r>
        </w:smartTag>
      </w:smartTag>
      <w:r>
        <w:t xml:space="preserve"> application areas at ERA’s Ranger uranium mine</w:t>
      </w:r>
    </w:p>
    <w:tbl>
      <w:tblPr>
        <w:tblW w:w="0" w:type="auto"/>
        <w:tblLook w:val="0000"/>
      </w:tblPr>
      <w:tblGrid>
        <w:gridCol w:w="2376"/>
        <w:gridCol w:w="2410"/>
        <w:gridCol w:w="1418"/>
        <w:gridCol w:w="2126"/>
      </w:tblGrid>
      <w:tr w:rsidR="00D85FAC" w:rsidRPr="005A552F" w:rsidTr="00D85FAC">
        <w:tc>
          <w:tcPr>
            <w:tcW w:w="2376" w:type="dxa"/>
            <w:tcBorders>
              <w:top w:val="single" w:sz="4" w:space="0" w:color="auto"/>
              <w:bottom w:val="single" w:sz="4" w:space="0" w:color="auto"/>
            </w:tcBorders>
          </w:tcPr>
          <w:p w:rsidR="00D85FAC" w:rsidRPr="005A552F" w:rsidRDefault="00D85FAC" w:rsidP="00D85FAC">
            <w:pPr>
              <w:pStyle w:val="table1"/>
              <w:rPr>
                <w:b/>
                <w:szCs w:val="18"/>
              </w:rPr>
            </w:pPr>
            <w:r w:rsidRPr="005A552F">
              <w:rPr>
                <w:b/>
                <w:szCs w:val="18"/>
              </w:rPr>
              <w:t>Land Application Area</w:t>
            </w:r>
          </w:p>
        </w:tc>
        <w:tc>
          <w:tcPr>
            <w:tcW w:w="2410" w:type="dxa"/>
            <w:tcBorders>
              <w:top w:val="single" w:sz="4" w:space="0" w:color="auto"/>
              <w:bottom w:val="single" w:sz="4" w:space="0" w:color="auto"/>
            </w:tcBorders>
          </w:tcPr>
          <w:p w:rsidR="00D85FAC" w:rsidRPr="005A552F" w:rsidRDefault="00D85FAC" w:rsidP="00D85FAC">
            <w:pPr>
              <w:pStyle w:val="table1"/>
              <w:rPr>
                <w:b/>
                <w:szCs w:val="18"/>
              </w:rPr>
            </w:pPr>
            <w:r w:rsidRPr="005A552F">
              <w:rPr>
                <w:b/>
                <w:szCs w:val="18"/>
              </w:rPr>
              <w:t>Source of applied water</w:t>
            </w:r>
          </w:p>
        </w:tc>
        <w:tc>
          <w:tcPr>
            <w:tcW w:w="1418" w:type="dxa"/>
            <w:tcBorders>
              <w:top w:val="single" w:sz="4" w:space="0" w:color="auto"/>
              <w:bottom w:val="single" w:sz="4" w:space="0" w:color="auto"/>
            </w:tcBorders>
          </w:tcPr>
          <w:p w:rsidR="00D85FAC" w:rsidRPr="005A552F" w:rsidRDefault="00D85FAC" w:rsidP="00D85FAC">
            <w:pPr>
              <w:pStyle w:val="table1"/>
              <w:rPr>
                <w:b/>
                <w:szCs w:val="18"/>
              </w:rPr>
            </w:pPr>
            <w:r w:rsidRPr="005A552F">
              <w:rPr>
                <w:b/>
                <w:szCs w:val="18"/>
              </w:rPr>
              <w:t>Total area (ha)</w:t>
            </w:r>
          </w:p>
        </w:tc>
        <w:tc>
          <w:tcPr>
            <w:tcW w:w="2126" w:type="dxa"/>
            <w:tcBorders>
              <w:top w:val="single" w:sz="4" w:space="0" w:color="auto"/>
              <w:bottom w:val="single" w:sz="4" w:space="0" w:color="auto"/>
            </w:tcBorders>
          </w:tcPr>
          <w:p w:rsidR="00D85FAC" w:rsidRPr="005A552F" w:rsidRDefault="00D85FAC" w:rsidP="00D85FAC">
            <w:pPr>
              <w:pStyle w:val="table1"/>
              <w:rPr>
                <w:b/>
                <w:szCs w:val="18"/>
              </w:rPr>
            </w:pPr>
            <w:r w:rsidRPr="005A552F">
              <w:rPr>
                <w:b/>
                <w:szCs w:val="18"/>
              </w:rPr>
              <w:t>Year commissioned</w:t>
            </w:r>
          </w:p>
        </w:tc>
      </w:tr>
      <w:tr w:rsidR="00D85FAC" w:rsidRPr="005627CC" w:rsidTr="00D85FAC">
        <w:tc>
          <w:tcPr>
            <w:tcW w:w="2376" w:type="dxa"/>
            <w:tcBorders>
              <w:top w:val="single" w:sz="4" w:space="0" w:color="auto"/>
            </w:tcBorders>
          </w:tcPr>
          <w:p w:rsidR="00D85FAC" w:rsidRPr="005627CC" w:rsidRDefault="00D85FAC" w:rsidP="00D85FAC">
            <w:pPr>
              <w:pStyle w:val="table1"/>
            </w:pPr>
            <w:r w:rsidRPr="005627CC">
              <w:t>Magela A (MALAA)</w:t>
            </w:r>
          </w:p>
        </w:tc>
        <w:tc>
          <w:tcPr>
            <w:tcW w:w="2410" w:type="dxa"/>
            <w:tcBorders>
              <w:top w:val="single" w:sz="4" w:space="0" w:color="auto"/>
            </w:tcBorders>
          </w:tcPr>
          <w:p w:rsidR="00D85FAC" w:rsidRPr="005627CC" w:rsidRDefault="00D85FAC" w:rsidP="00D85FAC">
            <w:pPr>
              <w:pStyle w:val="table1"/>
            </w:pPr>
            <w:r w:rsidRPr="005627CC">
              <w:t>RP2 water</w:t>
            </w:r>
          </w:p>
        </w:tc>
        <w:tc>
          <w:tcPr>
            <w:tcW w:w="1418" w:type="dxa"/>
            <w:tcBorders>
              <w:top w:val="single" w:sz="4" w:space="0" w:color="auto"/>
            </w:tcBorders>
          </w:tcPr>
          <w:p w:rsidR="00D85FAC" w:rsidRPr="005627CC" w:rsidRDefault="00D85FAC" w:rsidP="00D85FAC">
            <w:pPr>
              <w:pStyle w:val="table1"/>
            </w:pPr>
            <w:r w:rsidRPr="005627CC">
              <w:t>33</w:t>
            </w:r>
          </w:p>
        </w:tc>
        <w:tc>
          <w:tcPr>
            <w:tcW w:w="2126" w:type="dxa"/>
            <w:tcBorders>
              <w:top w:val="single" w:sz="4" w:space="0" w:color="auto"/>
            </w:tcBorders>
          </w:tcPr>
          <w:p w:rsidR="00D85FAC" w:rsidRPr="005627CC" w:rsidRDefault="00D85FAC" w:rsidP="00D85FAC">
            <w:pPr>
              <w:pStyle w:val="table1"/>
            </w:pPr>
            <w:r w:rsidRPr="005627CC">
              <w:t>1985</w:t>
            </w:r>
          </w:p>
        </w:tc>
      </w:tr>
      <w:tr w:rsidR="00D85FAC" w:rsidRPr="005627CC" w:rsidTr="00D85FAC">
        <w:tc>
          <w:tcPr>
            <w:tcW w:w="2376" w:type="dxa"/>
          </w:tcPr>
          <w:p w:rsidR="00D85FAC" w:rsidRPr="005627CC" w:rsidRDefault="00D85FAC" w:rsidP="00D85FAC">
            <w:pPr>
              <w:pStyle w:val="table1"/>
            </w:pPr>
            <w:r w:rsidRPr="005627CC">
              <w:t>Magela B (MBLAA)</w:t>
            </w:r>
          </w:p>
        </w:tc>
        <w:tc>
          <w:tcPr>
            <w:tcW w:w="2410" w:type="dxa"/>
          </w:tcPr>
          <w:p w:rsidR="00D85FAC" w:rsidRPr="005627CC" w:rsidRDefault="00D85FAC" w:rsidP="00D85FAC">
            <w:pPr>
              <w:pStyle w:val="table1"/>
            </w:pPr>
            <w:r w:rsidRPr="005627CC">
              <w:t>RP2 water</w:t>
            </w:r>
            <w:r w:rsidRPr="005627CC" w:rsidDel="00134184">
              <w:t xml:space="preserve"> </w:t>
            </w:r>
          </w:p>
        </w:tc>
        <w:tc>
          <w:tcPr>
            <w:tcW w:w="1418" w:type="dxa"/>
          </w:tcPr>
          <w:p w:rsidR="00D85FAC" w:rsidRPr="005627CC" w:rsidRDefault="00D85FAC" w:rsidP="00D85FAC">
            <w:pPr>
              <w:pStyle w:val="table1"/>
            </w:pPr>
            <w:r w:rsidRPr="005627CC">
              <w:t>20</w:t>
            </w:r>
          </w:p>
        </w:tc>
        <w:tc>
          <w:tcPr>
            <w:tcW w:w="2126" w:type="dxa"/>
          </w:tcPr>
          <w:p w:rsidR="00D85FAC" w:rsidRPr="005627CC" w:rsidRDefault="00D85FAC" w:rsidP="00D85FAC">
            <w:pPr>
              <w:pStyle w:val="table1"/>
            </w:pPr>
            <w:r w:rsidRPr="005627CC">
              <w:t>1994</w:t>
            </w:r>
          </w:p>
        </w:tc>
      </w:tr>
      <w:tr w:rsidR="00D85FAC" w:rsidRPr="005627CC" w:rsidTr="00D85FAC">
        <w:tc>
          <w:tcPr>
            <w:tcW w:w="2376" w:type="dxa"/>
          </w:tcPr>
          <w:p w:rsidR="00D85FAC" w:rsidRPr="005627CC" w:rsidRDefault="00D85FAC" w:rsidP="00D85FAC">
            <w:pPr>
              <w:pStyle w:val="table1"/>
            </w:pPr>
            <w:r w:rsidRPr="005627CC">
              <w:t>RP1</w:t>
            </w:r>
          </w:p>
        </w:tc>
        <w:tc>
          <w:tcPr>
            <w:tcW w:w="2410" w:type="dxa"/>
          </w:tcPr>
          <w:p w:rsidR="00D85FAC" w:rsidRPr="005627CC" w:rsidRDefault="00D85FAC" w:rsidP="00D85FAC">
            <w:pPr>
              <w:pStyle w:val="table1"/>
            </w:pPr>
            <w:r w:rsidRPr="005627CC">
              <w:t>polished RP2 water</w:t>
            </w:r>
          </w:p>
        </w:tc>
        <w:tc>
          <w:tcPr>
            <w:tcW w:w="1418" w:type="dxa"/>
          </w:tcPr>
          <w:p w:rsidR="00D85FAC" w:rsidRPr="005627CC" w:rsidRDefault="00D85FAC" w:rsidP="00D85FAC">
            <w:pPr>
              <w:pStyle w:val="table1"/>
            </w:pPr>
            <w:r w:rsidRPr="005627CC">
              <w:t>46</w:t>
            </w:r>
          </w:p>
        </w:tc>
        <w:tc>
          <w:tcPr>
            <w:tcW w:w="2126" w:type="dxa"/>
          </w:tcPr>
          <w:p w:rsidR="00D85FAC" w:rsidRPr="005627CC" w:rsidRDefault="00D85FAC" w:rsidP="00D85FAC">
            <w:pPr>
              <w:pStyle w:val="table1"/>
            </w:pPr>
            <w:r w:rsidRPr="005627CC">
              <w:t>1995</w:t>
            </w:r>
          </w:p>
        </w:tc>
      </w:tr>
      <w:tr w:rsidR="00D85FAC" w:rsidRPr="005627CC" w:rsidTr="00D85FAC">
        <w:tc>
          <w:tcPr>
            <w:tcW w:w="2376" w:type="dxa"/>
          </w:tcPr>
          <w:p w:rsidR="00D85FAC" w:rsidRPr="005627CC" w:rsidRDefault="00D85FAC" w:rsidP="00D85FAC">
            <w:pPr>
              <w:pStyle w:val="table1"/>
            </w:pPr>
            <w:r w:rsidRPr="005627CC">
              <w:t>Djalkmara East (E. Dj)</w:t>
            </w:r>
          </w:p>
        </w:tc>
        <w:tc>
          <w:tcPr>
            <w:tcW w:w="2410" w:type="dxa"/>
          </w:tcPr>
          <w:p w:rsidR="00D85FAC" w:rsidRPr="005627CC" w:rsidRDefault="00D85FAC" w:rsidP="00D85FAC">
            <w:pPr>
              <w:pStyle w:val="table1"/>
            </w:pPr>
            <w:r w:rsidRPr="005627CC">
              <w:t>(un)polished RP2 water</w:t>
            </w:r>
          </w:p>
        </w:tc>
        <w:tc>
          <w:tcPr>
            <w:tcW w:w="1418" w:type="dxa"/>
          </w:tcPr>
          <w:p w:rsidR="00D85FAC" w:rsidRPr="005627CC" w:rsidRDefault="00D85FAC" w:rsidP="00D85FAC">
            <w:pPr>
              <w:pStyle w:val="table1"/>
            </w:pPr>
            <w:r w:rsidRPr="005627CC">
              <w:t>18</w:t>
            </w:r>
          </w:p>
        </w:tc>
        <w:tc>
          <w:tcPr>
            <w:tcW w:w="2126" w:type="dxa"/>
          </w:tcPr>
          <w:p w:rsidR="00D85FAC" w:rsidRPr="005627CC" w:rsidRDefault="00D85FAC" w:rsidP="00D85FAC">
            <w:pPr>
              <w:pStyle w:val="table1"/>
            </w:pPr>
            <w:r w:rsidRPr="005627CC">
              <w:t>1997</w:t>
            </w:r>
          </w:p>
        </w:tc>
      </w:tr>
      <w:tr w:rsidR="00D85FAC" w:rsidRPr="005627CC" w:rsidTr="00D85FAC">
        <w:tc>
          <w:tcPr>
            <w:tcW w:w="2376" w:type="dxa"/>
          </w:tcPr>
          <w:p w:rsidR="00D85FAC" w:rsidRPr="005627CC" w:rsidRDefault="00D85FAC" w:rsidP="00D85FAC">
            <w:pPr>
              <w:pStyle w:val="table1"/>
            </w:pPr>
            <w:r w:rsidRPr="005627CC">
              <w:t>Djalkmara West (W. Dj)</w:t>
            </w:r>
          </w:p>
        </w:tc>
        <w:tc>
          <w:tcPr>
            <w:tcW w:w="2410" w:type="dxa"/>
          </w:tcPr>
          <w:p w:rsidR="00D85FAC" w:rsidRPr="005627CC" w:rsidRDefault="00D85FAC" w:rsidP="00D85FAC">
            <w:pPr>
              <w:pStyle w:val="table1"/>
            </w:pPr>
            <w:r w:rsidRPr="005627CC">
              <w:t>(un)polished RP2 water</w:t>
            </w:r>
          </w:p>
        </w:tc>
        <w:tc>
          <w:tcPr>
            <w:tcW w:w="1418" w:type="dxa"/>
          </w:tcPr>
          <w:p w:rsidR="00D85FAC" w:rsidRPr="005627CC" w:rsidRDefault="00D85FAC" w:rsidP="00D85FAC">
            <w:pPr>
              <w:pStyle w:val="table1"/>
            </w:pPr>
            <w:r w:rsidRPr="005627CC">
              <w:t>20</w:t>
            </w:r>
          </w:p>
        </w:tc>
        <w:tc>
          <w:tcPr>
            <w:tcW w:w="2126" w:type="dxa"/>
          </w:tcPr>
          <w:p w:rsidR="00D85FAC" w:rsidRPr="005627CC" w:rsidRDefault="00D85FAC" w:rsidP="00D85FAC">
            <w:pPr>
              <w:pStyle w:val="table1"/>
            </w:pPr>
            <w:r w:rsidRPr="005627CC">
              <w:t>1999</w:t>
            </w:r>
          </w:p>
        </w:tc>
      </w:tr>
      <w:tr w:rsidR="00D85FAC" w:rsidRPr="005627CC" w:rsidTr="00D85FAC">
        <w:tc>
          <w:tcPr>
            <w:tcW w:w="2376" w:type="dxa"/>
          </w:tcPr>
          <w:p w:rsidR="00D85FAC" w:rsidRPr="005627CC" w:rsidRDefault="00D85FAC" w:rsidP="00D85FAC">
            <w:pPr>
              <w:pStyle w:val="table1"/>
            </w:pPr>
            <w:r w:rsidRPr="005627CC">
              <w:t>Jabiru East (JELAA)</w:t>
            </w:r>
          </w:p>
        </w:tc>
        <w:tc>
          <w:tcPr>
            <w:tcW w:w="2410" w:type="dxa"/>
          </w:tcPr>
          <w:p w:rsidR="00D85FAC" w:rsidRPr="005627CC" w:rsidRDefault="00D85FAC" w:rsidP="00D85FAC">
            <w:pPr>
              <w:pStyle w:val="table1"/>
            </w:pPr>
            <w:r w:rsidRPr="005627CC">
              <w:t>(un)polished RP2 water</w:t>
            </w:r>
            <w:r w:rsidRPr="005627CC" w:rsidDel="00134184">
              <w:t xml:space="preserve"> </w:t>
            </w:r>
          </w:p>
        </w:tc>
        <w:tc>
          <w:tcPr>
            <w:tcW w:w="1418" w:type="dxa"/>
          </w:tcPr>
          <w:p w:rsidR="00D85FAC" w:rsidRPr="005627CC" w:rsidRDefault="00D85FAC" w:rsidP="00D85FAC">
            <w:pPr>
              <w:pStyle w:val="table1"/>
            </w:pPr>
            <w:r w:rsidRPr="005627CC">
              <w:t>52</w:t>
            </w:r>
          </w:p>
        </w:tc>
        <w:tc>
          <w:tcPr>
            <w:tcW w:w="2126" w:type="dxa"/>
          </w:tcPr>
          <w:p w:rsidR="00D85FAC" w:rsidRPr="005627CC" w:rsidRDefault="00D85FAC" w:rsidP="00D85FAC">
            <w:pPr>
              <w:pStyle w:val="table1"/>
            </w:pPr>
            <w:r w:rsidRPr="005627CC">
              <w:t>2006</w:t>
            </w:r>
          </w:p>
        </w:tc>
      </w:tr>
      <w:tr w:rsidR="00D85FAC" w:rsidRPr="005627CC" w:rsidTr="00D85FAC">
        <w:tc>
          <w:tcPr>
            <w:tcW w:w="2376" w:type="dxa"/>
          </w:tcPr>
          <w:p w:rsidR="00D85FAC" w:rsidRPr="005627CC" w:rsidRDefault="00D85FAC" w:rsidP="00D85FAC">
            <w:pPr>
              <w:pStyle w:val="table1"/>
            </w:pPr>
            <w:r w:rsidRPr="005627CC">
              <w:t>RP1 Extension (RP1 ext)</w:t>
            </w:r>
          </w:p>
        </w:tc>
        <w:tc>
          <w:tcPr>
            <w:tcW w:w="2410" w:type="dxa"/>
          </w:tcPr>
          <w:p w:rsidR="00D85FAC" w:rsidRPr="005627CC" w:rsidRDefault="00D85FAC" w:rsidP="00D85FAC">
            <w:pPr>
              <w:pStyle w:val="table1"/>
            </w:pPr>
            <w:r w:rsidRPr="005627CC">
              <w:t>RP2 water</w:t>
            </w:r>
            <w:r w:rsidRPr="005627CC" w:rsidDel="00134184">
              <w:t xml:space="preserve"> </w:t>
            </w:r>
          </w:p>
        </w:tc>
        <w:tc>
          <w:tcPr>
            <w:tcW w:w="1418" w:type="dxa"/>
          </w:tcPr>
          <w:p w:rsidR="00D85FAC" w:rsidRPr="005627CC" w:rsidRDefault="00D85FAC" w:rsidP="00D85FAC">
            <w:pPr>
              <w:pStyle w:val="table1"/>
            </w:pPr>
            <w:r w:rsidRPr="005627CC">
              <w:t>8</w:t>
            </w:r>
          </w:p>
        </w:tc>
        <w:tc>
          <w:tcPr>
            <w:tcW w:w="2126" w:type="dxa"/>
          </w:tcPr>
          <w:p w:rsidR="00D85FAC" w:rsidRPr="005627CC" w:rsidRDefault="00D85FAC" w:rsidP="00D85FAC">
            <w:pPr>
              <w:pStyle w:val="table1"/>
            </w:pPr>
            <w:r w:rsidRPr="005627CC">
              <w:t>2006</w:t>
            </w:r>
          </w:p>
        </w:tc>
      </w:tr>
      <w:tr w:rsidR="00D85FAC" w:rsidRPr="005A552F" w:rsidTr="00D85FAC">
        <w:tc>
          <w:tcPr>
            <w:tcW w:w="2376" w:type="dxa"/>
            <w:tcBorders>
              <w:bottom w:val="single" w:sz="4" w:space="0" w:color="auto"/>
            </w:tcBorders>
          </w:tcPr>
          <w:p w:rsidR="00D85FAC" w:rsidRPr="005A552F" w:rsidRDefault="00D85FAC" w:rsidP="00D85FAC">
            <w:pPr>
              <w:pStyle w:val="table1"/>
            </w:pPr>
            <w:r w:rsidRPr="005A552F">
              <w:t>Corridor Creek (CCLAA)</w:t>
            </w:r>
          </w:p>
        </w:tc>
        <w:tc>
          <w:tcPr>
            <w:tcW w:w="2410" w:type="dxa"/>
            <w:tcBorders>
              <w:bottom w:val="single" w:sz="4" w:space="0" w:color="auto"/>
            </w:tcBorders>
          </w:tcPr>
          <w:p w:rsidR="00D85FAC" w:rsidRPr="005627CC" w:rsidRDefault="00D85FAC" w:rsidP="00D85FAC">
            <w:pPr>
              <w:pStyle w:val="table1"/>
            </w:pPr>
            <w:r w:rsidRPr="005627CC">
              <w:t>RP2 water</w:t>
            </w:r>
            <w:r w:rsidRPr="005627CC" w:rsidDel="00134184">
              <w:t xml:space="preserve"> </w:t>
            </w:r>
          </w:p>
        </w:tc>
        <w:tc>
          <w:tcPr>
            <w:tcW w:w="1418" w:type="dxa"/>
            <w:tcBorders>
              <w:bottom w:val="single" w:sz="4" w:space="0" w:color="auto"/>
            </w:tcBorders>
          </w:tcPr>
          <w:p w:rsidR="00D85FAC" w:rsidRPr="005627CC" w:rsidRDefault="00D85FAC" w:rsidP="00D85FAC">
            <w:pPr>
              <w:pStyle w:val="table1"/>
            </w:pPr>
            <w:r w:rsidRPr="005627CC">
              <w:t>141</w:t>
            </w:r>
          </w:p>
        </w:tc>
        <w:tc>
          <w:tcPr>
            <w:tcW w:w="2126" w:type="dxa"/>
            <w:tcBorders>
              <w:bottom w:val="single" w:sz="4" w:space="0" w:color="auto"/>
            </w:tcBorders>
          </w:tcPr>
          <w:p w:rsidR="00D85FAC" w:rsidRPr="005627CC" w:rsidRDefault="00D85FAC" w:rsidP="00D85FAC">
            <w:pPr>
              <w:pStyle w:val="table1"/>
            </w:pPr>
            <w:r w:rsidRPr="005627CC">
              <w:t>2007</w:t>
            </w:r>
          </w:p>
        </w:tc>
      </w:tr>
    </w:tbl>
    <w:p w:rsidR="00D85FAC" w:rsidRDefault="00D85FAC" w:rsidP="00D85FAC">
      <w:r>
        <w:lastRenderedPageBreak/>
        <w:t xml:space="preserve">To assess the radiological status of the land application areas, develop a dose model and propose rehabilitation strategies for the LAAs, a collaborative project was started in 2007/08 between </w:t>
      </w:r>
      <w:r>
        <w:rPr>
          <w:lang w:val="en-US"/>
        </w:rPr>
        <w:t>Earth Water Life Sciences</w:t>
      </w:r>
      <w:r>
        <w:t xml:space="preserve"> (EWLS, now ERA), Dr Riaz Akber (</w:t>
      </w:r>
      <w:r>
        <w:rPr>
          <w:i/>
        </w:rPr>
        <w:t>SafeRadiation</w:t>
      </w:r>
      <w:r>
        <w:t xml:space="preserve">) and </w:t>
      </w:r>
      <w:r w:rsidRPr="00595B11">
        <w:rPr>
          <w:b/>
          <w:i/>
          <w:sz w:val="26"/>
        </w:rPr>
        <w:t>eriss</w:t>
      </w:r>
      <w:r>
        <w:t xml:space="preserve">. </w:t>
      </w:r>
      <w:proofErr w:type="gramStart"/>
      <w:r w:rsidRPr="00595B11">
        <w:rPr>
          <w:b/>
          <w:i/>
          <w:sz w:val="26"/>
        </w:rPr>
        <w:t>eriss</w:t>
      </w:r>
      <w:proofErr w:type="gramEnd"/>
      <w:r>
        <w:t xml:space="preserve"> has been involved in planning and scoping the project from the early stages. A major part of the project involved radioanalytical analyses by </w:t>
      </w:r>
      <w:r w:rsidRPr="00595B11">
        <w:rPr>
          <w:b/>
          <w:i/>
          <w:sz w:val="26"/>
        </w:rPr>
        <w:t>eriss</w:t>
      </w:r>
      <w:r>
        <w:t xml:space="preserve"> of the different types of samples (soils, leaf litter, dust) from the Ranger LAAs and provision of assistance for the assessment of radon exhalation from the LAAs. In addition, </w:t>
      </w:r>
      <w:r w:rsidRPr="00595B11">
        <w:rPr>
          <w:b/>
          <w:i/>
          <w:sz w:val="26"/>
        </w:rPr>
        <w:t>eriss</w:t>
      </w:r>
      <w:r>
        <w:t xml:space="preserve"> contributes through continuing review and discussion of project data and results.</w:t>
      </w:r>
    </w:p>
    <w:p w:rsidR="00D85FAC" w:rsidRDefault="00D85FAC" w:rsidP="00D85FAC">
      <w:pPr>
        <w:pStyle w:val="Heading2"/>
      </w:pPr>
      <w:bookmarkStart w:id="34" w:name="_Toc313523405"/>
      <w:bookmarkStart w:id="35" w:name="_Toc316985248"/>
      <w:r>
        <w:t>Methods</w:t>
      </w:r>
      <w:bookmarkEnd w:id="34"/>
      <w:bookmarkEnd w:id="35"/>
    </w:p>
    <w:p w:rsidR="00D85FAC" w:rsidRDefault="00D85FAC" w:rsidP="00D85FAC">
      <w:r>
        <w:t xml:space="preserve">The sample collection and radioanalytical methods have been described in previous </w:t>
      </w:r>
      <w:r w:rsidRPr="00595B11">
        <w:rPr>
          <w:b/>
          <w:i/>
          <w:sz w:val="26"/>
        </w:rPr>
        <w:t>eriss</w:t>
      </w:r>
      <w:r>
        <w:t xml:space="preserve"> research summaries (Bollhöfer et al 2010, Akber at al 2011a). Soils and leaf litter samples were collected from all LAAs on the Ranger lease for measurement of radionuclide activity concentration via gamma spectrometry at </w:t>
      </w:r>
      <w:r w:rsidRPr="00595B11">
        <w:rPr>
          <w:b/>
          <w:i/>
          <w:sz w:val="26"/>
        </w:rPr>
        <w:t>eriss</w:t>
      </w:r>
      <w:r>
        <w:t xml:space="preserve">. The methods are described in Murray et al (1987), Marten (1992) and Esparon &amp; Pfitzner (2009). Radon exhalation was measured at the LAAs at various distances from the sprinkler heads and the methods are described in Spehr &amp; Johnston (1983) and Bollhöfer et al (2005). Passive dust collection stations were also established along transects that intersect the boundary of the Magela A and Magela B land application areas to examine the dispersion of dust from the Magela LAAs. </w:t>
      </w:r>
    </w:p>
    <w:p w:rsidR="00D85FAC" w:rsidRDefault="00D85FAC" w:rsidP="00D85FAC">
      <w:r>
        <w:t xml:space="preserve">The results of these measurements were then used to determine above background dose rates from the application of irrigation water at the Ranger land application areas via the external gamma and inhalation pathways. </w:t>
      </w:r>
    </w:p>
    <w:p w:rsidR="00D85FAC" w:rsidRPr="00FA2080" w:rsidRDefault="00D85FAC" w:rsidP="00D85FAC">
      <w:pPr>
        <w:pStyle w:val="Heading2"/>
      </w:pPr>
      <w:bookmarkStart w:id="36" w:name="_Toc313523406"/>
      <w:bookmarkStart w:id="37" w:name="_Toc316985249"/>
      <w:r w:rsidRPr="00FA2080">
        <w:t>Summary of results</w:t>
      </w:r>
      <w:bookmarkEnd w:id="36"/>
      <w:bookmarkEnd w:id="37"/>
    </w:p>
    <w:p w:rsidR="00D85FAC" w:rsidRDefault="00D85FAC" w:rsidP="00D85FAC">
      <w:r>
        <w:t xml:space="preserve">Five reports have been published on the radiological status of the land application areas. </w:t>
      </w:r>
    </w:p>
    <w:p w:rsidR="00D85FAC" w:rsidRDefault="00D85FAC" w:rsidP="00D85FAC">
      <w:r>
        <w:t>The first report (Akber et al 2011b) gives an estimate of the amount of radionuclides applied through land irrigation of the various LAAs, based on monitoring results of irrigation water quality and the quantities of water applied. These results are supplemented by results from actual soil and leaf litter radionuclide activity concentration measurements in Akber et al (2011c), which also investigates the spatial distribution of radioactivity in the LAAs. The results from these two studies are then used to determine the external gamma radiation dose rates in the land application areas (Akber et al 2011d). As expected, average above background external gamma dose rates from irrigation are highest for the Magela A (0.14 µSv·hr</w:t>
      </w:r>
      <w:r w:rsidRPr="00517418">
        <w:rPr>
          <w:vertAlign w:val="superscript"/>
        </w:rPr>
        <w:t>-1</w:t>
      </w:r>
      <w:r>
        <w:t>) and Magela B (0.10 µSv·hr</w:t>
      </w:r>
      <w:r w:rsidRPr="00517418">
        <w:rPr>
          <w:vertAlign w:val="superscript"/>
        </w:rPr>
        <w:t>-1</w:t>
      </w:r>
      <w:r>
        <w:t>) LAAs. On average, assuming that the entire 338 ha of LAAs at Ranger were accessed for equal amounts of time, the additional external gamma dose rate due to land application is approximately 0.03</w:t>
      </w:r>
      <w:r w:rsidRPr="00247DA3">
        <w:t xml:space="preserve"> </w:t>
      </w:r>
      <w:r>
        <w:t>µSv·hr</w:t>
      </w:r>
      <w:r w:rsidRPr="00517418">
        <w:rPr>
          <w:vertAlign w:val="superscript"/>
        </w:rPr>
        <w:t>-1</w:t>
      </w:r>
      <w:r>
        <w:t>. Generally, the dose rate is higher close to the location of the sprinklers than further away.</w:t>
      </w:r>
    </w:p>
    <w:p w:rsidR="00D85FAC" w:rsidRDefault="00D85FAC" w:rsidP="00D85FAC">
      <w:r>
        <w:t xml:space="preserve">The results of airborne radon concentration measurements using passive devices (track etch detectors) and real time measurements with a </w:t>
      </w:r>
      <w:r w:rsidRPr="00517418">
        <w:rPr>
          <w:i/>
        </w:rPr>
        <w:t>Durridge Rad7</w:t>
      </w:r>
      <w:r>
        <w:t xml:space="preserve"> radon detector are published in report 4 (Akber et al 2011e). The results of the study were used to determine the increase in dose rate received via the inhalation of radon decay products from land application. Generally, the increase due to land application is small and only 0.003 µSv·hr</w:t>
      </w:r>
      <w:r w:rsidRPr="00517418">
        <w:rPr>
          <w:vertAlign w:val="superscript"/>
        </w:rPr>
        <w:t>-1</w:t>
      </w:r>
      <w:r>
        <w:t xml:space="preserve"> above background averaged over the entire 338 ha. Increases are higher in the Magela A (0.03 µSv·hr</w:t>
      </w:r>
      <w:r w:rsidRPr="00517418">
        <w:rPr>
          <w:vertAlign w:val="superscript"/>
        </w:rPr>
        <w:t>-1</w:t>
      </w:r>
      <w:r>
        <w:t>) and Magela B (0.02 µSv·hr</w:t>
      </w:r>
      <w:r w:rsidRPr="00517418">
        <w:rPr>
          <w:vertAlign w:val="superscript"/>
        </w:rPr>
        <w:t>-1</w:t>
      </w:r>
      <w:r>
        <w:t xml:space="preserve">) LAAs. </w:t>
      </w:r>
    </w:p>
    <w:p w:rsidR="00D85FAC" w:rsidRDefault="00D85FAC" w:rsidP="00D85FAC">
      <w:r>
        <w:t>A fifth report (</w:t>
      </w:r>
      <w:r w:rsidRPr="008C66FF">
        <w:rPr>
          <w:i/>
        </w:rPr>
        <w:t>Safe Radiation</w:t>
      </w:r>
      <w:r>
        <w:t xml:space="preserve"> 2011) was issued to ERA in 2011, investigating the dose rate through inhalation of resuspended radioactivity during future occupancy of the land </w:t>
      </w:r>
      <w:r>
        <w:lastRenderedPageBreak/>
        <w:t xml:space="preserve">application areas at Ranger Uranium Mine. Generally, the report shows that inhalation of radioactivity in or on dust will deliver an above background radiation dose slightly higher than the external gamma and radon decay product inhalation pathways combined, due to the retention and high activity concentration of uranium in the soil surface at the LAAs, resuspension of this material and subsequent inhalation. </w:t>
      </w:r>
    </w:p>
    <w:p w:rsidR="00D85FAC" w:rsidRPr="0071374A" w:rsidRDefault="00D85FAC" w:rsidP="00D85FAC">
      <w:pPr>
        <w:rPr>
          <w:spacing w:val="-2"/>
        </w:rPr>
      </w:pPr>
      <w:r w:rsidRPr="0071374A">
        <w:rPr>
          <w:spacing w:val="-2"/>
        </w:rPr>
        <w:t xml:space="preserve">A preliminary dose assessment for the Magela A and B LAAs for all pathways is presented in Akber </w:t>
      </w:r>
      <w:r>
        <w:rPr>
          <w:spacing w:val="-2"/>
        </w:rPr>
        <w:t>et al</w:t>
      </w:r>
      <w:r w:rsidRPr="0071374A">
        <w:rPr>
          <w:spacing w:val="-2"/>
        </w:rPr>
        <w:t xml:space="preserve"> (2011a). There it has been highlighted that the above background doses depend on, both the pre-mining radiological conditions and the nature of future use of the area by indigenous people and the general public. In particular the ingestion pathway will vitally depend on future land use activities and likely occupancy of the area. A major review has been conducted by R Akber (2011, draft report) on available information about traditional Aboriginal diet in the Kakadu and Arnhem Land regions, food gathering habits, and flora and fauna (including home ranges) in the vicinity of Ranger Uranium Mine, to establish traditional diet categories and quantities that may be hunted and gathered post rehabilitation at Ranger mine. A model for the ingestion pathway is currently being developed and preliminary results indicate that the contribution from applied radioactivity to ingestion doses will be small.</w:t>
      </w:r>
    </w:p>
    <w:p w:rsidR="00D85FAC" w:rsidRDefault="00D85FAC" w:rsidP="00D85FAC">
      <w:r>
        <w:t>Various rehabilitation options could be used to reduce exposure of people potentially accessing the footprint of the LAAs. These options include removal of the surface 10 cm of contaminated soil and placing it into the pit, tilling of the soil, or a mixture of both. A rehabilitation trial was initiated in late September 2011 at the Magela B LAA (Figure 1) in order to investigate whether predicted reductions in dose rates can be achieved. It consists of four different treatments.</w:t>
      </w:r>
    </w:p>
    <w:p w:rsidR="00D85FAC" w:rsidRDefault="00D85FAC" w:rsidP="00B87D07">
      <w:pPr>
        <w:numPr>
          <w:ilvl w:val="0"/>
          <w:numId w:val="7"/>
        </w:numPr>
      </w:pPr>
      <w:r>
        <w:t>Treatment 1: Baseline – No soil removal or redistribution within the area.</w:t>
      </w:r>
    </w:p>
    <w:p w:rsidR="00D85FAC" w:rsidRDefault="00D85FAC" w:rsidP="00B87D07">
      <w:pPr>
        <w:numPr>
          <w:ilvl w:val="0"/>
          <w:numId w:val="7"/>
        </w:numPr>
      </w:pPr>
      <w:r>
        <w:t>Treatment 2: Soil redistribution – tilling to 30–50 cm depth within 7 m radial distance from the sprinkler heads.</w:t>
      </w:r>
    </w:p>
    <w:p w:rsidR="00D85FAC" w:rsidRDefault="00D85FAC" w:rsidP="00B87D07">
      <w:pPr>
        <w:numPr>
          <w:ilvl w:val="0"/>
          <w:numId w:val="7"/>
        </w:numPr>
      </w:pPr>
      <w:r>
        <w:t>Treatment 3: Soil removal – removal of surface 10 cm of soil within 5 m radius of location of the sprinkler head.</w:t>
      </w:r>
    </w:p>
    <w:p w:rsidR="00D85FAC" w:rsidRDefault="00D85FAC" w:rsidP="00B87D07">
      <w:pPr>
        <w:numPr>
          <w:ilvl w:val="0"/>
          <w:numId w:val="7"/>
        </w:numPr>
      </w:pPr>
      <w:r>
        <w:t>Treatment 4: Soil removal (as per treatment 3) and redistribution – removal of 10 cm of soil followed by tilling.</w:t>
      </w:r>
    </w:p>
    <w:p w:rsidR="00D85FAC" w:rsidRDefault="00D85FAC" w:rsidP="00D85FAC">
      <w:pPr>
        <w:jc w:val="center"/>
      </w:pPr>
      <w:r>
        <w:rPr>
          <w:noProof/>
          <w:lang w:eastAsia="en-AU"/>
        </w:rPr>
        <w:drawing>
          <wp:inline distT="0" distB="0" distL="0" distR="0">
            <wp:extent cx="3931941" cy="2832997"/>
            <wp:effectExtent l="19050" t="19050" r="11409" b="24503"/>
            <wp:docPr id="1" name="Picture 1" descr="Mixing Trial 4 Line 89 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xing Trial 4 Line 89 3 (3)"/>
                    <pic:cNvPicPr>
                      <a:picLocks noChangeAspect="1" noChangeArrowheads="1"/>
                    </pic:cNvPicPr>
                  </pic:nvPicPr>
                  <pic:blipFill>
                    <a:blip r:embed="rId18" cstate="screen"/>
                    <a:srcRect/>
                    <a:stretch>
                      <a:fillRect/>
                    </a:stretch>
                  </pic:blipFill>
                  <pic:spPr bwMode="auto">
                    <a:xfrm>
                      <a:off x="0" y="0"/>
                      <a:ext cx="3931941" cy="2832997"/>
                    </a:xfrm>
                    <a:prstGeom prst="rect">
                      <a:avLst/>
                    </a:prstGeom>
                    <a:noFill/>
                    <a:ln w="9525">
                      <a:solidFill>
                        <a:schemeClr val="bg1">
                          <a:lumMod val="50000"/>
                        </a:schemeClr>
                      </a:solidFill>
                      <a:miter lim="800000"/>
                      <a:headEnd/>
                      <a:tailEnd/>
                    </a:ln>
                  </pic:spPr>
                </pic:pic>
              </a:graphicData>
            </a:graphic>
          </wp:inline>
        </w:drawing>
      </w:r>
    </w:p>
    <w:p w:rsidR="00D85FAC" w:rsidRDefault="00D85FAC" w:rsidP="00D85FAC">
      <w:pPr>
        <w:pStyle w:val="figurecaption"/>
      </w:pPr>
      <w:r w:rsidRPr="001378B7">
        <w:rPr>
          <w:b/>
        </w:rPr>
        <w:t xml:space="preserve">Figure </w:t>
      </w:r>
      <w:proofErr w:type="gramStart"/>
      <w:r w:rsidRPr="001378B7">
        <w:rPr>
          <w:b/>
        </w:rPr>
        <w:t>1</w:t>
      </w:r>
      <w:r>
        <w:t xml:space="preserve">  Mixing</w:t>
      </w:r>
      <w:proofErr w:type="gramEnd"/>
      <w:r>
        <w:t xml:space="preserve"> of the soil at one of the Magela B LAA rehabilitation plots</w:t>
      </w:r>
    </w:p>
    <w:p w:rsidR="00D85FAC" w:rsidRDefault="00D85FAC" w:rsidP="00D85FAC">
      <w:r>
        <w:lastRenderedPageBreak/>
        <w:t xml:space="preserve">Before the area was disturbed by heavy machinery, radon flux densities were </w:t>
      </w:r>
      <w:proofErr w:type="gramStart"/>
      <w:r>
        <w:t>measured  across</w:t>
      </w:r>
      <w:proofErr w:type="gramEnd"/>
      <w:r>
        <w:t xml:space="preserve"> the footprints of the four treatments to establish the baseline conditions. Soil samples were also collected at this time. The measurements of soil radionuclide activity concentrations have been completed for these samples. A post earthworks radiological survey was undertaken in late October 2011, after the four areas had been treated according to the schedule above. Radon exhalation rates were also measured at this time.</w:t>
      </w:r>
    </w:p>
    <w:p w:rsidR="00D85FAC" w:rsidRDefault="00D85FAC" w:rsidP="00D85FAC">
      <w:pPr>
        <w:pStyle w:val="Heading2"/>
      </w:pPr>
      <w:bookmarkStart w:id="38" w:name="_Toc313523407"/>
      <w:bookmarkStart w:id="39" w:name="_Toc316985250"/>
      <w:r>
        <w:t>Outstanding work</w:t>
      </w:r>
      <w:bookmarkEnd w:id="38"/>
      <w:bookmarkEnd w:id="39"/>
    </w:p>
    <w:p w:rsidR="00D85FAC" w:rsidRDefault="00D85FAC" w:rsidP="00D85FAC">
      <w:r>
        <w:t xml:space="preserve">Soil samples collected in late October 2011 are being processed and will be analysed at </w:t>
      </w:r>
      <w:r>
        <w:rPr>
          <w:b/>
          <w:i/>
          <w:sz w:val="26"/>
        </w:rPr>
        <w:t>eriss</w:t>
      </w:r>
      <w:r>
        <w:t xml:space="preserve"> via gamma spectrometry for soil radionuclide activity concentrations. Radon exhalation rates will be measured again about one year after the initial earthworks to determine the changes in radon flux densities as a result of the four different treatments. </w:t>
      </w:r>
    </w:p>
    <w:p w:rsidR="00D85FAC" w:rsidRDefault="00D85FAC" w:rsidP="00D85FAC">
      <w:pPr>
        <w:pStyle w:val="Heading2"/>
      </w:pPr>
      <w:bookmarkStart w:id="40" w:name="_Toc313523408"/>
      <w:bookmarkStart w:id="41" w:name="_Toc316985251"/>
      <w:r>
        <w:t>References</w:t>
      </w:r>
      <w:bookmarkEnd w:id="40"/>
      <w:bookmarkEnd w:id="41"/>
    </w:p>
    <w:p w:rsidR="00D85FAC" w:rsidRDefault="00D85FAC" w:rsidP="00D85FAC">
      <w:pPr>
        <w:pStyle w:val="referencelist1"/>
      </w:pPr>
      <w:proofErr w:type="gramStart"/>
      <w:r>
        <w:t>Akber RA &amp; Marten R 1992.</w:t>
      </w:r>
      <w:proofErr w:type="gramEnd"/>
      <w:r>
        <w:t xml:space="preserve"> Fate of radionuclides applied to soil in Ranger Uranium Mine land application area. </w:t>
      </w:r>
      <w:proofErr w:type="gramStart"/>
      <w:r>
        <w:t>In</w:t>
      </w:r>
      <w:r w:rsidRPr="00866146">
        <w:rPr>
          <w:i/>
        </w:rPr>
        <w:t xml:space="preserve"> </w:t>
      </w:r>
      <w:r>
        <w:rPr>
          <w:i/>
        </w:rPr>
        <w:t>Proceedings of the Workshop on Land Application of Effluent Water from Uranium Mines in the Alligator Rivers Region</w:t>
      </w:r>
      <w:r>
        <w:t>.</w:t>
      </w:r>
      <w:proofErr w:type="gramEnd"/>
      <w:r>
        <w:t xml:space="preserve"> Ed Akber RA, Jabiru 11–13 September 1991, Supervising Scientist for the Alligator Rivers Region, AGPS, Canberra, 139–165.</w:t>
      </w:r>
    </w:p>
    <w:p w:rsidR="00D85FAC" w:rsidRDefault="00D85FAC" w:rsidP="00D85FAC">
      <w:pPr>
        <w:pStyle w:val="referencelist1"/>
      </w:pPr>
      <w:proofErr w:type="gramStart"/>
      <w:r>
        <w:t>Akber R, Bollhöfer A &amp; Lu P 2011a.</w:t>
      </w:r>
      <w:proofErr w:type="gramEnd"/>
      <w:r w:rsidRPr="009C43F9">
        <w:t xml:space="preserve"> </w:t>
      </w:r>
      <w:r>
        <w:t xml:space="preserve">Radiological characterisation of Ranger mine land application areas. </w:t>
      </w:r>
      <w:proofErr w:type="gramStart"/>
      <w:r>
        <w:t xml:space="preserve">In </w:t>
      </w:r>
      <w:r w:rsidRPr="00D969B9">
        <w:rPr>
          <w:b/>
          <w:i/>
          <w:sz w:val="26"/>
        </w:rPr>
        <w:t>eriss</w:t>
      </w:r>
      <w:r w:rsidRPr="00D969B9">
        <w:rPr>
          <w:i/>
        </w:rPr>
        <w:t xml:space="preserve"> research summary 2009–2010</w:t>
      </w:r>
      <w:r>
        <w:t>.</w:t>
      </w:r>
      <w:proofErr w:type="gramEnd"/>
      <w:r>
        <w:t xml:space="preserve"> </w:t>
      </w:r>
      <w:proofErr w:type="gramStart"/>
      <w:r>
        <w:t>eds</w:t>
      </w:r>
      <w:proofErr w:type="gramEnd"/>
      <w:r>
        <w:t xml:space="preserve"> Jones DR &amp; Webb A, Supervising Scientist Report 202, Supervising Scientist, Darwin NT, 6–12.</w:t>
      </w:r>
    </w:p>
    <w:p w:rsidR="00D85FAC" w:rsidRPr="00BA25D2" w:rsidRDefault="00D85FAC" w:rsidP="00D85FAC">
      <w:pPr>
        <w:pStyle w:val="referencelist1"/>
        <w:rPr>
          <w:spacing w:val="-2"/>
        </w:rPr>
      </w:pPr>
      <w:r w:rsidRPr="00BA25D2">
        <w:rPr>
          <w:spacing w:val="-2"/>
        </w:rPr>
        <w:t xml:space="preserve">Akber R, Lu P, Bollhöfer A &amp; Gellert C 2011b. Radioactivity in Land Application Areas estimated from historic water monitoring data. </w:t>
      </w:r>
      <w:proofErr w:type="gramStart"/>
      <w:r w:rsidRPr="00BA25D2">
        <w:rPr>
          <w:spacing w:val="-2"/>
        </w:rPr>
        <w:t>Energy Resources of Australia Ltd, Darwin.</w:t>
      </w:r>
      <w:proofErr w:type="gramEnd"/>
    </w:p>
    <w:p w:rsidR="00D85FAC" w:rsidRDefault="00D85FAC" w:rsidP="00D85FAC">
      <w:pPr>
        <w:pStyle w:val="referencelist1"/>
      </w:pPr>
      <w:r>
        <w:t>Akber R, Lu P &amp; Bollhöfer A 2011c. Distribution of radioactivity in the land application areas assessed via direct measurement; Energy Resources of Australia Ltd, Darwin.</w:t>
      </w:r>
    </w:p>
    <w:p w:rsidR="00D85FAC" w:rsidRDefault="00D85FAC" w:rsidP="00D85FAC">
      <w:pPr>
        <w:pStyle w:val="referencelist1"/>
      </w:pPr>
      <w:proofErr w:type="gramStart"/>
      <w:r>
        <w:t>Akber R, Lu P &amp; Bollhöfer A 2011d.</w:t>
      </w:r>
      <w:proofErr w:type="gramEnd"/>
      <w:r>
        <w:t xml:space="preserve"> </w:t>
      </w:r>
      <w:proofErr w:type="gramStart"/>
      <w:r>
        <w:t>External radiation dose in the land application areas; Energy Resources of Australia Ltd, Darwin.</w:t>
      </w:r>
      <w:proofErr w:type="gramEnd"/>
    </w:p>
    <w:p w:rsidR="00D85FAC" w:rsidRDefault="00D85FAC" w:rsidP="00D85FAC">
      <w:pPr>
        <w:pStyle w:val="referencelist1"/>
      </w:pPr>
      <w:r>
        <w:t xml:space="preserve">Akber R, Lu P &amp; Bollhöfer A 2011e. </w:t>
      </w:r>
      <w:proofErr w:type="gramStart"/>
      <w:r w:rsidRPr="00EA5C32">
        <w:rPr>
          <w:vertAlign w:val="superscript"/>
        </w:rPr>
        <w:t>222</w:t>
      </w:r>
      <w:r>
        <w:t>Rn in the land application areas; Energy Resources of Australia Ltd, Darwin.</w:t>
      </w:r>
      <w:proofErr w:type="gramEnd"/>
    </w:p>
    <w:p w:rsidR="00D85FAC" w:rsidRDefault="00D85FAC" w:rsidP="00D85FAC">
      <w:pPr>
        <w:pStyle w:val="referencelist1"/>
      </w:pPr>
      <w:r>
        <w:t xml:space="preserve">Bollhöfer A, Storm J, Martin P &amp; Tims S 2005. </w:t>
      </w:r>
      <w:proofErr w:type="gramStart"/>
      <w:r>
        <w:t>Geographic variability in radon exhalation at a rehabilitated uranium mine in the Northern Territory, Australia.</w:t>
      </w:r>
      <w:proofErr w:type="gramEnd"/>
      <w:r>
        <w:t xml:space="preserve"> </w:t>
      </w:r>
      <w:proofErr w:type="gramStart"/>
      <w:r w:rsidRPr="00D969B9">
        <w:rPr>
          <w:i/>
        </w:rPr>
        <w:t>Environmental Monitoring and Assessment</w:t>
      </w:r>
      <w:r>
        <w:t xml:space="preserve"> 114.</w:t>
      </w:r>
      <w:proofErr w:type="gramEnd"/>
      <w:r>
        <w:t xml:space="preserve"> </w:t>
      </w:r>
      <w:proofErr w:type="gramStart"/>
      <w:r>
        <w:t>313–330.</w:t>
      </w:r>
      <w:proofErr w:type="gramEnd"/>
    </w:p>
    <w:p w:rsidR="00D85FAC" w:rsidRDefault="00D85FAC" w:rsidP="00D85FAC">
      <w:pPr>
        <w:pStyle w:val="referencelist1"/>
      </w:pPr>
      <w:r>
        <w:t>Bollhöfer A, Akber R, Lu P, Ryan B &amp; Passmore G</w:t>
      </w:r>
      <w:r w:rsidRPr="009C43F9">
        <w:t xml:space="preserve"> </w:t>
      </w:r>
      <w:r>
        <w:t xml:space="preserve">2010. </w:t>
      </w:r>
      <w:proofErr w:type="gramStart"/>
      <w:r>
        <w:t>Characterisation of contamination at land application areas at Ranger.</w:t>
      </w:r>
      <w:proofErr w:type="gramEnd"/>
      <w:r>
        <w:t xml:space="preserve"> </w:t>
      </w:r>
      <w:proofErr w:type="gramStart"/>
      <w:r>
        <w:t xml:space="preserve">In </w:t>
      </w:r>
      <w:r w:rsidRPr="00D969B9">
        <w:rPr>
          <w:b/>
          <w:i/>
          <w:sz w:val="26"/>
        </w:rPr>
        <w:t>eriss</w:t>
      </w:r>
      <w:r w:rsidRPr="00D969B9">
        <w:rPr>
          <w:i/>
        </w:rPr>
        <w:t xml:space="preserve"> research summary 2008–2009</w:t>
      </w:r>
      <w:r>
        <w:t>.</w:t>
      </w:r>
      <w:proofErr w:type="gramEnd"/>
      <w:r>
        <w:t xml:space="preserve"> </w:t>
      </w:r>
      <w:proofErr w:type="gramStart"/>
      <w:r>
        <w:t>eds</w:t>
      </w:r>
      <w:proofErr w:type="gramEnd"/>
      <w:r>
        <w:t xml:space="preserve"> Jones DR &amp; Webb A, Supervising Scientist Report 201, Supervising Scientist, Darwin NT, 5–11.</w:t>
      </w:r>
    </w:p>
    <w:p w:rsidR="00D85FAC" w:rsidRDefault="00D85FAC" w:rsidP="00D85FAC">
      <w:pPr>
        <w:pStyle w:val="referencelist1"/>
      </w:pPr>
      <w:r>
        <w:t xml:space="preserve">Davies </w:t>
      </w:r>
      <w:proofErr w:type="gramStart"/>
      <w:r>
        <w:t>BE</w:t>
      </w:r>
      <w:proofErr w:type="gramEnd"/>
      <w:r>
        <w:t xml:space="preserve"> 1983. Heavy metal contamination from base metal mining and smelting: implications for man and his environment. </w:t>
      </w:r>
      <w:proofErr w:type="gramStart"/>
      <w:r>
        <w:t xml:space="preserve">In </w:t>
      </w:r>
      <w:r w:rsidRPr="00AB0431">
        <w:rPr>
          <w:i/>
        </w:rPr>
        <w:t>Applied Environmental Geochemistry</w:t>
      </w:r>
      <w:r>
        <w:t>.</w:t>
      </w:r>
      <w:proofErr w:type="gramEnd"/>
      <w:r>
        <w:t xml:space="preserve"> </w:t>
      </w:r>
      <w:proofErr w:type="gramStart"/>
      <w:r>
        <w:t>ed</w:t>
      </w:r>
      <w:proofErr w:type="gramEnd"/>
      <w:r>
        <w:t xml:space="preserve"> </w:t>
      </w:r>
      <w:smartTag w:uri="urn:schemas-microsoft-com:office:smarttags" w:element="City">
        <w:r>
          <w:t>Thornton</w:t>
        </w:r>
      </w:smartTag>
      <w:r>
        <w:t xml:space="preserve"> I, Academic Press Geology Series, </w:t>
      </w:r>
      <w:smartTag w:uri="urn:schemas-microsoft-com:office:smarttags" w:element="place">
        <w:smartTag w:uri="urn:schemas-microsoft-com:office:smarttags" w:element="City">
          <w:r>
            <w:t>London</w:t>
          </w:r>
        </w:smartTag>
      </w:smartTag>
      <w:r>
        <w:t>, 425–462.</w:t>
      </w:r>
    </w:p>
    <w:p w:rsidR="00D85FAC" w:rsidRDefault="00D85FAC" w:rsidP="00D85FAC">
      <w:pPr>
        <w:pStyle w:val="referencelist1"/>
      </w:pPr>
      <w:proofErr w:type="gramStart"/>
      <w:r w:rsidRPr="00E81837">
        <w:t>Esparon A &amp; Pfitzner J</w:t>
      </w:r>
      <w:r>
        <w:t xml:space="preserve"> 2010.</w:t>
      </w:r>
      <w:proofErr w:type="gramEnd"/>
      <w:r>
        <w:t xml:space="preserve"> Visual gamma: </w:t>
      </w:r>
      <w:r w:rsidRPr="00E81837">
        <w:rPr>
          <w:b/>
          <w:i/>
          <w:sz w:val="26"/>
          <w:szCs w:val="26"/>
        </w:rPr>
        <w:t>eriss</w:t>
      </w:r>
      <w:r w:rsidRPr="004E2917">
        <w:t xml:space="preserve"> </w:t>
      </w:r>
      <w:r>
        <w:t>g</w:t>
      </w:r>
      <w:r w:rsidRPr="004E2917">
        <w:t xml:space="preserve">amma </w:t>
      </w:r>
      <w:r>
        <w:t>a</w:t>
      </w:r>
      <w:r w:rsidRPr="004E2917">
        <w:t xml:space="preserve">nalysis </w:t>
      </w:r>
      <w:r>
        <w:t>t</w:t>
      </w:r>
      <w:r w:rsidRPr="004E2917">
        <w:t xml:space="preserve">echnical </w:t>
      </w:r>
      <w:r>
        <w:t>m</w:t>
      </w:r>
      <w:r w:rsidRPr="004E2917">
        <w:t>anual</w:t>
      </w:r>
      <w:r>
        <w:t xml:space="preserve">. </w:t>
      </w:r>
      <w:r w:rsidRPr="00F1226A">
        <w:rPr>
          <w:spacing w:val="-2"/>
          <w:szCs w:val="22"/>
          <w:lang w:eastAsia="en-AU"/>
        </w:rPr>
        <w:t>Internal Report</w:t>
      </w:r>
      <w:r w:rsidRPr="00F1226A">
        <w:rPr>
          <w:spacing w:val="-2"/>
          <w:lang w:eastAsia="en-AU"/>
        </w:rPr>
        <w:t xml:space="preserve"> 5</w:t>
      </w:r>
      <w:r>
        <w:rPr>
          <w:spacing w:val="-2"/>
          <w:lang w:eastAsia="en-AU"/>
        </w:rPr>
        <w:t>39</w:t>
      </w:r>
      <w:r w:rsidRPr="00F1226A">
        <w:rPr>
          <w:spacing w:val="-2"/>
          <w:szCs w:val="22"/>
          <w:lang w:eastAsia="en-AU"/>
        </w:rPr>
        <w:t xml:space="preserve">, </w:t>
      </w:r>
      <w:r>
        <w:rPr>
          <w:spacing w:val="-2"/>
          <w:szCs w:val="22"/>
          <w:lang w:eastAsia="en-AU"/>
        </w:rPr>
        <w:t>December</w:t>
      </w:r>
      <w:r w:rsidRPr="00F1226A">
        <w:rPr>
          <w:spacing w:val="-2"/>
          <w:szCs w:val="22"/>
          <w:lang w:eastAsia="en-AU"/>
        </w:rPr>
        <w:t>, Supervising Scientist, Darwin.</w:t>
      </w:r>
    </w:p>
    <w:p w:rsidR="00D85FAC" w:rsidRDefault="00D85FAC" w:rsidP="00D85FAC">
      <w:pPr>
        <w:ind w:left="360" w:hanging="360"/>
      </w:pPr>
      <w:r>
        <w:t xml:space="preserve">Hollingsworth I, Overall &amp; Puhalovich </w:t>
      </w:r>
      <w:proofErr w:type="gramStart"/>
      <w:r>
        <w:t>A</w:t>
      </w:r>
      <w:proofErr w:type="gramEnd"/>
      <w:r>
        <w:t xml:space="preserve"> 2005. </w:t>
      </w:r>
      <w:proofErr w:type="gramStart"/>
      <w:r>
        <w:t>Status of the Ranger Irrigation Areas – Final Report.</w:t>
      </w:r>
      <w:proofErr w:type="gramEnd"/>
      <w:r>
        <w:t xml:space="preserve"> </w:t>
      </w:r>
      <w:proofErr w:type="gramStart"/>
      <w:r>
        <w:t>EWL Sciences Pty Ltd, Darwin, Australia.</w:t>
      </w:r>
      <w:proofErr w:type="gramEnd"/>
    </w:p>
    <w:p w:rsidR="00D85FAC" w:rsidRDefault="00D85FAC" w:rsidP="00D85FAC">
      <w:pPr>
        <w:pStyle w:val="referencelist1"/>
      </w:pPr>
      <w:proofErr w:type="gramStart"/>
      <w:r>
        <w:lastRenderedPageBreak/>
        <w:t>Marten R 1992.</w:t>
      </w:r>
      <w:proofErr w:type="gramEnd"/>
      <w:r>
        <w:t xml:space="preserve"> </w:t>
      </w:r>
      <w:proofErr w:type="gramStart"/>
      <w:r>
        <w:t>Procedures for routine analysis of naturally occurring radionuclides in environmental samples by gamma-ray spectrometry with HPGe detectors.</w:t>
      </w:r>
      <w:proofErr w:type="gramEnd"/>
      <w:r>
        <w:t xml:space="preserve"> </w:t>
      </w:r>
      <w:proofErr w:type="gramStart"/>
      <w:r>
        <w:t>Internal report 76, Supervising Scientist for the Alligator Rivers Region, Canberra.</w:t>
      </w:r>
      <w:proofErr w:type="gramEnd"/>
      <w:r>
        <w:t xml:space="preserve"> </w:t>
      </w:r>
      <w:proofErr w:type="gramStart"/>
      <w:r>
        <w:t>Unpublished paper.</w:t>
      </w:r>
      <w:proofErr w:type="gramEnd"/>
    </w:p>
    <w:p w:rsidR="00D85FAC" w:rsidRDefault="00D85FAC" w:rsidP="00D85FAC">
      <w:pPr>
        <w:pStyle w:val="referencelist1"/>
      </w:pPr>
      <w:proofErr w:type="gramStart"/>
      <w:r>
        <w:t>Murray AS, Marten R, Johnston A &amp; Martin P 1987.</w:t>
      </w:r>
      <w:proofErr w:type="gramEnd"/>
      <w:r>
        <w:t xml:space="preserve">  </w:t>
      </w:r>
      <w:proofErr w:type="gramStart"/>
      <w:r>
        <w:t>Analysis for naturally occurring radionuclides at environmental concentrations by gamma spectrometry.</w:t>
      </w:r>
      <w:proofErr w:type="gramEnd"/>
      <w:r>
        <w:t xml:space="preserve"> </w:t>
      </w:r>
      <w:r w:rsidRPr="00D969B9">
        <w:rPr>
          <w:i/>
        </w:rPr>
        <w:t>Journal of Radioanalytical and Nuclear Chemistry</w:t>
      </w:r>
      <w:r>
        <w:t>, Articles 115, 263–288.</w:t>
      </w:r>
    </w:p>
    <w:p w:rsidR="00D85FAC" w:rsidRDefault="00D85FAC" w:rsidP="00D85FAC">
      <w:pPr>
        <w:pStyle w:val="referencelist1"/>
      </w:pPr>
      <w:proofErr w:type="gramStart"/>
      <w:r>
        <w:t>Safe Radiation 2011.</w:t>
      </w:r>
      <w:proofErr w:type="gramEnd"/>
      <w:r>
        <w:t xml:space="preserve"> </w:t>
      </w:r>
      <w:proofErr w:type="gramStart"/>
      <w:r>
        <w:t>Dose rate through inhalation of resuspended radioactivity during future occupancy of the land application areas at Ranger Uranium Mine.</w:t>
      </w:r>
      <w:proofErr w:type="gramEnd"/>
      <w:r>
        <w:t xml:space="preserve"> Safe Radiation Pty Ltd Report Number SR 0168 N. September 2011. </w:t>
      </w:r>
    </w:p>
    <w:p w:rsidR="00D85FAC" w:rsidRDefault="00D85FAC" w:rsidP="00D85FAC">
      <w:pPr>
        <w:pStyle w:val="referencelist1"/>
      </w:pPr>
      <w:r>
        <w:t xml:space="preserve">Spehr W &amp; Johnston </w:t>
      </w:r>
      <w:proofErr w:type="gramStart"/>
      <w:r>
        <w:t>A</w:t>
      </w:r>
      <w:proofErr w:type="gramEnd"/>
      <w:r>
        <w:t xml:space="preserve"> 1983. The measurement of radon exhalation rates using activated charcoal. </w:t>
      </w:r>
      <w:r w:rsidRPr="00D969B9">
        <w:rPr>
          <w:i/>
        </w:rPr>
        <w:t>Radiation Protection in Australia</w:t>
      </w:r>
      <w:r>
        <w:t xml:space="preserve"> 1(3), 113–116.</w:t>
      </w:r>
    </w:p>
    <w:p w:rsidR="00D85FAC" w:rsidRDefault="00D85FAC" w:rsidP="00D85FAC">
      <w:pPr>
        <w:pStyle w:val="referencelist1"/>
      </w:pPr>
      <w:proofErr w:type="gramStart"/>
      <w:r>
        <w:t>Willett IR, Bond WJ, Akber RA, Lynch DJ &amp; Campbell GD 1993.</w:t>
      </w:r>
      <w:proofErr w:type="gramEnd"/>
      <w:r>
        <w:t xml:space="preserve"> </w:t>
      </w:r>
      <w:proofErr w:type="gramStart"/>
      <w:r>
        <w:rPr>
          <w:i/>
        </w:rPr>
        <w:t>The fate of water and solutes following irrigation with retention pond water at Ranger Uranium Mine.</w:t>
      </w:r>
      <w:proofErr w:type="gramEnd"/>
      <w:r>
        <w:t xml:space="preserve"> </w:t>
      </w:r>
      <w:proofErr w:type="gramStart"/>
      <w:r>
        <w:t>Research report 10, Supervising Scientist for the Alligator Rivers Region, AGPS, Canberra.</w:t>
      </w:r>
      <w:proofErr w:type="gramEnd"/>
    </w:p>
    <w:p w:rsidR="00D85FAC" w:rsidRPr="008E44C5" w:rsidRDefault="00D85FAC" w:rsidP="00D85FAC"/>
    <w:p w:rsidR="00D85FAC" w:rsidRDefault="00D85FAC" w:rsidP="00D85FAC">
      <w:pPr>
        <w:pStyle w:val="Heading4"/>
        <w:sectPr w:rsidR="00D85FAC" w:rsidSect="00D85FAC">
          <w:headerReference w:type="even" r:id="rId19"/>
          <w:headerReference w:type="default" r:id="rId20"/>
          <w:headerReference w:type="first" r:id="rId21"/>
          <w:footnotePr>
            <w:numRestart w:val="eachSect"/>
          </w:footnotePr>
          <w:pgSz w:w="11906" w:h="16838" w:code="9"/>
          <w:pgMar w:top="1440" w:right="1797" w:bottom="1440" w:left="1797" w:header="851" w:footer="833" w:gutter="0"/>
          <w:cols w:space="360"/>
          <w:noEndnote/>
          <w:titlePg/>
        </w:sectPr>
      </w:pPr>
      <w:bookmarkStart w:id="42" w:name="_Toc309215787"/>
    </w:p>
    <w:p w:rsidR="00D85FAC" w:rsidRDefault="00D85FAC" w:rsidP="00D85FAC">
      <w:pPr>
        <w:pStyle w:val="Heading1"/>
      </w:pPr>
      <w:bookmarkStart w:id="43" w:name="_Toc319670705"/>
      <w:r w:rsidRPr="00FB6B52">
        <w:lastRenderedPageBreak/>
        <w:t xml:space="preserve">Dissolved organic carbon ameliorates aluminium toxicity to three tropical </w:t>
      </w:r>
      <w:r>
        <w:br/>
      </w:r>
      <w:r w:rsidRPr="00FB6B52">
        <w:t>freshwater organisms</w:t>
      </w:r>
      <w:bookmarkEnd w:id="42"/>
      <w:bookmarkEnd w:id="43"/>
    </w:p>
    <w:p w:rsidR="00D85FAC" w:rsidRDefault="00D85FAC" w:rsidP="00D85FAC">
      <w:pPr>
        <w:pStyle w:val="authors"/>
        <w:spacing w:after="800"/>
      </w:pPr>
      <w:bookmarkStart w:id="44" w:name="_Toc316987208"/>
      <w:bookmarkStart w:id="45" w:name="_Toc319670706"/>
      <w:r>
        <w:t>MA Trenfield, SJ Markich,</w:t>
      </w:r>
      <w:r>
        <w:rPr>
          <w:rStyle w:val="FootnoteReference"/>
        </w:rPr>
        <w:footnoteReference w:id="3"/>
      </w:r>
      <w:r>
        <w:t xml:space="preserve"> JC Ng,</w:t>
      </w:r>
      <w:r>
        <w:rPr>
          <w:rStyle w:val="FootnoteReference"/>
        </w:rPr>
        <w:footnoteReference w:id="4"/>
      </w:r>
      <w:r>
        <w:t xml:space="preserve"> B Noller,</w:t>
      </w:r>
      <w:r>
        <w:rPr>
          <w:rStyle w:val="FootnoteReference"/>
        </w:rPr>
        <w:footnoteReference w:id="5"/>
      </w:r>
      <w:r>
        <w:t xml:space="preserve"> &amp; RA van Dam</w:t>
      </w:r>
      <w:bookmarkEnd w:id="44"/>
      <w:bookmarkEnd w:id="45"/>
    </w:p>
    <w:p w:rsidR="00D85FAC" w:rsidRDefault="00D85FAC" w:rsidP="00D85FAC">
      <w:pPr>
        <w:pStyle w:val="Heading2"/>
      </w:pPr>
      <w:bookmarkStart w:id="46" w:name="_Toc313523410"/>
      <w:bookmarkStart w:id="47" w:name="_Toc316985253"/>
      <w:r>
        <w:t>Background</w:t>
      </w:r>
      <w:bookmarkEnd w:id="46"/>
      <w:bookmarkEnd w:id="47"/>
    </w:p>
    <w:p w:rsidR="00D85FAC" w:rsidRDefault="00D85FAC" w:rsidP="00D85FAC">
      <w:r w:rsidRPr="00FA2DFD">
        <w:rPr>
          <w:u w:color="000000"/>
          <w:lang w:eastAsia="en-AU"/>
        </w:rPr>
        <w:t>W</w:t>
      </w:r>
      <w:r w:rsidRPr="00FA2DFD">
        <w:t xml:space="preserve">aters draining from legacy, closed and operating mine sites with sulfidic ores and/or waste rock are often acidic and, as a consequence, can contain highly elevated concentrations of metals, including </w:t>
      </w:r>
      <w:r>
        <w:t>aluminium (</w:t>
      </w:r>
      <w:r w:rsidRPr="00FA2DFD">
        <w:t>Al</w:t>
      </w:r>
      <w:r>
        <w:t>)</w:t>
      </w:r>
      <w:r w:rsidRPr="00FA2DFD">
        <w:t xml:space="preserve"> </w:t>
      </w:r>
      <w:r>
        <w:t>(Johnson &amp; Hallberg 2005)</w:t>
      </w:r>
      <w:r w:rsidRPr="00FA2DFD">
        <w:t xml:space="preserve">. Examples of such acid mine drainage conditions in the tropics of Australia include the legacy Rum Jungle, Mt Morgan, Mount Todd and Cosmo Howley mine sites </w:t>
      </w:r>
      <w:r>
        <w:t>(Parker et al 1996, Harries 1997, van Dam et al 2008)</w:t>
      </w:r>
      <w:r w:rsidRPr="00FA2DFD">
        <w:t>. In this region, concentrations of dissolved Al in slightly acidic fresh su</w:t>
      </w:r>
      <w:r>
        <w:t xml:space="preserve">rface waters are generally low </w:t>
      </w:r>
      <w:r w:rsidRPr="00FA2DFD">
        <w:t xml:space="preserve">(~10 to 30 </w:t>
      </w:r>
      <w:bookmarkStart w:id="48" w:name="OLE_LINK1"/>
      <w:bookmarkStart w:id="49" w:name="OLE_LINK3"/>
      <w:r w:rsidRPr="00FA2DFD">
        <w:t>µg L</w:t>
      </w:r>
      <w:r w:rsidRPr="00FA2DFD">
        <w:rPr>
          <w:rFonts w:ascii="Times New (W1)" w:hAnsi="Times New (W1)"/>
          <w:vertAlign w:val="superscript"/>
        </w:rPr>
        <w:t>-1</w:t>
      </w:r>
      <w:bookmarkEnd w:id="48"/>
      <w:bookmarkEnd w:id="49"/>
      <w:r>
        <w:t>,</w:t>
      </w:r>
      <w:r w:rsidRPr="00FA2DFD">
        <w:t xml:space="preserve"> </w:t>
      </w:r>
      <w:r>
        <w:t>Noller 1985, Trenfield et al 2011)</w:t>
      </w:r>
      <w:r w:rsidRPr="00FA2DFD">
        <w:t>, but acidic mine waters have been found to contain concentrations of up to 480 mg L</w:t>
      </w:r>
      <w:r w:rsidRPr="00FA2DFD">
        <w:rPr>
          <w:rFonts w:ascii="Times New (W1)" w:hAnsi="Times New (W1)"/>
          <w:vertAlign w:val="superscript"/>
        </w:rPr>
        <w:t>-1</w:t>
      </w:r>
      <w:r>
        <w:t xml:space="preserve"> Al (Parker et al 1996)</w:t>
      </w:r>
      <w:r w:rsidRPr="00FA2DFD">
        <w:t>.</w:t>
      </w:r>
    </w:p>
    <w:p w:rsidR="00D85FAC" w:rsidRDefault="00D85FAC" w:rsidP="00D85FAC">
      <w:r w:rsidRPr="00E02353">
        <w:t>In waters of pH ≤5, Al is predominantly present in its most bioavailable and toxic forms; the free ion (Al</w:t>
      </w:r>
      <w:r w:rsidRPr="00E02353">
        <w:rPr>
          <w:snapToGrid w:val="0"/>
          <w:position w:val="5"/>
          <w:sz w:val="13"/>
          <w:szCs w:val="0"/>
          <w:u w:color="000000"/>
        </w:rPr>
        <w:t>3+</w:t>
      </w:r>
      <w:r w:rsidRPr="00E02353">
        <w:t>) and hydroxyl species AlOH</w:t>
      </w:r>
      <w:r w:rsidRPr="00E02353">
        <w:rPr>
          <w:snapToGrid w:val="0"/>
          <w:position w:val="5"/>
          <w:sz w:val="13"/>
          <w:szCs w:val="0"/>
          <w:u w:color="000000"/>
        </w:rPr>
        <w:t>2+</w:t>
      </w:r>
      <w:r>
        <w:t xml:space="preserve"> and</w:t>
      </w:r>
      <w:r w:rsidRPr="00E02353">
        <w:t xml:space="preserve"> Al(OH)</w:t>
      </w:r>
      <w:r w:rsidRPr="00E02353">
        <w:rPr>
          <w:snapToGrid w:val="0"/>
          <w:position w:val="-5"/>
          <w:sz w:val="13"/>
          <w:szCs w:val="0"/>
          <w:u w:color="000000"/>
        </w:rPr>
        <w:t>2</w:t>
      </w:r>
      <w:r w:rsidRPr="00E02353">
        <w:rPr>
          <w:snapToGrid w:val="0"/>
          <w:position w:val="5"/>
          <w:sz w:val="13"/>
          <w:szCs w:val="0"/>
          <w:u w:color="000000"/>
        </w:rPr>
        <w:t>+</w:t>
      </w:r>
      <w:r>
        <w:t xml:space="preserve"> (Driscoll &amp; Schecher 1990, Lazerte et al 1997, Gensemer &amp; Playle 1999)</w:t>
      </w:r>
      <w:r w:rsidRPr="00E02353">
        <w:t>. Under these acidic conditions, Al concentrations as low as 30 µg L</w:t>
      </w:r>
      <w:r w:rsidRPr="00E02353">
        <w:rPr>
          <w:rFonts w:ascii="Times New (W1)" w:hAnsi="Times New (W1)"/>
          <w:vertAlign w:val="superscript"/>
        </w:rPr>
        <w:t>-1</w:t>
      </w:r>
      <w:r w:rsidRPr="00E02353">
        <w:t xml:space="preserve"> and 80 µg L</w:t>
      </w:r>
      <w:r w:rsidRPr="00E02353">
        <w:rPr>
          <w:rFonts w:ascii="Times New (W1)" w:hAnsi="Times New (W1)"/>
          <w:vertAlign w:val="superscript"/>
        </w:rPr>
        <w:t>-1</w:t>
      </w:r>
      <w:r w:rsidRPr="00E02353">
        <w:t xml:space="preserve"> (in temperate studies) have been found to result in 50% reduction</w:t>
      </w:r>
      <w:r>
        <w:t>s</w:t>
      </w:r>
      <w:r w:rsidRPr="00E02353">
        <w:t xml:space="preserve"> of algal growth a</w:t>
      </w:r>
      <w:r>
        <w:t>nd fish survival, respectively (Helliwell et al 1983, Roy &amp; Campbell 1995)</w:t>
      </w:r>
      <w:r w:rsidRPr="00E02353">
        <w:t>. While natural occurrences of acidic Al-rich water (up to 500 µg L</w:t>
      </w:r>
      <w:r w:rsidRPr="00E02353">
        <w:rPr>
          <w:rFonts w:ascii="Times New (W1)" w:hAnsi="Times New (W1)"/>
          <w:vertAlign w:val="superscript"/>
        </w:rPr>
        <w:t>-1</w:t>
      </w:r>
      <w:r w:rsidRPr="00E02353">
        <w:t xml:space="preserve"> Al) in tropical northern Australia have resulted in larg</w:t>
      </w:r>
      <w:r>
        <w:t>e fish kills (Brown et al 1983)</w:t>
      </w:r>
      <w:r w:rsidRPr="00E02353">
        <w:t xml:space="preserve">, there is only one study the authors are aware of </w:t>
      </w:r>
      <w:r>
        <w:t>that has</w:t>
      </w:r>
      <w:r w:rsidRPr="00E02353">
        <w:t xml:space="preserve"> investigate</w:t>
      </w:r>
      <w:r>
        <w:t>d</w:t>
      </w:r>
      <w:r w:rsidRPr="00E02353">
        <w:t xml:space="preserve"> Al toxicity</w:t>
      </w:r>
      <w:r>
        <w:t xml:space="preserve"> to tropical aquatic organisms (Camilleri et al 2003)</w:t>
      </w:r>
      <w:r w:rsidRPr="00E02353">
        <w:t>.</w:t>
      </w:r>
    </w:p>
    <w:p w:rsidR="00D85FAC" w:rsidRDefault="00D85FAC" w:rsidP="00D85FAC">
      <w:r w:rsidRPr="00FA2DFD">
        <w:t>The bioavailability of Al is known to be reduced through strong complexation with dissolved organic carbon (DOC) at pH 4 to</w:t>
      </w:r>
      <w:r>
        <w:t xml:space="preserve"> 7 (Perdue et al 1976, Vance et al 1996, Tipping 2002)</w:t>
      </w:r>
      <w:r w:rsidRPr="00FA2DFD">
        <w:t>. Temperate studies have shown Al toxicity is greatly reduced when Al in solution is comp</w:t>
      </w:r>
      <w:r>
        <w:t>lexed by organic matter (Driscoll et al 1980, Gundersen et al 1994, Peuranen et al 2003)</w:t>
      </w:r>
      <w:r w:rsidRPr="00FA2DFD">
        <w:t>. However, to our knowledge there are no existing data on the influence of DOC on Al toxicity to tropical aquatic organisms.</w:t>
      </w:r>
      <w:r>
        <w:t xml:space="preserve"> I</w:t>
      </w:r>
      <w:r w:rsidRPr="00C65F0F">
        <w:t xml:space="preserve">n order to accurately predict the toxicity of Al in natural systems, the nature of DOC within the system in </w:t>
      </w:r>
      <w:proofErr w:type="gramStart"/>
      <w:r w:rsidRPr="00C65F0F">
        <w:t>question,</w:t>
      </w:r>
      <w:proofErr w:type="gramEnd"/>
      <w:r w:rsidRPr="00C65F0F">
        <w:t xml:space="preserve"> and its influence on Al bioavailability must be considered.</w:t>
      </w:r>
    </w:p>
    <w:p w:rsidR="00D85FAC" w:rsidRDefault="00D85FAC" w:rsidP="00D85FAC">
      <w:pPr>
        <w:pStyle w:val="Heading2"/>
      </w:pPr>
      <w:bookmarkStart w:id="50" w:name="_Toc313523411"/>
      <w:bookmarkStart w:id="51" w:name="_Toc316985254"/>
      <w:r w:rsidRPr="00C65F0F">
        <w:t>Methods</w:t>
      </w:r>
      <w:bookmarkEnd w:id="50"/>
      <w:bookmarkEnd w:id="51"/>
    </w:p>
    <w:p w:rsidR="00D85FAC" w:rsidRPr="00AC2B5B" w:rsidRDefault="00D85FAC" w:rsidP="00D85FAC">
      <w:pPr>
        <w:rPr>
          <w:spacing w:val="-2"/>
        </w:rPr>
      </w:pPr>
      <w:r w:rsidRPr="00AC2B5B">
        <w:rPr>
          <w:spacing w:val="-2"/>
        </w:rPr>
        <w:t>The present study</w:t>
      </w:r>
      <w:r w:rsidRPr="00AC2B5B">
        <w:rPr>
          <w:color w:val="0000FF"/>
          <w:spacing w:val="-2"/>
        </w:rPr>
        <w:t xml:space="preserve"> </w:t>
      </w:r>
      <w:r w:rsidRPr="00AC2B5B">
        <w:rPr>
          <w:spacing w:val="-2"/>
        </w:rPr>
        <w:t xml:space="preserve">assessed the influence of DOC from two sources on the toxicity of Al in soft, acidic freshwater to three Australian tropical species – the cladoceran, </w:t>
      </w:r>
      <w:r w:rsidRPr="00AC2B5B">
        <w:rPr>
          <w:i/>
          <w:spacing w:val="-2"/>
        </w:rPr>
        <w:t>Moinodaphnia macleayi</w:t>
      </w:r>
      <w:r w:rsidRPr="00AC2B5B">
        <w:rPr>
          <w:spacing w:val="-2"/>
        </w:rPr>
        <w:t xml:space="preserve">, the green alga, </w:t>
      </w:r>
      <w:r w:rsidRPr="00AC2B5B">
        <w:rPr>
          <w:i/>
          <w:spacing w:val="-2"/>
        </w:rPr>
        <w:t xml:space="preserve">Chlorella </w:t>
      </w:r>
      <w:r w:rsidRPr="00AC2B5B">
        <w:rPr>
          <w:spacing w:val="-2"/>
        </w:rPr>
        <w:t xml:space="preserve">sp. and the green hydra, </w:t>
      </w:r>
      <w:r w:rsidRPr="00AC2B5B">
        <w:rPr>
          <w:i/>
          <w:spacing w:val="-2"/>
        </w:rPr>
        <w:t xml:space="preserve">Hydra viridissima. </w:t>
      </w:r>
      <w:r w:rsidRPr="00AC2B5B">
        <w:rPr>
          <w:spacing w:val="-2"/>
        </w:rPr>
        <w:t xml:space="preserve">A natural </w:t>
      </w:r>
      <w:r w:rsidRPr="00AC2B5B">
        <w:rPr>
          <w:i/>
          <w:spacing w:val="-2"/>
        </w:rPr>
        <w:t>in situ</w:t>
      </w:r>
      <w:r w:rsidRPr="00AC2B5B">
        <w:rPr>
          <w:spacing w:val="-2"/>
        </w:rPr>
        <w:t xml:space="preserve"> source of DOC present in soft, tropical billabong freshwater (SBW DOC), was compared with a standard </w:t>
      </w:r>
      <w:r w:rsidRPr="00AC2B5B">
        <w:rPr>
          <w:spacing w:val="-2"/>
        </w:rPr>
        <w:lastRenderedPageBreak/>
        <w:t>freshwater DOC reference material (Suwannee River Fulvic Acid; SRFA) to determine if the standard DOC could be used as a surrogate for a site-specific DOC in assessing the likely effect of DOC concentration on Al toxicity. Test durations and endpoints were as follows</w:t>
      </w:r>
      <w:r w:rsidRPr="00AC2B5B">
        <w:rPr>
          <w:b/>
          <w:spacing w:val="-2"/>
        </w:rPr>
        <w:t xml:space="preserve">: </w:t>
      </w:r>
      <w:r w:rsidRPr="00AC2B5B">
        <w:rPr>
          <w:i/>
          <w:spacing w:val="-2"/>
        </w:rPr>
        <w:t>H. viridissima</w:t>
      </w:r>
      <w:r w:rsidRPr="00AC2B5B">
        <w:rPr>
          <w:spacing w:val="-2"/>
        </w:rPr>
        <w:t xml:space="preserve">, green hydra - 7 d population growth rate, </w:t>
      </w:r>
      <w:r w:rsidRPr="00AC2B5B">
        <w:rPr>
          <w:i/>
          <w:spacing w:val="-2"/>
        </w:rPr>
        <w:t xml:space="preserve">Chlorella </w:t>
      </w:r>
      <w:r w:rsidRPr="00AC2B5B">
        <w:rPr>
          <w:spacing w:val="-2"/>
        </w:rPr>
        <w:t xml:space="preserve">sp, green algae – 72 h cell division rate and </w:t>
      </w:r>
      <w:r w:rsidRPr="00AC2B5B">
        <w:rPr>
          <w:i/>
          <w:spacing w:val="-2"/>
        </w:rPr>
        <w:t>M. macleayi</w:t>
      </w:r>
      <w:r w:rsidRPr="00AC2B5B">
        <w:rPr>
          <w:spacing w:val="-2"/>
        </w:rPr>
        <w:t>, cladoceran – 24 h survival. Concentration-response relationships were reported for each of the organisms in the presence of each DOC source. The influence of the two DOC sources on the speciation of Al at relatively constant pH (5.0–5.4), alkalinity (2–14 mg L</w:t>
      </w:r>
      <w:r w:rsidRPr="00AC2B5B">
        <w:rPr>
          <w:spacing w:val="-2"/>
          <w:vertAlign w:val="superscript"/>
        </w:rPr>
        <w:t>-1</w:t>
      </w:r>
      <w:r w:rsidRPr="00AC2B5B">
        <w:rPr>
          <w:spacing w:val="-2"/>
        </w:rPr>
        <w:t>) and hardness (1–4 mg L</w:t>
      </w:r>
      <w:r w:rsidRPr="00AC2B5B">
        <w:rPr>
          <w:spacing w:val="-2"/>
          <w:vertAlign w:val="superscript"/>
        </w:rPr>
        <w:t>-1</w:t>
      </w:r>
      <w:r w:rsidRPr="00AC2B5B">
        <w:rPr>
          <w:spacing w:val="-2"/>
        </w:rPr>
        <w:t>), was inferred using geochemical speciation modelling (HARPHRQ and WHAM 6.0 models; results from WHAM not shown here).</w:t>
      </w:r>
    </w:p>
    <w:p w:rsidR="00D85FAC" w:rsidRDefault="00D85FAC" w:rsidP="00D85FAC">
      <w:r w:rsidRPr="00B05F05">
        <w:t xml:space="preserve">For each organism and DOC source, non-linear (three-parameter sigmoidal or logistic) regressions </w:t>
      </w:r>
      <w:r w:rsidRPr="00FB6B52">
        <w:t>were used to</w:t>
      </w:r>
      <w:r w:rsidRPr="001A1D4C">
        <w:t xml:space="preserve"> generate Al concentration-response curves for each DOC concentration (SigmaPlot 11.0). Aluminium concentrations at which there was 10% and 50% inhibition of growth rate (IC10 and IC50,</w:t>
      </w:r>
      <w:r w:rsidRPr="001A1D4C">
        <w:rPr>
          <w:color w:val="0000FF"/>
        </w:rPr>
        <w:t xml:space="preserve"> </w:t>
      </w:r>
      <w:r w:rsidRPr="001A1D4C">
        <w:t xml:space="preserve">respectively) of </w:t>
      </w:r>
      <w:r w:rsidRPr="001A1D4C">
        <w:rPr>
          <w:i/>
        </w:rPr>
        <w:t>H. viridissima</w:t>
      </w:r>
      <w:r w:rsidRPr="001A1D4C">
        <w:t xml:space="preserve"> and </w:t>
      </w:r>
      <w:r w:rsidRPr="001A1D4C">
        <w:rPr>
          <w:i/>
        </w:rPr>
        <w:t>Chlorella</w:t>
      </w:r>
      <w:r w:rsidRPr="001A1D4C">
        <w:t xml:space="preserve"> sp, or 50% reduction in survival (LC50)</w:t>
      </w:r>
      <w:r w:rsidRPr="001A1D4C">
        <w:rPr>
          <w:color w:val="3366FF"/>
        </w:rPr>
        <w:t xml:space="preserve"> </w:t>
      </w:r>
      <w:r w:rsidRPr="001A1D4C">
        <w:t xml:space="preserve">of </w:t>
      </w:r>
      <w:r w:rsidRPr="001A1D4C">
        <w:rPr>
          <w:i/>
        </w:rPr>
        <w:t>M. macleayi</w:t>
      </w:r>
      <w:r>
        <w:t xml:space="preserve"> (and their 95% confidence limits, CLs), </w:t>
      </w:r>
      <w:r w:rsidRPr="001A1D4C">
        <w:t>were determined</w:t>
      </w:r>
      <w:r>
        <w:t>.</w:t>
      </w:r>
      <w:r w:rsidRPr="001A1D4C">
        <w:t xml:space="preserve"> Comparisons of Al toxicity were primarily based on differences in IC</w:t>
      </w:r>
      <w:r>
        <w:t>50</w:t>
      </w:r>
      <w:r w:rsidRPr="001A1D4C">
        <w:t xml:space="preserve"> or LC50 values. Relationships between DOC, key Al species (as calculated by HARPHRQ) and Al toxicity were examined for each organism, by incorporating al</w:t>
      </w:r>
      <w:r>
        <w:t>l toxicity data into a generalis</w:t>
      </w:r>
      <w:r w:rsidRPr="001A1D4C">
        <w:t xml:space="preserve">ed linear model (glm) with a gaussian response distribution and associated logit link function </w:t>
      </w:r>
      <w:r>
        <w:t>(</w:t>
      </w:r>
      <w:hyperlink r:id="rId22" w:history="1">
        <w:r w:rsidRPr="001A1D4C">
          <w:rPr>
            <w:rStyle w:val="Hyperlink"/>
            <w:rFonts w:eastAsiaTheme="majorEastAsia"/>
            <w:sz w:val="20"/>
            <w:lang w:eastAsia="en-AU"/>
          </w:rPr>
          <w:t>http://cran.ms.unimelb.edu.au/</w:t>
        </w:r>
      </w:hyperlink>
      <w:r>
        <w:t>)</w:t>
      </w:r>
      <w:r w:rsidRPr="001A1D4C">
        <w:t>. Predictive toxicity models based on the glms were generated for each organism, with the r</w:t>
      </w:r>
      <w:r w:rsidRPr="001A1D4C">
        <w:rPr>
          <w:spacing w:val="-2"/>
        </w:rPr>
        <w:t>elationship between the response predicted by the model and the observed response expressed in terms of</w:t>
      </w:r>
      <w:r>
        <w:rPr>
          <w:spacing w:val="-2"/>
        </w:rPr>
        <w:t xml:space="preserve"> </w:t>
      </w:r>
      <w:r w:rsidRPr="0002170D">
        <w:rPr>
          <w:i/>
          <w:spacing w:val="-2"/>
        </w:rPr>
        <w:t>r</w:t>
      </w:r>
      <w:r w:rsidRPr="0002170D">
        <w:rPr>
          <w:snapToGrid w:val="0"/>
          <w:color w:val="000000"/>
          <w:spacing w:val="-10"/>
          <w:position w:val="5"/>
          <w:sz w:val="13"/>
          <w:szCs w:val="0"/>
          <w:u w:color="000000"/>
        </w:rPr>
        <w:t>2</w:t>
      </w:r>
      <w:r w:rsidRPr="001A1D4C">
        <w:rPr>
          <w:spacing w:val="-2"/>
        </w:rPr>
        <w:t>.</w:t>
      </w:r>
    </w:p>
    <w:p w:rsidR="00D85FAC" w:rsidRPr="00FB6B52" w:rsidRDefault="00D85FAC" w:rsidP="00D85FAC">
      <w:pPr>
        <w:pStyle w:val="Heading2"/>
      </w:pPr>
      <w:bookmarkStart w:id="52" w:name="_Toc313523412"/>
      <w:bookmarkStart w:id="53" w:name="_Toc316985255"/>
      <w:r w:rsidRPr="00FB6B52">
        <w:t>Progress</w:t>
      </w:r>
      <w:bookmarkEnd w:id="52"/>
      <w:bookmarkEnd w:id="53"/>
    </w:p>
    <w:p w:rsidR="00D85FAC" w:rsidRPr="00BA25D2" w:rsidRDefault="00D85FAC" w:rsidP="00D85FAC">
      <w:pPr>
        <w:rPr>
          <w:spacing w:val="-2"/>
          <w:u w:color="000000"/>
        </w:rPr>
      </w:pPr>
      <w:r w:rsidRPr="00BA25D2">
        <w:rPr>
          <w:spacing w:val="-2"/>
        </w:rPr>
        <w:t xml:space="preserve">The (decreasing) order of sensitivity of the test organisms to Al (0.1µm fraction) was </w:t>
      </w:r>
      <w:r w:rsidRPr="00BA25D2">
        <w:rPr>
          <w:i/>
          <w:spacing w:val="-2"/>
        </w:rPr>
        <w:t xml:space="preserve">Hydra viridissima &gt; Moinodaphnia macleayi </w:t>
      </w:r>
      <w:r w:rsidRPr="00BA25D2">
        <w:rPr>
          <w:spacing w:val="-2"/>
        </w:rPr>
        <w:t xml:space="preserve">&gt; </w:t>
      </w:r>
      <w:r w:rsidRPr="00BA25D2">
        <w:rPr>
          <w:i/>
          <w:spacing w:val="-2"/>
        </w:rPr>
        <w:t>Chlorella</w:t>
      </w:r>
      <w:r w:rsidRPr="00BA25D2">
        <w:rPr>
          <w:spacing w:val="-2"/>
        </w:rPr>
        <w:t xml:space="preserve"> sp, with DOC reducing dissolved Al toxicity most for </w:t>
      </w:r>
      <w:r w:rsidRPr="00BA25D2">
        <w:rPr>
          <w:i/>
          <w:spacing w:val="-2"/>
        </w:rPr>
        <w:t>Hydra viridissima</w:t>
      </w:r>
      <w:r w:rsidRPr="00BA25D2">
        <w:rPr>
          <w:spacing w:val="-2"/>
        </w:rPr>
        <w:t xml:space="preserve"> (Table 1). However, it was found that colloidal or precipitated Al may contribute indirectly to the toxicity for </w:t>
      </w:r>
      <w:r w:rsidRPr="00BA25D2">
        <w:rPr>
          <w:i/>
          <w:spacing w:val="-2"/>
        </w:rPr>
        <w:t>M. macleayi</w:t>
      </w:r>
      <w:r w:rsidRPr="00BA25D2">
        <w:rPr>
          <w:spacing w:val="-2"/>
        </w:rPr>
        <w:t xml:space="preserve"> and </w:t>
      </w:r>
      <w:r w:rsidRPr="00BA25D2">
        <w:rPr>
          <w:i/>
          <w:spacing w:val="-2"/>
        </w:rPr>
        <w:t>Chlorella</w:t>
      </w:r>
      <w:r w:rsidRPr="00BA25D2">
        <w:rPr>
          <w:spacing w:val="-2"/>
        </w:rPr>
        <w:t xml:space="preserve"> sp (results not shown here). The toxicity of Al (0.1µm fraction) was up to six times lower in test waters containing 10 mg L</w:t>
      </w:r>
      <w:r w:rsidRPr="00BA25D2">
        <w:rPr>
          <w:spacing w:val="-2"/>
          <w:vertAlign w:val="superscript"/>
        </w:rPr>
        <w:t>-1</w:t>
      </w:r>
      <w:r w:rsidRPr="00BA25D2">
        <w:rPr>
          <w:spacing w:val="-2"/>
        </w:rPr>
        <w:t xml:space="preserve"> DOC in the form of SRFA, relative to toxicity observed at 1 mg L</w:t>
      </w:r>
      <w:r w:rsidRPr="00BA25D2">
        <w:rPr>
          <w:spacing w:val="-2"/>
          <w:vertAlign w:val="superscript"/>
        </w:rPr>
        <w:t>-1</w:t>
      </w:r>
      <w:r w:rsidRPr="00BA25D2">
        <w:rPr>
          <w:spacing w:val="-2"/>
        </w:rPr>
        <w:t xml:space="preserve"> DOC (Table 1). In contrast, the toxicity of Al was only up to two times lower in SBW containing 10 mg L</w:t>
      </w:r>
      <w:r w:rsidRPr="00BA25D2">
        <w:rPr>
          <w:spacing w:val="-2"/>
          <w:vertAlign w:val="superscript"/>
        </w:rPr>
        <w:t>-1</w:t>
      </w:r>
      <w:r w:rsidRPr="00BA25D2">
        <w:rPr>
          <w:spacing w:val="-2"/>
        </w:rPr>
        <w:t xml:space="preserve"> DOC, relative to water containing 1 mg L</w:t>
      </w:r>
      <w:r w:rsidRPr="00BA25D2">
        <w:rPr>
          <w:spacing w:val="-2"/>
          <w:vertAlign w:val="superscript"/>
        </w:rPr>
        <w:t>-1</w:t>
      </w:r>
      <w:r w:rsidRPr="00BA25D2">
        <w:rPr>
          <w:spacing w:val="-2"/>
        </w:rPr>
        <w:t xml:space="preserve"> DOC (Table 1). The increased ability of SRFA to reduce Al toxicity (Figure 1</w:t>
      </w:r>
      <w:proofErr w:type="gramStart"/>
      <w:r w:rsidRPr="00BA25D2">
        <w:rPr>
          <w:spacing w:val="-2"/>
        </w:rPr>
        <w:t>),</w:t>
      </w:r>
      <w:proofErr w:type="gramEnd"/>
      <w:r w:rsidRPr="00BA25D2">
        <w:rPr>
          <w:spacing w:val="-2"/>
        </w:rPr>
        <w:t xml:space="preserve"> was linked to its greater affinity for complexing Al compared with the in situ</w:t>
      </w:r>
      <w:r w:rsidRPr="00BA25D2">
        <w:rPr>
          <w:color w:val="0000FF"/>
          <w:spacing w:val="-2"/>
        </w:rPr>
        <w:t xml:space="preserve"> </w:t>
      </w:r>
      <w:r w:rsidRPr="00BA25D2">
        <w:rPr>
          <w:spacing w:val="-2"/>
        </w:rPr>
        <w:t>DOC. This has important implications for studies which use commercial standards of humic substances to predict Al toxicity in local environments. Speciation modelling demonstrated that Al</w:t>
      </w:r>
      <w:r w:rsidRPr="00BA25D2">
        <w:rPr>
          <w:snapToGrid w:val="0"/>
          <w:color w:val="000000"/>
          <w:spacing w:val="-2"/>
          <w:position w:val="5"/>
          <w:sz w:val="13"/>
          <w:szCs w:val="0"/>
          <w:u w:color="000000"/>
        </w:rPr>
        <w:t>3+</w:t>
      </w:r>
      <w:r w:rsidRPr="00BA25D2">
        <w:rPr>
          <w:spacing w:val="-2"/>
        </w:rPr>
        <w:t>, AlOH</w:t>
      </w:r>
      <w:r w:rsidRPr="00BA25D2">
        <w:rPr>
          <w:spacing w:val="-2"/>
          <w:vertAlign w:val="superscript"/>
        </w:rPr>
        <w:t>2+</w:t>
      </w:r>
      <w:r w:rsidRPr="00BA25D2">
        <w:rPr>
          <w:spacing w:val="-2"/>
        </w:rPr>
        <w:t xml:space="preserve"> and AlSO</w:t>
      </w:r>
      <w:r w:rsidRPr="00BA25D2">
        <w:rPr>
          <w:spacing w:val="-2"/>
          <w:vertAlign w:val="subscript"/>
        </w:rPr>
        <w:t>4</w:t>
      </w:r>
      <w:r w:rsidRPr="00BA25D2">
        <w:rPr>
          <w:spacing w:val="-2"/>
          <w:vertAlign w:val="superscript"/>
        </w:rPr>
        <w:t>+</w:t>
      </w:r>
      <w:r w:rsidRPr="00BA25D2">
        <w:rPr>
          <w:spacing w:val="-2"/>
        </w:rPr>
        <w:t xml:space="preserve"> provided the best relationship with toxicity. </w:t>
      </w:r>
      <w:r w:rsidRPr="00BA25D2">
        <w:rPr>
          <w:spacing w:val="-2"/>
          <w:u w:color="000000"/>
        </w:rPr>
        <w:t>Finally, empirical relationships were derived for each organism that can be used to predict Al toxicity at a given Al and DOC concentration (Table 2).</w:t>
      </w:r>
    </w:p>
    <w:p w:rsidR="00D85FAC" w:rsidRPr="00FB6B52" w:rsidRDefault="00D85FAC" w:rsidP="00D85FAC">
      <w:pPr>
        <w:pStyle w:val="Heading2"/>
      </w:pPr>
      <w:bookmarkStart w:id="54" w:name="_Toc313523413"/>
      <w:bookmarkStart w:id="55" w:name="_Toc316985256"/>
      <w:r w:rsidRPr="00FB6B52">
        <w:t>Conclusions</w:t>
      </w:r>
      <w:bookmarkEnd w:id="54"/>
      <w:bookmarkEnd w:id="55"/>
    </w:p>
    <w:p w:rsidR="00D85FAC" w:rsidRPr="00AC2B5B" w:rsidRDefault="00D85FAC" w:rsidP="00D85FAC">
      <w:r w:rsidRPr="00BA25D2">
        <w:rPr>
          <w:spacing w:val="-2"/>
        </w:rPr>
        <w:t xml:space="preserve">Al-DOC complexation has important consequences for reducing Al toxicity to tropical freshwater organisms. Al toxicity to aquatic biota could be overestimated where assessments do not incorporate this complexation. Less reduction in Al toxicity in the presence of SBW DOC compared with that of the pure FA </w:t>
      </w:r>
      <w:proofErr w:type="gramStart"/>
      <w:r w:rsidRPr="00BA25D2">
        <w:rPr>
          <w:spacing w:val="-2"/>
        </w:rPr>
        <w:t>standard,</w:t>
      </w:r>
      <w:proofErr w:type="gramEnd"/>
      <w:r w:rsidRPr="00BA25D2">
        <w:rPr>
          <w:spacing w:val="-2"/>
        </w:rPr>
        <w:t xml:space="preserve"> was attributed to less Al-FA complexation occurring with SBW DOC. These results suggest it would be more appropriate, where possible, for toxicity studies addressing the influence of DOC, to use a site-specific/local DOC source.</w:t>
      </w:r>
    </w:p>
    <w:p w:rsidR="00D85FAC" w:rsidRDefault="00D85FAC" w:rsidP="00D85FAC">
      <w:pPr>
        <w:pStyle w:val="Heading2"/>
      </w:pPr>
      <w:bookmarkStart w:id="56" w:name="_Toc313523414"/>
      <w:bookmarkStart w:id="57" w:name="_Toc316985257"/>
      <w:r w:rsidRPr="00F45F28">
        <w:lastRenderedPageBreak/>
        <w:t>Steps for completion</w:t>
      </w:r>
      <w:bookmarkEnd w:id="56"/>
      <w:bookmarkEnd w:id="57"/>
    </w:p>
    <w:p w:rsidR="00D85FAC" w:rsidRDefault="00D85FAC" w:rsidP="00D85FAC">
      <w:r>
        <w:t>This work has been completed and</w:t>
      </w:r>
      <w:r w:rsidRPr="00E7318E">
        <w:t xml:space="preserve"> publi</w:t>
      </w:r>
      <w:r>
        <w:t>shed:</w:t>
      </w:r>
      <w:r w:rsidRPr="00E7318E">
        <w:t xml:space="preserve"> </w:t>
      </w:r>
      <w:r>
        <w:t xml:space="preserve">Trenfield MA, Markich SJ, Ng JC, Noller BN &amp; van Dam RA. 2012. Dissolved </w:t>
      </w:r>
      <w:r w:rsidRPr="00520DEC">
        <w:t>organic carbon reduces the toxicity of aluminium to three tropical freshwater organisms</w:t>
      </w:r>
      <w:r>
        <w:rPr>
          <w:bCs/>
        </w:rPr>
        <w:t xml:space="preserve">. </w:t>
      </w:r>
      <w:r w:rsidRPr="00A15E4F">
        <w:rPr>
          <w:i/>
        </w:rPr>
        <w:t>Environ</w:t>
      </w:r>
      <w:r w:rsidRPr="00E7318E">
        <w:t xml:space="preserve"> </w:t>
      </w:r>
      <w:r w:rsidRPr="00A15E4F">
        <w:rPr>
          <w:i/>
        </w:rPr>
        <w:t>Toxicol Chem</w:t>
      </w:r>
      <w:r>
        <w:rPr>
          <w:i/>
        </w:rPr>
        <w:t xml:space="preserve"> </w:t>
      </w:r>
      <w:r>
        <w:t>31, 427–436.</w:t>
      </w:r>
    </w:p>
    <w:p w:rsidR="00D85FAC" w:rsidRDefault="00D85FAC" w:rsidP="00D85FAC"/>
    <w:p w:rsidR="00D85FAC" w:rsidRDefault="00D85FAC" w:rsidP="00D85FAC"/>
    <w:tbl>
      <w:tblPr>
        <w:tblW w:w="0" w:type="auto"/>
        <w:tblLook w:val="04A0"/>
      </w:tblPr>
      <w:tblGrid>
        <w:gridCol w:w="4264"/>
        <w:gridCol w:w="4264"/>
      </w:tblGrid>
      <w:tr w:rsidR="00D85FAC" w:rsidTr="00D85FAC">
        <w:tc>
          <w:tcPr>
            <w:tcW w:w="4261" w:type="dxa"/>
          </w:tcPr>
          <w:p w:rsidR="00D85FAC" w:rsidRDefault="00D85FAC" w:rsidP="00D85FAC">
            <w:pPr>
              <w:rPr>
                <w:highlight w:val="yellow"/>
              </w:rPr>
            </w:pPr>
            <w:r w:rsidRPr="00D13A78">
              <w:rPr>
                <w:noProof/>
                <w:lang w:eastAsia="en-AU"/>
              </w:rPr>
              <w:drawing>
                <wp:inline distT="0" distB="0" distL="0" distR="0">
                  <wp:extent cx="2595245" cy="1970405"/>
                  <wp:effectExtent l="19050" t="0" r="0" b="0"/>
                  <wp:docPr id="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screen"/>
                          <a:srcRect/>
                          <a:stretch>
                            <a:fillRect/>
                          </a:stretch>
                        </pic:blipFill>
                        <pic:spPr bwMode="auto">
                          <a:xfrm>
                            <a:off x="0" y="0"/>
                            <a:ext cx="2595245" cy="1970405"/>
                          </a:xfrm>
                          <a:prstGeom prst="rect">
                            <a:avLst/>
                          </a:prstGeom>
                          <a:noFill/>
                          <a:ln w="9525">
                            <a:noFill/>
                            <a:miter lim="800000"/>
                            <a:headEnd/>
                            <a:tailEnd/>
                          </a:ln>
                        </pic:spPr>
                      </pic:pic>
                    </a:graphicData>
                  </a:graphic>
                </wp:inline>
              </w:drawing>
            </w:r>
          </w:p>
        </w:tc>
        <w:tc>
          <w:tcPr>
            <w:tcW w:w="4261" w:type="dxa"/>
          </w:tcPr>
          <w:p w:rsidR="00D85FAC" w:rsidRDefault="00D85FAC" w:rsidP="00D85FAC">
            <w:pPr>
              <w:rPr>
                <w:highlight w:val="yellow"/>
              </w:rPr>
            </w:pPr>
            <w:r w:rsidRPr="00D13A78">
              <w:rPr>
                <w:noProof/>
                <w:lang w:eastAsia="en-AU"/>
              </w:rPr>
              <w:drawing>
                <wp:inline distT="0" distB="0" distL="0" distR="0">
                  <wp:extent cx="2595245" cy="1970405"/>
                  <wp:effectExtent l="19050" t="0" r="0" b="0"/>
                  <wp:docPr id="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screen"/>
                          <a:srcRect/>
                          <a:stretch>
                            <a:fillRect/>
                          </a:stretch>
                        </pic:blipFill>
                        <pic:spPr bwMode="auto">
                          <a:xfrm>
                            <a:off x="0" y="0"/>
                            <a:ext cx="2595245" cy="1970405"/>
                          </a:xfrm>
                          <a:prstGeom prst="rect">
                            <a:avLst/>
                          </a:prstGeom>
                          <a:noFill/>
                          <a:ln w="9525">
                            <a:noFill/>
                            <a:miter lim="800000"/>
                            <a:headEnd/>
                            <a:tailEnd/>
                          </a:ln>
                        </pic:spPr>
                      </pic:pic>
                    </a:graphicData>
                  </a:graphic>
                </wp:inline>
              </w:drawing>
            </w:r>
          </w:p>
        </w:tc>
      </w:tr>
      <w:tr w:rsidR="00D85FAC" w:rsidTr="00D85FAC">
        <w:trPr>
          <w:trHeight w:val="4160"/>
        </w:trPr>
        <w:tc>
          <w:tcPr>
            <w:tcW w:w="8522" w:type="dxa"/>
            <w:gridSpan w:val="2"/>
          </w:tcPr>
          <w:p w:rsidR="00D85FAC" w:rsidRDefault="00D85FAC" w:rsidP="00D85FAC">
            <w:pPr>
              <w:jc w:val="center"/>
              <w:rPr>
                <w:highlight w:val="yellow"/>
              </w:rPr>
            </w:pPr>
            <w:r w:rsidRPr="00D13A78">
              <w:rPr>
                <w:noProof/>
                <w:lang w:eastAsia="en-AU"/>
              </w:rPr>
              <w:drawing>
                <wp:inline distT="0" distB="0" distL="0" distR="0">
                  <wp:extent cx="2543810" cy="2292350"/>
                  <wp:effectExtent l="19050" t="0" r="8890" b="0"/>
                  <wp:docPr id="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screen"/>
                          <a:srcRect/>
                          <a:stretch>
                            <a:fillRect/>
                          </a:stretch>
                        </pic:blipFill>
                        <pic:spPr bwMode="auto">
                          <a:xfrm>
                            <a:off x="0" y="0"/>
                            <a:ext cx="2543810" cy="2292350"/>
                          </a:xfrm>
                          <a:prstGeom prst="rect">
                            <a:avLst/>
                          </a:prstGeom>
                          <a:noFill/>
                          <a:ln w="9525">
                            <a:noFill/>
                            <a:miter lim="800000"/>
                            <a:headEnd/>
                            <a:tailEnd/>
                          </a:ln>
                        </pic:spPr>
                      </pic:pic>
                    </a:graphicData>
                  </a:graphic>
                </wp:inline>
              </w:drawing>
            </w:r>
          </w:p>
        </w:tc>
      </w:tr>
    </w:tbl>
    <w:p w:rsidR="00D85FAC" w:rsidRDefault="00D85FAC" w:rsidP="00D85FAC">
      <w:pPr>
        <w:pStyle w:val="figurecaption"/>
        <w:rPr>
          <w:szCs w:val="18"/>
        </w:rPr>
      </w:pPr>
      <w:r w:rsidRPr="001A54F1">
        <w:rPr>
          <w:b/>
        </w:rPr>
        <w:t xml:space="preserve">Figure 1 </w:t>
      </w:r>
      <w:r w:rsidRPr="001A54F1">
        <w:t xml:space="preserve"> </w:t>
      </w:r>
      <w:r w:rsidRPr="00387A86">
        <w:rPr>
          <w:szCs w:val="18"/>
        </w:rPr>
        <w:t xml:space="preserve">Percent reduction in aluminium toxicity at 2, 5 </w:t>
      </w:r>
      <w:r>
        <w:rPr>
          <w:szCs w:val="18"/>
        </w:rPr>
        <w:t>and</w:t>
      </w:r>
      <w:r w:rsidRPr="00387A86">
        <w:rPr>
          <w:szCs w:val="18"/>
        </w:rPr>
        <w:t xml:space="preserve"> 10 mg L</w:t>
      </w:r>
      <w:r w:rsidRPr="00387A86">
        <w:rPr>
          <w:szCs w:val="18"/>
          <w:vertAlign w:val="superscript"/>
        </w:rPr>
        <w:t>-1</w:t>
      </w:r>
      <w:r w:rsidRPr="00387A86">
        <w:rPr>
          <w:szCs w:val="18"/>
        </w:rPr>
        <w:t xml:space="preserve"> dissolved organic carbon (DOC, shown as µM fulvic acid) compared to toxicity at 1 mg L</w:t>
      </w:r>
      <w:r w:rsidRPr="00387A86">
        <w:rPr>
          <w:szCs w:val="18"/>
          <w:vertAlign w:val="superscript"/>
        </w:rPr>
        <w:t>-1</w:t>
      </w:r>
      <w:r w:rsidRPr="00387A86">
        <w:rPr>
          <w:szCs w:val="18"/>
        </w:rPr>
        <w:t xml:space="preserve"> DOC for a) </w:t>
      </w:r>
      <w:r w:rsidRPr="00387A86">
        <w:rPr>
          <w:i/>
          <w:szCs w:val="18"/>
        </w:rPr>
        <w:t>H. viridissima</w:t>
      </w:r>
      <w:r w:rsidRPr="00387A86">
        <w:rPr>
          <w:szCs w:val="18"/>
        </w:rPr>
        <w:t xml:space="preserve">, b) </w:t>
      </w:r>
      <w:r w:rsidRPr="00387A86">
        <w:rPr>
          <w:i/>
          <w:szCs w:val="18"/>
        </w:rPr>
        <w:t>Chlorella</w:t>
      </w:r>
      <w:r w:rsidRPr="00387A86">
        <w:rPr>
          <w:szCs w:val="18"/>
        </w:rPr>
        <w:t xml:space="preserve"> sp and c) </w:t>
      </w:r>
      <w:r w:rsidRPr="00387A86">
        <w:rPr>
          <w:i/>
          <w:szCs w:val="18"/>
        </w:rPr>
        <w:t>M. macleayi</w:t>
      </w:r>
      <w:r w:rsidRPr="00387A86">
        <w:rPr>
          <w:szCs w:val="18"/>
        </w:rPr>
        <w:t>. Reduction in toxicity is calculated based on the difference in IC50 or LC50 at each DOC concentration with that at 1 mg L</w:t>
      </w:r>
      <w:r w:rsidRPr="00387A86">
        <w:rPr>
          <w:szCs w:val="18"/>
          <w:vertAlign w:val="superscript"/>
        </w:rPr>
        <w:t>-1</w:t>
      </w:r>
      <w:r w:rsidRPr="00387A86">
        <w:rPr>
          <w:szCs w:val="18"/>
        </w:rPr>
        <w:t xml:space="preserve"> DOC</w:t>
      </w:r>
      <w:r>
        <w:rPr>
          <w:szCs w:val="18"/>
        </w:rPr>
        <w:t xml:space="preserve"> </w:t>
      </w:r>
      <w:r>
        <w:rPr>
          <w:szCs w:val="22"/>
        </w:rPr>
        <w:t xml:space="preserve">(based on </w:t>
      </w:r>
      <w:r w:rsidRPr="00EC384A">
        <w:rPr>
          <w:szCs w:val="22"/>
        </w:rPr>
        <w:t>0.1 µm filtered Al</w:t>
      </w:r>
      <w:r>
        <w:rPr>
          <w:szCs w:val="22"/>
        </w:rPr>
        <w:t xml:space="preserve"> for </w:t>
      </w:r>
      <w:r w:rsidRPr="00EC384A">
        <w:rPr>
          <w:i/>
          <w:szCs w:val="22"/>
        </w:rPr>
        <w:t xml:space="preserve">H. </w:t>
      </w:r>
      <w:r>
        <w:rPr>
          <w:i/>
          <w:szCs w:val="22"/>
        </w:rPr>
        <w:t>v</w:t>
      </w:r>
      <w:r w:rsidRPr="00EC384A">
        <w:rPr>
          <w:i/>
          <w:szCs w:val="22"/>
        </w:rPr>
        <w:t>iridissima</w:t>
      </w:r>
      <w:r>
        <w:rPr>
          <w:szCs w:val="22"/>
        </w:rPr>
        <w:t xml:space="preserve"> and total Al for </w:t>
      </w:r>
      <w:r w:rsidRPr="00EC384A">
        <w:rPr>
          <w:i/>
          <w:szCs w:val="22"/>
        </w:rPr>
        <w:t>Chlorella</w:t>
      </w:r>
      <w:r w:rsidRPr="00EC384A">
        <w:rPr>
          <w:szCs w:val="22"/>
        </w:rPr>
        <w:t xml:space="preserve"> sp and </w:t>
      </w:r>
      <w:r w:rsidRPr="00EC384A">
        <w:rPr>
          <w:i/>
          <w:szCs w:val="22"/>
        </w:rPr>
        <w:t>M. macleayi</w:t>
      </w:r>
      <w:r>
        <w:rPr>
          <w:szCs w:val="22"/>
        </w:rPr>
        <w:t>)</w:t>
      </w:r>
      <w:r w:rsidRPr="00387A86">
        <w:rPr>
          <w:szCs w:val="18"/>
        </w:rPr>
        <w:t>. SRFA: Suwannee River fulvic acid, SBW: Sandy Billabong water.</w:t>
      </w:r>
    </w:p>
    <w:p w:rsidR="00D85FAC" w:rsidRPr="00582951" w:rsidRDefault="00D85FAC" w:rsidP="00D85FAC"/>
    <w:p w:rsidR="00D85FAC" w:rsidRDefault="00D85FAC" w:rsidP="00D85FAC"/>
    <w:p w:rsidR="00D85FAC" w:rsidRPr="00062398" w:rsidRDefault="00D85FAC" w:rsidP="00D85FAC"/>
    <w:p w:rsidR="00D85FAC" w:rsidRDefault="00D85FAC" w:rsidP="00D85FAC">
      <w:pPr>
        <w:rPr>
          <w:b/>
        </w:rPr>
        <w:sectPr w:rsidR="00D85FAC" w:rsidSect="00D85FAC">
          <w:headerReference w:type="even" r:id="rId26"/>
          <w:headerReference w:type="default" r:id="rId27"/>
          <w:headerReference w:type="first" r:id="rId28"/>
          <w:footnotePr>
            <w:numRestart w:val="eachSect"/>
          </w:footnotePr>
          <w:pgSz w:w="11906" w:h="16838" w:code="9"/>
          <w:pgMar w:top="1440" w:right="1797" w:bottom="1440" w:left="1797" w:header="851" w:footer="833" w:gutter="0"/>
          <w:cols w:space="360"/>
          <w:noEndnote/>
          <w:titlePg/>
        </w:sectPr>
      </w:pPr>
    </w:p>
    <w:p w:rsidR="00D85FAC" w:rsidRDefault="00081B24" w:rsidP="00D85FAC">
      <w:pPr>
        <w:pStyle w:val="landscape"/>
        <w:framePr w:wrap="around"/>
      </w:pPr>
      <w:fldSimple w:instr=" PAGE   \* MERGEFORMAT ">
        <w:r w:rsidR="00D85FAC">
          <w:rPr>
            <w:noProof/>
          </w:rPr>
          <w:t>13</w:t>
        </w:r>
      </w:fldSimple>
    </w:p>
    <w:p w:rsidR="00D85FAC" w:rsidRDefault="00D85FAC" w:rsidP="00D85FAC">
      <w:pPr>
        <w:pStyle w:val="tablecaption"/>
        <w:rPr>
          <w:highlight w:val="yellow"/>
        </w:rPr>
      </w:pPr>
      <w:r w:rsidRPr="003D6C0C">
        <w:rPr>
          <w:b/>
        </w:rPr>
        <w:t xml:space="preserve">Table </w:t>
      </w:r>
      <w:proofErr w:type="gramStart"/>
      <w:r w:rsidRPr="003D6C0C">
        <w:rPr>
          <w:b/>
        </w:rPr>
        <w:t>1</w:t>
      </w:r>
      <w:r>
        <w:rPr>
          <w:b/>
        </w:rPr>
        <w:t xml:space="preserve"> </w:t>
      </w:r>
      <w:r w:rsidRPr="003D6C0C">
        <w:rPr>
          <w:b/>
        </w:rPr>
        <w:t xml:space="preserve"> </w:t>
      </w:r>
      <w:r w:rsidRPr="003D6C0C">
        <w:t>Aluminum</w:t>
      </w:r>
      <w:proofErr w:type="gramEnd"/>
      <w:r w:rsidRPr="003D6C0C">
        <w:t xml:space="preserve"> (Al) toxicity to three tropical freshwater species with increasing dissolved organic carbon (DOC)</w:t>
      </w:r>
    </w:p>
    <w:tbl>
      <w:tblPr>
        <w:tblW w:w="11732" w:type="dxa"/>
        <w:tblLook w:val="0000"/>
      </w:tblPr>
      <w:tblGrid>
        <w:gridCol w:w="1526"/>
        <w:gridCol w:w="1984"/>
        <w:gridCol w:w="993"/>
        <w:gridCol w:w="1807"/>
        <w:gridCol w:w="1807"/>
        <w:gridCol w:w="1807"/>
        <w:gridCol w:w="1808"/>
      </w:tblGrid>
      <w:tr w:rsidR="00D85FAC" w:rsidRPr="00FB6B52" w:rsidTr="00D85FAC">
        <w:tc>
          <w:tcPr>
            <w:tcW w:w="1526" w:type="dxa"/>
            <w:tcBorders>
              <w:top w:val="single" w:sz="4" w:space="0" w:color="auto"/>
            </w:tcBorders>
          </w:tcPr>
          <w:p w:rsidR="00D85FAC" w:rsidRDefault="00D85FAC" w:rsidP="00D85FAC">
            <w:pPr>
              <w:pStyle w:val="table1"/>
              <w:rPr>
                <w:b/>
              </w:rPr>
            </w:pPr>
            <w:r w:rsidRPr="00B05F05">
              <w:rPr>
                <w:b/>
              </w:rPr>
              <w:t>Water type</w:t>
            </w:r>
          </w:p>
        </w:tc>
        <w:tc>
          <w:tcPr>
            <w:tcW w:w="1984" w:type="dxa"/>
            <w:tcBorders>
              <w:top w:val="single" w:sz="4" w:space="0" w:color="auto"/>
            </w:tcBorders>
          </w:tcPr>
          <w:p w:rsidR="00D85FAC" w:rsidRDefault="00D85FAC" w:rsidP="00D85FAC">
            <w:pPr>
              <w:pStyle w:val="table1"/>
              <w:rPr>
                <w:b/>
              </w:rPr>
            </w:pPr>
            <w:r w:rsidRPr="00B05F05">
              <w:rPr>
                <w:b/>
              </w:rPr>
              <w:t>Species</w:t>
            </w:r>
          </w:p>
        </w:tc>
        <w:tc>
          <w:tcPr>
            <w:tcW w:w="993" w:type="dxa"/>
            <w:tcBorders>
              <w:top w:val="single" w:sz="4" w:space="0" w:color="auto"/>
            </w:tcBorders>
          </w:tcPr>
          <w:p w:rsidR="00D85FAC" w:rsidRDefault="00D85FAC" w:rsidP="00D85FAC">
            <w:pPr>
              <w:pStyle w:val="table1"/>
              <w:rPr>
                <w:b/>
              </w:rPr>
            </w:pPr>
            <w:r w:rsidRPr="00B05F05">
              <w:rPr>
                <w:b/>
              </w:rPr>
              <w:t>Al fraction</w:t>
            </w:r>
          </w:p>
        </w:tc>
        <w:tc>
          <w:tcPr>
            <w:tcW w:w="7229" w:type="dxa"/>
            <w:gridSpan w:val="4"/>
            <w:tcBorders>
              <w:top w:val="single" w:sz="4" w:space="0" w:color="auto"/>
              <w:bottom w:val="single" w:sz="4" w:space="0" w:color="auto"/>
            </w:tcBorders>
          </w:tcPr>
          <w:p w:rsidR="00D85FAC" w:rsidRDefault="00D85FAC" w:rsidP="00D85FAC">
            <w:pPr>
              <w:pStyle w:val="table1"/>
              <w:jc w:val="center"/>
              <w:rPr>
                <w:b/>
              </w:rPr>
            </w:pPr>
            <w:r w:rsidRPr="00B05F05">
              <w:rPr>
                <w:b/>
              </w:rPr>
              <w:t>Al LC</w:t>
            </w:r>
            <w:r w:rsidRPr="00B05F05">
              <w:rPr>
                <w:b/>
                <w:vertAlign w:val="subscript"/>
              </w:rPr>
              <w:t xml:space="preserve">50 </w:t>
            </w:r>
            <w:r w:rsidRPr="00B05F05">
              <w:rPr>
                <w:b/>
              </w:rPr>
              <w:t>or IC</w:t>
            </w:r>
            <w:r w:rsidRPr="00B05F05">
              <w:rPr>
                <w:b/>
                <w:vertAlign w:val="subscript"/>
              </w:rPr>
              <w:t>50</w:t>
            </w:r>
            <w:r w:rsidRPr="00B05F05">
              <w:rPr>
                <w:b/>
              </w:rPr>
              <w:t xml:space="preserve"> (</w:t>
            </w:r>
            <w:r w:rsidRPr="00B05F05">
              <w:rPr>
                <w:rFonts w:cs="Times"/>
                <w:b/>
              </w:rPr>
              <w:t>µ</w:t>
            </w:r>
            <w:r w:rsidRPr="00B05F05">
              <w:rPr>
                <w:b/>
              </w:rPr>
              <w:t>g L</w:t>
            </w:r>
            <w:r w:rsidRPr="00B05F05">
              <w:rPr>
                <w:b/>
                <w:vertAlign w:val="superscript"/>
              </w:rPr>
              <w:t>-1</w:t>
            </w:r>
            <w:r w:rsidRPr="00B05F05">
              <w:rPr>
                <w:b/>
              </w:rPr>
              <w:t>)</w:t>
            </w:r>
            <w:r w:rsidRPr="00B05F05">
              <w:rPr>
                <w:b/>
                <w:vertAlign w:val="superscript"/>
              </w:rPr>
              <w:t>a</w:t>
            </w:r>
          </w:p>
        </w:tc>
      </w:tr>
      <w:tr w:rsidR="00D85FAC" w:rsidRPr="00FB6B52" w:rsidTr="00D85FAC">
        <w:tc>
          <w:tcPr>
            <w:tcW w:w="1526" w:type="dxa"/>
          </w:tcPr>
          <w:p w:rsidR="00D85FAC" w:rsidRDefault="00D85FAC" w:rsidP="00D85FAC">
            <w:pPr>
              <w:pStyle w:val="table1"/>
              <w:rPr>
                <w:b/>
              </w:rPr>
            </w:pPr>
          </w:p>
        </w:tc>
        <w:tc>
          <w:tcPr>
            <w:tcW w:w="1984" w:type="dxa"/>
          </w:tcPr>
          <w:p w:rsidR="00D85FAC" w:rsidRDefault="00D85FAC" w:rsidP="00D85FAC">
            <w:pPr>
              <w:pStyle w:val="table1"/>
              <w:rPr>
                <w:b/>
              </w:rPr>
            </w:pPr>
          </w:p>
        </w:tc>
        <w:tc>
          <w:tcPr>
            <w:tcW w:w="993" w:type="dxa"/>
          </w:tcPr>
          <w:p w:rsidR="00D85FAC" w:rsidRDefault="00D85FAC" w:rsidP="00D85FAC">
            <w:pPr>
              <w:pStyle w:val="table1"/>
              <w:rPr>
                <w:b/>
              </w:rPr>
            </w:pPr>
          </w:p>
        </w:tc>
        <w:tc>
          <w:tcPr>
            <w:tcW w:w="7229" w:type="dxa"/>
            <w:gridSpan w:val="4"/>
            <w:tcBorders>
              <w:top w:val="single" w:sz="4" w:space="0" w:color="auto"/>
              <w:bottom w:val="single" w:sz="4" w:space="0" w:color="auto"/>
            </w:tcBorders>
          </w:tcPr>
          <w:p w:rsidR="00D85FAC" w:rsidRDefault="00D85FAC" w:rsidP="00D85FAC">
            <w:pPr>
              <w:pStyle w:val="table1"/>
              <w:jc w:val="center"/>
              <w:rPr>
                <w:b/>
              </w:rPr>
            </w:pPr>
            <w:r w:rsidRPr="00B05F05">
              <w:rPr>
                <w:b/>
              </w:rPr>
              <w:t>DOC</w:t>
            </w:r>
            <w:r w:rsidRPr="00B05F05">
              <w:rPr>
                <w:b/>
                <w:vertAlign w:val="superscript"/>
              </w:rPr>
              <w:t>b</w:t>
            </w:r>
          </w:p>
        </w:tc>
      </w:tr>
      <w:tr w:rsidR="00D85FAC" w:rsidRPr="00FB6B52" w:rsidTr="00D85FAC">
        <w:tc>
          <w:tcPr>
            <w:tcW w:w="1526" w:type="dxa"/>
            <w:tcBorders>
              <w:bottom w:val="single" w:sz="4" w:space="0" w:color="auto"/>
            </w:tcBorders>
          </w:tcPr>
          <w:p w:rsidR="00D85FAC" w:rsidRDefault="00D85FAC" w:rsidP="00D85FAC">
            <w:pPr>
              <w:pStyle w:val="table1"/>
              <w:rPr>
                <w:b/>
              </w:rPr>
            </w:pPr>
          </w:p>
        </w:tc>
        <w:tc>
          <w:tcPr>
            <w:tcW w:w="1984" w:type="dxa"/>
            <w:tcBorders>
              <w:bottom w:val="single" w:sz="4" w:space="0" w:color="auto"/>
            </w:tcBorders>
          </w:tcPr>
          <w:p w:rsidR="00D85FAC" w:rsidRDefault="00D85FAC" w:rsidP="00D85FAC">
            <w:pPr>
              <w:pStyle w:val="table1"/>
              <w:rPr>
                <w:b/>
              </w:rPr>
            </w:pPr>
          </w:p>
        </w:tc>
        <w:tc>
          <w:tcPr>
            <w:tcW w:w="993" w:type="dxa"/>
            <w:tcBorders>
              <w:bottom w:val="single" w:sz="4" w:space="0" w:color="auto"/>
            </w:tcBorders>
          </w:tcPr>
          <w:p w:rsidR="00D85FAC" w:rsidRDefault="00D85FAC" w:rsidP="00D85FAC">
            <w:pPr>
              <w:pStyle w:val="table1"/>
              <w:rPr>
                <w:b/>
              </w:rPr>
            </w:pPr>
          </w:p>
        </w:tc>
        <w:tc>
          <w:tcPr>
            <w:tcW w:w="1807" w:type="dxa"/>
            <w:tcBorders>
              <w:top w:val="single" w:sz="4" w:space="0" w:color="auto"/>
              <w:bottom w:val="single" w:sz="4" w:space="0" w:color="auto"/>
            </w:tcBorders>
          </w:tcPr>
          <w:p w:rsidR="00D85FAC" w:rsidRDefault="00D85FAC" w:rsidP="00D85FAC">
            <w:pPr>
              <w:pStyle w:val="table1"/>
              <w:jc w:val="center"/>
              <w:rPr>
                <w:b/>
              </w:rPr>
            </w:pPr>
            <w:r w:rsidRPr="00B05F05">
              <w:rPr>
                <w:b/>
              </w:rPr>
              <w:t>1 mg L</w:t>
            </w:r>
            <w:r w:rsidRPr="00B05F05">
              <w:rPr>
                <w:b/>
                <w:vertAlign w:val="superscript"/>
              </w:rPr>
              <w:t>-1</w:t>
            </w:r>
          </w:p>
        </w:tc>
        <w:tc>
          <w:tcPr>
            <w:tcW w:w="1807" w:type="dxa"/>
            <w:tcBorders>
              <w:top w:val="single" w:sz="4" w:space="0" w:color="auto"/>
              <w:bottom w:val="single" w:sz="4" w:space="0" w:color="auto"/>
            </w:tcBorders>
          </w:tcPr>
          <w:p w:rsidR="00D85FAC" w:rsidRDefault="00D85FAC" w:rsidP="00D85FAC">
            <w:pPr>
              <w:pStyle w:val="table1"/>
              <w:jc w:val="center"/>
              <w:rPr>
                <w:b/>
              </w:rPr>
            </w:pPr>
            <w:r w:rsidRPr="00B05F05">
              <w:rPr>
                <w:b/>
              </w:rPr>
              <w:t>2 mg L</w:t>
            </w:r>
            <w:r w:rsidRPr="00B05F05">
              <w:rPr>
                <w:b/>
                <w:vertAlign w:val="superscript"/>
              </w:rPr>
              <w:t>-1</w:t>
            </w:r>
          </w:p>
        </w:tc>
        <w:tc>
          <w:tcPr>
            <w:tcW w:w="1807" w:type="dxa"/>
            <w:tcBorders>
              <w:top w:val="single" w:sz="4" w:space="0" w:color="auto"/>
              <w:bottom w:val="single" w:sz="4" w:space="0" w:color="auto"/>
            </w:tcBorders>
          </w:tcPr>
          <w:p w:rsidR="00D85FAC" w:rsidRDefault="00D85FAC" w:rsidP="00D85FAC">
            <w:pPr>
              <w:pStyle w:val="table1"/>
              <w:jc w:val="center"/>
              <w:rPr>
                <w:b/>
              </w:rPr>
            </w:pPr>
            <w:r w:rsidRPr="00B05F05">
              <w:rPr>
                <w:b/>
              </w:rPr>
              <w:t>5 mg L</w:t>
            </w:r>
            <w:r w:rsidRPr="00B05F05">
              <w:rPr>
                <w:b/>
                <w:vertAlign w:val="superscript"/>
              </w:rPr>
              <w:t>-1</w:t>
            </w:r>
          </w:p>
        </w:tc>
        <w:tc>
          <w:tcPr>
            <w:tcW w:w="1808" w:type="dxa"/>
            <w:tcBorders>
              <w:top w:val="single" w:sz="4" w:space="0" w:color="auto"/>
              <w:bottom w:val="single" w:sz="4" w:space="0" w:color="auto"/>
            </w:tcBorders>
          </w:tcPr>
          <w:p w:rsidR="00D85FAC" w:rsidRDefault="00D85FAC" w:rsidP="00D85FAC">
            <w:pPr>
              <w:pStyle w:val="table1"/>
              <w:jc w:val="center"/>
              <w:rPr>
                <w:b/>
              </w:rPr>
            </w:pPr>
            <w:r w:rsidRPr="00B05F05">
              <w:rPr>
                <w:b/>
              </w:rPr>
              <w:t>10 mg L</w:t>
            </w:r>
            <w:r w:rsidRPr="00B05F05">
              <w:rPr>
                <w:b/>
                <w:vertAlign w:val="superscript"/>
              </w:rPr>
              <w:t>-1</w:t>
            </w:r>
          </w:p>
        </w:tc>
      </w:tr>
      <w:tr w:rsidR="00D85FAC" w:rsidRPr="00F76E4C" w:rsidTr="00D85FAC">
        <w:trPr>
          <w:trHeight w:val="338"/>
        </w:trPr>
        <w:tc>
          <w:tcPr>
            <w:tcW w:w="1526" w:type="dxa"/>
            <w:tcBorders>
              <w:top w:val="single" w:sz="4" w:space="0" w:color="auto"/>
            </w:tcBorders>
          </w:tcPr>
          <w:p w:rsidR="00D85FAC" w:rsidRDefault="00D85FAC" w:rsidP="00D85FAC">
            <w:pPr>
              <w:pStyle w:val="table1"/>
            </w:pPr>
            <w:r w:rsidRPr="00F27847">
              <w:t>SRFA</w:t>
            </w:r>
            <w:r w:rsidRPr="00A51C06">
              <w:rPr>
                <w:snapToGrid w:val="0"/>
                <w:color w:val="000000"/>
                <w:position w:val="4"/>
                <w:sz w:val="11"/>
                <w:szCs w:val="0"/>
                <w:u w:color="000000"/>
              </w:rPr>
              <w:t>c</w:t>
            </w:r>
            <w:r w:rsidRPr="00F27847">
              <w:t xml:space="preserve"> in DMCW</w:t>
            </w:r>
            <w:r w:rsidRPr="00A51C06">
              <w:rPr>
                <w:snapToGrid w:val="0"/>
                <w:color w:val="000000"/>
                <w:position w:val="4"/>
                <w:sz w:val="11"/>
                <w:szCs w:val="0"/>
                <w:u w:color="000000"/>
              </w:rPr>
              <w:t>d</w:t>
            </w:r>
            <w:r w:rsidRPr="00F27847">
              <w:rPr>
                <w:snapToGrid w:val="0"/>
                <w:szCs w:val="0"/>
                <w:u w:color="000000"/>
              </w:rPr>
              <w:t xml:space="preserve"> </w:t>
            </w:r>
          </w:p>
        </w:tc>
        <w:tc>
          <w:tcPr>
            <w:tcW w:w="1984" w:type="dxa"/>
            <w:tcBorders>
              <w:top w:val="single" w:sz="4" w:space="0" w:color="auto"/>
            </w:tcBorders>
          </w:tcPr>
          <w:p w:rsidR="00D85FAC" w:rsidRDefault="00D85FAC" w:rsidP="00D85FAC">
            <w:pPr>
              <w:pStyle w:val="table1"/>
              <w:rPr>
                <w:i/>
              </w:rPr>
            </w:pPr>
            <w:r w:rsidRPr="00FB3DB1">
              <w:rPr>
                <w:i/>
                <w:lang w:val="pt-BR"/>
              </w:rPr>
              <w:t>Hydra viridissima</w:t>
            </w:r>
          </w:p>
        </w:tc>
        <w:tc>
          <w:tcPr>
            <w:tcW w:w="993" w:type="dxa"/>
            <w:tcBorders>
              <w:top w:val="single" w:sz="4" w:space="0" w:color="auto"/>
            </w:tcBorders>
          </w:tcPr>
          <w:p w:rsidR="00D85FAC" w:rsidRDefault="00D85FAC" w:rsidP="00D85FAC">
            <w:pPr>
              <w:pStyle w:val="table1"/>
              <w:rPr>
                <w:lang w:val="pt-BR"/>
              </w:rPr>
            </w:pPr>
            <w:r w:rsidRPr="00F27847">
              <w:rPr>
                <w:lang w:val="pt-BR"/>
              </w:rPr>
              <w:t xml:space="preserve">0.10 </w:t>
            </w:r>
            <w:r w:rsidRPr="00F27847">
              <w:rPr>
                <w:rFonts w:cs="Times"/>
                <w:lang w:val="pt-BR"/>
              </w:rPr>
              <w:t>µ</w:t>
            </w:r>
            <w:r w:rsidRPr="00F27847">
              <w:rPr>
                <w:lang w:val="pt-BR"/>
              </w:rPr>
              <w:t>m</w:t>
            </w:r>
            <w:r w:rsidRPr="00A51C06">
              <w:rPr>
                <w:snapToGrid w:val="0"/>
                <w:color w:val="000000"/>
                <w:position w:val="4"/>
                <w:sz w:val="11"/>
                <w:szCs w:val="0"/>
                <w:u w:color="000000"/>
                <w:lang w:val="pt-BR"/>
              </w:rPr>
              <w:t>e</w:t>
            </w:r>
          </w:p>
        </w:tc>
        <w:tc>
          <w:tcPr>
            <w:tcW w:w="1807" w:type="dxa"/>
            <w:tcBorders>
              <w:top w:val="single" w:sz="4" w:space="0" w:color="auto"/>
            </w:tcBorders>
          </w:tcPr>
          <w:p w:rsidR="00D85FAC" w:rsidRDefault="00D85FAC" w:rsidP="00D85FAC">
            <w:pPr>
              <w:pStyle w:val="table1"/>
              <w:jc w:val="center"/>
            </w:pPr>
            <w:r w:rsidRPr="00F27847">
              <w:t>35 (29</w:t>
            </w:r>
            <w:r>
              <w:t>–</w:t>
            </w:r>
            <w:r w:rsidRPr="00F27847">
              <w:t>39)</w:t>
            </w:r>
            <w:r w:rsidRPr="00A51C06">
              <w:rPr>
                <w:snapToGrid w:val="0"/>
                <w:color w:val="000000"/>
                <w:position w:val="4"/>
                <w:sz w:val="11"/>
                <w:szCs w:val="0"/>
                <w:u w:color="000000"/>
              </w:rPr>
              <w:t>f</w:t>
            </w:r>
          </w:p>
        </w:tc>
        <w:tc>
          <w:tcPr>
            <w:tcW w:w="1807" w:type="dxa"/>
            <w:tcBorders>
              <w:top w:val="single" w:sz="4" w:space="0" w:color="auto"/>
            </w:tcBorders>
          </w:tcPr>
          <w:p w:rsidR="00D85FAC" w:rsidRDefault="00D85FAC" w:rsidP="00D85FAC">
            <w:pPr>
              <w:pStyle w:val="table1"/>
              <w:jc w:val="center"/>
            </w:pPr>
            <w:r w:rsidRPr="00F27847">
              <w:t>60 (40</w:t>
            </w:r>
            <w:r>
              <w:t>–</w:t>
            </w:r>
            <w:r w:rsidRPr="00F27847">
              <w:t>70)</w:t>
            </w:r>
          </w:p>
        </w:tc>
        <w:tc>
          <w:tcPr>
            <w:tcW w:w="1807" w:type="dxa"/>
            <w:tcBorders>
              <w:top w:val="single" w:sz="4" w:space="0" w:color="auto"/>
            </w:tcBorders>
          </w:tcPr>
          <w:p w:rsidR="00D85FAC" w:rsidRDefault="00D85FAC" w:rsidP="00D85FAC">
            <w:pPr>
              <w:pStyle w:val="table1"/>
              <w:jc w:val="center"/>
            </w:pPr>
            <w:r w:rsidRPr="00F27847">
              <w:t>119 (91</w:t>
            </w:r>
            <w:r>
              <w:t>–</w:t>
            </w:r>
            <w:r w:rsidRPr="00F27847">
              <w:t>138)</w:t>
            </w:r>
          </w:p>
        </w:tc>
        <w:tc>
          <w:tcPr>
            <w:tcW w:w="1808" w:type="dxa"/>
            <w:tcBorders>
              <w:top w:val="single" w:sz="4" w:space="0" w:color="auto"/>
            </w:tcBorders>
          </w:tcPr>
          <w:p w:rsidR="00D85FAC" w:rsidRDefault="00D85FAC" w:rsidP="00D85FAC">
            <w:pPr>
              <w:pStyle w:val="table1"/>
              <w:jc w:val="center"/>
            </w:pPr>
            <w:r w:rsidRPr="00F27847">
              <w:t>226 (205</w:t>
            </w:r>
            <w:r>
              <w:t>–</w:t>
            </w:r>
            <w:r w:rsidRPr="00F27847">
              <w:t>240)</w:t>
            </w:r>
          </w:p>
        </w:tc>
      </w:tr>
      <w:tr w:rsidR="00D85FAC" w:rsidRPr="00F76E4C" w:rsidTr="00D85FAC">
        <w:tc>
          <w:tcPr>
            <w:tcW w:w="1526" w:type="dxa"/>
          </w:tcPr>
          <w:p w:rsidR="00D85FAC" w:rsidRDefault="00D85FAC" w:rsidP="00D85FAC">
            <w:pPr>
              <w:pStyle w:val="table1"/>
              <w:rPr>
                <w:lang w:val="pt-BR"/>
              </w:rPr>
            </w:pPr>
          </w:p>
        </w:tc>
        <w:tc>
          <w:tcPr>
            <w:tcW w:w="1984" w:type="dxa"/>
          </w:tcPr>
          <w:p w:rsidR="00D85FAC" w:rsidRDefault="00D85FAC" w:rsidP="00D85FAC">
            <w:pPr>
              <w:pStyle w:val="table1"/>
              <w:rPr>
                <w:lang w:val="pt-BR"/>
              </w:rPr>
            </w:pPr>
          </w:p>
        </w:tc>
        <w:tc>
          <w:tcPr>
            <w:tcW w:w="993" w:type="dxa"/>
          </w:tcPr>
          <w:p w:rsidR="00D85FAC" w:rsidRDefault="00D85FAC" w:rsidP="00D85FAC">
            <w:pPr>
              <w:pStyle w:val="table1"/>
              <w:rPr>
                <w:lang w:val="pt-BR"/>
              </w:rPr>
            </w:pPr>
            <w:r w:rsidRPr="00F27847">
              <w:rPr>
                <w:lang w:val="pt-BR"/>
              </w:rPr>
              <w:t>Total</w:t>
            </w:r>
            <w:r w:rsidRPr="00A51C06">
              <w:rPr>
                <w:snapToGrid w:val="0"/>
                <w:color w:val="000000"/>
                <w:position w:val="4"/>
                <w:sz w:val="11"/>
                <w:szCs w:val="0"/>
                <w:u w:color="000000"/>
                <w:lang w:val="pt-BR"/>
              </w:rPr>
              <w:t>g</w:t>
            </w:r>
          </w:p>
        </w:tc>
        <w:tc>
          <w:tcPr>
            <w:tcW w:w="1807" w:type="dxa"/>
          </w:tcPr>
          <w:p w:rsidR="00D85FAC" w:rsidRDefault="00D85FAC" w:rsidP="00D85FAC">
            <w:pPr>
              <w:pStyle w:val="table1"/>
              <w:jc w:val="center"/>
            </w:pPr>
            <w:r w:rsidRPr="00F27847">
              <w:t>56 (38</w:t>
            </w:r>
            <w:r>
              <w:t>–</w:t>
            </w:r>
            <w:r w:rsidRPr="00F27847">
              <w:t>76)</w:t>
            </w:r>
          </w:p>
        </w:tc>
        <w:tc>
          <w:tcPr>
            <w:tcW w:w="1807" w:type="dxa"/>
          </w:tcPr>
          <w:p w:rsidR="00D85FAC" w:rsidRDefault="00D85FAC" w:rsidP="00D85FAC">
            <w:pPr>
              <w:pStyle w:val="table1"/>
              <w:jc w:val="center"/>
            </w:pPr>
            <w:r w:rsidRPr="00F27847">
              <w:t>90 (60</w:t>
            </w:r>
            <w:r>
              <w:t>–</w:t>
            </w:r>
            <w:r w:rsidRPr="00F27847">
              <w:t>120)</w:t>
            </w:r>
          </w:p>
        </w:tc>
        <w:tc>
          <w:tcPr>
            <w:tcW w:w="1807" w:type="dxa"/>
          </w:tcPr>
          <w:p w:rsidR="00D85FAC" w:rsidRDefault="00D85FAC" w:rsidP="00D85FAC">
            <w:pPr>
              <w:pStyle w:val="table1"/>
              <w:jc w:val="center"/>
            </w:pPr>
            <w:r w:rsidRPr="00F27847">
              <w:t>173 (110</w:t>
            </w:r>
            <w:r>
              <w:t>–</w:t>
            </w:r>
            <w:r w:rsidRPr="00F27847">
              <w:t>262)</w:t>
            </w:r>
          </w:p>
        </w:tc>
        <w:tc>
          <w:tcPr>
            <w:tcW w:w="1808" w:type="dxa"/>
          </w:tcPr>
          <w:p w:rsidR="00D85FAC" w:rsidRDefault="00D85FAC" w:rsidP="00D85FAC">
            <w:pPr>
              <w:pStyle w:val="table1"/>
              <w:jc w:val="center"/>
            </w:pPr>
            <w:r w:rsidRPr="00F27847">
              <w:t>208 (100</w:t>
            </w:r>
            <w:r>
              <w:t>–</w:t>
            </w:r>
            <w:r w:rsidRPr="00F27847">
              <w:t>344)</w:t>
            </w:r>
          </w:p>
        </w:tc>
      </w:tr>
      <w:tr w:rsidR="00D85FAC" w:rsidRPr="00F76E4C" w:rsidTr="00D85FAC">
        <w:trPr>
          <w:trHeight w:val="406"/>
        </w:trPr>
        <w:tc>
          <w:tcPr>
            <w:tcW w:w="1526" w:type="dxa"/>
          </w:tcPr>
          <w:p w:rsidR="00D85FAC" w:rsidRDefault="00D85FAC" w:rsidP="00D85FAC">
            <w:pPr>
              <w:pStyle w:val="table1"/>
              <w:rPr>
                <w:lang w:val="pt-BR"/>
              </w:rPr>
            </w:pPr>
          </w:p>
        </w:tc>
        <w:tc>
          <w:tcPr>
            <w:tcW w:w="1984" w:type="dxa"/>
          </w:tcPr>
          <w:p w:rsidR="00D85FAC" w:rsidRDefault="00D85FAC" w:rsidP="00D85FAC">
            <w:pPr>
              <w:pStyle w:val="table1"/>
            </w:pPr>
            <w:r w:rsidRPr="00FB3DB1">
              <w:rPr>
                <w:i/>
                <w:lang w:val="pt-BR"/>
              </w:rPr>
              <w:t>Chlorella</w:t>
            </w:r>
            <w:r w:rsidRPr="00F27847">
              <w:rPr>
                <w:lang w:val="pt-BR"/>
              </w:rPr>
              <w:t xml:space="preserve"> sp</w:t>
            </w:r>
          </w:p>
        </w:tc>
        <w:tc>
          <w:tcPr>
            <w:tcW w:w="993" w:type="dxa"/>
          </w:tcPr>
          <w:p w:rsidR="00D85FAC" w:rsidRDefault="00D85FAC" w:rsidP="00D85FAC">
            <w:pPr>
              <w:pStyle w:val="table1"/>
              <w:rPr>
                <w:lang w:val="pt-BR"/>
              </w:rPr>
            </w:pPr>
            <w:r w:rsidRPr="00F27847">
              <w:rPr>
                <w:lang w:val="pt-BR"/>
              </w:rPr>
              <w:t xml:space="preserve">0.10 </w:t>
            </w:r>
            <w:r w:rsidRPr="00F27847">
              <w:rPr>
                <w:rFonts w:cs="Times"/>
                <w:lang w:val="pt-BR"/>
              </w:rPr>
              <w:t>µ</w:t>
            </w:r>
            <w:r w:rsidRPr="00F27847">
              <w:rPr>
                <w:lang w:val="pt-BR"/>
              </w:rPr>
              <w:t>m</w:t>
            </w:r>
          </w:p>
        </w:tc>
        <w:tc>
          <w:tcPr>
            <w:tcW w:w="1807" w:type="dxa"/>
          </w:tcPr>
          <w:p w:rsidR="00D85FAC" w:rsidRDefault="00D85FAC" w:rsidP="00D85FAC">
            <w:pPr>
              <w:pStyle w:val="table1"/>
              <w:jc w:val="center"/>
            </w:pPr>
            <w:r w:rsidRPr="00F27847">
              <w:t>167 (108</w:t>
            </w:r>
            <w:r>
              <w:t>–</w:t>
            </w:r>
            <w:r w:rsidRPr="00F27847">
              <w:t>235)</w:t>
            </w:r>
          </w:p>
        </w:tc>
        <w:tc>
          <w:tcPr>
            <w:tcW w:w="1807" w:type="dxa"/>
          </w:tcPr>
          <w:p w:rsidR="00D85FAC" w:rsidRDefault="00D85FAC" w:rsidP="00D85FAC">
            <w:pPr>
              <w:pStyle w:val="table1"/>
              <w:jc w:val="center"/>
            </w:pPr>
            <w:r w:rsidRPr="00F27847">
              <w:t>320 (287</w:t>
            </w:r>
            <w:r>
              <w:t>–</w:t>
            </w:r>
            <w:r w:rsidRPr="00F27847">
              <w:t>350)</w:t>
            </w:r>
          </w:p>
        </w:tc>
        <w:tc>
          <w:tcPr>
            <w:tcW w:w="1807" w:type="dxa"/>
          </w:tcPr>
          <w:p w:rsidR="00D85FAC" w:rsidRDefault="00D85FAC" w:rsidP="00D85FAC">
            <w:pPr>
              <w:pStyle w:val="table1"/>
              <w:jc w:val="center"/>
            </w:pPr>
            <w:r w:rsidRPr="00F27847">
              <w:t>482 (427</w:t>
            </w:r>
            <w:r>
              <w:t>–</w:t>
            </w:r>
            <w:r w:rsidRPr="00F27847">
              <w:t>537)</w:t>
            </w:r>
          </w:p>
        </w:tc>
        <w:tc>
          <w:tcPr>
            <w:tcW w:w="1808" w:type="dxa"/>
          </w:tcPr>
          <w:p w:rsidR="00D85FAC" w:rsidRDefault="00D85FAC" w:rsidP="00D85FAC">
            <w:pPr>
              <w:pStyle w:val="table1"/>
              <w:jc w:val="center"/>
            </w:pPr>
            <w:r w:rsidRPr="00F27847">
              <w:t>588 (525</w:t>
            </w:r>
            <w:r>
              <w:t>–</w:t>
            </w:r>
            <w:r w:rsidRPr="00F27847">
              <w:t>630)</w:t>
            </w:r>
          </w:p>
        </w:tc>
      </w:tr>
      <w:tr w:rsidR="00D85FAC" w:rsidRPr="00F76E4C" w:rsidTr="00D85FAC">
        <w:tc>
          <w:tcPr>
            <w:tcW w:w="1526" w:type="dxa"/>
          </w:tcPr>
          <w:p w:rsidR="00D85FAC" w:rsidRDefault="00D85FAC" w:rsidP="00D85FAC">
            <w:pPr>
              <w:pStyle w:val="table1"/>
              <w:rPr>
                <w:lang w:val="pt-BR"/>
              </w:rPr>
            </w:pPr>
          </w:p>
        </w:tc>
        <w:tc>
          <w:tcPr>
            <w:tcW w:w="1984" w:type="dxa"/>
          </w:tcPr>
          <w:p w:rsidR="00D85FAC" w:rsidRDefault="00D85FAC" w:rsidP="00D85FAC">
            <w:pPr>
              <w:pStyle w:val="table1"/>
              <w:rPr>
                <w:lang w:val="pt-BR"/>
              </w:rPr>
            </w:pPr>
          </w:p>
        </w:tc>
        <w:tc>
          <w:tcPr>
            <w:tcW w:w="993" w:type="dxa"/>
          </w:tcPr>
          <w:p w:rsidR="00D85FAC" w:rsidRDefault="00D85FAC" w:rsidP="00D85FAC">
            <w:pPr>
              <w:pStyle w:val="table1"/>
              <w:rPr>
                <w:lang w:val="pt-BR"/>
              </w:rPr>
            </w:pPr>
            <w:r w:rsidRPr="00F27847">
              <w:rPr>
                <w:lang w:val="pt-BR"/>
              </w:rPr>
              <w:t>Total</w:t>
            </w:r>
          </w:p>
        </w:tc>
        <w:tc>
          <w:tcPr>
            <w:tcW w:w="1807" w:type="dxa"/>
          </w:tcPr>
          <w:p w:rsidR="00D85FAC" w:rsidRDefault="00D85FAC" w:rsidP="00D85FAC">
            <w:pPr>
              <w:pStyle w:val="table1"/>
              <w:jc w:val="center"/>
            </w:pPr>
            <w:r w:rsidRPr="00F27847">
              <w:t>275 (190</w:t>
            </w:r>
            <w:r>
              <w:t>–</w:t>
            </w:r>
            <w:r w:rsidRPr="00F27847">
              <w:t>380)</w:t>
            </w:r>
          </w:p>
        </w:tc>
        <w:tc>
          <w:tcPr>
            <w:tcW w:w="1807" w:type="dxa"/>
          </w:tcPr>
          <w:p w:rsidR="00D85FAC" w:rsidRDefault="00D85FAC" w:rsidP="00D85FAC">
            <w:pPr>
              <w:pStyle w:val="table1"/>
              <w:jc w:val="center"/>
            </w:pPr>
            <w:r w:rsidRPr="00F27847">
              <w:t>613 (513</w:t>
            </w:r>
            <w:r>
              <w:t>–</w:t>
            </w:r>
            <w:r w:rsidRPr="00F27847">
              <w:t>700)</w:t>
            </w:r>
          </w:p>
        </w:tc>
        <w:tc>
          <w:tcPr>
            <w:tcW w:w="1807" w:type="dxa"/>
          </w:tcPr>
          <w:p w:rsidR="00D85FAC" w:rsidRDefault="00D85FAC" w:rsidP="00D85FAC">
            <w:pPr>
              <w:pStyle w:val="table1"/>
              <w:jc w:val="center"/>
            </w:pPr>
            <w:r w:rsidRPr="00F27847">
              <w:t>1342 (1180</w:t>
            </w:r>
            <w:r>
              <w:t>–</w:t>
            </w:r>
            <w:r w:rsidRPr="00F27847">
              <w:t>1490)</w:t>
            </w:r>
          </w:p>
        </w:tc>
        <w:tc>
          <w:tcPr>
            <w:tcW w:w="1808" w:type="dxa"/>
          </w:tcPr>
          <w:p w:rsidR="00D85FAC" w:rsidRDefault="00D85FAC" w:rsidP="00D85FAC">
            <w:pPr>
              <w:pStyle w:val="table1"/>
              <w:jc w:val="center"/>
            </w:pPr>
            <w:r w:rsidRPr="00F27847">
              <w:t>2076 (1752</w:t>
            </w:r>
            <w:r>
              <w:t>–</w:t>
            </w:r>
            <w:r w:rsidRPr="00F27847">
              <w:t>2515)</w:t>
            </w:r>
          </w:p>
        </w:tc>
      </w:tr>
      <w:tr w:rsidR="00D85FAC" w:rsidRPr="00F76E4C" w:rsidTr="00D85FAC">
        <w:trPr>
          <w:trHeight w:val="453"/>
        </w:trPr>
        <w:tc>
          <w:tcPr>
            <w:tcW w:w="1526" w:type="dxa"/>
          </w:tcPr>
          <w:p w:rsidR="00D85FAC" w:rsidRDefault="00D85FAC" w:rsidP="00D85FAC">
            <w:pPr>
              <w:pStyle w:val="table1"/>
              <w:rPr>
                <w:lang w:val="pt-BR"/>
              </w:rPr>
            </w:pPr>
          </w:p>
        </w:tc>
        <w:tc>
          <w:tcPr>
            <w:tcW w:w="1984" w:type="dxa"/>
          </w:tcPr>
          <w:p w:rsidR="00D85FAC" w:rsidRDefault="00D85FAC" w:rsidP="00D85FAC">
            <w:pPr>
              <w:pStyle w:val="table1"/>
              <w:rPr>
                <w:i/>
              </w:rPr>
            </w:pPr>
            <w:r w:rsidRPr="00FB3DB1">
              <w:rPr>
                <w:i/>
              </w:rPr>
              <w:t>Moinodaphnia macleayi</w:t>
            </w:r>
          </w:p>
        </w:tc>
        <w:tc>
          <w:tcPr>
            <w:tcW w:w="993" w:type="dxa"/>
          </w:tcPr>
          <w:p w:rsidR="00D85FAC" w:rsidRDefault="00D85FAC" w:rsidP="00D85FAC">
            <w:pPr>
              <w:pStyle w:val="table1"/>
            </w:pPr>
            <w:r w:rsidRPr="00F27847">
              <w:rPr>
                <w:lang w:val="pt-BR"/>
              </w:rPr>
              <w:t xml:space="preserve">0.10 </w:t>
            </w:r>
            <w:r w:rsidRPr="00F27847">
              <w:rPr>
                <w:rFonts w:cs="Times"/>
                <w:lang w:val="pt-BR"/>
              </w:rPr>
              <w:t>µ</w:t>
            </w:r>
            <w:r w:rsidRPr="00F27847">
              <w:rPr>
                <w:lang w:val="pt-BR"/>
              </w:rPr>
              <w:t>m</w:t>
            </w:r>
          </w:p>
        </w:tc>
        <w:tc>
          <w:tcPr>
            <w:tcW w:w="1807" w:type="dxa"/>
          </w:tcPr>
          <w:p w:rsidR="00D85FAC" w:rsidRDefault="00D85FAC" w:rsidP="00D85FAC">
            <w:pPr>
              <w:pStyle w:val="table1"/>
              <w:jc w:val="center"/>
            </w:pPr>
            <w:r w:rsidRPr="00F27847">
              <w:t>78 (61</w:t>
            </w:r>
            <w:r>
              <w:t>–</w:t>
            </w:r>
            <w:r w:rsidRPr="00F27847">
              <w:t>100)</w:t>
            </w:r>
          </w:p>
        </w:tc>
        <w:tc>
          <w:tcPr>
            <w:tcW w:w="1807" w:type="dxa"/>
          </w:tcPr>
          <w:p w:rsidR="00D85FAC" w:rsidRDefault="00D85FAC" w:rsidP="00D85FAC">
            <w:pPr>
              <w:pStyle w:val="table1"/>
              <w:jc w:val="center"/>
            </w:pPr>
            <w:r w:rsidRPr="00F27847">
              <w:t>244 (218</w:t>
            </w:r>
            <w:r>
              <w:t>–</w:t>
            </w:r>
            <w:r w:rsidRPr="00F27847">
              <w:t>273)</w:t>
            </w:r>
          </w:p>
        </w:tc>
        <w:tc>
          <w:tcPr>
            <w:tcW w:w="1807" w:type="dxa"/>
          </w:tcPr>
          <w:p w:rsidR="00D85FAC" w:rsidRDefault="00D85FAC" w:rsidP="00D85FAC">
            <w:pPr>
              <w:pStyle w:val="table1"/>
              <w:jc w:val="center"/>
            </w:pPr>
            <w:r w:rsidRPr="00F27847">
              <w:t>332 (299</w:t>
            </w:r>
            <w:r>
              <w:t>–</w:t>
            </w:r>
            <w:r w:rsidRPr="00F27847">
              <w:t>388)</w:t>
            </w:r>
          </w:p>
        </w:tc>
        <w:tc>
          <w:tcPr>
            <w:tcW w:w="1808" w:type="dxa"/>
          </w:tcPr>
          <w:p w:rsidR="00D85FAC" w:rsidRDefault="00D85FAC" w:rsidP="00D85FAC">
            <w:pPr>
              <w:pStyle w:val="table1"/>
              <w:jc w:val="center"/>
            </w:pPr>
            <w:r w:rsidRPr="00F27847">
              <w:t>NC</w:t>
            </w:r>
          </w:p>
        </w:tc>
      </w:tr>
      <w:tr w:rsidR="00D85FAC" w:rsidRPr="00F76E4C" w:rsidTr="00D85FAC">
        <w:tc>
          <w:tcPr>
            <w:tcW w:w="1526" w:type="dxa"/>
            <w:tcBorders>
              <w:bottom w:val="single" w:sz="4" w:space="0" w:color="auto"/>
            </w:tcBorders>
          </w:tcPr>
          <w:p w:rsidR="00D85FAC" w:rsidRDefault="00D85FAC" w:rsidP="00D85FAC">
            <w:pPr>
              <w:pStyle w:val="table1"/>
              <w:rPr>
                <w:lang w:val="pt-BR"/>
              </w:rPr>
            </w:pPr>
          </w:p>
        </w:tc>
        <w:tc>
          <w:tcPr>
            <w:tcW w:w="1984" w:type="dxa"/>
            <w:tcBorders>
              <w:bottom w:val="single" w:sz="4" w:space="0" w:color="auto"/>
            </w:tcBorders>
          </w:tcPr>
          <w:p w:rsidR="00D85FAC" w:rsidRDefault="00D85FAC" w:rsidP="00D85FAC">
            <w:pPr>
              <w:pStyle w:val="table1"/>
            </w:pPr>
          </w:p>
        </w:tc>
        <w:tc>
          <w:tcPr>
            <w:tcW w:w="993" w:type="dxa"/>
            <w:tcBorders>
              <w:bottom w:val="single" w:sz="4" w:space="0" w:color="auto"/>
            </w:tcBorders>
          </w:tcPr>
          <w:p w:rsidR="00D85FAC" w:rsidRDefault="00D85FAC" w:rsidP="00D85FAC">
            <w:pPr>
              <w:pStyle w:val="table1"/>
            </w:pPr>
            <w:r w:rsidRPr="00F27847">
              <w:t>Total</w:t>
            </w:r>
          </w:p>
        </w:tc>
        <w:tc>
          <w:tcPr>
            <w:tcW w:w="1807" w:type="dxa"/>
            <w:tcBorders>
              <w:bottom w:val="single" w:sz="4" w:space="0" w:color="auto"/>
            </w:tcBorders>
          </w:tcPr>
          <w:p w:rsidR="00D85FAC" w:rsidRDefault="00D85FAC" w:rsidP="00D85FAC">
            <w:pPr>
              <w:pStyle w:val="table1"/>
              <w:jc w:val="center"/>
            </w:pPr>
            <w:r w:rsidRPr="00F27847">
              <w:t>160 (123</w:t>
            </w:r>
            <w:r>
              <w:t>–</w:t>
            </w:r>
            <w:r w:rsidRPr="00F27847">
              <w:t>200)</w:t>
            </w:r>
          </w:p>
        </w:tc>
        <w:tc>
          <w:tcPr>
            <w:tcW w:w="1807" w:type="dxa"/>
            <w:tcBorders>
              <w:bottom w:val="single" w:sz="4" w:space="0" w:color="auto"/>
            </w:tcBorders>
          </w:tcPr>
          <w:p w:rsidR="00D85FAC" w:rsidRDefault="00D85FAC" w:rsidP="00D85FAC">
            <w:pPr>
              <w:pStyle w:val="table1"/>
              <w:jc w:val="center"/>
            </w:pPr>
            <w:r w:rsidRPr="00F27847">
              <w:t>690 (610</w:t>
            </w:r>
            <w:r>
              <w:t>–</w:t>
            </w:r>
            <w:r w:rsidRPr="00F27847">
              <w:t>760)</w:t>
            </w:r>
          </w:p>
        </w:tc>
        <w:tc>
          <w:tcPr>
            <w:tcW w:w="1807" w:type="dxa"/>
            <w:tcBorders>
              <w:bottom w:val="single" w:sz="4" w:space="0" w:color="auto"/>
            </w:tcBorders>
          </w:tcPr>
          <w:p w:rsidR="00D85FAC" w:rsidRDefault="00D85FAC" w:rsidP="00D85FAC">
            <w:pPr>
              <w:pStyle w:val="table1"/>
              <w:jc w:val="center"/>
            </w:pPr>
            <w:r w:rsidRPr="00F27847">
              <w:t>1160 (970</w:t>
            </w:r>
            <w:r>
              <w:t>–</w:t>
            </w:r>
            <w:r w:rsidRPr="00F27847">
              <w:t>1390)</w:t>
            </w:r>
          </w:p>
        </w:tc>
        <w:tc>
          <w:tcPr>
            <w:tcW w:w="1808" w:type="dxa"/>
            <w:tcBorders>
              <w:bottom w:val="single" w:sz="4" w:space="0" w:color="auto"/>
            </w:tcBorders>
          </w:tcPr>
          <w:p w:rsidR="00D85FAC" w:rsidRDefault="00D85FAC" w:rsidP="00D85FAC">
            <w:pPr>
              <w:pStyle w:val="table1"/>
              <w:jc w:val="center"/>
            </w:pPr>
            <w:r w:rsidRPr="00F27847">
              <w:t>1580 (1280</w:t>
            </w:r>
            <w:r>
              <w:t>–</w:t>
            </w:r>
            <w:r w:rsidRPr="00F27847">
              <w:t>1930)</w:t>
            </w:r>
          </w:p>
        </w:tc>
      </w:tr>
      <w:tr w:rsidR="00D85FAC" w:rsidRPr="00F76E4C" w:rsidTr="00D85FAC">
        <w:trPr>
          <w:trHeight w:val="240"/>
        </w:trPr>
        <w:tc>
          <w:tcPr>
            <w:tcW w:w="1526" w:type="dxa"/>
            <w:tcBorders>
              <w:top w:val="single" w:sz="4" w:space="0" w:color="auto"/>
            </w:tcBorders>
          </w:tcPr>
          <w:p w:rsidR="00D85FAC" w:rsidRDefault="00D85FAC" w:rsidP="00D85FAC">
            <w:pPr>
              <w:pStyle w:val="table1"/>
              <w:rPr>
                <w:lang w:val="pt-BR"/>
              </w:rPr>
            </w:pPr>
            <w:r w:rsidRPr="00F27847">
              <w:rPr>
                <w:lang w:val="pt-BR"/>
              </w:rPr>
              <w:t>SBW</w:t>
            </w:r>
            <w:r w:rsidRPr="00A51C06">
              <w:rPr>
                <w:snapToGrid w:val="0"/>
                <w:color w:val="000000"/>
                <w:position w:val="4"/>
                <w:sz w:val="11"/>
                <w:szCs w:val="0"/>
                <w:u w:color="000000"/>
                <w:lang w:val="pt-BR"/>
              </w:rPr>
              <w:t>h</w:t>
            </w:r>
            <w:r w:rsidRPr="00F27847">
              <w:rPr>
                <w:lang w:val="pt-BR"/>
              </w:rPr>
              <w:t xml:space="preserve"> + SMCW</w:t>
            </w:r>
            <w:r w:rsidRPr="00A51C06">
              <w:rPr>
                <w:snapToGrid w:val="0"/>
                <w:color w:val="000000"/>
                <w:position w:val="4"/>
                <w:sz w:val="11"/>
                <w:szCs w:val="0"/>
                <w:u w:color="000000"/>
                <w:lang w:val="pt-BR"/>
              </w:rPr>
              <w:t>i</w:t>
            </w:r>
          </w:p>
        </w:tc>
        <w:tc>
          <w:tcPr>
            <w:tcW w:w="1984" w:type="dxa"/>
            <w:tcBorders>
              <w:top w:val="single" w:sz="4" w:space="0" w:color="auto"/>
            </w:tcBorders>
          </w:tcPr>
          <w:p w:rsidR="00D85FAC" w:rsidRDefault="00D85FAC" w:rsidP="00D85FAC">
            <w:pPr>
              <w:pStyle w:val="table1"/>
              <w:rPr>
                <w:i/>
              </w:rPr>
            </w:pPr>
            <w:r w:rsidRPr="00FB3DB1">
              <w:rPr>
                <w:i/>
                <w:lang w:val="pt-BR"/>
              </w:rPr>
              <w:t>Hydra viridissima</w:t>
            </w:r>
          </w:p>
        </w:tc>
        <w:tc>
          <w:tcPr>
            <w:tcW w:w="993" w:type="dxa"/>
            <w:tcBorders>
              <w:top w:val="single" w:sz="4" w:space="0" w:color="auto"/>
            </w:tcBorders>
          </w:tcPr>
          <w:p w:rsidR="00D85FAC" w:rsidRDefault="00D85FAC" w:rsidP="00D85FAC">
            <w:pPr>
              <w:pStyle w:val="table1"/>
              <w:rPr>
                <w:lang w:val="pt-BR"/>
              </w:rPr>
            </w:pPr>
            <w:r w:rsidRPr="00F27847">
              <w:rPr>
                <w:lang w:val="pt-BR"/>
              </w:rPr>
              <w:t xml:space="preserve">0.10 </w:t>
            </w:r>
            <w:r w:rsidRPr="00F27847">
              <w:rPr>
                <w:rFonts w:cs="Times"/>
                <w:lang w:val="pt-BR"/>
              </w:rPr>
              <w:t>µ</w:t>
            </w:r>
            <w:r w:rsidRPr="00F27847">
              <w:rPr>
                <w:lang w:val="pt-BR"/>
              </w:rPr>
              <w:t>m</w:t>
            </w:r>
          </w:p>
        </w:tc>
        <w:tc>
          <w:tcPr>
            <w:tcW w:w="1807" w:type="dxa"/>
            <w:tcBorders>
              <w:top w:val="single" w:sz="4" w:space="0" w:color="auto"/>
            </w:tcBorders>
          </w:tcPr>
          <w:p w:rsidR="00D85FAC" w:rsidRDefault="00D85FAC" w:rsidP="00D85FAC">
            <w:pPr>
              <w:pStyle w:val="table1"/>
              <w:jc w:val="center"/>
            </w:pPr>
            <w:r w:rsidRPr="00F27847">
              <w:t>40 (&lt;10</w:t>
            </w:r>
            <w:r>
              <w:t>–</w:t>
            </w:r>
            <w:r w:rsidRPr="00F27847">
              <w:t>86)</w:t>
            </w:r>
          </w:p>
        </w:tc>
        <w:tc>
          <w:tcPr>
            <w:tcW w:w="1807" w:type="dxa"/>
            <w:tcBorders>
              <w:top w:val="single" w:sz="4" w:space="0" w:color="auto"/>
            </w:tcBorders>
          </w:tcPr>
          <w:p w:rsidR="00D85FAC" w:rsidRDefault="00D85FAC" w:rsidP="00D85FAC">
            <w:pPr>
              <w:pStyle w:val="table1"/>
              <w:jc w:val="center"/>
            </w:pPr>
            <w:r w:rsidRPr="00F27847">
              <w:t>61 (49</w:t>
            </w:r>
            <w:r>
              <w:t>–</w:t>
            </w:r>
            <w:r w:rsidRPr="00F27847">
              <w:t>72)</w:t>
            </w:r>
          </w:p>
        </w:tc>
        <w:tc>
          <w:tcPr>
            <w:tcW w:w="1807" w:type="dxa"/>
            <w:tcBorders>
              <w:top w:val="single" w:sz="4" w:space="0" w:color="auto"/>
            </w:tcBorders>
          </w:tcPr>
          <w:p w:rsidR="00D85FAC" w:rsidRDefault="00D85FAC" w:rsidP="00D85FAC">
            <w:pPr>
              <w:pStyle w:val="table1"/>
              <w:jc w:val="center"/>
            </w:pPr>
            <w:r w:rsidRPr="00F27847">
              <w:t>69 (55</w:t>
            </w:r>
            <w:r>
              <w:t>–</w:t>
            </w:r>
            <w:r w:rsidRPr="00F27847">
              <w:t>82)</w:t>
            </w:r>
          </w:p>
        </w:tc>
        <w:tc>
          <w:tcPr>
            <w:tcW w:w="1808" w:type="dxa"/>
            <w:tcBorders>
              <w:top w:val="single" w:sz="4" w:space="0" w:color="auto"/>
            </w:tcBorders>
          </w:tcPr>
          <w:p w:rsidR="00D85FAC" w:rsidRDefault="00D85FAC" w:rsidP="00D85FAC">
            <w:pPr>
              <w:pStyle w:val="table1"/>
              <w:jc w:val="center"/>
            </w:pPr>
            <w:r w:rsidRPr="00F27847">
              <w:t>87 (67</w:t>
            </w:r>
            <w:r>
              <w:t>–</w:t>
            </w:r>
            <w:r w:rsidRPr="00F27847">
              <w:t>106)</w:t>
            </w:r>
          </w:p>
        </w:tc>
      </w:tr>
      <w:tr w:rsidR="00D85FAC" w:rsidRPr="00F76E4C" w:rsidTr="00D85FAC">
        <w:tc>
          <w:tcPr>
            <w:tcW w:w="1526" w:type="dxa"/>
          </w:tcPr>
          <w:p w:rsidR="00D85FAC" w:rsidRDefault="00D85FAC" w:rsidP="00D85FAC">
            <w:pPr>
              <w:pStyle w:val="table1"/>
              <w:rPr>
                <w:lang w:val="pt-BR"/>
              </w:rPr>
            </w:pPr>
          </w:p>
        </w:tc>
        <w:tc>
          <w:tcPr>
            <w:tcW w:w="1984" w:type="dxa"/>
          </w:tcPr>
          <w:p w:rsidR="00D85FAC" w:rsidRDefault="00D85FAC" w:rsidP="00D85FAC">
            <w:pPr>
              <w:pStyle w:val="table1"/>
              <w:rPr>
                <w:lang w:val="pt-BR"/>
              </w:rPr>
            </w:pPr>
          </w:p>
        </w:tc>
        <w:tc>
          <w:tcPr>
            <w:tcW w:w="993" w:type="dxa"/>
          </w:tcPr>
          <w:p w:rsidR="00D85FAC" w:rsidRDefault="00D85FAC" w:rsidP="00D85FAC">
            <w:pPr>
              <w:pStyle w:val="table1"/>
              <w:rPr>
                <w:lang w:val="pt-BR"/>
              </w:rPr>
            </w:pPr>
            <w:r w:rsidRPr="00F27847">
              <w:rPr>
                <w:lang w:val="pt-BR"/>
              </w:rPr>
              <w:t>Total</w:t>
            </w:r>
          </w:p>
        </w:tc>
        <w:tc>
          <w:tcPr>
            <w:tcW w:w="1807" w:type="dxa"/>
          </w:tcPr>
          <w:p w:rsidR="00D85FAC" w:rsidRDefault="00D85FAC" w:rsidP="00D85FAC">
            <w:pPr>
              <w:pStyle w:val="table1"/>
              <w:jc w:val="center"/>
            </w:pPr>
            <w:r w:rsidRPr="00F27847">
              <w:t>152 (65</w:t>
            </w:r>
            <w:r>
              <w:t>–</w:t>
            </w:r>
            <w:r w:rsidRPr="00F27847">
              <w:t>239)</w:t>
            </w:r>
          </w:p>
        </w:tc>
        <w:tc>
          <w:tcPr>
            <w:tcW w:w="1807" w:type="dxa"/>
          </w:tcPr>
          <w:p w:rsidR="00D85FAC" w:rsidRDefault="00D85FAC" w:rsidP="00D85FAC">
            <w:pPr>
              <w:pStyle w:val="table1"/>
              <w:jc w:val="center"/>
            </w:pPr>
            <w:r w:rsidRPr="00F27847">
              <w:t>166 (88</w:t>
            </w:r>
            <w:r>
              <w:t>–</w:t>
            </w:r>
            <w:r w:rsidRPr="00F27847">
              <w:t>244)</w:t>
            </w:r>
          </w:p>
        </w:tc>
        <w:tc>
          <w:tcPr>
            <w:tcW w:w="1807" w:type="dxa"/>
          </w:tcPr>
          <w:p w:rsidR="00D85FAC" w:rsidRDefault="00D85FAC" w:rsidP="00D85FAC">
            <w:pPr>
              <w:pStyle w:val="table1"/>
              <w:jc w:val="center"/>
            </w:pPr>
            <w:r w:rsidRPr="00F27847">
              <w:t>215 (21</w:t>
            </w:r>
            <w:r>
              <w:t>–</w:t>
            </w:r>
            <w:r w:rsidRPr="00F27847">
              <w:t>412)</w:t>
            </w:r>
          </w:p>
        </w:tc>
        <w:tc>
          <w:tcPr>
            <w:tcW w:w="1808" w:type="dxa"/>
          </w:tcPr>
          <w:p w:rsidR="00D85FAC" w:rsidRDefault="00D85FAC" w:rsidP="00D85FAC">
            <w:pPr>
              <w:pStyle w:val="table1"/>
              <w:jc w:val="center"/>
            </w:pPr>
            <w:r w:rsidRPr="00F27847">
              <w:t>243 (133</w:t>
            </w:r>
            <w:r>
              <w:t>–</w:t>
            </w:r>
            <w:r w:rsidRPr="00F27847">
              <w:t>406)</w:t>
            </w:r>
          </w:p>
        </w:tc>
      </w:tr>
      <w:tr w:rsidR="00D85FAC" w:rsidRPr="00F76E4C" w:rsidTr="00D85FAC">
        <w:trPr>
          <w:trHeight w:val="323"/>
        </w:trPr>
        <w:tc>
          <w:tcPr>
            <w:tcW w:w="1526" w:type="dxa"/>
          </w:tcPr>
          <w:p w:rsidR="00D85FAC" w:rsidRDefault="00D85FAC" w:rsidP="00D85FAC">
            <w:pPr>
              <w:pStyle w:val="table1"/>
              <w:rPr>
                <w:lang w:val="pt-BR"/>
              </w:rPr>
            </w:pPr>
          </w:p>
        </w:tc>
        <w:tc>
          <w:tcPr>
            <w:tcW w:w="1984" w:type="dxa"/>
          </w:tcPr>
          <w:p w:rsidR="00D85FAC" w:rsidRDefault="00D85FAC" w:rsidP="00D85FAC">
            <w:pPr>
              <w:pStyle w:val="table1"/>
            </w:pPr>
            <w:r w:rsidRPr="00FB3DB1">
              <w:rPr>
                <w:i/>
                <w:lang w:val="pt-BR"/>
              </w:rPr>
              <w:t>Chlorella</w:t>
            </w:r>
            <w:r w:rsidRPr="00F27847">
              <w:rPr>
                <w:lang w:val="pt-BR"/>
              </w:rPr>
              <w:t xml:space="preserve"> sp</w:t>
            </w:r>
          </w:p>
        </w:tc>
        <w:tc>
          <w:tcPr>
            <w:tcW w:w="993" w:type="dxa"/>
          </w:tcPr>
          <w:p w:rsidR="00D85FAC" w:rsidRDefault="00D85FAC" w:rsidP="00D85FAC">
            <w:pPr>
              <w:pStyle w:val="table1"/>
              <w:rPr>
                <w:lang w:val="pt-BR"/>
              </w:rPr>
            </w:pPr>
            <w:r w:rsidRPr="00F27847">
              <w:rPr>
                <w:lang w:val="pt-BR"/>
              </w:rPr>
              <w:t xml:space="preserve">0.10 </w:t>
            </w:r>
            <w:r w:rsidRPr="00F27847">
              <w:rPr>
                <w:rFonts w:cs="Times"/>
                <w:lang w:val="pt-BR"/>
              </w:rPr>
              <w:t>µ</w:t>
            </w:r>
            <w:r w:rsidRPr="00F27847">
              <w:rPr>
                <w:lang w:val="pt-BR"/>
              </w:rPr>
              <w:t>m</w:t>
            </w:r>
          </w:p>
        </w:tc>
        <w:tc>
          <w:tcPr>
            <w:tcW w:w="1807" w:type="dxa"/>
          </w:tcPr>
          <w:p w:rsidR="00D85FAC" w:rsidRDefault="00D85FAC" w:rsidP="00D85FAC">
            <w:pPr>
              <w:pStyle w:val="table1"/>
              <w:jc w:val="center"/>
            </w:pPr>
            <w:r w:rsidRPr="00F27847">
              <w:t>301 (195</w:t>
            </w:r>
            <w:r>
              <w:t>–</w:t>
            </w:r>
            <w:r w:rsidRPr="00F27847">
              <w:t>468)</w:t>
            </w:r>
          </w:p>
        </w:tc>
        <w:tc>
          <w:tcPr>
            <w:tcW w:w="1807" w:type="dxa"/>
          </w:tcPr>
          <w:p w:rsidR="00D85FAC" w:rsidRDefault="00D85FAC" w:rsidP="00D85FAC">
            <w:pPr>
              <w:pStyle w:val="table1"/>
              <w:jc w:val="center"/>
            </w:pPr>
            <w:r w:rsidRPr="00F27847">
              <w:t>282 (190</w:t>
            </w:r>
            <w:r>
              <w:t>–</w:t>
            </w:r>
            <w:r w:rsidRPr="00F27847">
              <w:t>418)</w:t>
            </w:r>
          </w:p>
        </w:tc>
        <w:tc>
          <w:tcPr>
            <w:tcW w:w="1807" w:type="dxa"/>
          </w:tcPr>
          <w:p w:rsidR="00D85FAC" w:rsidRDefault="00D85FAC" w:rsidP="00D85FAC">
            <w:pPr>
              <w:pStyle w:val="table1"/>
              <w:jc w:val="center"/>
            </w:pPr>
            <w:r w:rsidRPr="00F27847">
              <w:t>265 (247</w:t>
            </w:r>
            <w:r>
              <w:t>–</w:t>
            </w:r>
            <w:r w:rsidRPr="00F27847">
              <w:t>290)</w:t>
            </w:r>
          </w:p>
        </w:tc>
        <w:tc>
          <w:tcPr>
            <w:tcW w:w="1808" w:type="dxa"/>
          </w:tcPr>
          <w:p w:rsidR="00D85FAC" w:rsidRDefault="00D85FAC" w:rsidP="00D85FAC">
            <w:pPr>
              <w:pStyle w:val="table1"/>
              <w:jc w:val="center"/>
            </w:pPr>
            <w:r w:rsidRPr="00F27847">
              <w:t>363 (280</w:t>
            </w:r>
            <w:r>
              <w:t>–</w:t>
            </w:r>
            <w:r w:rsidRPr="00F27847">
              <w:t>480)</w:t>
            </w:r>
          </w:p>
        </w:tc>
      </w:tr>
      <w:tr w:rsidR="00D85FAC" w:rsidRPr="00F76E4C" w:rsidTr="00D85FAC">
        <w:tc>
          <w:tcPr>
            <w:tcW w:w="1526" w:type="dxa"/>
          </w:tcPr>
          <w:p w:rsidR="00D85FAC" w:rsidRDefault="00D85FAC" w:rsidP="00D85FAC">
            <w:pPr>
              <w:pStyle w:val="table1"/>
              <w:rPr>
                <w:lang w:val="pt-BR"/>
              </w:rPr>
            </w:pPr>
          </w:p>
        </w:tc>
        <w:tc>
          <w:tcPr>
            <w:tcW w:w="1984" w:type="dxa"/>
          </w:tcPr>
          <w:p w:rsidR="00D85FAC" w:rsidRDefault="00D85FAC" w:rsidP="00D85FAC">
            <w:pPr>
              <w:pStyle w:val="table1"/>
              <w:rPr>
                <w:lang w:val="pt-BR"/>
              </w:rPr>
            </w:pPr>
          </w:p>
        </w:tc>
        <w:tc>
          <w:tcPr>
            <w:tcW w:w="993" w:type="dxa"/>
          </w:tcPr>
          <w:p w:rsidR="00D85FAC" w:rsidRDefault="00D85FAC" w:rsidP="00D85FAC">
            <w:pPr>
              <w:pStyle w:val="table1"/>
              <w:rPr>
                <w:lang w:val="pt-BR"/>
              </w:rPr>
            </w:pPr>
            <w:r w:rsidRPr="00F27847">
              <w:rPr>
                <w:lang w:val="pt-BR"/>
              </w:rPr>
              <w:t>Total</w:t>
            </w:r>
          </w:p>
        </w:tc>
        <w:tc>
          <w:tcPr>
            <w:tcW w:w="1807" w:type="dxa"/>
          </w:tcPr>
          <w:p w:rsidR="00D85FAC" w:rsidRDefault="00D85FAC" w:rsidP="00D85FAC">
            <w:pPr>
              <w:pStyle w:val="table1"/>
              <w:jc w:val="center"/>
            </w:pPr>
            <w:r w:rsidRPr="00F27847">
              <w:t>437 (275</w:t>
            </w:r>
            <w:r>
              <w:t>–</w:t>
            </w:r>
            <w:r w:rsidRPr="00F27847">
              <w:t>595)</w:t>
            </w:r>
          </w:p>
        </w:tc>
        <w:tc>
          <w:tcPr>
            <w:tcW w:w="1807" w:type="dxa"/>
          </w:tcPr>
          <w:p w:rsidR="00D85FAC" w:rsidRDefault="00D85FAC" w:rsidP="00D85FAC">
            <w:pPr>
              <w:pStyle w:val="table1"/>
              <w:jc w:val="center"/>
            </w:pPr>
            <w:r w:rsidRPr="00F27847">
              <w:t>801 (520</w:t>
            </w:r>
            <w:r>
              <w:t>–</w:t>
            </w:r>
            <w:r w:rsidRPr="00F27847">
              <w:t>1077)</w:t>
            </w:r>
          </w:p>
        </w:tc>
        <w:tc>
          <w:tcPr>
            <w:tcW w:w="1807" w:type="dxa"/>
          </w:tcPr>
          <w:p w:rsidR="00D85FAC" w:rsidRDefault="00D85FAC" w:rsidP="00D85FAC">
            <w:pPr>
              <w:pStyle w:val="table1"/>
              <w:jc w:val="center"/>
            </w:pPr>
            <w:r w:rsidRPr="00F27847">
              <w:t>1251 (820</w:t>
            </w:r>
            <w:r>
              <w:t>–</w:t>
            </w:r>
            <w:r w:rsidRPr="00F27847">
              <w:t>1667)</w:t>
            </w:r>
          </w:p>
        </w:tc>
        <w:tc>
          <w:tcPr>
            <w:tcW w:w="1808" w:type="dxa"/>
          </w:tcPr>
          <w:p w:rsidR="00D85FAC" w:rsidRDefault="00D85FAC" w:rsidP="00D85FAC">
            <w:pPr>
              <w:pStyle w:val="table1"/>
              <w:jc w:val="center"/>
            </w:pPr>
            <w:r w:rsidRPr="00F27847">
              <w:t>1635 (1410</w:t>
            </w:r>
            <w:r>
              <w:t>–</w:t>
            </w:r>
            <w:r w:rsidRPr="00F27847">
              <w:t>1860)</w:t>
            </w:r>
          </w:p>
        </w:tc>
      </w:tr>
      <w:tr w:rsidR="00D85FAC" w:rsidRPr="00F76E4C" w:rsidTr="00D85FAC">
        <w:tc>
          <w:tcPr>
            <w:tcW w:w="1526" w:type="dxa"/>
          </w:tcPr>
          <w:p w:rsidR="00D85FAC" w:rsidRDefault="00D85FAC" w:rsidP="00D85FAC">
            <w:pPr>
              <w:pStyle w:val="table1"/>
              <w:rPr>
                <w:lang w:val="pt-BR"/>
              </w:rPr>
            </w:pPr>
          </w:p>
        </w:tc>
        <w:tc>
          <w:tcPr>
            <w:tcW w:w="1984" w:type="dxa"/>
          </w:tcPr>
          <w:p w:rsidR="00D85FAC" w:rsidRDefault="00D85FAC" w:rsidP="00D85FAC">
            <w:pPr>
              <w:pStyle w:val="table1"/>
              <w:rPr>
                <w:i/>
              </w:rPr>
            </w:pPr>
            <w:r w:rsidRPr="00FB3DB1">
              <w:rPr>
                <w:i/>
              </w:rPr>
              <w:t>Moinodaphnia macleayi</w:t>
            </w:r>
          </w:p>
        </w:tc>
        <w:tc>
          <w:tcPr>
            <w:tcW w:w="993" w:type="dxa"/>
          </w:tcPr>
          <w:p w:rsidR="00D85FAC" w:rsidRDefault="00D85FAC" w:rsidP="00D85FAC">
            <w:pPr>
              <w:pStyle w:val="table1"/>
            </w:pPr>
            <w:r w:rsidRPr="00F27847">
              <w:rPr>
                <w:lang w:val="pt-BR"/>
              </w:rPr>
              <w:t xml:space="preserve">0.10 </w:t>
            </w:r>
            <w:r w:rsidRPr="00F27847">
              <w:rPr>
                <w:rFonts w:cs="Times"/>
                <w:lang w:val="pt-BR"/>
              </w:rPr>
              <w:t>µ</w:t>
            </w:r>
            <w:r w:rsidRPr="00F27847">
              <w:rPr>
                <w:lang w:val="pt-BR"/>
              </w:rPr>
              <w:t>m</w:t>
            </w:r>
          </w:p>
        </w:tc>
        <w:tc>
          <w:tcPr>
            <w:tcW w:w="1807" w:type="dxa"/>
          </w:tcPr>
          <w:p w:rsidR="00D85FAC" w:rsidRDefault="00D85FAC" w:rsidP="00D85FAC">
            <w:pPr>
              <w:pStyle w:val="table1"/>
              <w:jc w:val="center"/>
            </w:pPr>
            <w:r w:rsidRPr="00F27847">
              <w:t>189 (182</w:t>
            </w:r>
            <w:r>
              <w:t>–</w:t>
            </w:r>
            <w:r w:rsidRPr="00F27847">
              <w:t>191)</w:t>
            </w:r>
          </w:p>
        </w:tc>
        <w:tc>
          <w:tcPr>
            <w:tcW w:w="1807" w:type="dxa"/>
          </w:tcPr>
          <w:p w:rsidR="00D85FAC" w:rsidRDefault="00D85FAC" w:rsidP="00D85FAC">
            <w:pPr>
              <w:pStyle w:val="table1"/>
              <w:jc w:val="center"/>
            </w:pPr>
            <w:r w:rsidRPr="00F27847">
              <w:t>199 (125</w:t>
            </w:r>
            <w:r>
              <w:t>–</w:t>
            </w:r>
            <w:r w:rsidRPr="00F27847">
              <w:t>310)</w:t>
            </w:r>
          </w:p>
        </w:tc>
        <w:tc>
          <w:tcPr>
            <w:tcW w:w="1807" w:type="dxa"/>
          </w:tcPr>
          <w:p w:rsidR="00D85FAC" w:rsidRDefault="00D85FAC" w:rsidP="00D85FAC">
            <w:pPr>
              <w:pStyle w:val="table1"/>
              <w:jc w:val="center"/>
            </w:pPr>
            <w:r w:rsidRPr="00F27847">
              <w:t>180 (137</w:t>
            </w:r>
            <w:r>
              <w:t>–</w:t>
            </w:r>
            <w:r w:rsidRPr="00F27847">
              <w:t>250)</w:t>
            </w:r>
          </w:p>
        </w:tc>
        <w:tc>
          <w:tcPr>
            <w:tcW w:w="1808" w:type="dxa"/>
          </w:tcPr>
          <w:p w:rsidR="00D85FAC" w:rsidRDefault="00D85FAC" w:rsidP="00D85FAC">
            <w:pPr>
              <w:pStyle w:val="table1"/>
              <w:jc w:val="center"/>
            </w:pPr>
            <w:r w:rsidRPr="00F27847">
              <w:t>234 (212</w:t>
            </w:r>
            <w:r>
              <w:t>–</w:t>
            </w:r>
            <w:r w:rsidRPr="00F27847">
              <w:t>257)</w:t>
            </w:r>
          </w:p>
        </w:tc>
      </w:tr>
      <w:tr w:rsidR="00D85FAC" w:rsidRPr="00F76E4C" w:rsidTr="00D85FAC">
        <w:tc>
          <w:tcPr>
            <w:tcW w:w="1526" w:type="dxa"/>
            <w:tcBorders>
              <w:bottom w:val="single" w:sz="4" w:space="0" w:color="auto"/>
            </w:tcBorders>
          </w:tcPr>
          <w:p w:rsidR="00D85FAC" w:rsidRDefault="00D85FAC" w:rsidP="00D85FAC">
            <w:pPr>
              <w:pStyle w:val="table1"/>
              <w:rPr>
                <w:lang w:val="pt-BR"/>
              </w:rPr>
            </w:pPr>
          </w:p>
        </w:tc>
        <w:tc>
          <w:tcPr>
            <w:tcW w:w="1984" w:type="dxa"/>
            <w:tcBorders>
              <w:bottom w:val="single" w:sz="4" w:space="0" w:color="auto"/>
            </w:tcBorders>
          </w:tcPr>
          <w:p w:rsidR="00D85FAC" w:rsidRDefault="00D85FAC" w:rsidP="00D85FAC">
            <w:pPr>
              <w:pStyle w:val="table1"/>
            </w:pPr>
          </w:p>
        </w:tc>
        <w:tc>
          <w:tcPr>
            <w:tcW w:w="993" w:type="dxa"/>
            <w:tcBorders>
              <w:bottom w:val="single" w:sz="4" w:space="0" w:color="auto"/>
            </w:tcBorders>
          </w:tcPr>
          <w:p w:rsidR="00D85FAC" w:rsidRDefault="00D85FAC" w:rsidP="00D85FAC">
            <w:pPr>
              <w:pStyle w:val="table1"/>
            </w:pPr>
            <w:r w:rsidRPr="00F27847">
              <w:t>Total</w:t>
            </w:r>
          </w:p>
        </w:tc>
        <w:tc>
          <w:tcPr>
            <w:tcW w:w="1807" w:type="dxa"/>
            <w:tcBorders>
              <w:bottom w:val="single" w:sz="4" w:space="0" w:color="auto"/>
            </w:tcBorders>
          </w:tcPr>
          <w:p w:rsidR="00D85FAC" w:rsidRDefault="00D85FAC" w:rsidP="00D85FAC">
            <w:pPr>
              <w:pStyle w:val="table1"/>
              <w:jc w:val="center"/>
            </w:pPr>
            <w:r w:rsidRPr="00F27847">
              <w:t>950 (940</w:t>
            </w:r>
            <w:r>
              <w:t>–</w:t>
            </w:r>
            <w:r w:rsidRPr="00F27847">
              <w:t>980)</w:t>
            </w:r>
          </w:p>
        </w:tc>
        <w:tc>
          <w:tcPr>
            <w:tcW w:w="1807" w:type="dxa"/>
            <w:tcBorders>
              <w:bottom w:val="single" w:sz="4" w:space="0" w:color="auto"/>
            </w:tcBorders>
          </w:tcPr>
          <w:p w:rsidR="00D85FAC" w:rsidRDefault="00D85FAC" w:rsidP="00D85FAC">
            <w:pPr>
              <w:pStyle w:val="table1"/>
              <w:jc w:val="center"/>
            </w:pPr>
            <w:r w:rsidRPr="00F27847">
              <w:t>910 (610</w:t>
            </w:r>
            <w:r>
              <w:t>–</w:t>
            </w:r>
            <w:r w:rsidRPr="00F27847">
              <w:t>1290)</w:t>
            </w:r>
          </w:p>
        </w:tc>
        <w:tc>
          <w:tcPr>
            <w:tcW w:w="1807" w:type="dxa"/>
            <w:tcBorders>
              <w:bottom w:val="single" w:sz="4" w:space="0" w:color="auto"/>
            </w:tcBorders>
          </w:tcPr>
          <w:p w:rsidR="00D85FAC" w:rsidRDefault="00D85FAC" w:rsidP="00D85FAC">
            <w:pPr>
              <w:pStyle w:val="table1"/>
              <w:jc w:val="center"/>
            </w:pPr>
            <w:r w:rsidRPr="00F27847">
              <w:t>1210 (870</w:t>
            </w:r>
            <w:r>
              <w:t>–</w:t>
            </w:r>
            <w:r w:rsidRPr="00F27847">
              <w:t>1510)</w:t>
            </w:r>
          </w:p>
        </w:tc>
        <w:tc>
          <w:tcPr>
            <w:tcW w:w="1808" w:type="dxa"/>
            <w:tcBorders>
              <w:bottom w:val="single" w:sz="4" w:space="0" w:color="auto"/>
            </w:tcBorders>
          </w:tcPr>
          <w:p w:rsidR="00D85FAC" w:rsidRDefault="00D85FAC" w:rsidP="00D85FAC">
            <w:pPr>
              <w:pStyle w:val="table1"/>
              <w:jc w:val="center"/>
            </w:pPr>
            <w:r w:rsidRPr="00F27847">
              <w:t>2110 (2080</w:t>
            </w:r>
            <w:r>
              <w:t>–</w:t>
            </w:r>
            <w:r w:rsidRPr="00F27847">
              <w:t>2140)</w:t>
            </w:r>
          </w:p>
        </w:tc>
      </w:tr>
    </w:tbl>
    <w:p w:rsidR="00D85FAC" w:rsidRDefault="00D85FAC" w:rsidP="00D85FAC">
      <w:pPr>
        <w:pStyle w:val="tablenote"/>
        <w:ind w:right="2334"/>
      </w:pPr>
      <w:r w:rsidRPr="007C43F6">
        <w:rPr>
          <w:rFonts w:ascii="Times New (W1)" w:hAnsi="Times New (W1)"/>
          <w:vertAlign w:val="superscript"/>
        </w:rPr>
        <w:t>a</w:t>
      </w:r>
      <w:r w:rsidRPr="007C43F6">
        <w:t xml:space="preserve"> LC</w:t>
      </w:r>
      <w:r w:rsidRPr="007C43F6">
        <w:rPr>
          <w:rFonts w:ascii="Times New (W1)" w:hAnsi="Times New (W1)"/>
          <w:snapToGrid w:val="0"/>
          <w:color w:val="000000"/>
          <w:position w:val="-3"/>
          <w:u w:color="000000"/>
          <w:vertAlign w:val="subscript"/>
        </w:rPr>
        <w:t>50</w:t>
      </w:r>
      <w:r w:rsidRPr="007C43F6">
        <w:t xml:space="preserve">: the concentration that results in 50% mortality (for </w:t>
      </w:r>
      <w:r w:rsidRPr="007C43F6">
        <w:rPr>
          <w:i/>
        </w:rPr>
        <w:t>M. macleayi</w:t>
      </w:r>
      <w:r w:rsidRPr="007C43F6">
        <w:t>), IC</w:t>
      </w:r>
      <w:r w:rsidRPr="007C43F6">
        <w:rPr>
          <w:vertAlign w:val="subscript"/>
        </w:rPr>
        <w:t>50</w:t>
      </w:r>
      <w:r w:rsidRPr="007C43F6">
        <w:t xml:space="preserve">: the concentration that results in 50% inhibition of the test response relative to the control response (for </w:t>
      </w:r>
      <w:r w:rsidRPr="007C43F6">
        <w:rPr>
          <w:i/>
        </w:rPr>
        <w:t>H. viridissima</w:t>
      </w:r>
      <w:r w:rsidRPr="007C43F6">
        <w:t xml:space="preserve"> and </w:t>
      </w:r>
      <w:r w:rsidRPr="007C43F6">
        <w:rPr>
          <w:i/>
        </w:rPr>
        <w:t>Chlorella</w:t>
      </w:r>
      <w:r w:rsidRPr="007C43F6">
        <w:t xml:space="preserve"> sp.); </w:t>
      </w:r>
      <w:r w:rsidRPr="007C43F6">
        <w:rPr>
          <w:rFonts w:ascii="Times New (W1)" w:hAnsi="Times New (W1)"/>
          <w:vertAlign w:val="superscript"/>
        </w:rPr>
        <w:t>b</w:t>
      </w:r>
      <w:r w:rsidRPr="007C43F6">
        <w:t xml:space="preserve"> DOC: dissolved organic carbon;</w:t>
      </w:r>
      <w:r>
        <w:t xml:space="preserve"> </w:t>
      </w:r>
      <w:r w:rsidRPr="007C43F6">
        <w:rPr>
          <w:snapToGrid w:val="0"/>
          <w:color w:val="000000"/>
          <w:position w:val="4"/>
          <w:sz w:val="11"/>
          <w:szCs w:val="0"/>
          <w:u w:color="000000"/>
        </w:rPr>
        <w:t>c</w:t>
      </w:r>
      <w:r w:rsidRPr="007C43F6">
        <w:t xml:space="preserve"> SRFA: Suwannee River fulvic acid; </w:t>
      </w:r>
      <w:r w:rsidRPr="007C43F6">
        <w:rPr>
          <w:snapToGrid w:val="0"/>
          <w:color w:val="000000"/>
          <w:position w:val="4"/>
          <w:sz w:val="11"/>
          <w:szCs w:val="0"/>
          <w:u w:color="000000"/>
        </w:rPr>
        <w:t>d</w:t>
      </w:r>
      <w:r>
        <w:t xml:space="preserve"> </w:t>
      </w:r>
      <w:r w:rsidRPr="007C43F6">
        <w:t xml:space="preserve">DMCW: dilute Magela Creek water; </w:t>
      </w:r>
      <w:r w:rsidRPr="007C43F6">
        <w:rPr>
          <w:vertAlign w:val="superscript"/>
        </w:rPr>
        <w:t>e</w:t>
      </w:r>
      <w:r w:rsidRPr="007C43F6">
        <w:t xml:space="preserve"> 0.10 </w:t>
      </w:r>
      <w:r w:rsidRPr="007C43F6">
        <w:rPr>
          <w:rFonts w:cs="Times"/>
        </w:rPr>
        <w:t>µ</w:t>
      </w:r>
      <w:r w:rsidRPr="007C43F6">
        <w:t xml:space="preserve">m filtered Al concentrations; </w:t>
      </w:r>
      <w:r w:rsidRPr="007C43F6">
        <w:rPr>
          <w:snapToGrid w:val="0"/>
          <w:color w:val="000000"/>
          <w:position w:val="4"/>
          <w:sz w:val="11"/>
          <w:szCs w:val="0"/>
          <w:u w:color="000000"/>
        </w:rPr>
        <w:t>f</w:t>
      </w:r>
      <w:r>
        <w:t xml:space="preserve"> </w:t>
      </w:r>
      <w:r w:rsidRPr="007C43F6">
        <w:t xml:space="preserve">95% confidence limits; </w:t>
      </w:r>
      <w:r w:rsidRPr="007C43F6">
        <w:rPr>
          <w:vertAlign w:val="superscript"/>
        </w:rPr>
        <w:t>g</w:t>
      </w:r>
      <w:r w:rsidRPr="007C43F6">
        <w:t xml:space="preserve"> total Al concentrations;  </w:t>
      </w:r>
      <w:r w:rsidRPr="007C43F6">
        <w:rPr>
          <w:snapToGrid w:val="0"/>
          <w:color w:val="000000"/>
          <w:position w:val="4"/>
          <w:sz w:val="11"/>
          <w:szCs w:val="0"/>
          <w:u w:color="000000"/>
        </w:rPr>
        <w:t>h</w:t>
      </w:r>
      <w:r>
        <w:t xml:space="preserve"> </w:t>
      </w:r>
      <w:r w:rsidRPr="007C43F6">
        <w:t>SBW: Sandy Billabong water;</w:t>
      </w:r>
      <w:r>
        <w:t xml:space="preserve"> </w:t>
      </w:r>
      <w:r w:rsidRPr="007C43F6">
        <w:rPr>
          <w:snapToGrid w:val="0"/>
          <w:color w:val="000000"/>
          <w:position w:val="4"/>
          <w:sz w:val="11"/>
          <w:szCs w:val="0"/>
          <w:u w:color="000000"/>
        </w:rPr>
        <w:t>i</w:t>
      </w:r>
      <w:r>
        <w:t xml:space="preserve"> </w:t>
      </w:r>
      <w:r w:rsidRPr="007C43F6">
        <w:t>SMCW: Synthetic Magela creek water.</w:t>
      </w:r>
    </w:p>
    <w:p w:rsidR="00D85FAC" w:rsidRDefault="00D85FAC" w:rsidP="00D85FAC"/>
    <w:p w:rsidR="00D85FAC" w:rsidRDefault="00D85FAC" w:rsidP="00D85FAC">
      <w:pPr>
        <w:pStyle w:val="tablenote"/>
        <w:ind w:right="2334"/>
        <w:rPr>
          <w:highlight w:val="yellow"/>
        </w:rPr>
        <w:sectPr w:rsidR="00D85FAC" w:rsidSect="00D85FAC">
          <w:headerReference w:type="default" r:id="rId29"/>
          <w:footerReference w:type="default" r:id="rId30"/>
          <w:footnotePr>
            <w:numRestart w:val="eachSect"/>
          </w:footnotePr>
          <w:pgSz w:w="16838" w:h="11906" w:orient="landscape" w:code="9"/>
          <w:pgMar w:top="1797" w:right="1440" w:bottom="1797" w:left="2007" w:header="1077" w:footer="833" w:gutter="0"/>
          <w:cols w:space="360"/>
          <w:noEndnote/>
          <w:docGrid w:linePitch="299"/>
        </w:sectPr>
      </w:pPr>
    </w:p>
    <w:p w:rsidR="00D85FAC" w:rsidRPr="009C4287" w:rsidRDefault="00D85FAC" w:rsidP="00D85FAC">
      <w:pPr>
        <w:pStyle w:val="tablecaption"/>
        <w:rPr>
          <w:szCs w:val="18"/>
        </w:rPr>
      </w:pPr>
      <w:r w:rsidRPr="00206204">
        <w:rPr>
          <w:b/>
          <w:szCs w:val="18"/>
        </w:rPr>
        <w:lastRenderedPageBreak/>
        <w:t xml:space="preserve">Table </w:t>
      </w:r>
      <w:proofErr w:type="gramStart"/>
      <w:r w:rsidRPr="00206204">
        <w:rPr>
          <w:b/>
          <w:szCs w:val="18"/>
        </w:rPr>
        <w:t>2</w:t>
      </w:r>
      <w:r w:rsidRPr="00F27847">
        <w:rPr>
          <w:szCs w:val="18"/>
        </w:rPr>
        <w:t xml:space="preserve">  Model</w:t>
      </w:r>
      <w:proofErr w:type="gramEnd"/>
      <w:r w:rsidRPr="00F27847">
        <w:rPr>
          <w:szCs w:val="18"/>
        </w:rPr>
        <w:t xml:space="preserve"> equations describing the influence of aluminium (Al) concentration and dissolved o</w:t>
      </w:r>
      <w:r>
        <w:rPr>
          <w:szCs w:val="18"/>
        </w:rPr>
        <w:t>rganic carbon (DOC) on toxicity</w:t>
      </w:r>
    </w:p>
    <w:tbl>
      <w:tblPr>
        <w:tblW w:w="8472" w:type="dxa"/>
        <w:tblBorders>
          <w:top w:val="single" w:sz="4" w:space="0" w:color="auto"/>
          <w:bottom w:val="single" w:sz="4" w:space="0" w:color="auto"/>
        </w:tblBorders>
        <w:tblLayout w:type="fixed"/>
        <w:tblLook w:val="0000"/>
      </w:tblPr>
      <w:tblGrid>
        <w:gridCol w:w="2231"/>
        <w:gridCol w:w="990"/>
        <w:gridCol w:w="4103"/>
        <w:gridCol w:w="1148"/>
      </w:tblGrid>
      <w:tr w:rsidR="00D85FAC" w:rsidRPr="003815ED" w:rsidTr="00D85FAC">
        <w:tc>
          <w:tcPr>
            <w:tcW w:w="2231" w:type="dxa"/>
            <w:tcBorders>
              <w:top w:val="single" w:sz="4" w:space="0" w:color="auto"/>
              <w:left w:val="nil"/>
              <w:bottom w:val="single" w:sz="4" w:space="0" w:color="auto"/>
            </w:tcBorders>
          </w:tcPr>
          <w:p w:rsidR="00D85FAC" w:rsidRPr="00A44F11" w:rsidRDefault="00D85FAC" w:rsidP="00D85FAC">
            <w:pPr>
              <w:pStyle w:val="table1"/>
              <w:rPr>
                <w:b/>
              </w:rPr>
            </w:pPr>
            <w:r w:rsidRPr="00A44F11">
              <w:rPr>
                <w:b/>
              </w:rPr>
              <w:t>Organism</w:t>
            </w:r>
          </w:p>
        </w:tc>
        <w:tc>
          <w:tcPr>
            <w:tcW w:w="990" w:type="dxa"/>
            <w:tcBorders>
              <w:top w:val="single" w:sz="4" w:space="0" w:color="auto"/>
              <w:left w:val="nil"/>
              <w:bottom w:val="single" w:sz="4" w:space="0" w:color="auto"/>
            </w:tcBorders>
          </w:tcPr>
          <w:p w:rsidR="00D85FAC" w:rsidRPr="00A44F11" w:rsidRDefault="00D85FAC" w:rsidP="00D85FAC">
            <w:pPr>
              <w:pStyle w:val="table1"/>
              <w:rPr>
                <w:b/>
              </w:rPr>
            </w:pPr>
            <w:r w:rsidRPr="00A44F11">
              <w:rPr>
                <w:b/>
              </w:rPr>
              <w:t>DOC</w:t>
            </w:r>
          </w:p>
        </w:tc>
        <w:tc>
          <w:tcPr>
            <w:tcW w:w="4103" w:type="dxa"/>
            <w:tcBorders>
              <w:top w:val="single" w:sz="4" w:space="0" w:color="auto"/>
              <w:bottom w:val="single" w:sz="4" w:space="0" w:color="auto"/>
            </w:tcBorders>
          </w:tcPr>
          <w:p w:rsidR="00D85FAC" w:rsidRPr="00A44F11" w:rsidRDefault="00D85FAC" w:rsidP="00D85FAC">
            <w:pPr>
              <w:pStyle w:val="table1"/>
              <w:rPr>
                <w:b/>
              </w:rPr>
            </w:pPr>
            <w:r w:rsidRPr="00A44F11">
              <w:rPr>
                <w:b/>
              </w:rPr>
              <w:t>Al model</w:t>
            </w:r>
            <w:r w:rsidRPr="00A44F11">
              <w:rPr>
                <w:b/>
                <w:snapToGrid w:val="0"/>
                <w:color w:val="000000"/>
                <w:position w:val="5"/>
                <w:sz w:val="13"/>
                <w:szCs w:val="0"/>
                <w:u w:color="000000"/>
              </w:rPr>
              <w:t>a</w:t>
            </w:r>
          </w:p>
        </w:tc>
        <w:tc>
          <w:tcPr>
            <w:tcW w:w="1148" w:type="dxa"/>
            <w:tcBorders>
              <w:top w:val="single" w:sz="4" w:space="0" w:color="auto"/>
              <w:bottom w:val="single" w:sz="4" w:space="0" w:color="auto"/>
            </w:tcBorders>
          </w:tcPr>
          <w:p w:rsidR="00D85FAC" w:rsidRPr="00A44F11" w:rsidRDefault="00D85FAC" w:rsidP="00D85FAC">
            <w:pPr>
              <w:pStyle w:val="table1"/>
              <w:rPr>
                <w:b/>
              </w:rPr>
            </w:pPr>
            <w:r w:rsidRPr="00A44F11">
              <w:rPr>
                <w:b/>
              </w:rPr>
              <w:t>Fit</w:t>
            </w:r>
          </w:p>
        </w:tc>
      </w:tr>
      <w:tr w:rsidR="00D85FAC" w:rsidRPr="003815ED" w:rsidTr="00D85FAC">
        <w:tc>
          <w:tcPr>
            <w:tcW w:w="2231" w:type="dxa"/>
            <w:tcBorders>
              <w:top w:val="single" w:sz="4" w:space="0" w:color="auto"/>
              <w:bottom w:val="nil"/>
            </w:tcBorders>
          </w:tcPr>
          <w:p w:rsidR="00D85FAC" w:rsidRPr="00A44F11" w:rsidRDefault="00D85FAC" w:rsidP="00D85FAC">
            <w:pPr>
              <w:pStyle w:val="table1"/>
              <w:rPr>
                <w:i/>
              </w:rPr>
            </w:pPr>
            <w:r w:rsidRPr="00A44F11">
              <w:rPr>
                <w:i/>
              </w:rPr>
              <w:t>Hydra viridissima</w:t>
            </w:r>
          </w:p>
        </w:tc>
        <w:tc>
          <w:tcPr>
            <w:tcW w:w="990" w:type="dxa"/>
            <w:tcBorders>
              <w:top w:val="single" w:sz="4" w:space="0" w:color="auto"/>
              <w:bottom w:val="nil"/>
            </w:tcBorders>
          </w:tcPr>
          <w:p w:rsidR="00D85FAC" w:rsidRPr="00F27847" w:rsidRDefault="00D85FAC" w:rsidP="00D85FAC">
            <w:pPr>
              <w:pStyle w:val="table1"/>
            </w:pPr>
            <w:r w:rsidRPr="00F27847">
              <w:t>SRFA</w:t>
            </w:r>
            <w:r w:rsidRPr="00F27847">
              <w:rPr>
                <w:snapToGrid w:val="0"/>
                <w:color w:val="000000"/>
                <w:position w:val="5"/>
                <w:sz w:val="13"/>
                <w:szCs w:val="0"/>
                <w:u w:color="000000"/>
              </w:rPr>
              <w:t>b</w:t>
            </w:r>
            <w:r w:rsidRPr="00F27847">
              <w:t xml:space="preserve"> </w:t>
            </w:r>
          </w:p>
        </w:tc>
        <w:tc>
          <w:tcPr>
            <w:tcW w:w="4103" w:type="dxa"/>
            <w:tcBorders>
              <w:top w:val="single" w:sz="4" w:space="0" w:color="auto"/>
              <w:bottom w:val="nil"/>
            </w:tcBorders>
          </w:tcPr>
          <w:p w:rsidR="00D85FAC" w:rsidRPr="00F27847" w:rsidRDefault="00D85FAC" w:rsidP="00D85FAC">
            <w:pPr>
              <w:pStyle w:val="table1"/>
            </w:pPr>
            <w:r w:rsidRPr="00F27847">
              <w:t>0.0134 - 0.0007[Al] + 0.016[DOC]</w:t>
            </w:r>
          </w:p>
        </w:tc>
        <w:tc>
          <w:tcPr>
            <w:tcW w:w="1148" w:type="dxa"/>
            <w:tcBorders>
              <w:top w:val="single" w:sz="4" w:space="0" w:color="auto"/>
              <w:bottom w:val="nil"/>
            </w:tcBorders>
          </w:tcPr>
          <w:p w:rsidR="00D85FAC" w:rsidRPr="00F27847" w:rsidRDefault="00D85FAC" w:rsidP="00D85FAC">
            <w:pPr>
              <w:pStyle w:val="table1"/>
            </w:pPr>
            <w:r w:rsidRPr="00F27847">
              <w:t>r</w:t>
            </w:r>
            <w:r w:rsidRPr="00F27847">
              <w:rPr>
                <w:snapToGrid w:val="0"/>
                <w:color w:val="000000"/>
                <w:position w:val="5"/>
                <w:sz w:val="13"/>
                <w:szCs w:val="0"/>
                <w:u w:color="000000"/>
              </w:rPr>
              <w:t>2</w:t>
            </w:r>
            <w:r w:rsidRPr="00F27847">
              <w:t>= 0.50</w:t>
            </w:r>
          </w:p>
        </w:tc>
      </w:tr>
      <w:tr w:rsidR="00D85FAC" w:rsidRPr="003815ED" w:rsidTr="00D85FAC">
        <w:tc>
          <w:tcPr>
            <w:tcW w:w="2231" w:type="dxa"/>
            <w:tcBorders>
              <w:top w:val="nil"/>
              <w:bottom w:val="single" w:sz="4" w:space="0" w:color="auto"/>
            </w:tcBorders>
          </w:tcPr>
          <w:p w:rsidR="00D85FAC" w:rsidRPr="00A44F11" w:rsidRDefault="00D85FAC" w:rsidP="00D85FAC">
            <w:pPr>
              <w:pStyle w:val="table1"/>
              <w:rPr>
                <w:i/>
              </w:rPr>
            </w:pPr>
          </w:p>
        </w:tc>
        <w:tc>
          <w:tcPr>
            <w:tcW w:w="990" w:type="dxa"/>
            <w:tcBorders>
              <w:top w:val="nil"/>
              <w:bottom w:val="single" w:sz="4" w:space="0" w:color="auto"/>
            </w:tcBorders>
          </w:tcPr>
          <w:p w:rsidR="00D85FAC" w:rsidRPr="00F27847" w:rsidRDefault="00D85FAC" w:rsidP="00D85FAC">
            <w:pPr>
              <w:pStyle w:val="table1"/>
            </w:pPr>
            <w:r w:rsidRPr="00F27847">
              <w:t>SBW</w:t>
            </w:r>
            <w:r w:rsidRPr="00F27847">
              <w:rPr>
                <w:snapToGrid w:val="0"/>
                <w:color w:val="000000"/>
                <w:position w:val="5"/>
                <w:sz w:val="13"/>
                <w:szCs w:val="0"/>
                <w:u w:color="000000"/>
              </w:rPr>
              <w:t>c</w:t>
            </w:r>
            <w:r w:rsidRPr="00F27847">
              <w:t xml:space="preserve"> </w:t>
            </w:r>
          </w:p>
        </w:tc>
        <w:tc>
          <w:tcPr>
            <w:tcW w:w="4103" w:type="dxa"/>
            <w:tcBorders>
              <w:top w:val="nil"/>
              <w:bottom w:val="single" w:sz="4" w:space="0" w:color="auto"/>
            </w:tcBorders>
          </w:tcPr>
          <w:p w:rsidR="00D85FAC" w:rsidRPr="00F27847" w:rsidRDefault="00D85FAC" w:rsidP="00D85FAC">
            <w:pPr>
              <w:pStyle w:val="table1"/>
            </w:pPr>
            <w:r w:rsidRPr="00F27847">
              <w:t>0.20 -0.0012[Al] + 0.0096[DOC]</w:t>
            </w:r>
          </w:p>
        </w:tc>
        <w:tc>
          <w:tcPr>
            <w:tcW w:w="1148" w:type="dxa"/>
            <w:tcBorders>
              <w:top w:val="nil"/>
              <w:bottom w:val="single" w:sz="4" w:space="0" w:color="auto"/>
            </w:tcBorders>
          </w:tcPr>
          <w:p w:rsidR="00D85FAC" w:rsidRPr="00F27847" w:rsidRDefault="00D85FAC" w:rsidP="00D85FAC">
            <w:pPr>
              <w:pStyle w:val="table1"/>
            </w:pPr>
            <w:r w:rsidRPr="00F27847">
              <w:t>r</w:t>
            </w:r>
            <w:r w:rsidRPr="00F27847">
              <w:rPr>
                <w:snapToGrid w:val="0"/>
                <w:color w:val="000000"/>
                <w:position w:val="5"/>
                <w:sz w:val="13"/>
                <w:szCs w:val="0"/>
                <w:u w:color="000000"/>
              </w:rPr>
              <w:t>2</w:t>
            </w:r>
            <w:r w:rsidRPr="00F27847">
              <w:t>= 0.67</w:t>
            </w:r>
          </w:p>
        </w:tc>
      </w:tr>
      <w:tr w:rsidR="00D85FAC" w:rsidRPr="003815ED" w:rsidTr="00D85FAC">
        <w:tc>
          <w:tcPr>
            <w:tcW w:w="2231" w:type="dxa"/>
            <w:tcBorders>
              <w:top w:val="single" w:sz="4" w:space="0" w:color="auto"/>
              <w:bottom w:val="nil"/>
            </w:tcBorders>
          </w:tcPr>
          <w:p w:rsidR="00D85FAC" w:rsidRPr="00A44F11" w:rsidRDefault="00D85FAC" w:rsidP="00D85FAC">
            <w:pPr>
              <w:pStyle w:val="table1"/>
              <w:rPr>
                <w:i/>
              </w:rPr>
            </w:pPr>
            <w:r w:rsidRPr="00A44F11">
              <w:rPr>
                <w:i/>
              </w:rPr>
              <w:t xml:space="preserve">Chlorella </w:t>
            </w:r>
            <w:r w:rsidRPr="00A44F11">
              <w:t>sp</w:t>
            </w:r>
          </w:p>
        </w:tc>
        <w:tc>
          <w:tcPr>
            <w:tcW w:w="990" w:type="dxa"/>
            <w:tcBorders>
              <w:top w:val="single" w:sz="4" w:space="0" w:color="auto"/>
              <w:bottom w:val="nil"/>
            </w:tcBorders>
          </w:tcPr>
          <w:p w:rsidR="00D85FAC" w:rsidRPr="00F27847" w:rsidRDefault="00D85FAC" w:rsidP="00D85FAC">
            <w:pPr>
              <w:pStyle w:val="table1"/>
            </w:pPr>
            <w:r w:rsidRPr="00F27847">
              <w:t>SRFA</w:t>
            </w:r>
            <w:r w:rsidRPr="00F27847">
              <w:rPr>
                <w:snapToGrid w:val="0"/>
                <w:color w:val="000000"/>
                <w:position w:val="5"/>
                <w:sz w:val="13"/>
                <w:szCs w:val="0"/>
                <w:u w:color="000000"/>
              </w:rPr>
              <w:t>d</w:t>
            </w:r>
            <w:r w:rsidRPr="00F27847">
              <w:t xml:space="preserve"> </w:t>
            </w:r>
          </w:p>
        </w:tc>
        <w:tc>
          <w:tcPr>
            <w:tcW w:w="4103" w:type="dxa"/>
            <w:tcBorders>
              <w:top w:val="single" w:sz="4" w:space="0" w:color="auto"/>
              <w:bottom w:val="nil"/>
            </w:tcBorders>
          </w:tcPr>
          <w:p w:rsidR="00D85FAC" w:rsidRPr="00F27847" w:rsidRDefault="00D85FAC" w:rsidP="00D85FAC">
            <w:pPr>
              <w:pStyle w:val="table1"/>
            </w:pPr>
            <w:r w:rsidRPr="00F27847">
              <w:t>0.922 + 0.000313[Al] + 0.05[DOC]</w:t>
            </w:r>
          </w:p>
        </w:tc>
        <w:tc>
          <w:tcPr>
            <w:tcW w:w="1148" w:type="dxa"/>
            <w:tcBorders>
              <w:top w:val="single" w:sz="4" w:space="0" w:color="auto"/>
              <w:bottom w:val="nil"/>
            </w:tcBorders>
          </w:tcPr>
          <w:p w:rsidR="00D85FAC" w:rsidRPr="00F27847" w:rsidRDefault="00D85FAC" w:rsidP="00D85FAC">
            <w:pPr>
              <w:pStyle w:val="table1"/>
            </w:pPr>
            <w:r w:rsidRPr="00F27847">
              <w:t>r</w:t>
            </w:r>
            <w:r w:rsidRPr="00F27847">
              <w:rPr>
                <w:snapToGrid w:val="0"/>
                <w:color w:val="000000"/>
                <w:position w:val="5"/>
                <w:sz w:val="13"/>
                <w:szCs w:val="0"/>
                <w:u w:color="000000"/>
              </w:rPr>
              <w:t>2</w:t>
            </w:r>
            <w:r w:rsidRPr="00F27847">
              <w:t>= 0.67</w:t>
            </w:r>
          </w:p>
        </w:tc>
      </w:tr>
      <w:tr w:rsidR="00D85FAC" w:rsidRPr="003815ED" w:rsidTr="00D85FAC">
        <w:tc>
          <w:tcPr>
            <w:tcW w:w="2231" w:type="dxa"/>
            <w:tcBorders>
              <w:top w:val="nil"/>
              <w:bottom w:val="single" w:sz="4" w:space="0" w:color="auto"/>
            </w:tcBorders>
          </w:tcPr>
          <w:p w:rsidR="00D85FAC" w:rsidRPr="00A44F11" w:rsidRDefault="00D85FAC" w:rsidP="00D85FAC">
            <w:pPr>
              <w:pStyle w:val="table1"/>
              <w:rPr>
                <w:i/>
              </w:rPr>
            </w:pPr>
          </w:p>
        </w:tc>
        <w:tc>
          <w:tcPr>
            <w:tcW w:w="990" w:type="dxa"/>
            <w:tcBorders>
              <w:top w:val="nil"/>
              <w:bottom w:val="single" w:sz="4" w:space="0" w:color="auto"/>
            </w:tcBorders>
          </w:tcPr>
          <w:p w:rsidR="00D85FAC" w:rsidRPr="00F27847" w:rsidRDefault="00D85FAC" w:rsidP="00D85FAC">
            <w:pPr>
              <w:pStyle w:val="table1"/>
            </w:pPr>
            <w:r w:rsidRPr="00F27847">
              <w:t>SBW</w:t>
            </w:r>
            <w:r w:rsidRPr="00F27847">
              <w:rPr>
                <w:snapToGrid w:val="0"/>
                <w:color w:val="000000"/>
                <w:position w:val="5"/>
                <w:sz w:val="13"/>
                <w:szCs w:val="0"/>
                <w:u w:color="000000"/>
              </w:rPr>
              <w:t>e</w:t>
            </w:r>
            <w:r w:rsidRPr="00F27847">
              <w:t xml:space="preserve"> </w:t>
            </w:r>
          </w:p>
        </w:tc>
        <w:tc>
          <w:tcPr>
            <w:tcW w:w="4103" w:type="dxa"/>
            <w:tcBorders>
              <w:top w:val="nil"/>
              <w:bottom w:val="single" w:sz="4" w:space="0" w:color="auto"/>
            </w:tcBorders>
          </w:tcPr>
          <w:p w:rsidR="00D85FAC" w:rsidRPr="00F27847" w:rsidRDefault="00D85FAC" w:rsidP="00D85FAC">
            <w:pPr>
              <w:pStyle w:val="table1"/>
            </w:pPr>
            <w:r w:rsidRPr="00F27847">
              <w:t>1.244 -0.00045[Al] + 0.037[DOC]</w:t>
            </w:r>
          </w:p>
        </w:tc>
        <w:tc>
          <w:tcPr>
            <w:tcW w:w="1148" w:type="dxa"/>
            <w:tcBorders>
              <w:top w:val="nil"/>
              <w:bottom w:val="single" w:sz="4" w:space="0" w:color="auto"/>
            </w:tcBorders>
          </w:tcPr>
          <w:p w:rsidR="00D85FAC" w:rsidRPr="00F27847" w:rsidRDefault="00D85FAC" w:rsidP="00D85FAC">
            <w:pPr>
              <w:pStyle w:val="table1"/>
            </w:pPr>
            <w:r w:rsidRPr="00F27847">
              <w:t>r</w:t>
            </w:r>
            <w:r w:rsidRPr="00F27847">
              <w:rPr>
                <w:snapToGrid w:val="0"/>
                <w:color w:val="000000"/>
                <w:position w:val="5"/>
                <w:sz w:val="13"/>
                <w:szCs w:val="0"/>
                <w:u w:color="000000"/>
              </w:rPr>
              <w:t>2</w:t>
            </w:r>
            <w:r w:rsidRPr="00F27847">
              <w:t>= 0.78</w:t>
            </w:r>
          </w:p>
        </w:tc>
      </w:tr>
      <w:tr w:rsidR="00D85FAC" w:rsidRPr="003815ED" w:rsidTr="00D85FAC">
        <w:tc>
          <w:tcPr>
            <w:tcW w:w="2231" w:type="dxa"/>
            <w:tcBorders>
              <w:top w:val="single" w:sz="4" w:space="0" w:color="auto"/>
              <w:bottom w:val="nil"/>
            </w:tcBorders>
          </w:tcPr>
          <w:p w:rsidR="00D85FAC" w:rsidRPr="00A44F11" w:rsidRDefault="00D85FAC" w:rsidP="00D85FAC">
            <w:pPr>
              <w:pStyle w:val="table1"/>
              <w:rPr>
                <w:i/>
              </w:rPr>
            </w:pPr>
            <w:r w:rsidRPr="00A44F11">
              <w:rPr>
                <w:i/>
              </w:rPr>
              <w:t>Moinodaphnia macleayi</w:t>
            </w:r>
          </w:p>
        </w:tc>
        <w:tc>
          <w:tcPr>
            <w:tcW w:w="990" w:type="dxa"/>
            <w:tcBorders>
              <w:top w:val="single" w:sz="4" w:space="0" w:color="auto"/>
              <w:bottom w:val="nil"/>
            </w:tcBorders>
          </w:tcPr>
          <w:p w:rsidR="00D85FAC" w:rsidRPr="00F27847" w:rsidRDefault="00D85FAC" w:rsidP="00D85FAC">
            <w:pPr>
              <w:pStyle w:val="table1"/>
            </w:pPr>
            <w:r w:rsidRPr="00F27847">
              <w:t>SRFA</w:t>
            </w:r>
            <w:r w:rsidRPr="00F27847">
              <w:rPr>
                <w:snapToGrid w:val="0"/>
                <w:color w:val="000000"/>
                <w:position w:val="5"/>
                <w:sz w:val="13"/>
                <w:szCs w:val="0"/>
                <w:u w:color="000000"/>
              </w:rPr>
              <w:t>f</w:t>
            </w:r>
            <w:r w:rsidRPr="00F27847">
              <w:t xml:space="preserve"> </w:t>
            </w:r>
          </w:p>
        </w:tc>
        <w:tc>
          <w:tcPr>
            <w:tcW w:w="4103" w:type="dxa"/>
            <w:tcBorders>
              <w:top w:val="single" w:sz="4" w:space="0" w:color="auto"/>
              <w:bottom w:val="nil"/>
            </w:tcBorders>
          </w:tcPr>
          <w:p w:rsidR="00D85FAC" w:rsidRPr="00F27847" w:rsidRDefault="00D85FAC" w:rsidP="00D85FAC">
            <w:pPr>
              <w:pStyle w:val="table1"/>
            </w:pPr>
            <w:r w:rsidRPr="00F27847">
              <w:t>6.927 -0.0045[Al] + 0.455[DOC]</w:t>
            </w:r>
          </w:p>
        </w:tc>
        <w:tc>
          <w:tcPr>
            <w:tcW w:w="1148" w:type="dxa"/>
            <w:tcBorders>
              <w:top w:val="single" w:sz="4" w:space="0" w:color="auto"/>
              <w:bottom w:val="nil"/>
            </w:tcBorders>
          </w:tcPr>
          <w:p w:rsidR="00D85FAC" w:rsidRPr="00F27847" w:rsidRDefault="00D85FAC" w:rsidP="00D85FAC">
            <w:pPr>
              <w:pStyle w:val="table1"/>
            </w:pPr>
            <w:r w:rsidRPr="00F27847">
              <w:t>r</w:t>
            </w:r>
            <w:r w:rsidRPr="00F27847">
              <w:rPr>
                <w:snapToGrid w:val="0"/>
                <w:color w:val="000000"/>
                <w:position w:val="5"/>
                <w:sz w:val="13"/>
                <w:szCs w:val="0"/>
                <w:u w:color="000000"/>
              </w:rPr>
              <w:t>2</w:t>
            </w:r>
            <w:r w:rsidRPr="00F27847">
              <w:t>= 0.47</w:t>
            </w:r>
          </w:p>
        </w:tc>
      </w:tr>
      <w:tr w:rsidR="00D85FAC" w:rsidRPr="003815ED" w:rsidTr="00D85FAC">
        <w:tc>
          <w:tcPr>
            <w:tcW w:w="2231" w:type="dxa"/>
            <w:tcBorders>
              <w:top w:val="nil"/>
              <w:bottom w:val="single" w:sz="4" w:space="0" w:color="auto"/>
            </w:tcBorders>
          </w:tcPr>
          <w:p w:rsidR="00D85FAC" w:rsidRPr="00F27847" w:rsidRDefault="00D85FAC" w:rsidP="00D85FAC">
            <w:pPr>
              <w:pStyle w:val="TCTableBody"/>
              <w:spacing w:after="0"/>
              <w:rPr>
                <w:sz w:val="20"/>
              </w:rPr>
            </w:pPr>
          </w:p>
        </w:tc>
        <w:tc>
          <w:tcPr>
            <w:tcW w:w="990" w:type="dxa"/>
            <w:tcBorders>
              <w:top w:val="nil"/>
              <w:bottom w:val="single" w:sz="4" w:space="0" w:color="auto"/>
            </w:tcBorders>
          </w:tcPr>
          <w:p w:rsidR="00D85FAC" w:rsidRPr="00F27847" w:rsidRDefault="00D85FAC" w:rsidP="00D85FAC">
            <w:pPr>
              <w:pStyle w:val="table1"/>
              <w:spacing w:after="0"/>
            </w:pPr>
            <w:r w:rsidRPr="00F27847">
              <w:t>SBW</w:t>
            </w:r>
            <w:r w:rsidRPr="00F27847">
              <w:rPr>
                <w:snapToGrid w:val="0"/>
                <w:color w:val="000000"/>
                <w:position w:val="5"/>
                <w:sz w:val="13"/>
                <w:szCs w:val="0"/>
                <w:u w:color="000000"/>
              </w:rPr>
              <w:t>g</w:t>
            </w:r>
            <w:r w:rsidRPr="00F27847">
              <w:t xml:space="preserve"> </w:t>
            </w:r>
          </w:p>
        </w:tc>
        <w:tc>
          <w:tcPr>
            <w:tcW w:w="4103" w:type="dxa"/>
            <w:tcBorders>
              <w:top w:val="nil"/>
              <w:bottom w:val="single" w:sz="4" w:space="0" w:color="auto"/>
            </w:tcBorders>
          </w:tcPr>
          <w:p w:rsidR="00D85FAC" w:rsidRPr="00F27847" w:rsidRDefault="00D85FAC" w:rsidP="00D85FAC">
            <w:pPr>
              <w:pStyle w:val="table1"/>
              <w:spacing w:after="0"/>
            </w:pPr>
            <w:r w:rsidRPr="00F27847">
              <w:t>8.079 -0.002[Al] + 0.107[DOC]</w:t>
            </w:r>
          </w:p>
        </w:tc>
        <w:tc>
          <w:tcPr>
            <w:tcW w:w="1148" w:type="dxa"/>
            <w:tcBorders>
              <w:top w:val="nil"/>
              <w:bottom w:val="single" w:sz="4" w:space="0" w:color="auto"/>
            </w:tcBorders>
          </w:tcPr>
          <w:p w:rsidR="00D85FAC" w:rsidRPr="00F27847" w:rsidRDefault="00D85FAC" w:rsidP="00D85FAC">
            <w:pPr>
              <w:pStyle w:val="table1"/>
              <w:spacing w:after="0"/>
            </w:pPr>
            <w:r w:rsidRPr="00F27847">
              <w:t>r</w:t>
            </w:r>
            <w:r w:rsidRPr="00F27847">
              <w:rPr>
                <w:snapToGrid w:val="0"/>
                <w:color w:val="000000"/>
                <w:position w:val="5"/>
                <w:sz w:val="13"/>
                <w:szCs w:val="0"/>
                <w:u w:color="000000"/>
              </w:rPr>
              <w:t>2</w:t>
            </w:r>
            <w:r w:rsidRPr="00F27847">
              <w:t>= 0.64</w:t>
            </w:r>
          </w:p>
        </w:tc>
      </w:tr>
    </w:tbl>
    <w:p w:rsidR="00D85FAC" w:rsidRPr="00D00D7B" w:rsidRDefault="00D85FAC" w:rsidP="00D85FAC">
      <w:pPr>
        <w:pStyle w:val="tablenote"/>
        <w:rPr>
          <w:spacing w:val="-2"/>
        </w:rPr>
      </w:pPr>
      <w:proofErr w:type="gramStart"/>
      <w:r w:rsidRPr="00D00D7B">
        <w:rPr>
          <w:spacing w:val="-2"/>
          <w:vertAlign w:val="superscript"/>
        </w:rPr>
        <w:t>a</w:t>
      </w:r>
      <w:proofErr w:type="gramEnd"/>
      <w:r w:rsidRPr="00D00D7B">
        <w:rPr>
          <w:spacing w:val="-2"/>
          <w:sz w:val="18"/>
        </w:rPr>
        <w:t xml:space="preserve"> </w:t>
      </w:r>
      <w:r w:rsidRPr="00D00D7B">
        <w:rPr>
          <w:spacing w:val="-2"/>
          <w:sz w:val="18"/>
        </w:rPr>
        <w:tab/>
      </w:r>
      <w:r w:rsidRPr="00D00D7B">
        <w:rPr>
          <w:spacing w:val="-2"/>
        </w:rPr>
        <w:t xml:space="preserve">Models based on 0.1 µm filtered Al for </w:t>
      </w:r>
      <w:r w:rsidRPr="00D00D7B">
        <w:rPr>
          <w:i/>
          <w:spacing w:val="-2"/>
        </w:rPr>
        <w:t>H. viridissima</w:t>
      </w:r>
      <w:r w:rsidRPr="00D00D7B">
        <w:rPr>
          <w:spacing w:val="-2"/>
        </w:rPr>
        <w:t xml:space="preserve"> and total Al for </w:t>
      </w:r>
      <w:r w:rsidRPr="00D00D7B">
        <w:rPr>
          <w:i/>
          <w:spacing w:val="-2"/>
        </w:rPr>
        <w:t>Chlorella</w:t>
      </w:r>
      <w:r w:rsidRPr="00D00D7B">
        <w:rPr>
          <w:spacing w:val="-2"/>
        </w:rPr>
        <w:t xml:space="preserve"> sp and </w:t>
      </w:r>
      <w:r w:rsidRPr="00D00D7B">
        <w:rPr>
          <w:i/>
          <w:spacing w:val="-2"/>
        </w:rPr>
        <w:t xml:space="preserve">M. macleayi </w:t>
      </w:r>
      <w:r w:rsidRPr="00D00D7B">
        <w:rPr>
          <w:spacing w:val="-2"/>
        </w:rPr>
        <w:t xml:space="preserve">(so as not to discount the contribution of colloidal fraction to toxicity for the latter two organisms), </w:t>
      </w:r>
      <w:r w:rsidRPr="00D00D7B">
        <w:rPr>
          <w:snapToGrid w:val="0"/>
          <w:color w:val="000000"/>
          <w:spacing w:val="-2"/>
          <w:position w:val="4"/>
          <w:sz w:val="12"/>
          <w:szCs w:val="0"/>
          <w:u w:color="000000"/>
        </w:rPr>
        <w:t>b</w:t>
      </w:r>
      <w:r w:rsidRPr="00D00D7B">
        <w:rPr>
          <w:spacing w:val="-2"/>
        </w:rPr>
        <w:t xml:space="preserve"> </w:t>
      </w:r>
      <w:r w:rsidRPr="00D00D7B">
        <w:rPr>
          <w:i/>
          <w:spacing w:val="-2"/>
        </w:rPr>
        <w:t>n</w:t>
      </w:r>
      <w:r w:rsidRPr="00D00D7B">
        <w:rPr>
          <w:spacing w:val="-2"/>
        </w:rPr>
        <w:t xml:space="preserve"> = 182, </w:t>
      </w:r>
      <w:r w:rsidRPr="00D00D7B">
        <w:rPr>
          <w:snapToGrid w:val="0"/>
          <w:color w:val="000000"/>
          <w:spacing w:val="-2"/>
          <w:position w:val="4"/>
          <w:sz w:val="12"/>
          <w:szCs w:val="0"/>
          <w:u w:color="000000"/>
        </w:rPr>
        <w:t>c</w:t>
      </w:r>
      <w:r w:rsidRPr="00D00D7B">
        <w:rPr>
          <w:spacing w:val="-2"/>
        </w:rPr>
        <w:t xml:space="preserve">  </w:t>
      </w:r>
      <w:r w:rsidRPr="00D00D7B">
        <w:rPr>
          <w:i/>
          <w:spacing w:val="-2"/>
        </w:rPr>
        <w:t>n</w:t>
      </w:r>
      <w:r w:rsidRPr="00D00D7B">
        <w:rPr>
          <w:spacing w:val="-2"/>
        </w:rPr>
        <w:t xml:space="preserve"> = 136, </w:t>
      </w:r>
      <w:r w:rsidRPr="00D00D7B">
        <w:rPr>
          <w:snapToGrid w:val="0"/>
          <w:color w:val="000000"/>
          <w:spacing w:val="-2"/>
          <w:position w:val="4"/>
          <w:sz w:val="12"/>
          <w:szCs w:val="0"/>
          <w:u w:color="000000"/>
        </w:rPr>
        <w:t>d</w:t>
      </w:r>
      <w:r w:rsidRPr="00D00D7B">
        <w:rPr>
          <w:spacing w:val="-2"/>
        </w:rPr>
        <w:t xml:space="preserve"> </w:t>
      </w:r>
      <w:r w:rsidRPr="00D00D7B">
        <w:rPr>
          <w:i/>
          <w:spacing w:val="-2"/>
        </w:rPr>
        <w:t>n</w:t>
      </w:r>
      <w:r w:rsidRPr="00D00D7B">
        <w:rPr>
          <w:spacing w:val="-2"/>
        </w:rPr>
        <w:t xml:space="preserve">= 215, </w:t>
      </w:r>
      <w:r w:rsidRPr="00D00D7B">
        <w:rPr>
          <w:snapToGrid w:val="0"/>
          <w:color w:val="000000"/>
          <w:spacing w:val="-2"/>
          <w:position w:val="4"/>
          <w:sz w:val="12"/>
          <w:szCs w:val="0"/>
          <w:u w:color="000000"/>
        </w:rPr>
        <w:t>e</w:t>
      </w:r>
      <w:r w:rsidRPr="00D00D7B">
        <w:rPr>
          <w:spacing w:val="-2"/>
        </w:rPr>
        <w:t xml:space="preserve"> </w:t>
      </w:r>
      <w:r w:rsidRPr="00D00D7B">
        <w:rPr>
          <w:i/>
          <w:spacing w:val="-2"/>
        </w:rPr>
        <w:t>n</w:t>
      </w:r>
      <w:r w:rsidRPr="00D00D7B">
        <w:rPr>
          <w:spacing w:val="-2"/>
        </w:rPr>
        <w:t xml:space="preserve"> = 180, </w:t>
      </w:r>
      <w:r w:rsidRPr="00D00D7B">
        <w:rPr>
          <w:snapToGrid w:val="0"/>
          <w:color w:val="000000"/>
          <w:spacing w:val="-2"/>
          <w:position w:val="4"/>
          <w:sz w:val="12"/>
          <w:szCs w:val="0"/>
          <w:u w:color="000000"/>
        </w:rPr>
        <w:t>f</w:t>
      </w:r>
      <w:r w:rsidRPr="00D00D7B">
        <w:rPr>
          <w:spacing w:val="-2"/>
        </w:rPr>
        <w:t xml:space="preserve"> </w:t>
      </w:r>
      <w:r w:rsidRPr="00D00D7B">
        <w:rPr>
          <w:i/>
          <w:spacing w:val="-2"/>
        </w:rPr>
        <w:t>n</w:t>
      </w:r>
      <w:r w:rsidRPr="00D00D7B">
        <w:rPr>
          <w:spacing w:val="-2"/>
        </w:rPr>
        <w:t xml:space="preserve"> = 282, </w:t>
      </w:r>
      <w:r w:rsidRPr="00D00D7B">
        <w:rPr>
          <w:snapToGrid w:val="0"/>
          <w:color w:val="000000"/>
          <w:spacing w:val="-2"/>
          <w:position w:val="4"/>
          <w:sz w:val="12"/>
          <w:szCs w:val="0"/>
          <w:u w:color="000000"/>
        </w:rPr>
        <w:t>g</w:t>
      </w:r>
      <w:r w:rsidRPr="00D00D7B">
        <w:rPr>
          <w:spacing w:val="-2"/>
        </w:rPr>
        <w:t xml:space="preserve"> </w:t>
      </w:r>
      <w:r w:rsidRPr="00D00D7B">
        <w:rPr>
          <w:i/>
          <w:spacing w:val="-2"/>
        </w:rPr>
        <w:t>n</w:t>
      </w:r>
      <w:r w:rsidRPr="00D00D7B">
        <w:rPr>
          <w:spacing w:val="-2"/>
        </w:rPr>
        <w:t xml:space="preserve"> = 210</w:t>
      </w:r>
    </w:p>
    <w:p w:rsidR="00D85FAC" w:rsidRDefault="00D85FAC" w:rsidP="00D85FAC">
      <w:pPr>
        <w:pStyle w:val="Heading2"/>
      </w:pPr>
      <w:bookmarkStart w:id="58" w:name="_Toc313523415"/>
      <w:bookmarkStart w:id="59" w:name="_Toc316985258"/>
      <w:r>
        <w:t>References</w:t>
      </w:r>
      <w:bookmarkEnd w:id="58"/>
      <w:bookmarkEnd w:id="59"/>
    </w:p>
    <w:p w:rsidR="00D85FAC" w:rsidRDefault="00D85FAC" w:rsidP="00D85FAC">
      <w:pPr>
        <w:pStyle w:val="referencelist1"/>
        <w:rPr>
          <w:lang w:eastAsia="en-AU"/>
        </w:rPr>
      </w:pPr>
      <w:r w:rsidRPr="001E5A3B">
        <w:rPr>
          <w:lang w:eastAsia="en-AU"/>
        </w:rPr>
        <w:t>Brown TE, Morleyn AW, Sanders T</w:t>
      </w:r>
      <w:r>
        <w:rPr>
          <w:lang w:eastAsia="en-AU"/>
        </w:rPr>
        <w:t xml:space="preserve"> &amp;</w:t>
      </w:r>
      <w:r w:rsidRPr="001E5A3B">
        <w:rPr>
          <w:lang w:eastAsia="en-AU"/>
        </w:rPr>
        <w:t xml:space="preserve"> Tau RD. 1983. </w:t>
      </w:r>
      <w:proofErr w:type="gramStart"/>
      <w:r w:rsidRPr="001E5A3B">
        <w:rPr>
          <w:lang w:eastAsia="en-AU"/>
        </w:rPr>
        <w:t>Report of a large fish kill resulting from natural acid water conditions in Australia.</w:t>
      </w:r>
      <w:proofErr w:type="gramEnd"/>
      <w:r w:rsidRPr="001E5A3B">
        <w:rPr>
          <w:lang w:eastAsia="en-AU"/>
        </w:rPr>
        <w:t xml:space="preserve"> </w:t>
      </w:r>
      <w:r w:rsidRPr="001E5A3B">
        <w:rPr>
          <w:i/>
          <w:iCs/>
          <w:lang w:eastAsia="en-AU"/>
        </w:rPr>
        <w:t>J Fish Biol</w:t>
      </w:r>
      <w:r w:rsidRPr="001E5A3B">
        <w:rPr>
          <w:lang w:eastAsia="en-AU"/>
        </w:rPr>
        <w:t xml:space="preserve"> 22</w:t>
      </w:r>
      <w:r>
        <w:rPr>
          <w:lang w:eastAsia="en-AU"/>
        </w:rPr>
        <w:t xml:space="preserve">, </w:t>
      </w:r>
      <w:r w:rsidRPr="001E5A3B">
        <w:rPr>
          <w:lang w:eastAsia="en-AU"/>
        </w:rPr>
        <w:t>335</w:t>
      </w:r>
      <w:r>
        <w:rPr>
          <w:lang w:eastAsia="en-AU"/>
        </w:rPr>
        <w:t>–</w:t>
      </w:r>
      <w:r w:rsidRPr="001E5A3B">
        <w:rPr>
          <w:lang w:eastAsia="en-AU"/>
        </w:rPr>
        <w:t>350.</w:t>
      </w:r>
    </w:p>
    <w:p w:rsidR="00D85FAC" w:rsidRDefault="00D85FAC" w:rsidP="00D85FAC">
      <w:pPr>
        <w:pStyle w:val="referencelist1"/>
        <w:rPr>
          <w:lang w:eastAsia="en-AU"/>
        </w:rPr>
      </w:pPr>
      <w:r w:rsidRPr="001E5A3B">
        <w:rPr>
          <w:lang w:val="sv-SE" w:eastAsia="en-AU"/>
        </w:rPr>
        <w:t xml:space="preserve">Camilleri C, Markich SJ, Noller BN, Turley CJ, Parker G </w:t>
      </w:r>
      <w:r>
        <w:rPr>
          <w:lang w:val="sv-SE" w:eastAsia="en-AU"/>
        </w:rPr>
        <w:t>&amp;</w:t>
      </w:r>
      <w:r w:rsidRPr="001E5A3B">
        <w:rPr>
          <w:lang w:val="sv-SE" w:eastAsia="en-AU"/>
        </w:rPr>
        <w:t xml:space="preserve"> van Dam RA 2003. </w:t>
      </w:r>
      <w:r w:rsidRPr="001E5A3B">
        <w:rPr>
          <w:lang w:eastAsia="en-AU"/>
        </w:rPr>
        <w:t>Silica reduces the toxicity of aluminium to a tropical freshwater fish (</w:t>
      </w:r>
      <w:r w:rsidRPr="001E5A3B">
        <w:rPr>
          <w:i/>
          <w:iCs/>
          <w:lang w:eastAsia="en-AU"/>
        </w:rPr>
        <w:t>Mogurnda mogurnda</w:t>
      </w:r>
      <w:r w:rsidRPr="001E5A3B">
        <w:rPr>
          <w:lang w:eastAsia="en-AU"/>
        </w:rPr>
        <w:t xml:space="preserve">). </w:t>
      </w:r>
      <w:r w:rsidRPr="001E5A3B">
        <w:rPr>
          <w:i/>
          <w:iCs/>
          <w:lang w:eastAsia="en-AU"/>
        </w:rPr>
        <w:t>Chemosphere</w:t>
      </w:r>
      <w:r w:rsidRPr="001E5A3B">
        <w:rPr>
          <w:lang w:eastAsia="en-AU"/>
        </w:rPr>
        <w:t xml:space="preserve"> 50</w:t>
      </w:r>
      <w:r>
        <w:rPr>
          <w:lang w:eastAsia="en-AU"/>
        </w:rPr>
        <w:t xml:space="preserve">, </w:t>
      </w:r>
      <w:r w:rsidRPr="001E5A3B">
        <w:rPr>
          <w:lang w:eastAsia="en-AU"/>
        </w:rPr>
        <w:t>355</w:t>
      </w:r>
      <w:r>
        <w:rPr>
          <w:lang w:eastAsia="en-AU"/>
        </w:rPr>
        <w:t>–</w:t>
      </w:r>
      <w:r w:rsidRPr="001E5A3B">
        <w:rPr>
          <w:lang w:eastAsia="en-AU"/>
        </w:rPr>
        <w:t>364.</w:t>
      </w:r>
    </w:p>
    <w:p w:rsidR="00D85FAC" w:rsidRDefault="00D85FAC" w:rsidP="00D85FAC">
      <w:pPr>
        <w:pStyle w:val="referencelist1"/>
        <w:rPr>
          <w:lang w:eastAsia="en-AU"/>
        </w:rPr>
      </w:pPr>
      <w:proofErr w:type="gramStart"/>
      <w:r w:rsidRPr="00196E2D">
        <w:rPr>
          <w:lang w:eastAsia="en-AU"/>
        </w:rPr>
        <w:t>Driscoll CTJ, Baker JP, Bisogni JJJ</w:t>
      </w:r>
      <w:r>
        <w:rPr>
          <w:lang w:eastAsia="en-AU"/>
        </w:rPr>
        <w:t xml:space="preserve"> &amp;</w:t>
      </w:r>
      <w:r w:rsidRPr="00196E2D">
        <w:rPr>
          <w:lang w:eastAsia="en-AU"/>
        </w:rPr>
        <w:t xml:space="preserve"> Schofield CL. 1980.</w:t>
      </w:r>
      <w:proofErr w:type="gramEnd"/>
      <w:r w:rsidRPr="00196E2D">
        <w:rPr>
          <w:lang w:eastAsia="en-AU"/>
        </w:rPr>
        <w:t xml:space="preserve"> </w:t>
      </w:r>
      <w:proofErr w:type="gramStart"/>
      <w:r w:rsidRPr="00196E2D">
        <w:rPr>
          <w:lang w:eastAsia="en-AU"/>
        </w:rPr>
        <w:t>Effect of aluminium speciation on fish in dilute acidified waters.</w:t>
      </w:r>
      <w:proofErr w:type="gramEnd"/>
      <w:r w:rsidRPr="00196E2D">
        <w:rPr>
          <w:lang w:eastAsia="en-AU"/>
        </w:rPr>
        <w:t xml:space="preserve"> </w:t>
      </w:r>
      <w:r w:rsidRPr="00196E2D">
        <w:rPr>
          <w:i/>
          <w:iCs/>
          <w:lang w:eastAsia="en-AU"/>
        </w:rPr>
        <w:t>Nature</w:t>
      </w:r>
      <w:r w:rsidRPr="00196E2D">
        <w:rPr>
          <w:lang w:eastAsia="en-AU"/>
        </w:rPr>
        <w:t xml:space="preserve"> 284</w:t>
      </w:r>
      <w:r>
        <w:rPr>
          <w:lang w:eastAsia="en-AU"/>
        </w:rPr>
        <w:t xml:space="preserve">, </w:t>
      </w:r>
      <w:r w:rsidRPr="00196E2D">
        <w:rPr>
          <w:lang w:eastAsia="en-AU"/>
        </w:rPr>
        <w:t>161</w:t>
      </w:r>
      <w:r>
        <w:rPr>
          <w:lang w:eastAsia="en-AU"/>
        </w:rPr>
        <w:t>–</w:t>
      </w:r>
      <w:r w:rsidRPr="00196E2D">
        <w:rPr>
          <w:lang w:eastAsia="en-AU"/>
        </w:rPr>
        <w:t>164.</w:t>
      </w:r>
    </w:p>
    <w:p w:rsidR="00D85FAC" w:rsidRDefault="00D85FAC" w:rsidP="00D85FAC">
      <w:pPr>
        <w:pStyle w:val="referencelist1"/>
        <w:rPr>
          <w:lang w:eastAsia="en-AU"/>
        </w:rPr>
      </w:pPr>
      <w:proofErr w:type="gramStart"/>
      <w:r w:rsidRPr="00BA2037">
        <w:rPr>
          <w:lang w:eastAsia="en-AU"/>
        </w:rPr>
        <w:t>Driscoll CT</w:t>
      </w:r>
      <w:r>
        <w:rPr>
          <w:lang w:eastAsia="en-AU"/>
        </w:rPr>
        <w:t xml:space="preserve"> &amp;</w:t>
      </w:r>
      <w:r w:rsidRPr="00BA2037">
        <w:rPr>
          <w:lang w:eastAsia="en-AU"/>
        </w:rPr>
        <w:t xml:space="preserve"> Schecher WD. 1990.</w:t>
      </w:r>
      <w:proofErr w:type="gramEnd"/>
      <w:r w:rsidRPr="00BA2037">
        <w:rPr>
          <w:lang w:eastAsia="en-AU"/>
        </w:rPr>
        <w:t xml:space="preserve"> </w:t>
      </w:r>
      <w:proofErr w:type="gramStart"/>
      <w:r w:rsidRPr="00BA2037">
        <w:rPr>
          <w:lang w:eastAsia="en-AU"/>
        </w:rPr>
        <w:t>The chemistry of aluminum in the environment.</w:t>
      </w:r>
      <w:proofErr w:type="gramEnd"/>
      <w:r w:rsidRPr="00BA2037">
        <w:rPr>
          <w:lang w:eastAsia="en-AU"/>
        </w:rPr>
        <w:t xml:space="preserve"> </w:t>
      </w:r>
      <w:r w:rsidRPr="00BA2037">
        <w:rPr>
          <w:i/>
          <w:iCs/>
          <w:lang w:eastAsia="en-AU"/>
        </w:rPr>
        <w:t>Environ Geochem Hlth</w:t>
      </w:r>
      <w:r w:rsidRPr="00BA2037">
        <w:rPr>
          <w:lang w:eastAsia="en-AU"/>
        </w:rPr>
        <w:t xml:space="preserve"> 12</w:t>
      </w:r>
      <w:r>
        <w:rPr>
          <w:lang w:eastAsia="en-AU"/>
        </w:rPr>
        <w:t xml:space="preserve">, </w:t>
      </w:r>
      <w:r w:rsidRPr="00BA2037">
        <w:rPr>
          <w:lang w:eastAsia="en-AU"/>
        </w:rPr>
        <w:t>28</w:t>
      </w:r>
      <w:r>
        <w:rPr>
          <w:lang w:eastAsia="en-AU"/>
        </w:rPr>
        <w:t>–</w:t>
      </w:r>
      <w:r w:rsidRPr="00BA2037">
        <w:rPr>
          <w:lang w:eastAsia="en-AU"/>
        </w:rPr>
        <w:t>49.</w:t>
      </w:r>
    </w:p>
    <w:p w:rsidR="00D85FAC" w:rsidRDefault="00D85FAC" w:rsidP="00D85FAC">
      <w:pPr>
        <w:pStyle w:val="referencelist1"/>
        <w:rPr>
          <w:lang w:eastAsia="en-AU"/>
        </w:rPr>
      </w:pPr>
      <w:proofErr w:type="gramStart"/>
      <w:r w:rsidRPr="00BA2037">
        <w:rPr>
          <w:lang w:eastAsia="en-AU"/>
        </w:rPr>
        <w:t>Gensemer RW</w:t>
      </w:r>
      <w:r>
        <w:rPr>
          <w:lang w:eastAsia="en-AU"/>
        </w:rPr>
        <w:t xml:space="preserve"> &amp;</w:t>
      </w:r>
      <w:r w:rsidRPr="00BA2037">
        <w:rPr>
          <w:lang w:eastAsia="en-AU"/>
        </w:rPr>
        <w:t xml:space="preserve"> Playle RC 1999.</w:t>
      </w:r>
      <w:proofErr w:type="gramEnd"/>
      <w:r w:rsidRPr="00BA2037">
        <w:rPr>
          <w:lang w:eastAsia="en-AU"/>
        </w:rPr>
        <w:t xml:space="preserve"> </w:t>
      </w:r>
      <w:proofErr w:type="gramStart"/>
      <w:r w:rsidRPr="00BA2037">
        <w:rPr>
          <w:lang w:eastAsia="en-AU"/>
        </w:rPr>
        <w:t>The bioavailability and toxicity of aluminum in aquatic environments.</w:t>
      </w:r>
      <w:proofErr w:type="gramEnd"/>
      <w:r w:rsidRPr="00BA2037">
        <w:rPr>
          <w:lang w:eastAsia="en-AU"/>
        </w:rPr>
        <w:t xml:space="preserve"> </w:t>
      </w:r>
      <w:r w:rsidRPr="00BA2037">
        <w:rPr>
          <w:iCs/>
          <w:lang w:eastAsia="en-AU"/>
        </w:rPr>
        <w:t xml:space="preserve">Crit. Rev. </w:t>
      </w:r>
      <w:r w:rsidRPr="00BA2037">
        <w:rPr>
          <w:i/>
          <w:iCs/>
          <w:lang w:eastAsia="en-AU"/>
        </w:rPr>
        <w:t>Environ Sci Technol</w:t>
      </w:r>
      <w:r w:rsidRPr="00BA2037">
        <w:rPr>
          <w:lang w:eastAsia="en-AU"/>
        </w:rPr>
        <w:t xml:space="preserve"> 29</w:t>
      </w:r>
      <w:r>
        <w:rPr>
          <w:lang w:eastAsia="en-AU"/>
        </w:rPr>
        <w:t xml:space="preserve">, </w:t>
      </w:r>
      <w:r w:rsidRPr="00BA2037">
        <w:rPr>
          <w:lang w:eastAsia="en-AU"/>
        </w:rPr>
        <w:t>315</w:t>
      </w:r>
      <w:r>
        <w:rPr>
          <w:lang w:eastAsia="en-AU"/>
        </w:rPr>
        <w:t>–</w:t>
      </w:r>
      <w:r w:rsidRPr="00BA2037">
        <w:rPr>
          <w:lang w:eastAsia="en-AU"/>
        </w:rPr>
        <w:t>450.</w:t>
      </w:r>
    </w:p>
    <w:p w:rsidR="00D85FAC" w:rsidRDefault="00D85FAC" w:rsidP="00D85FAC">
      <w:pPr>
        <w:pStyle w:val="referencelist1"/>
        <w:rPr>
          <w:lang w:eastAsia="en-AU"/>
        </w:rPr>
      </w:pPr>
      <w:proofErr w:type="gramStart"/>
      <w:r w:rsidRPr="00196E2D">
        <w:rPr>
          <w:lang w:eastAsia="en-AU"/>
        </w:rPr>
        <w:t>Gundersen D, Bustaman S, Seim W</w:t>
      </w:r>
      <w:r>
        <w:rPr>
          <w:lang w:eastAsia="en-AU"/>
        </w:rPr>
        <w:t xml:space="preserve"> &amp;</w:t>
      </w:r>
      <w:r w:rsidRPr="00196E2D">
        <w:rPr>
          <w:lang w:eastAsia="en-AU"/>
        </w:rPr>
        <w:t xml:space="preserve"> Curtis L 1994.</w:t>
      </w:r>
      <w:proofErr w:type="gramEnd"/>
      <w:r w:rsidRPr="00196E2D">
        <w:rPr>
          <w:lang w:eastAsia="en-AU"/>
        </w:rPr>
        <w:t xml:space="preserve"> </w:t>
      </w:r>
      <w:proofErr w:type="gramStart"/>
      <w:r w:rsidRPr="00196E2D">
        <w:rPr>
          <w:lang w:eastAsia="en-AU"/>
        </w:rPr>
        <w:t>pH</w:t>
      </w:r>
      <w:proofErr w:type="gramEnd"/>
      <w:r w:rsidRPr="00196E2D">
        <w:rPr>
          <w:lang w:eastAsia="en-AU"/>
        </w:rPr>
        <w:t>, hardness, and humic acid influence aluminum toxicity to rainbow trout (</w:t>
      </w:r>
      <w:r w:rsidRPr="00196E2D">
        <w:rPr>
          <w:i/>
          <w:iCs/>
          <w:lang w:eastAsia="en-AU"/>
        </w:rPr>
        <w:t>Oncorhynchus mykiss</w:t>
      </w:r>
      <w:r w:rsidRPr="00196E2D">
        <w:rPr>
          <w:lang w:eastAsia="en-AU"/>
        </w:rPr>
        <w:t xml:space="preserve">) in weakly alkaline waters. </w:t>
      </w:r>
      <w:r w:rsidRPr="00196E2D">
        <w:rPr>
          <w:i/>
          <w:iCs/>
          <w:lang w:eastAsia="en-AU"/>
        </w:rPr>
        <w:t>Can J Fish Aquat Sci</w:t>
      </w:r>
      <w:r w:rsidRPr="00196E2D">
        <w:rPr>
          <w:lang w:eastAsia="en-AU"/>
        </w:rPr>
        <w:t xml:space="preserve"> 51</w:t>
      </w:r>
      <w:r>
        <w:rPr>
          <w:lang w:eastAsia="en-AU"/>
        </w:rPr>
        <w:t xml:space="preserve">, </w:t>
      </w:r>
      <w:r w:rsidRPr="00196E2D">
        <w:rPr>
          <w:lang w:eastAsia="en-AU"/>
        </w:rPr>
        <w:t>1345</w:t>
      </w:r>
      <w:r>
        <w:rPr>
          <w:lang w:eastAsia="en-AU"/>
        </w:rPr>
        <w:t>–</w:t>
      </w:r>
      <w:r w:rsidRPr="00196E2D">
        <w:rPr>
          <w:lang w:eastAsia="en-AU"/>
        </w:rPr>
        <w:t>1355.</w:t>
      </w:r>
    </w:p>
    <w:p w:rsidR="00D85FAC" w:rsidRDefault="00D85FAC" w:rsidP="00D85FAC">
      <w:pPr>
        <w:pStyle w:val="referencelist1"/>
        <w:rPr>
          <w:lang w:eastAsia="en-AU"/>
        </w:rPr>
      </w:pPr>
      <w:proofErr w:type="gramStart"/>
      <w:r>
        <w:t>Harries J 1997.</w:t>
      </w:r>
      <w:proofErr w:type="gramEnd"/>
      <w:r>
        <w:t xml:space="preserve"> </w:t>
      </w:r>
      <w:r>
        <w:rPr>
          <w:i/>
        </w:rPr>
        <w:t>Acid mine drainage in Australia: Its extent and potential future liability</w:t>
      </w:r>
      <w:r>
        <w:t>. Supervising Scientist Report 125, Supervising Scientist, Canberra.</w:t>
      </w:r>
    </w:p>
    <w:p w:rsidR="00D85FAC" w:rsidRDefault="00D85FAC" w:rsidP="00D85FAC">
      <w:pPr>
        <w:pStyle w:val="referencelist1"/>
        <w:rPr>
          <w:lang w:eastAsia="en-AU"/>
        </w:rPr>
      </w:pPr>
      <w:proofErr w:type="gramStart"/>
      <w:r w:rsidRPr="00BA2037">
        <w:rPr>
          <w:lang w:eastAsia="en-AU"/>
        </w:rPr>
        <w:t>Helliwell S, Batley G, Florence T, Lumsden, B. 1983.</w:t>
      </w:r>
      <w:proofErr w:type="gramEnd"/>
      <w:r w:rsidRPr="00BA2037">
        <w:rPr>
          <w:lang w:eastAsia="en-AU"/>
        </w:rPr>
        <w:t xml:space="preserve"> </w:t>
      </w:r>
      <w:proofErr w:type="gramStart"/>
      <w:r w:rsidRPr="00BA2037">
        <w:rPr>
          <w:lang w:eastAsia="en-AU"/>
        </w:rPr>
        <w:t>Speciation and toxicity of aluminum in a model freshwater.</w:t>
      </w:r>
      <w:proofErr w:type="gramEnd"/>
      <w:r w:rsidRPr="00BA2037">
        <w:rPr>
          <w:lang w:eastAsia="en-AU"/>
        </w:rPr>
        <w:t xml:space="preserve"> </w:t>
      </w:r>
      <w:r w:rsidRPr="00BA2037">
        <w:rPr>
          <w:i/>
          <w:iCs/>
          <w:lang w:eastAsia="en-AU"/>
        </w:rPr>
        <w:t>Environ Technol Lett</w:t>
      </w:r>
      <w:r w:rsidRPr="00BA2037">
        <w:rPr>
          <w:lang w:eastAsia="en-AU"/>
        </w:rPr>
        <w:t xml:space="preserve"> 4</w:t>
      </w:r>
      <w:r>
        <w:rPr>
          <w:lang w:eastAsia="en-AU"/>
        </w:rPr>
        <w:t xml:space="preserve">, </w:t>
      </w:r>
      <w:r w:rsidRPr="00BA2037">
        <w:rPr>
          <w:lang w:eastAsia="en-AU"/>
        </w:rPr>
        <w:t>141</w:t>
      </w:r>
      <w:r>
        <w:rPr>
          <w:lang w:eastAsia="en-AU"/>
        </w:rPr>
        <w:t>–</w:t>
      </w:r>
      <w:r w:rsidRPr="00BA2037">
        <w:rPr>
          <w:lang w:eastAsia="en-AU"/>
        </w:rPr>
        <w:t>144.</w:t>
      </w:r>
    </w:p>
    <w:p w:rsidR="00D85FAC" w:rsidRDefault="00D85FAC" w:rsidP="00D85FAC">
      <w:pPr>
        <w:pStyle w:val="referencelist1"/>
        <w:rPr>
          <w:rFonts w:ascii="Times New (W1)" w:hAnsi="Times New (W1)"/>
          <w:lang w:eastAsia="en-AU"/>
        </w:rPr>
      </w:pPr>
      <w:r w:rsidRPr="00FA2DFD">
        <w:rPr>
          <w:rFonts w:ascii="Times New (W1)" w:hAnsi="Times New (W1)"/>
          <w:lang w:eastAsia="en-AU"/>
        </w:rPr>
        <w:t xml:space="preserve">Johnson DB, Hallberg KB. 2005. Acid mine drainage remediation options: a review. </w:t>
      </w:r>
      <w:r w:rsidRPr="00FA2DFD">
        <w:rPr>
          <w:rFonts w:ascii="Times New (W1)" w:hAnsi="Times New (W1)"/>
          <w:i/>
          <w:iCs/>
          <w:lang w:eastAsia="en-AU"/>
        </w:rPr>
        <w:t xml:space="preserve">Sci Total </w:t>
      </w:r>
      <w:proofErr w:type="gramStart"/>
      <w:r w:rsidRPr="00FA2DFD">
        <w:rPr>
          <w:rFonts w:ascii="Times New (W1)" w:hAnsi="Times New (W1)"/>
          <w:i/>
          <w:iCs/>
          <w:lang w:eastAsia="en-AU"/>
        </w:rPr>
        <w:t xml:space="preserve">Environ </w:t>
      </w:r>
      <w:r w:rsidRPr="00FA2DFD">
        <w:rPr>
          <w:rFonts w:ascii="Times New (W1)" w:hAnsi="Times New (W1)"/>
          <w:lang w:eastAsia="en-AU"/>
        </w:rPr>
        <w:t xml:space="preserve"> 338</w:t>
      </w:r>
      <w:proofErr w:type="gramEnd"/>
      <w:r>
        <w:rPr>
          <w:rFonts w:ascii="Times New (W1)" w:hAnsi="Times New (W1)"/>
          <w:lang w:eastAsia="en-AU"/>
        </w:rPr>
        <w:t xml:space="preserve">, </w:t>
      </w:r>
      <w:r w:rsidRPr="00FA2DFD">
        <w:rPr>
          <w:rFonts w:ascii="Times New (W1)" w:hAnsi="Times New (W1)"/>
          <w:lang w:eastAsia="en-AU"/>
        </w:rPr>
        <w:t>3</w:t>
      </w:r>
      <w:r>
        <w:rPr>
          <w:rFonts w:ascii="Times New (W1)" w:hAnsi="Times New (W1)"/>
          <w:lang w:eastAsia="en-AU"/>
        </w:rPr>
        <w:t>–</w:t>
      </w:r>
      <w:r w:rsidRPr="00FA2DFD">
        <w:rPr>
          <w:rFonts w:ascii="Times New (W1)" w:hAnsi="Times New (W1)"/>
          <w:lang w:eastAsia="en-AU"/>
        </w:rPr>
        <w:t>14.</w:t>
      </w:r>
    </w:p>
    <w:p w:rsidR="00D85FAC" w:rsidRDefault="00D85FAC" w:rsidP="00D85FAC">
      <w:pPr>
        <w:pStyle w:val="referencelist1"/>
        <w:rPr>
          <w:lang w:eastAsia="en-AU"/>
        </w:rPr>
      </w:pPr>
      <w:r w:rsidRPr="00BA2037">
        <w:rPr>
          <w:lang w:eastAsia="en-AU"/>
        </w:rPr>
        <w:t>La</w:t>
      </w:r>
      <w:r>
        <w:rPr>
          <w:lang w:eastAsia="en-AU"/>
        </w:rPr>
        <w:t>z</w:t>
      </w:r>
      <w:r w:rsidRPr="00BA2037">
        <w:rPr>
          <w:lang w:eastAsia="en-AU"/>
        </w:rPr>
        <w:t xml:space="preserve">erte BD, van Loon G, Anderson, </w:t>
      </w:r>
      <w:proofErr w:type="gramStart"/>
      <w:r w:rsidRPr="00BA2037">
        <w:rPr>
          <w:lang w:eastAsia="en-AU"/>
        </w:rPr>
        <w:t>B</w:t>
      </w:r>
      <w:proofErr w:type="gramEnd"/>
      <w:r w:rsidRPr="00BA2037">
        <w:rPr>
          <w:lang w:eastAsia="en-AU"/>
        </w:rPr>
        <w:t xml:space="preserve">. 1997. </w:t>
      </w:r>
      <w:proofErr w:type="gramStart"/>
      <w:r w:rsidRPr="00BA2037">
        <w:rPr>
          <w:lang w:eastAsia="en-AU"/>
        </w:rPr>
        <w:t>Aluminum in water.</w:t>
      </w:r>
      <w:proofErr w:type="gramEnd"/>
      <w:r w:rsidRPr="00BA2037">
        <w:rPr>
          <w:lang w:eastAsia="en-AU"/>
        </w:rPr>
        <w:t xml:space="preserve"> </w:t>
      </w:r>
      <w:proofErr w:type="gramStart"/>
      <w:r w:rsidRPr="00BA2037">
        <w:rPr>
          <w:lang w:eastAsia="en-AU"/>
        </w:rPr>
        <w:t xml:space="preserve">In </w:t>
      </w:r>
      <w:r w:rsidRPr="00BA2037">
        <w:rPr>
          <w:i/>
          <w:lang w:eastAsia="en-AU"/>
        </w:rPr>
        <w:t xml:space="preserve">Research </w:t>
      </w:r>
      <w:r>
        <w:rPr>
          <w:i/>
          <w:lang w:eastAsia="en-AU"/>
        </w:rPr>
        <w:t>i</w:t>
      </w:r>
      <w:r w:rsidRPr="00BA2037">
        <w:rPr>
          <w:i/>
          <w:lang w:eastAsia="en-AU"/>
        </w:rPr>
        <w:t xml:space="preserve">ssues in </w:t>
      </w:r>
      <w:r>
        <w:rPr>
          <w:i/>
          <w:lang w:eastAsia="en-AU"/>
        </w:rPr>
        <w:t>a</w:t>
      </w:r>
      <w:r w:rsidRPr="00BA2037">
        <w:rPr>
          <w:i/>
          <w:lang w:eastAsia="en-AU"/>
        </w:rPr>
        <w:t xml:space="preserve">luminum </w:t>
      </w:r>
      <w:r>
        <w:rPr>
          <w:i/>
          <w:lang w:eastAsia="en-AU"/>
        </w:rPr>
        <w:t>t</w:t>
      </w:r>
      <w:r w:rsidRPr="00BA2037">
        <w:rPr>
          <w:i/>
          <w:lang w:eastAsia="en-AU"/>
        </w:rPr>
        <w:t>oxicity</w:t>
      </w:r>
      <w:r w:rsidRPr="00BA2037">
        <w:rPr>
          <w:lang w:eastAsia="en-AU"/>
        </w:rPr>
        <w:t>.</w:t>
      </w:r>
      <w:proofErr w:type="gramEnd"/>
      <w:r w:rsidRPr="00BA2037">
        <w:rPr>
          <w:lang w:eastAsia="en-AU"/>
        </w:rPr>
        <w:t xml:space="preserve"> </w:t>
      </w:r>
      <w:proofErr w:type="gramStart"/>
      <w:r>
        <w:rPr>
          <w:lang w:eastAsia="en-AU"/>
        </w:rPr>
        <w:t>eds</w:t>
      </w:r>
      <w:proofErr w:type="gramEnd"/>
      <w:r>
        <w:rPr>
          <w:lang w:eastAsia="en-AU"/>
        </w:rPr>
        <w:t xml:space="preserve"> </w:t>
      </w:r>
      <w:r w:rsidRPr="00BA2037">
        <w:rPr>
          <w:lang w:eastAsia="en-AU"/>
        </w:rPr>
        <w:t>Yokel RA</w:t>
      </w:r>
      <w:r>
        <w:rPr>
          <w:lang w:eastAsia="en-AU"/>
        </w:rPr>
        <w:t xml:space="preserve"> &amp;</w:t>
      </w:r>
      <w:r w:rsidRPr="00BA2037">
        <w:rPr>
          <w:lang w:eastAsia="en-AU"/>
        </w:rPr>
        <w:t xml:space="preserve"> Golub MS, Taylor </w:t>
      </w:r>
      <w:r>
        <w:rPr>
          <w:lang w:eastAsia="en-AU"/>
        </w:rPr>
        <w:t>&amp;</w:t>
      </w:r>
      <w:r w:rsidRPr="00BA2037">
        <w:rPr>
          <w:lang w:eastAsia="en-AU"/>
        </w:rPr>
        <w:t xml:space="preserve"> Francis, Washington DC, USA, 17</w:t>
      </w:r>
      <w:r>
        <w:rPr>
          <w:lang w:eastAsia="en-AU"/>
        </w:rPr>
        <w:t>–</w:t>
      </w:r>
      <w:r w:rsidRPr="00BA2037">
        <w:rPr>
          <w:lang w:eastAsia="en-AU"/>
        </w:rPr>
        <w:t>45.</w:t>
      </w:r>
    </w:p>
    <w:p w:rsidR="00D85FAC" w:rsidRDefault="00D85FAC" w:rsidP="00D85FAC">
      <w:pPr>
        <w:pStyle w:val="referencelist1"/>
        <w:rPr>
          <w:lang w:eastAsia="en-AU"/>
        </w:rPr>
      </w:pPr>
      <w:r w:rsidRPr="00E7318E">
        <w:rPr>
          <w:lang w:eastAsia="en-AU"/>
        </w:rPr>
        <w:t xml:space="preserve">Noller BN, Cusbert PJ, Currey NA, Bradley PH, Tuor M. 1985. </w:t>
      </w:r>
      <w:proofErr w:type="gramStart"/>
      <w:r w:rsidRPr="00E7318E">
        <w:rPr>
          <w:lang w:eastAsia="en-AU"/>
        </w:rPr>
        <w:t>Analytical scheme for speciation of aluminium in natural waters.</w:t>
      </w:r>
      <w:proofErr w:type="gramEnd"/>
      <w:r w:rsidRPr="00E7318E">
        <w:rPr>
          <w:lang w:eastAsia="en-AU"/>
        </w:rPr>
        <w:t xml:space="preserve"> </w:t>
      </w:r>
      <w:r w:rsidRPr="00E7318E">
        <w:rPr>
          <w:i/>
          <w:iCs/>
          <w:lang w:eastAsia="en-AU"/>
        </w:rPr>
        <w:t>Environ Technol Lett</w:t>
      </w:r>
      <w:r w:rsidRPr="00E7318E">
        <w:rPr>
          <w:lang w:eastAsia="en-AU"/>
        </w:rPr>
        <w:t xml:space="preserve"> 6</w:t>
      </w:r>
      <w:r>
        <w:rPr>
          <w:lang w:eastAsia="en-AU"/>
        </w:rPr>
        <w:t xml:space="preserve">, </w:t>
      </w:r>
      <w:r w:rsidRPr="00E7318E">
        <w:rPr>
          <w:lang w:eastAsia="en-AU"/>
        </w:rPr>
        <w:t>381</w:t>
      </w:r>
      <w:r>
        <w:rPr>
          <w:lang w:eastAsia="en-AU"/>
        </w:rPr>
        <w:t>–</w:t>
      </w:r>
      <w:r w:rsidRPr="00E7318E">
        <w:rPr>
          <w:lang w:eastAsia="en-AU"/>
        </w:rPr>
        <w:t>390.</w:t>
      </w:r>
    </w:p>
    <w:p w:rsidR="00D85FAC" w:rsidRDefault="00D85FAC" w:rsidP="00D85FAC">
      <w:pPr>
        <w:pStyle w:val="referencelist1"/>
        <w:rPr>
          <w:lang w:eastAsia="en-AU"/>
        </w:rPr>
      </w:pPr>
      <w:proofErr w:type="gramStart"/>
      <w:r w:rsidRPr="00FA2DFD">
        <w:rPr>
          <w:lang w:eastAsia="en-AU"/>
        </w:rPr>
        <w:t>Parker GP, Noller BN</w:t>
      </w:r>
      <w:r>
        <w:rPr>
          <w:lang w:eastAsia="en-AU"/>
        </w:rPr>
        <w:t xml:space="preserve"> &amp;</w:t>
      </w:r>
      <w:r w:rsidRPr="00FA2DFD">
        <w:rPr>
          <w:lang w:eastAsia="en-AU"/>
        </w:rPr>
        <w:t xml:space="preserve"> Woods PH. 1996.</w:t>
      </w:r>
      <w:proofErr w:type="gramEnd"/>
      <w:r w:rsidRPr="00FA2DFD">
        <w:rPr>
          <w:lang w:eastAsia="en-AU"/>
        </w:rPr>
        <w:t xml:space="preserve"> </w:t>
      </w:r>
      <w:proofErr w:type="gramStart"/>
      <w:r w:rsidRPr="00FA2DFD">
        <w:rPr>
          <w:lang w:eastAsia="en-AU"/>
        </w:rPr>
        <w:t>Water quality and its origin in some mined-out pits of the monsoonal zone of the Northern Territory, Australia.</w:t>
      </w:r>
      <w:proofErr w:type="gramEnd"/>
      <w:r w:rsidRPr="00FA2DFD">
        <w:rPr>
          <w:lang w:eastAsia="en-AU"/>
        </w:rPr>
        <w:t xml:space="preserve"> Proceedings of the 3rd International 21st Annual Minerals Council of Australia Environmental Workshop, Minerals Council of Australia, Canberra, Australia, October 14</w:t>
      </w:r>
      <w:r>
        <w:rPr>
          <w:lang w:eastAsia="en-AU"/>
        </w:rPr>
        <w:t>–</w:t>
      </w:r>
      <w:r w:rsidRPr="00FA2DFD">
        <w:rPr>
          <w:lang w:eastAsia="en-AU"/>
        </w:rPr>
        <w:t>18, 1996.</w:t>
      </w:r>
    </w:p>
    <w:p w:rsidR="00D85FAC" w:rsidRDefault="00D85FAC" w:rsidP="00D85FAC">
      <w:pPr>
        <w:pStyle w:val="referencelist1"/>
        <w:rPr>
          <w:lang w:eastAsia="en-AU"/>
        </w:rPr>
      </w:pPr>
      <w:proofErr w:type="gramStart"/>
      <w:r w:rsidRPr="00196E2D">
        <w:rPr>
          <w:lang w:eastAsia="en-AU"/>
        </w:rPr>
        <w:lastRenderedPageBreak/>
        <w:t>Perdue EM, Beck KC</w:t>
      </w:r>
      <w:r>
        <w:rPr>
          <w:lang w:eastAsia="en-AU"/>
        </w:rPr>
        <w:t xml:space="preserve"> &amp;</w:t>
      </w:r>
      <w:r w:rsidRPr="00196E2D">
        <w:rPr>
          <w:lang w:eastAsia="en-AU"/>
        </w:rPr>
        <w:t xml:space="preserve"> Helmet Reuter J 1976.</w:t>
      </w:r>
      <w:proofErr w:type="gramEnd"/>
      <w:r w:rsidRPr="00196E2D">
        <w:rPr>
          <w:lang w:eastAsia="en-AU"/>
        </w:rPr>
        <w:t xml:space="preserve"> </w:t>
      </w:r>
      <w:proofErr w:type="gramStart"/>
      <w:r w:rsidRPr="00196E2D">
        <w:rPr>
          <w:lang w:eastAsia="en-AU"/>
        </w:rPr>
        <w:t>Organic complexes of iron and aluminium in natural waters.</w:t>
      </w:r>
      <w:proofErr w:type="gramEnd"/>
      <w:r w:rsidRPr="00196E2D">
        <w:rPr>
          <w:lang w:eastAsia="en-AU"/>
        </w:rPr>
        <w:t xml:space="preserve"> </w:t>
      </w:r>
      <w:r w:rsidRPr="00196E2D">
        <w:rPr>
          <w:i/>
          <w:iCs/>
          <w:lang w:eastAsia="en-AU"/>
        </w:rPr>
        <w:t>Nature</w:t>
      </w:r>
      <w:r w:rsidRPr="00196E2D">
        <w:rPr>
          <w:lang w:eastAsia="en-AU"/>
        </w:rPr>
        <w:t xml:space="preserve"> 260</w:t>
      </w:r>
      <w:r>
        <w:rPr>
          <w:lang w:eastAsia="en-AU"/>
        </w:rPr>
        <w:t xml:space="preserve">, </w:t>
      </w:r>
      <w:r w:rsidRPr="00196E2D">
        <w:rPr>
          <w:lang w:eastAsia="en-AU"/>
        </w:rPr>
        <w:t>418</w:t>
      </w:r>
      <w:r>
        <w:rPr>
          <w:lang w:eastAsia="en-AU"/>
        </w:rPr>
        <w:t>–</w:t>
      </w:r>
      <w:r w:rsidRPr="00196E2D">
        <w:rPr>
          <w:lang w:eastAsia="en-AU"/>
        </w:rPr>
        <w:t>420.</w:t>
      </w:r>
    </w:p>
    <w:p w:rsidR="00D85FAC" w:rsidRDefault="00D85FAC" w:rsidP="00D85FAC">
      <w:pPr>
        <w:pStyle w:val="referencelist1"/>
        <w:rPr>
          <w:lang w:eastAsia="en-AU"/>
        </w:rPr>
      </w:pPr>
      <w:proofErr w:type="gramStart"/>
      <w:r w:rsidRPr="00196E2D">
        <w:rPr>
          <w:lang w:eastAsia="en-AU"/>
        </w:rPr>
        <w:t>Peuranen S, Keinanen M, Tigerstedt C</w:t>
      </w:r>
      <w:r>
        <w:rPr>
          <w:lang w:eastAsia="en-AU"/>
        </w:rPr>
        <w:t xml:space="preserve"> &amp;</w:t>
      </w:r>
      <w:r w:rsidRPr="00196E2D">
        <w:rPr>
          <w:lang w:eastAsia="en-AU"/>
        </w:rPr>
        <w:t xml:space="preserve"> Vuorinen PJ.</w:t>
      </w:r>
      <w:proofErr w:type="gramEnd"/>
      <w:r w:rsidRPr="00196E2D">
        <w:rPr>
          <w:lang w:eastAsia="en-AU"/>
        </w:rPr>
        <w:t xml:space="preserve"> 2003. Effects of temperature on the recovery of juvenile grayling (</w:t>
      </w:r>
      <w:r w:rsidRPr="00196E2D">
        <w:rPr>
          <w:i/>
          <w:iCs/>
          <w:lang w:eastAsia="en-AU"/>
        </w:rPr>
        <w:t>Thymallus thymallus</w:t>
      </w:r>
      <w:r w:rsidRPr="00196E2D">
        <w:rPr>
          <w:lang w:eastAsia="en-AU"/>
        </w:rPr>
        <w:t xml:space="preserve">) from exposure to Al + Fe. </w:t>
      </w:r>
      <w:r w:rsidRPr="00196E2D">
        <w:rPr>
          <w:i/>
          <w:iCs/>
          <w:lang w:eastAsia="en-AU"/>
        </w:rPr>
        <w:t>Aquat Toxicol</w:t>
      </w:r>
      <w:r w:rsidRPr="00196E2D">
        <w:rPr>
          <w:lang w:eastAsia="en-AU"/>
        </w:rPr>
        <w:t xml:space="preserve"> 65</w:t>
      </w:r>
      <w:r>
        <w:rPr>
          <w:lang w:eastAsia="en-AU"/>
        </w:rPr>
        <w:t xml:space="preserve">, </w:t>
      </w:r>
      <w:r w:rsidRPr="00196E2D">
        <w:rPr>
          <w:lang w:eastAsia="en-AU"/>
        </w:rPr>
        <w:t>73</w:t>
      </w:r>
      <w:r>
        <w:rPr>
          <w:lang w:eastAsia="en-AU"/>
        </w:rPr>
        <w:t>–</w:t>
      </w:r>
      <w:r w:rsidRPr="00196E2D">
        <w:rPr>
          <w:lang w:eastAsia="en-AU"/>
        </w:rPr>
        <w:t>84.</w:t>
      </w:r>
    </w:p>
    <w:p w:rsidR="00D85FAC" w:rsidRDefault="00D85FAC" w:rsidP="00D85FAC">
      <w:pPr>
        <w:pStyle w:val="referencelist1"/>
        <w:rPr>
          <w:lang w:eastAsia="en-AU"/>
        </w:rPr>
      </w:pPr>
      <w:proofErr w:type="gramStart"/>
      <w:r w:rsidRPr="008409CD">
        <w:rPr>
          <w:lang w:eastAsia="en-AU"/>
        </w:rPr>
        <w:t>R</w:t>
      </w:r>
      <w:r>
        <w:rPr>
          <w:lang w:eastAsia="en-AU"/>
        </w:rPr>
        <w:t xml:space="preserve"> software version 2.10.1.</w:t>
      </w:r>
      <w:proofErr w:type="gramEnd"/>
      <w:r>
        <w:rPr>
          <w:lang w:eastAsia="en-AU"/>
        </w:rPr>
        <w:t xml:space="preserve"> 2009.</w:t>
      </w:r>
      <w:r w:rsidRPr="008409CD">
        <w:rPr>
          <w:lang w:eastAsia="en-AU"/>
        </w:rPr>
        <w:t xml:space="preserve"> The R project for statistical computing. Vienna, Austria.</w:t>
      </w:r>
    </w:p>
    <w:p w:rsidR="00D85FAC" w:rsidRDefault="00D85FAC" w:rsidP="00D85FAC">
      <w:pPr>
        <w:pStyle w:val="referencelist1"/>
        <w:rPr>
          <w:lang w:eastAsia="en-AU"/>
        </w:rPr>
      </w:pPr>
      <w:proofErr w:type="gramStart"/>
      <w:r>
        <w:rPr>
          <w:lang w:eastAsia="en-AU"/>
        </w:rPr>
        <w:t xml:space="preserve">Roy R &amp; </w:t>
      </w:r>
      <w:r w:rsidRPr="00BA2037">
        <w:rPr>
          <w:lang w:eastAsia="en-AU"/>
        </w:rPr>
        <w:t>Campbell P 1995.</w:t>
      </w:r>
      <w:proofErr w:type="gramEnd"/>
      <w:r w:rsidRPr="00BA2037">
        <w:rPr>
          <w:lang w:eastAsia="en-AU"/>
        </w:rPr>
        <w:t xml:space="preserve"> </w:t>
      </w:r>
      <w:proofErr w:type="gramStart"/>
      <w:r w:rsidRPr="00BA2037">
        <w:rPr>
          <w:lang w:eastAsia="en-AU"/>
        </w:rPr>
        <w:t>Survival time modeling of exposure of juvenile Atlantic salmon (</w:t>
      </w:r>
      <w:r w:rsidRPr="00BA2037">
        <w:rPr>
          <w:i/>
          <w:iCs/>
          <w:lang w:eastAsia="en-AU"/>
        </w:rPr>
        <w:t>Salmo salar</w:t>
      </w:r>
      <w:r w:rsidRPr="00BA2037">
        <w:rPr>
          <w:lang w:eastAsia="en-AU"/>
        </w:rPr>
        <w:t>) to mixtures of aluminium and zinc in soft water at low pH.</w:t>
      </w:r>
      <w:proofErr w:type="gramEnd"/>
      <w:r w:rsidRPr="00BA2037">
        <w:rPr>
          <w:lang w:eastAsia="en-AU"/>
        </w:rPr>
        <w:t xml:space="preserve"> </w:t>
      </w:r>
      <w:r w:rsidRPr="00BA2037">
        <w:rPr>
          <w:i/>
          <w:iCs/>
          <w:lang w:eastAsia="en-AU"/>
        </w:rPr>
        <w:t>Aquat Toxicol</w:t>
      </w:r>
      <w:r w:rsidRPr="00BA2037">
        <w:rPr>
          <w:lang w:eastAsia="en-AU"/>
        </w:rPr>
        <w:t xml:space="preserve"> 33</w:t>
      </w:r>
      <w:r>
        <w:rPr>
          <w:lang w:eastAsia="en-AU"/>
        </w:rPr>
        <w:t xml:space="preserve">, </w:t>
      </w:r>
      <w:r w:rsidRPr="00BA2037">
        <w:rPr>
          <w:lang w:eastAsia="en-AU"/>
        </w:rPr>
        <w:t>155</w:t>
      </w:r>
      <w:r>
        <w:rPr>
          <w:lang w:eastAsia="en-AU"/>
        </w:rPr>
        <w:t>–</w:t>
      </w:r>
      <w:r w:rsidRPr="00BA2037">
        <w:rPr>
          <w:lang w:eastAsia="en-AU"/>
        </w:rPr>
        <w:t>176.</w:t>
      </w:r>
    </w:p>
    <w:p w:rsidR="00D85FAC" w:rsidRDefault="00D85FAC" w:rsidP="00D85FAC">
      <w:pPr>
        <w:pStyle w:val="referencelist1"/>
        <w:rPr>
          <w:lang w:eastAsia="en-AU"/>
        </w:rPr>
      </w:pPr>
      <w:proofErr w:type="gramStart"/>
      <w:r w:rsidRPr="00196E2D">
        <w:rPr>
          <w:lang w:eastAsia="en-AU"/>
        </w:rPr>
        <w:t>Tipping E 2002.</w:t>
      </w:r>
      <w:proofErr w:type="gramEnd"/>
      <w:r w:rsidRPr="00196E2D">
        <w:rPr>
          <w:lang w:eastAsia="en-AU"/>
        </w:rPr>
        <w:t xml:space="preserve"> </w:t>
      </w:r>
      <w:proofErr w:type="gramStart"/>
      <w:r w:rsidRPr="00196E2D">
        <w:rPr>
          <w:i/>
          <w:lang w:eastAsia="en-AU"/>
        </w:rPr>
        <w:t>Cation binding by humic substances</w:t>
      </w:r>
      <w:r w:rsidRPr="00196E2D">
        <w:rPr>
          <w:lang w:eastAsia="en-AU"/>
        </w:rPr>
        <w:t>.</w:t>
      </w:r>
      <w:proofErr w:type="gramEnd"/>
      <w:r w:rsidRPr="00196E2D">
        <w:rPr>
          <w:lang w:eastAsia="en-AU"/>
        </w:rPr>
        <w:t xml:space="preserve"> Cambridge University Press, New York, USA.</w:t>
      </w:r>
    </w:p>
    <w:p w:rsidR="00D85FAC" w:rsidRDefault="00D85FAC" w:rsidP="00D85FAC">
      <w:pPr>
        <w:pStyle w:val="referencelist1"/>
        <w:rPr>
          <w:iCs/>
          <w:lang w:eastAsia="en-AU"/>
        </w:rPr>
      </w:pPr>
      <w:r w:rsidRPr="00E7318E">
        <w:rPr>
          <w:lang w:eastAsia="en-AU"/>
        </w:rPr>
        <w:t>Trenfield MA, Ng JC, Noller BN, Markich SJ</w:t>
      </w:r>
      <w:r>
        <w:rPr>
          <w:lang w:eastAsia="en-AU"/>
        </w:rPr>
        <w:t xml:space="preserve"> &amp;</w:t>
      </w:r>
      <w:r w:rsidRPr="00E7318E">
        <w:rPr>
          <w:lang w:eastAsia="en-AU"/>
        </w:rPr>
        <w:t xml:space="preserve"> van Dam</w:t>
      </w:r>
      <w:r w:rsidRPr="00E7318E">
        <w:rPr>
          <w:vertAlign w:val="superscript"/>
          <w:lang w:eastAsia="en-AU"/>
        </w:rPr>
        <w:t xml:space="preserve"> </w:t>
      </w:r>
      <w:r w:rsidRPr="00E7318E">
        <w:rPr>
          <w:lang w:eastAsia="en-AU"/>
        </w:rPr>
        <w:t xml:space="preserve">RA 2011. Dissolved organic carbon reduces uranium bioavailability and toxicity. 2. </w:t>
      </w:r>
      <w:proofErr w:type="gramStart"/>
      <w:r w:rsidRPr="00E7318E">
        <w:rPr>
          <w:lang w:eastAsia="en-AU"/>
        </w:rPr>
        <w:t>Uranium[</w:t>
      </w:r>
      <w:proofErr w:type="gramEnd"/>
      <w:r w:rsidRPr="00E7318E">
        <w:rPr>
          <w:lang w:eastAsia="en-AU"/>
        </w:rPr>
        <w:t xml:space="preserve">VI] speciation and toxicity to three tropical freshwater organisms. </w:t>
      </w:r>
      <w:r w:rsidRPr="00E7318E">
        <w:rPr>
          <w:i/>
          <w:iCs/>
          <w:lang w:eastAsia="en-AU"/>
        </w:rPr>
        <w:t>Environ Sci Technol</w:t>
      </w:r>
      <w:r w:rsidRPr="00E7318E">
        <w:rPr>
          <w:iCs/>
          <w:lang w:eastAsia="en-AU"/>
        </w:rPr>
        <w:t xml:space="preserve"> 45</w:t>
      </w:r>
      <w:r>
        <w:rPr>
          <w:iCs/>
          <w:lang w:eastAsia="en-AU"/>
        </w:rPr>
        <w:t xml:space="preserve">, </w:t>
      </w:r>
      <w:r w:rsidRPr="00E7318E">
        <w:rPr>
          <w:iCs/>
          <w:lang w:eastAsia="en-AU"/>
        </w:rPr>
        <w:t>3082</w:t>
      </w:r>
      <w:r>
        <w:rPr>
          <w:iCs/>
          <w:lang w:eastAsia="en-AU"/>
        </w:rPr>
        <w:t>–</w:t>
      </w:r>
      <w:r w:rsidRPr="00E7318E">
        <w:rPr>
          <w:iCs/>
          <w:lang w:eastAsia="en-AU"/>
        </w:rPr>
        <w:t>3089.</w:t>
      </w:r>
    </w:p>
    <w:p w:rsidR="00D85FAC" w:rsidRDefault="00D85FAC" w:rsidP="00D85FAC">
      <w:pPr>
        <w:pStyle w:val="referencelist1"/>
        <w:rPr>
          <w:lang w:eastAsia="en-AU"/>
        </w:rPr>
      </w:pPr>
      <w:proofErr w:type="gramStart"/>
      <w:r w:rsidRPr="00196E2D">
        <w:rPr>
          <w:lang w:eastAsia="en-AU"/>
        </w:rPr>
        <w:t>Vance G, Stevenson F</w:t>
      </w:r>
      <w:r>
        <w:rPr>
          <w:lang w:eastAsia="en-AU"/>
        </w:rPr>
        <w:t xml:space="preserve"> &amp;</w:t>
      </w:r>
      <w:r w:rsidRPr="00196E2D">
        <w:rPr>
          <w:lang w:eastAsia="en-AU"/>
        </w:rPr>
        <w:t xml:space="preserve"> Sikora F 1996.</w:t>
      </w:r>
      <w:proofErr w:type="gramEnd"/>
      <w:r w:rsidRPr="00196E2D">
        <w:rPr>
          <w:lang w:eastAsia="en-AU"/>
        </w:rPr>
        <w:t xml:space="preserve"> </w:t>
      </w:r>
      <w:proofErr w:type="gramStart"/>
      <w:r w:rsidRPr="00196E2D">
        <w:rPr>
          <w:lang w:eastAsia="en-AU"/>
        </w:rPr>
        <w:t>Environmental chemistry of aluminum-organic complexes.</w:t>
      </w:r>
      <w:proofErr w:type="gramEnd"/>
      <w:r w:rsidRPr="00196E2D">
        <w:rPr>
          <w:color w:val="0000FF"/>
          <w:lang w:eastAsia="en-AU"/>
        </w:rPr>
        <w:t xml:space="preserve"> </w:t>
      </w:r>
      <w:r w:rsidRPr="00196E2D">
        <w:rPr>
          <w:lang w:eastAsia="en-AU"/>
        </w:rPr>
        <w:t xml:space="preserve">In </w:t>
      </w:r>
      <w:r w:rsidRPr="00196E2D">
        <w:rPr>
          <w:i/>
          <w:lang w:eastAsia="en-AU"/>
        </w:rPr>
        <w:t xml:space="preserve">The Environmental </w:t>
      </w:r>
      <w:r>
        <w:rPr>
          <w:i/>
          <w:lang w:eastAsia="en-AU"/>
        </w:rPr>
        <w:t>c</w:t>
      </w:r>
      <w:r w:rsidRPr="00196E2D">
        <w:rPr>
          <w:i/>
          <w:lang w:eastAsia="en-AU"/>
        </w:rPr>
        <w:t xml:space="preserve">hemistry of </w:t>
      </w:r>
      <w:r>
        <w:rPr>
          <w:i/>
          <w:lang w:eastAsia="en-AU"/>
        </w:rPr>
        <w:t>a</w:t>
      </w:r>
      <w:r w:rsidRPr="00196E2D">
        <w:rPr>
          <w:i/>
          <w:lang w:eastAsia="en-AU"/>
        </w:rPr>
        <w:t>luminum</w:t>
      </w:r>
      <w:r w:rsidRPr="00196E2D">
        <w:rPr>
          <w:lang w:eastAsia="en-AU"/>
        </w:rPr>
        <w:t xml:space="preserve">, 2nd </w:t>
      </w:r>
      <w:proofErr w:type="gramStart"/>
      <w:r w:rsidRPr="00196E2D">
        <w:rPr>
          <w:lang w:eastAsia="en-AU"/>
        </w:rPr>
        <w:t>ed</w:t>
      </w:r>
      <w:proofErr w:type="gramEnd"/>
      <w:r>
        <w:rPr>
          <w:lang w:eastAsia="en-AU"/>
        </w:rPr>
        <w:t>,</w:t>
      </w:r>
      <w:r w:rsidRPr="00196E2D">
        <w:rPr>
          <w:lang w:eastAsia="en-AU"/>
        </w:rPr>
        <w:t xml:space="preserve"> </w:t>
      </w:r>
      <w:r>
        <w:rPr>
          <w:lang w:eastAsia="en-AU"/>
        </w:rPr>
        <w:t xml:space="preserve">ed </w:t>
      </w:r>
      <w:r w:rsidRPr="00196E2D">
        <w:rPr>
          <w:lang w:eastAsia="en-AU"/>
        </w:rPr>
        <w:t>Sposito G, Lewis Publis</w:t>
      </w:r>
      <w:r>
        <w:rPr>
          <w:lang w:eastAsia="en-AU"/>
        </w:rPr>
        <w:t>hers, New York, USA, 169–</w:t>
      </w:r>
      <w:r w:rsidRPr="00196E2D">
        <w:rPr>
          <w:lang w:eastAsia="en-AU"/>
        </w:rPr>
        <w:t>220.</w:t>
      </w:r>
    </w:p>
    <w:p w:rsidR="00D85FAC" w:rsidRDefault="00D85FAC" w:rsidP="00D85FAC">
      <w:pPr>
        <w:pStyle w:val="referencelist1"/>
        <w:rPr>
          <w:lang w:eastAsia="en-AU"/>
        </w:rPr>
      </w:pPr>
      <w:proofErr w:type="gramStart"/>
      <w:r w:rsidRPr="00FA2DFD">
        <w:rPr>
          <w:lang w:eastAsia="en-AU"/>
        </w:rPr>
        <w:t>van</w:t>
      </w:r>
      <w:proofErr w:type="gramEnd"/>
      <w:r w:rsidRPr="00FA2DFD">
        <w:rPr>
          <w:lang w:eastAsia="en-AU"/>
        </w:rPr>
        <w:t xml:space="preserve"> Dam RA, Hogan A, Harford A</w:t>
      </w:r>
      <w:r>
        <w:rPr>
          <w:lang w:eastAsia="en-AU"/>
        </w:rPr>
        <w:t xml:space="preserve"> &amp;</w:t>
      </w:r>
      <w:r w:rsidRPr="00FA2DFD">
        <w:rPr>
          <w:lang w:eastAsia="en-AU"/>
        </w:rPr>
        <w:t xml:space="preserve"> Markich SJ 2008. Toxicity and metal speciation characterisation of waste water from an abandoned gold mine in tropical northern Australia. </w:t>
      </w:r>
      <w:r w:rsidRPr="00FA2DFD">
        <w:rPr>
          <w:i/>
          <w:iCs/>
          <w:lang w:eastAsia="en-AU"/>
        </w:rPr>
        <w:t>Chemosphere</w:t>
      </w:r>
      <w:r>
        <w:rPr>
          <w:lang w:eastAsia="en-AU"/>
        </w:rPr>
        <w:t xml:space="preserve"> 73, 305–313.</w:t>
      </w:r>
    </w:p>
    <w:p w:rsidR="00D85FAC" w:rsidRDefault="00D85FAC" w:rsidP="00D85FAC">
      <w:pPr>
        <w:pStyle w:val="referencelist1"/>
        <w:rPr>
          <w:lang w:eastAsia="en-AU"/>
        </w:rPr>
      </w:pPr>
    </w:p>
    <w:p w:rsidR="00D85FAC" w:rsidRDefault="00D85FAC" w:rsidP="00D85FAC">
      <w:pPr>
        <w:pStyle w:val="Heading4"/>
        <w:sectPr w:rsidR="00D85FAC" w:rsidSect="00D85FAC">
          <w:headerReference w:type="default" r:id="rId31"/>
          <w:footerReference w:type="default" r:id="rId32"/>
          <w:footerReference w:type="first" r:id="rId33"/>
          <w:footnotePr>
            <w:numRestart w:val="eachSect"/>
          </w:footnotePr>
          <w:pgSz w:w="11907" w:h="16839" w:code="9"/>
          <w:pgMar w:top="1440" w:right="1797" w:bottom="1440" w:left="1797" w:header="851" w:footer="833" w:gutter="0"/>
          <w:cols w:space="360"/>
          <w:noEndnote/>
        </w:sectPr>
      </w:pPr>
      <w:bookmarkStart w:id="60" w:name="_Toc309215788"/>
    </w:p>
    <w:p w:rsidR="00D85FAC" w:rsidRDefault="00D85FAC" w:rsidP="00D85FAC">
      <w:pPr>
        <w:pStyle w:val="Heading1"/>
      </w:pPr>
      <w:bookmarkStart w:id="61" w:name="_Toc319670707"/>
      <w:r w:rsidRPr="00A7477E">
        <w:lastRenderedPageBreak/>
        <w:t xml:space="preserve">Ecotoxicological assessment of </w:t>
      </w:r>
      <w:r>
        <w:t>distillate</w:t>
      </w:r>
      <w:r w:rsidRPr="00A7477E">
        <w:t xml:space="preserve"> from a pilot brine concentrator plant</w:t>
      </w:r>
      <w:bookmarkEnd w:id="60"/>
      <w:bookmarkEnd w:id="61"/>
    </w:p>
    <w:p w:rsidR="00D85FAC" w:rsidRPr="008E44C5" w:rsidRDefault="00D85FAC" w:rsidP="00D85FAC">
      <w:pPr>
        <w:pStyle w:val="authors"/>
        <w:spacing w:after="800"/>
      </w:pPr>
      <w:bookmarkStart w:id="62" w:name="_Toc316987210"/>
      <w:bookmarkStart w:id="63" w:name="_Toc319670708"/>
      <w:r>
        <w:t>AJ Harford &amp; RA van Dam</w:t>
      </w:r>
      <w:bookmarkEnd w:id="62"/>
      <w:bookmarkEnd w:id="63"/>
    </w:p>
    <w:p w:rsidR="00D85FAC" w:rsidRPr="00A7477E" w:rsidRDefault="00D85FAC" w:rsidP="00D85FAC">
      <w:pPr>
        <w:pStyle w:val="Heading2"/>
      </w:pPr>
      <w:bookmarkStart w:id="64" w:name="_Toc313523417"/>
      <w:bookmarkStart w:id="65" w:name="_Toc316985260"/>
      <w:r w:rsidRPr="00A7477E">
        <w:t>Background</w:t>
      </w:r>
      <w:bookmarkEnd w:id="64"/>
      <w:bookmarkEnd w:id="65"/>
    </w:p>
    <w:p w:rsidR="00D85FAC" w:rsidRPr="00A7477E" w:rsidRDefault="00D85FAC" w:rsidP="00D85FAC">
      <w:r>
        <w:t>Steadily i</w:t>
      </w:r>
      <w:r w:rsidRPr="00A7477E">
        <w:t xml:space="preserve">ncreasing process water inventory </w:t>
      </w:r>
      <w:r>
        <w:t>at</w:t>
      </w:r>
      <w:r w:rsidRPr="00A7477E">
        <w:t xml:space="preserve"> the Ranger </w:t>
      </w:r>
      <w:r>
        <w:t xml:space="preserve">uranium </w:t>
      </w:r>
      <w:r w:rsidRPr="00A7477E">
        <w:t>mine</w:t>
      </w:r>
      <w:r>
        <w:t xml:space="preserve"> </w:t>
      </w:r>
      <w:r w:rsidRPr="00A7477E">
        <w:t xml:space="preserve">has become a </w:t>
      </w:r>
      <w:r>
        <w:t>major</w:t>
      </w:r>
      <w:r w:rsidRPr="00A7477E">
        <w:t xml:space="preserve"> operational issue for Energy Resources of Australia Ltd </w:t>
      </w:r>
      <w:r>
        <w:t>(ERA). Following an assessment of potential technology options ERA decided that brine concentration was the most viable route to reduce the inventory. A</w:t>
      </w:r>
      <w:r w:rsidRPr="00A7477E">
        <w:t xml:space="preserve"> brine concentrator would produce large volumes of a purified water product (distillate) and a </w:t>
      </w:r>
      <w:r>
        <w:t xml:space="preserve">waste stream containing the salts present in the process water </w:t>
      </w:r>
      <w:r w:rsidRPr="00A7477E">
        <w:t xml:space="preserve">(brine </w:t>
      </w:r>
      <w:proofErr w:type="gramStart"/>
      <w:r w:rsidRPr="00A7477E">
        <w:t>concentrate</w:t>
      </w:r>
      <w:proofErr w:type="gramEnd"/>
      <w:r w:rsidRPr="00A7477E">
        <w:t xml:space="preserve">). The distillate will be released into the environment via a yet to be determined method, while the brine concentrate will be returned to the tailings storage facility (TSF). Rio Tinto – Technology and Innovation (RT-TI, Bundoora, Victoria) were engaged by ERA to conduct trials on a pilot-scale brine concentrator plant. Two key aims of RT-TI trial were to (i) demonstrate </w:t>
      </w:r>
      <w:r>
        <w:t xml:space="preserve">that </w:t>
      </w:r>
      <w:r w:rsidRPr="00A7477E">
        <w:t xml:space="preserve">the </w:t>
      </w:r>
      <w:r>
        <w:t>distillate</w:t>
      </w:r>
      <w:r w:rsidRPr="00A7477E">
        <w:t xml:space="preserve"> do</w:t>
      </w:r>
      <w:r>
        <w:t>es</w:t>
      </w:r>
      <w:r w:rsidRPr="00A7477E">
        <w:t xml:space="preserve"> not pose risks to operator health or the environment, and (ii) provide data to assist with designing water management and disposal</w:t>
      </w:r>
      <w:r>
        <w:t xml:space="preserve"> systems</w:t>
      </w:r>
      <w:r w:rsidRPr="00A7477E">
        <w:t xml:space="preserve">. To </w:t>
      </w:r>
      <w:r>
        <w:t>assist with addressing the aquatic environment protection aspect</w:t>
      </w:r>
      <w:r w:rsidRPr="00A7477E">
        <w:t xml:space="preserve">, </w:t>
      </w:r>
      <w:r w:rsidRPr="00A7477E">
        <w:rPr>
          <w:b/>
          <w:i/>
          <w:sz w:val="26"/>
        </w:rPr>
        <w:t>eriss</w:t>
      </w:r>
      <w:r w:rsidRPr="00A7477E">
        <w:t xml:space="preserve"> undertook a comprehensive toxicity testing program of the pilot plant distillate. The aims of the toxicity </w:t>
      </w:r>
      <w:r>
        <w:t>test work</w:t>
      </w:r>
      <w:r w:rsidRPr="00A7477E">
        <w:t xml:space="preserve"> were to</w:t>
      </w:r>
      <w:r>
        <w:t>:</w:t>
      </w:r>
      <w:r w:rsidRPr="00A7477E">
        <w:t xml:space="preserve"> (i) detect and quantify any residual toxicity of the distillate and,</w:t>
      </w:r>
      <w:r>
        <w:t xml:space="preserve"> (ii)</w:t>
      </w:r>
      <w:r w:rsidRPr="00A7477E">
        <w:t xml:space="preserve"> in the event effects were observed</w:t>
      </w:r>
      <w:r>
        <w:t xml:space="preserve">, to identify </w:t>
      </w:r>
      <w:r w:rsidRPr="00A7477E">
        <w:t>the toxic constituent(s) of the distillate.</w:t>
      </w:r>
    </w:p>
    <w:p w:rsidR="00D85FAC" w:rsidRPr="00A7477E" w:rsidRDefault="00D85FAC" w:rsidP="00D85FAC">
      <w:pPr>
        <w:pStyle w:val="Heading2"/>
      </w:pPr>
      <w:bookmarkStart w:id="66" w:name="_Toc313523418"/>
      <w:bookmarkStart w:id="67" w:name="_Toc316985261"/>
      <w:r w:rsidRPr="00A7477E">
        <w:t>Methods</w:t>
      </w:r>
      <w:bookmarkEnd w:id="66"/>
      <w:bookmarkEnd w:id="67"/>
    </w:p>
    <w:p w:rsidR="00D85FAC" w:rsidRPr="00A7477E" w:rsidRDefault="00D85FAC" w:rsidP="00D85FAC">
      <w:r w:rsidRPr="00A7477E">
        <w:t xml:space="preserve">Initial toxicity screening of the distillate was conducted with a limited range </w:t>
      </w:r>
      <w:r>
        <w:t xml:space="preserve">of dilutions of the distillate </w:t>
      </w:r>
      <w:r w:rsidRPr="00A7477E">
        <w:t xml:space="preserve">using three </w:t>
      </w:r>
      <w:r>
        <w:t xml:space="preserve">aquatic </w:t>
      </w:r>
      <w:r w:rsidRPr="00A7477E">
        <w:t xml:space="preserve">species which had previously displayed sensitivity to treated process water permeate from the Ranger Treatment Water Plant (van Dam </w:t>
      </w:r>
      <w:r>
        <w:t>et al</w:t>
      </w:r>
      <w:r w:rsidRPr="00A7477E">
        <w:t xml:space="preserve"> 2011). Specifically, </w:t>
      </w:r>
      <w:r w:rsidRPr="00A7477E">
        <w:rPr>
          <w:i/>
        </w:rPr>
        <w:t>Chlorella</w:t>
      </w:r>
      <w:r w:rsidRPr="00A7477E">
        <w:t xml:space="preserve"> sp (72-h cell division rate), </w:t>
      </w:r>
      <w:r w:rsidRPr="00A7477E">
        <w:rPr>
          <w:i/>
        </w:rPr>
        <w:t>Hydra viridissima</w:t>
      </w:r>
      <w:r w:rsidRPr="00A7477E">
        <w:t xml:space="preserve"> (96-h population growth rate) and </w:t>
      </w:r>
      <w:r w:rsidRPr="00A7477E">
        <w:rPr>
          <w:i/>
        </w:rPr>
        <w:t>Moinadaphnia macleayi</w:t>
      </w:r>
      <w:r w:rsidRPr="00A7477E">
        <w:t xml:space="preserve"> (3-brood reproduction) were exposed to Magela Creek water (MCW) control and three dilutions of the distillate (</w:t>
      </w:r>
      <w:r>
        <w:t>ie</w:t>
      </w:r>
      <w:r w:rsidRPr="00A7477E">
        <w:t xml:space="preserve"> 0, 25, 50 and 100% distillate). Further testing was conducted on a second batch of distillate using the same concentration range and two additional species, </w:t>
      </w:r>
      <w:r w:rsidRPr="00A7477E">
        <w:rPr>
          <w:i/>
        </w:rPr>
        <w:t>Lemna aequinoctialis</w:t>
      </w:r>
      <w:r w:rsidRPr="00A7477E">
        <w:t xml:space="preserve"> (96-h growth rate)</w:t>
      </w:r>
      <w:r w:rsidRPr="00A7477E">
        <w:rPr>
          <w:i/>
        </w:rPr>
        <w:t xml:space="preserve"> </w:t>
      </w:r>
      <w:r w:rsidRPr="00A7477E">
        <w:t xml:space="preserve">and </w:t>
      </w:r>
      <w:r w:rsidRPr="00A7477E">
        <w:rPr>
          <w:i/>
        </w:rPr>
        <w:t xml:space="preserve">Mogurnda mogurnda </w:t>
      </w:r>
      <w:r w:rsidRPr="00A7477E">
        <w:t>(96-h larval survival)</w:t>
      </w:r>
      <w:r w:rsidRPr="00A7477E">
        <w:rPr>
          <w:i/>
        </w:rPr>
        <w:t xml:space="preserve">. </w:t>
      </w:r>
      <w:r w:rsidRPr="00A7477E">
        <w:t xml:space="preserve">The toxicity of the second batch of distillate was also assessed using </w:t>
      </w:r>
      <w:r w:rsidRPr="00A7477E">
        <w:rPr>
          <w:i/>
        </w:rPr>
        <w:t>Chlorella</w:t>
      </w:r>
      <w:r w:rsidRPr="00A7477E">
        <w:t xml:space="preserve"> sp, </w:t>
      </w:r>
      <w:r w:rsidRPr="00A7477E">
        <w:rPr>
          <w:i/>
        </w:rPr>
        <w:t>H. viridissima</w:t>
      </w:r>
      <w:r w:rsidRPr="00A7477E">
        <w:t xml:space="preserve"> and </w:t>
      </w:r>
      <w:r w:rsidRPr="00A7477E">
        <w:rPr>
          <w:i/>
        </w:rPr>
        <w:t>M. macleayi</w:t>
      </w:r>
      <w:r w:rsidRPr="00A7477E">
        <w:t>, although only at 0 (MCW) and 100% distillate, in order to assess the</w:t>
      </w:r>
      <w:r>
        <w:t xml:space="preserve"> inter-batch </w:t>
      </w:r>
      <w:r w:rsidRPr="00A7477E">
        <w:t xml:space="preserve">reproducibility of the </w:t>
      </w:r>
      <w:r>
        <w:t xml:space="preserve">test methods. </w:t>
      </w:r>
    </w:p>
    <w:p w:rsidR="00D85FAC" w:rsidRPr="00A7477E" w:rsidRDefault="00D85FAC" w:rsidP="00D85FAC">
      <w:r w:rsidRPr="00A7477E">
        <w:t xml:space="preserve">In order to </w:t>
      </w:r>
      <w:r>
        <w:t>identify</w:t>
      </w:r>
      <w:r w:rsidRPr="00A7477E">
        <w:t xml:space="preserve"> the toxic constituents of the distillate, a range of Toxicity Identification Evaluation (TIE) toxicity tests were conducted</w:t>
      </w:r>
      <w:r>
        <w:t xml:space="preserve"> using</w:t>
      </w:r>
      <w:r w:rsidRPr="00A7477E">
        <w:t xml:space="preserve"> the sole sensitive species, </w:t>
      </w:r>
      <w:r w:rsidRPr="00A7477E">
        <w:rPr>
          <w:i/>
        </w:rPr>
        <w:t>H. viridissima</w:t>
      </w:r>
      <w:r w:rsidRPr="00A7477E">
        <w:t xml:space="preserve">. The TIE tests involved assessing the relative toxicity of distillate samples </w:t>
      </w:r>
      <w:r>
        <w:t xml:space="preserve">produced by </w:t>
      </w:r>
      <w:r w:rsidRPr="00A7477E">
        <w:t xml:space="preserve">specific physical and chemical manipulations to change its composition or the speciation of specific constituents of potential concern. The results enable conclusions about potential primary toxicants. Six TIE tests were conducted to identify the cause of adverse effects on </w:t>
      </w:r>
      <w:r w:rsidRPr="00A7477E">
        <w:rPr>
          <w:i/>
        </w:rPr>
        <w:t>H.</w:t>
      </w:r>
      <w:r>
        <w:rPr>
          <w:i/>
        </w:rPr>
        <w:t> </w:t>
      </w:r>
      <w:r w:rsidRPr="00A7477E">
        <w:rPr>
          <w:i/>
        </w:rPr>
        <w:t>viridissima</w:t>
      </w:r>
      <w:r w:rsidRPr="00A7477E">
        <w:t xml:space="preserve"> (Table 1).</w:t>
      </w:r>
    </w:p>
    <w:p w:rsidR="00D85FAC" w:rsidRDefault="00D85FAC" w:rsidP="00D85FAC">
      <w:pPr>
        <w:spacing w:after="0" w:line="240" w:lineRule="auto"/>
        <w:jc w:val="left"/>
        <w:rPr>
          <w:rFonts w:ascii="Arial" w:hAnsi="Arial"/>
          <w:b/>
          <w:sz w:val="18"/>
        </w:rPr>
      </w:pPr>
      <w:r>
        <w:rPr>
          <w:b/>
        </w:rPr>
        <w:br w:type="page"/>
      </w:r>
    </w:p>
    <w:p w:rsidR="00D85FAC" w:rsidRPr="00A7477E" w:rsidRDefault="00D85FAC" w:rsidP="00D85FAC">
      <w:pPr>
        <w:pStyle w:val="tablecaption"/>
      </w:pPr>
      <w:r w:rsidRPr="00A7477E">
        <w:rPr>
          <w:b/>
        </w:rPr>
        <w:lastRenderedPageBreak/>
        <w:t xml:space="preserve">Table </w:t>
      </w:r>
      <w:proofErr w:type="gramStart"/>
      <w:r w:rsidRPr="00A7477E">
        <w:rPr>
          <w:b/>
        </w:rPr>
        <w:t>1</w:t>
      </w:r>
      <w:r>
        <w:rPr>
          <w:b/>
        </w:rPr>
        <w:t xml:space="preserve"> </w:t>
      </w:r>
      <w:r w:rsidRPr="00A7477E">
        <w:t xml:space="preserve"> Toxicity</w:t>
      </w:r>
      <w:proofErr w:type="gramEnd"/>
      <w:r w:rsidRPr="00A7477E">
        <w:t xml:space="preserve"> Identification Evaluation toxicity tests using </w:t>
      </w:r>
      <w:r w:rsidRPr="00A7477E">
        <w:rPr>
          <w:i/>
        </w:rPr>
        <w:t>H. viridissima</w:t>
      </w:r>
    </w:p>
    <w:tbl>
      <w:tblPr>
        <w:tblW w:w="0" w:type="auto"/>
        <w:tblInd w:w="108" w:type="dxa"/>
        <w:tblBorders>
          <w:bottom w:val="single" w:sz="12" w:space="0" w:color="auto"/>
        </w:tblBorders>
        <w:tblLayout w:type="fixed"/>
        <w:tblLook w:val="01E0"/>
      </w:tblPr>
      <w:tblGrid>
        <w:gridCol w:w="1985"/>
        <w:gridCol w:w="3402"/>
        <w:gridCol w:w="2836"/>
      </w:tblGrid>
      <w:tr w:rsidR="00D85FAC" w:rsidRPr="00A7477E" w:rsidTr="00D85FAC">
        <w:tc>
          <w:tcPr>
            <w:tcW w:w="1985" w:type="dxa"/>
            <w:tcBorders>
              <w:top w:val="single" w:sz="4" w:space="0" w:color="auto"/>
              <w:bottom w:val="nil"/>
            </w:tcBorders>
            <w:vAlign w:val="center"/>
          </w:tcPr>
          <w:p w:rsidR="00D85FAC" w:rsidRPr="00A7477E" w:rsidRDefault="00D85FAC" w:rsidP="00D85FAC">
            <w:pPr>
              <w:pStyle w:val="table1"/>
              <w:rPr>
                <w:b/>
              </w:rPr>
            </w:pPr>
            <w:r w:rsidRPr="00A7477E">
              <w:rPr>
                <w:b/>
              </w:rPr>
              <w:t>TIE test</w:t>
            </w:r>
          </w:p>
        </w:tc>
        <w:tc>
          <w:tcPr>
            <w:tcW w:w="3402" w:type="dxa"/>
            <w:tcBorders>
              <w:top w:val="single" w:sz="4" w:space="0" w:color="auto"/>
            </w:tcBorders>
            <w:vAlign w:val="center"/>
          </w:tcPr>
          <w:p w:rsidR="00D85FAC" w:rsidRPr="00A7477E" w:rsidRDefault="00D85FAC" w:rsidP="00D85FAC">
            <w:pPr>
              <w:pStyle w:val="table1"/>
              <w:ind w:left="113" w:right="113"/>
              <w:rPr>
                <w:b/>
              </w:rPr>
            </w:pPr>
            <w:r w:rsidRPr="00A7477E">
              <w:rPr>
                <w:b/>
              </w:rPr>
              <w:t xml:space="preserve">Test solution </w:t>
            </w:r>
            <w:r>
              <w:rPr>
                <w:b/>
              </w:rPr>
              <w:br/>
            </w:r>
            <w:r w:rsidRPr="00A7477E">
              <w:rPr>
                <w:b/>
              </w:rPr>
              <w:t>manipulation</w:t>
            </w:r>
          </w:p>
        </w:tc>
        <w:tc>
          <w:tcPr>
            <w:tcW w:w="2836" w:type="dxa"/>
            <w:tcBorders>
              <w:top w:val="single" w:sz="4" w:space="0" w:color="auto"/>
            </w:tcBorders>
            <w:vAlign w:val="center"/>
          </w:tcPr>
          <w:p w:rsidR="00D85FAC" w:rsidRPr="00A7477E" w:rsidRDefault="00D85FAC" w:rsidP="00D85FAC">
            <w:pPr>
              <w:pStyle w:val="table1"/>
              <w:ind w:left="113" w:right="113" w:firstLine="34"/>
              <w:rPr>
                <w:b/>
              </w:rPr>
            </w:pPr>
            <w:r>
              <w:rPr>
                <w:b/>
              </w:rPr>
              <w:t>Reason for manipulation</w:t>
            </w:r>
          </w:p>
        </w:tc>
      </w:tr>
      <w:tr w:rsidR="00D85FAC" w:rsidRPr="00A7477E" w:rsidTr="00D85FAC">
        <w:tc>
          <w:tcPr>
            <w:tcW w:w="1985" w:type="dxa"/>
            <w:tcBorders>
              <w:top w:val="single" w:sz="4" w:space="0" w:color="auto"/>
              <w:bottom w:val="nil"/>
            </w:tcBorders>
            <w:shd w:val="clear" w:color="auto" w:fill="auto"/>
          </w:tcPr>
          <w:p w:rsidR="00D85FAC" w:rsidRPr="00A7477E" w:rsidRDefault="00D85FAC" w:rsidP="00D85FAC">
            <w:pPr>
              <w:pStyle w:val="table1"/>
            </w:pPr>
            <w:r w:rsidRPr="00A7477E">
              <w:t xml:space="preserve">Graduated pH </w:t>
            </w:r>
          </w:p>
        </w:tc>
        <w:tc>
          <w:tcPr>
            <w:tcW w:w="3402" w:type="dxa"/>
            <w:tcBorders>
              <w:top w:val="single" w:sz="4" w:space="0" w:color="auto"/>
              <w:bottom w:val="nil"/>
            </w:tcBorders>
          </w:tcPr>
          <w:p w:rsidR="00D85FAC" w:rsidRPr="00A7477E" w:rsidRDefault="00D85FAC" w:rsidP="00D85FAC">
            <w:pPr>
              <w:pStyle w:val="table1"/>
              <w:ind w:left="113" w:right="113"/>
            </w:pPr>
            <w:r w:rsidRPr="00A7477E">
              <w:t>MCW and Distillate adjusted to pH (nominal) 5.5 and 7.5</w:t>
            </w:r>
          </w:p>
        </w:tc>
        <w:tc>
          <w:tcPr>
            <w:tcW w:w="2836" w:type="dxa"/>
            <w:tcBorders>
              <w:top w:val="single" w:sz="4" w:space="0" w:color="auto"/>
              <w:bottom w:val="nil"/>
            </w:tcBorders>
          </w:tcPr>
          <w:p w:rsidR="00D85FAC" w:rsidRPr="00A7477E" w:rsidRDefault="00D85FAC" w:rsidP="00D85FAC">
            <w:pPr>
              <w:pStyle w:val="table1"/>
              <w:ind w:left="113" w:right="113" w:firstLine="34"/>
            </w:pPr>
            <w:r w:rsidRPr="00A7477E">
              <w:t>Differentia</w:t>
            </w:r>
            <w:r>
              <w:t>l</w:t>
            </w:r>
            <w:r w:rsidRPr="00A7477E">
              <w:t>l</w:t>
            </w:r>
            <w:r>
              <w:t>y</w:t>
            </w:r>
            <w:r w:rsidRPr="00A7477E">
              <w:t xml:space="preserve"> alters speciation and toxicity of chemicals</w:t>
            </w:r>
          </w:p>
        </w:tc>
      </w:tr>
      <w:tr w:rsidR="00D85FAC" w:rsidRPr="00A7477E" w:rsidTr="00D85FAC">
        <w:tc>
          <w:tcPr>
            <w:tcW w:w="1985" w:type="dxa"/>
            <w:tcBorders>
              <w:top w:val="nil"/>
              <w:bottom w:val="nil"/>
            </w:tcBorders>
            <w:shd w:val="clear" w:color="auto" w:fill="auto"/>
          </w:tcPr>
          <w:p w:rsidR="00D85FAC" w:rsidRPr="00A7477E" w:rsidRDefault="00D85FAC" w:rsidP="00D85FAC">
            <w:pPr>
              <w:pStyle w:val="table1"/>
            </w:pPr>
            <w:r w:rsidRPr="00A7477E">
              <w:t>EDTA</w:t>
            </w:r>
            <w:r>
              <w:t xml:space="preserve"> </w:t>
            </w:r>
            <w:r w:rsidRPr="00980FF3">
              <w:rPr>
                <w:vertAlign w:val="superscript"/>
              </w:rPr>
              <w:t>a</w:t>
            </w:r>
            <w:r w:rsidRPr="00A7477E">
              <w:t xml:space="preserve"> addition</w:t>
            </w:r>
          </w:p>
        </w:tc>
        <w:tc>
          <w:tcPr>
            <w:tcW w:w="3402" w:type="dxa"/>
            <w:tcBorders>
              <w:top w:val="nil"/>
              <w:bottom w:val="nil"/>
            </w:tcBorders>
          </w:tcPr>
          <w:p w:rsidR="00D85FAC" w:rsidRPr="00A7477E" w:rsidRDefault="00D85FAC" w:rsidP="00D85FAC">
            <w:pPr>
              <w:pStyle w:val="table1"/>
              <w:ind w:left="113" w:right="113"/>
            </w:pPr>
            <w:r w:rsidRPr="00A7477E">
              <w:t>0, 2.8, 5.5 and 11.0 mg/L EDTA added to MCW and distillate</w:t>
            </w:r>
          </w:p>
        </w:tc>
        <w:tc>
          <w:tcPr>
            <w:tcW w:w="2836" w:type="dxa"/>
            <w:tcBorders>
              <w:top w:val="nil"/>
              <w:bottom w:val="nil"/>
            </w:tcBorders>
          </w:tcPr>
          <w:p w:rsidR="00D85FAC" w:rsidRPr="00A7477E" w:rsidRDefault="00D85FAC" w:rsidP="00D85FAC">
            <w:pPr>
              <w:pStyle w:val="table1"/>
              <w:ind w:left="113" w:right="113" w:firstLine="34"/>
            </w:pPr>
            <w:r w:rsidRPr="00A7477E">
              <w:t>EDTA binding reduces cationic metal bioavailability and toxicity</w:t>
            </w:r>
          </w:p>
        </w:tc>
      </w:tr>
      <w:tr w:rsidR="00D85FAC" w:rsidRPr="00A7477E" w:rsidTr="00D85FAC">
        <w:tc>
          <w:tcPr>
            <w:tcW w:w="1985" w:type="dxa"/>
            <w:tcBorders>
              <w:bottom w:val="nil"/>
            </w:tcBorders>
            <w:shd w:val="clear" w:color="auto" w:fill="auto"/>
          </w:tcPr>
          <w:p w:rsidR="00D85FAC" w:rsidRPr="00A7477E" w:rsidRDefault="00D85FAC" w:rsidP="00D85FAC">
            <w:pPr>
              <w:pStyle w:val="table1"/>
            </w:pPr>
            <w:r w:rsidRPr="00A7477E">
              <w:t>Calcium addition</w:t>
            </w:r>
          </w:p>
        </w:tc>
        <w:tc>
          <w:tcPr>
            <w:tcW w:w="3402" w:type="dxa"/>
            <w:tcBorders>
              <w:bottom w:val="nil"/>
            </w:tcBorders>
          </w:tcPr>
          <w:p w:rsidR="00D85FAC" w:rsidRPr="00A7477E" w:rsidRDefault="00D85FAC" w:rsidP="00D85FAC">
            <w:pPr>
              <w:pStyle w:val="table1"/>
              <w:ind w:left="113" w:right="113"/>
            </w:pPr>
            <w:r w:rsidRPr="00A7477E">
              <w:t>0, 0.25, 0.50 mg/L calcium concentrations tested in synthetic soft water (SSW) and distillate</w:t>
            </w:r>
          </w:p>
        </w:tc>
        <w:tc>
          <w:tcPr>
            <w:tcW w:w="2836" w:type="dxa"/>
            <w:tcBorders>
              <w:bottom w:val="nil"/>
            </w:tcBorders>
          </w:tcPr>
          <w:p w:rsidR="00D85FAC" w:rsidRPr="00A7477E" w:rsidRDefault="00D85FAC" w:rsidP="00D85FAC">
            <w:pPr>
              <w:pStyle w:val="table1"/>
              <w:ind w:left="113" w:right="113" w:firstLine="34"/>
            </w:pPr>
            <w:r w:rsidRPr="00A7477E">
              <w:t>Reintroduction of an essential nutrient</w:t>
            </w:r>
          </w:p>
        </w:tc>
      </w:tr>
      <w:tr w:rsidR="00D85FAC" w:rsidRPr="00A7477E" w:rsidTr="00D85FAC">
        <w:tc>
          <w:tcPr>
            <w:tcW w:w="1985" w:type="dxa"/>
            <w:tcBorders>
              <w:bottom w:val="nil"/>
            </w:tcBorders>
            <w:shd w:val="clear" w:color="auto" w:fill="auto"/>
          </w:tcPr>
          <w:p w:rsidR="00D85FAC" w:rsidRPr="00A7477E" w:rsidRDefault="00D85FAC" w:rsidP="00D85FAC">
            <w:pPr>
              <w:pStyle w:val="table1"/>
            </w:pPr>
            <w:r w:rsidRPr="00A7477E">
              <w:t>Ammonia stripping</w:t>
            </w:r>
          </w:p>
        </w:tc>
        <w:tc>
          <w:tcPr>
            <w:tcW w:w="3402" w:type="dxa"/>
            <w:tcBorders>
              <w:bottom w:val="nil"/>
            </w:tcBorders>
          </w:tcPr>
          <w:p w:rsidR="00D85FAC" w:rsidRPr="00A7477E" w:rsidRDefault="00D85FAC" w:rsidP="00D85FAC">
            <w:pPr>
              <w:pStyle w:val="table1"/>
              <w:ind w:left="113" w:right="113"/>
            </w:pPr>
            <w:r w:rsidRPr="00A7477E">
              <w:t xml:space="preserve">MCW and distillate adjusted to pH (nominal) 11 and aerated for 18 h.  </w:t>
            </w:r>
            <w:proofErr w:type="gramStart"/>
            <w:r w:rsidRPr="00A7477E">
              <w:t>pH</w:t>
            </w:r>
            <w:proofErr w:type="gramEnd"/>
            <w:r w:rsidRPr="00A7477E">
              <w:t xml:space="preserve"> re-adjusted to 6.5 prior to testing.</w:t>
            </w:r>
          </w:p>
        </w:tc>
        <w:tc>
          <w:tcPr>
            <w:tcW w:w="2836" w:type="dxa"/>
            <w:tcBorders>
              <w:bottom w:val="nil"/>
            </w:tcBorders>
          </w:tcPr>
          <w:p w:rsidR="00D85FAC" w:rsidRPr="00A7477E" w:rsidRDefault="00D85FAC" w:rsidP="00D85FAC">
            <w:pPr>
              <w:pStyle w:val="table1"/>
              <w:ind w:left="113" w:right="113" w:firstLine="34"/>
            </w:pPr>
            <w:r>
              <w:t xml:space="preserve">Removes toxicity due to ammonia </w:t>
            </w:r>
          </w:p>
        </w:tc>
      </w:tr>
      <w:tr w:rsidR="00D85FAC" w:rsidRPr="00A7477E" w:rsidTr="00D85FAC">
        <w:tc>
          <w:tcPr>
            <w:tcW w:w="1985" w:type="dxa"/>
            <w:tcBorders>
              <w:top w:val="nil"/>
              <w:bottom w:val="nil"/>
            </w:tcBorders>
            <w:shd w:val="clear" w:color="auto" w:fill="auto"/>
          </w:tcPr>
          <w:p w:rsidR="00D85FAC" w:rsidRPr="00A7477E" w:rsidRDefault="00D85FAC" w:rsidP="00D85FAC">
            <w:pPr>
              <w:pStyle w:val="table1"/>
            </w:pPr>
            <w:r w:rsidRPr="00A7477E">
              <w:t>C18 Solid Phase Extraction (SPE)</w:t>
            </w:r>
          </w:p>
        </w:tc>
        <w:tc>
          <w:tcPr>
            <w:tcW w:w="3402" w:type="dxa"/>
            <w:tcBorders>
              <w:top w:val="nil"/>
              <w:bottom w:val="nil"/>
            </w:tcBorders>
          </w:tcPr>
          <w:p w:rsidR="00D85FAC" w:rsidRPr="00A7477E" w:rsidRDefault="00D85FAC" w:rsidP="00D85FAC">
            <w:pPr>
              <w:pStyle w:val="table1"/>
              <w:ind w:left="113" w:right="113"/>
            </w:pPr>
            <w:r w:rsidRPr="00A7477E">
              <w:t>MCW and distillate post-C18 column water tested. Eluate of distillate tested in MCW</w:t>
            </w:r>
          </w:p>
        </w:tc>
        <w:tc>
          <w:tcPr>
            <w:tcW w:w="2836" w:type="dxa"/>
            <w:tcBorders>
              <w:top w:val="nil"/>
              <w:bottom w:val="nil"/>
            </w:tcBorders>
          </w:tcPr>
          <w:p w:rsidR="00D85FAC" w:rsidRPr="00A7477E" w:rsidRDefault="00D85FAC" w:rsidP="00D85FAC">
            <w:pPr>
              <w:pStyle w:val="table1"/>
              <w:ind w:left="113" w:right="113" w:firstLine="34"/>
            </w:pPr>
            <w:r>
              <w:t>Tests for toxicity of organic compounds</w:t>
            </w:r>
          </w:p>
        </w:tc>
      </w:tr>
      <w:tr w:rsidR="00D85FAC" w:rsidRPr="00A7477E" w:rsidTr="00D85FAC">
        <w:tc>
          <w:tcPr>
            <w:tcW w:w="1985" w:type="dxa"/>
            <w:tcBorders>
              <w:top w:val="nil"/>
              <w:bottom w:val="single" w:sz="4" w:space="0" w:color="auto"/>
            </w:tcBorders>
            <w:shd w:val="clear" w:color="auto" w:fill="auto"/>
          </w:tcPr>
          <w:p w:rsidR="00D85FAC" w:rsidRPr="00A7477E" w:rsidRDefault="00D85FAC" w:rsidP="00D85FAC">
            <w:pPr>
              <w:pStyle w:val="table1"/>
            </w:pPr>
            <w:r w:rsidRPr="00A7477E">
              <w:t>Major ion addition</w:t>
            </w:r>
          </w:p>
        </w:tc>
        <w:tc>
          <w:tcPr>
            <w:tcW w:w="3402" w:type="dxa"/>
            <w:tcBorders>
              <w:top w:val="nil"/>
              <w:bottom w:val="single" w:sz="4" w:space="0" w:color="auto"/>
            </w:tcBorders>
          </w:tcPr>
          <w:p w:rsidR="00D85FAC" w:rsidRPr="00A7477E" w:rsidRDefault="00D85FAC" w:rsidP="00D85FAC">
            <w:pPr>
              <w:pStyle w:val="table1"/>
              <w:ind w:left="113" w:right="113"/>
            </w:pPr>
            <w:r w:rsidRPr="00A7477E">
              <w:t>0, 50 and 100% proportions (compared to SSW</w:t>
            </w:r>
            <w:r>
              <w:rPr>
                <w:snapToGrid w:val="0"/>
                <w:color w:val="000000"/>
                <w:position w:val="4"/>
                <w:sz w:val="11"/>
                <w:szCs w:val="0"/>
                <w:u w:color="000000"/>
              </w:rPr>
              <w:t>b</w:t>
            </w:r>
            <w:r w:rsidRPr="00A7477E">
              <w:t xml:space="preserve">) of sodium, calcium and potassium added to SSW and distillate </w:t>
            </w:r>
          </w:p>
        </w:tc>
        <w:tc>
          <w:tcPr>
            <w:tcW w:w="2836" w:type="dxa"/>
            <w:tcBorders>
              <w:top w:val="nil"/>
              <w:bottom w:val="single" w:sz="4" w:space="0" w:color="auto"/>
            </w:tcBorders>
          </w:tcPr>
          <w:p w:rsidR="00D85FAC" w:rsidRPr="00A7477E" w:rsidRDefault="00D85FAC" w:rsidP="00D85FAC">
            <w:pPr>
              <w:pStyle w:val="table1"/>
              <w:ind w:left="113" w:right="113" w:firstLine="34"/>
            </w:pPr>
            <w:r w:rsidRPr="00A7477E">
              <w:t>Reintroduction of an essential nutrient</w:t>
            </w:r>
            <w:r>
              <w:t>s</w:t>
            </w:r>
          </w:p>
        </w:tc>
      </w:tr>
    </w:tbl>
    <w:p w:rsidR="00D85FAC" w:rsidRDefault="00D85FAC" w:rsidP="00D85FAC">
      <w:pPr>
        <w:pStyle w:val="tablenote"/>
        <w:spacing w:after="0"/>
      </w:pPr>
      <w:proofErr w:type="gramStart"/>
      <w:r>
        <w:rPr>
          <w:snapToGrid w:val="0"/>
          <w:color w:val="000000"/>
          <w:position w:val="3"/>
          <w:sz w:val="9"/>
          <w:szCs w:val="0"/>
          <w:u w:color="000000"/>
        </w:rPr>
        <w:t>a</w:t>
      </w:r>
      <w:proofErr w:type="gramEnd"/>
      <w:r>
        <w:rPr>
          <w:snapToGrid w:val="0"/>
          <w:color w:val="000000"/>
          <w:position w:val="3"/>
          <w:sz w:val="9"/>
          <w:szCs w:val="0"/>
          <w:u w:color="000000"/>
        </w:rPr>
        <w:t xml:space="preserve"> </w:t>
      </w:r>
      <w:r w:rsidRPr="00980FF3">
        <w:t>Ethylenediaminetetraacetic acid</w:t>
      </w:r>
      <w:r>
        <w:t xml:space="preserve">; </w:t>
      </w:r>
    </w:p>
    <w:p w:rsidR="00D85FAC" w:rsidRDefault="00D85FAC" w:rsidP="00D85FAC">
      <w:pPr>
        <w:pStyle w:val="tablenote"/>
        <w:rPr>
          <w:snapToGrid w:val="0"/>
          <w:u w:color="000000"/>
        </w:rPr>
      </w:pPr>
      <w:proofErr w:type="gramStart"/>
      <w:r>
        <w:rPr>
          <w:snapToGrid w:val="0"/>
          <w:position w:val="3"/>
          <w:sz w:val="9"/>
          <w:u w:color="000000"/>
        </w:rPr>
        <w:t>b</w:t>
      </w:r>
      <w:proofErr w:type="gramEnd"/>
      <w:r>
        <w:rPr>
          <w:snapToGrid w:val="0"/>
          <w:position w:val="3"/>
          <w:sz w:val="9"/>
          <w:u w:color="000000"/>
        </w:rPr>
        <w:t xml:space="preserve"> </w:t>
      </w:r>
      <w:r>
        <w:t>Synthetic Soft Water contains 0.4, 1.0 and 0.4 mg L</w:t>
      </w:r>
      <w:r w:rsidRPr="00A10A44">
        <w:rPr>
          <w:snapToGrid w:val="0"/>
          <w:position w:val="3"/>
          <w:sz w:val="9"/>
          <w:u w:color="000000"/>
        </w:rPr>
        <w:t>-1</w:t>
      </w:r>
      <w:r>
        <w:rPr>
          <w:snapToGrid w:val="0"/>
          <w:u w:color="000000"/>
        </w:rPr>
        <w:t xml:space="preserve"> of calcium, sodium and potassium, respectively.</w:t>
      </w:r>
    </w:p>
    <w:p w:rsidR="00D85FAC" w:rsidRPr="00A7477E" w:rsidRDefault="00D85FAC" w:rsidP="00D85FAC">
      <w:pPr>
        <w:pStyle w:val="Heading2"/>
      </w:pPr>
      <w:bookmarkStart w:id="68" w:name="_Toc313523419"/>
      <w:bookmarkStart w:id="69" w:name="_Toc316985262"/>
      <w:r w:rsidRPr="00A7477E">
        <w:t xml:space="preserve">Results and </w:t>
      </w:r>
      <w:r>
        <w:t>d</w:t>
      </w:r>
      <w:r w:rsidRPr="00A7477E">
        <w:t>iscussion</w:t>
      </w:r>
      <w:bookmarkEnd w:id="68"/>
      <w:bookmarkEnd w:id="69"/>
    </w:p>
    <w:p w:rsidR="00D85FAC" w:rsidRPr="00A7477E" w:rsidRDefault="00D85FAC" w:rsidP="00D85FAC">
      <w:pPr>
        <w:pStyle w:val="Heading3"/>
      </w:pPr>
      <w:bookmarkStart w:id="70" w:name="_Toc313523420"/>
      <w:bookmarkStart w:id="71" w:name="_Toc316985263"/>
      <w:r w:rsidRPr="00A7477E">
        <w:t>Chemistry</w:t>
      </w:r>
      <w:bookmarkEnd w:id="70"/>
      <w:bookmarkEnd w:id="71"/>
    </w:p>
    <w:p w:rsidR="00D85FAC" w:rsidRDefault="00D85FAC" w:rsidP="00D85FAC">
      <w:r w:rsidRPr="00A7477E">
        <w:t>The</w:t>
      </w:r>
      <w:r>
        <w:t xml:space="preserve"> compositions (selected components)</w:t>
      </w:r>
      <w:r w:rsidRPr="00A7477E">
        <w:t xml:space="preserve"> of the distillate </w:t>
      </w:r>
      <w:r>
        <w:t xml:space="preserve">and </w:t>
      </w:r>
      <w:r w:rsidRPr="00A7477E">
        <w:t xml:space="preserve">the process water feed </w:t>
      </w:r>
      <w:r>
        <w:t xml:space="preserve">are presented in </w:t>
      </w:r>
      <w:r w:rsidRPr="00A7477E">
        <w:t>Table 2. The distillation process reduced all major ions, ammonia and metals to near detection limits. Some organic compounds that were not detected in the feed water were detected at low µg L</w:t>
      </w:r>
      <w:r w:rsidRPr="00A7477E">
        <w:rPr>
          <w:snapToGrid w:val="0"/>
          <w:color w:val="000000"/>
          <w:position w:val="5"/>
          <w:sz w:val="15"/>
          <w:szCs w:val="0"/>
          <w:u w:color="000000"/>
        </w:rPr>
        <w:t>-1</w:t>
      </w:r>
      <w:r w:rsidRPr="00A7477E">
        <w:rPr>
          <w:snapToGrid w:val="0"/>
          <w:color w:val="000000"/>
          <w:szCs w:val="0"/>
          <w:u w:color="000000"/>
        </w:rPr>
        <w:t xml:space="preserve"> concentrations in the distillate.</w:t>
      </w:r>
      <w:r>
        <w:rPr>
          <w:snapToGrid w:val="0"/>
          <w:color w:val="000000"/>
          <w:szCs w:val="0"/>
          <w:u w:color="000000"/>
        </w:rPr>
        <w:t xml:space="preserve"> In this context</w:t>
      </w:r>
      <w:r w:rsidRPr="00A7477E">
        <w:rPr>
          <w:snapToGrid w:val="0"/>
          <w:color w:val="000000"/>
          <w:szCs w:val="0"/>
          <w:u w:color="000000"/>
        </w:rPr>
        <w:t xml:space="preserve"> it is important to note that the sub-sampling of the second distillate batch for organic compounds was not ideal (</w:t>
      </w:r>
      <w:r>
        <w:rPr>
          <w:snapToGrid w:val="0"/>
          <w:color w:val="000000"/>
          <w:szCs w:val="0"/>
          <w:u w:color="000000"/>
        </w:rPr>
        <w:t>ie</w:t>
      </w:r>
      <w:r w:rsidRPr="00A7477E">
        <w:rPr>
          <w:snapToGrid w:val="0"/>
          <w:color w:val="000000"/>
          <w:szCs w:val="0"/>
          <w:u w:color="000000"/>
        </w:rPr>
        <w:t xml:space="preserve"> plastic was used instead of glass), and some of the compounds are known to leach from plastics (Table 2). </w:t>
      </w:r>
      <w:r w:rsidRPr="005E3AD9">
        <w:rPr>
          <w:snapToGrid w:val="0"/>
          <w:color w:val="000000"/>
          <w:szCs w:val="0"/>
          <w:u w:color="000000"/>
        </w:rPr>
        <w:t>The decane</w:t>
      </w:r>
      <w:r>
        <w:rPr>
          <w:snapToGrid w:val="0"/>
          <w:color w:val="000000"/>
          <w:szCs w:val="0"/>
          <w:u w:color="000000"/>
        </w:rPr>
        <w:t>,</w:t>
      </w:r>
      <w:r w:rsidRPr="005E3AD9">
        <w:rPr>
          <w:snapToGrid w:val="0"/>
          <w:color w:val="000000"/>
          <w:szCs w:val="0"/>
          <w:u w:color="000000"/>
        </w:rPr>
        <w:t xml:space="preserve"> measured at 2 µg L</w:t>
      </w:r>
      <w:r w:rsidRPr="005E3AD9">
        <w:rPr>
          <w:snapToGrid w:val="0"/>
          <w:color w:val="000000"/>
          <w:szCs w:val="0"/>
          <w:u w:color="000000"/>
          <w:vertAlign w:val="superscript"/>
        </w:rPr>
        <w:t>-1</w:t>
      </w:r>
      <w:r w:rsidRPr="00A6389C">
        <w:rPr>
          <w:snapToGrid w:val="0"/>
          <w:color w:val="000000"/>
          <w:szCs w:val="0"/>
          <w:u w:color="000000"/>
        </w:rPr>
        <w:t>,</w:t>
      </w:r>
      <w:r w:rsidRPr="005E3AD9">
        <w:rPr>
          <w:snapToGrid w:val="0"/>
          <w:color w:val="000000"/>
          <w:szCs w:val="0"/>
          <w:u w:color="000000"/>
        </w:rPr>
        <w:t xml:space="preserve"> may have been misidentified nonane because they are both aliphatic hydrocarbon</w:t>
      </w:r>
      <w:r>
        <w:rPr>
          <w:snapToGrid w:val="0"/>
          <w:color w:val="000000"/>
          <w:szCs w:val="0"/>
          <w:u w:color="000000"/>
        </w:rPr>
        <w:t>s</w:t>
      </w:r>
      <w:r w:rsidRPr="005E3AD9">
        <w:rPr>
          <w:snapToGrid w:val="0"/>
          <w:color w:val="000000"/>
          <w:szCs w:val="0"/>
          <w:u w:color="000000"/>
        </w:rPr>
        <w:t xml:space="preserve"> with 10 and 9 carbons</w:t>
      </w:r>
      <w:r>
        <w:rPr>
          <w:snapToGrid w:val="0"/>
          <w:color w:val="000000"/>
          <w:szCs w:val="0"/>
          <w:u w:color="000000"/>
        </w:rPr>
        <w:t>, respectively</w:t>
      </w:r>
      <w:r w:rsidRPr="005E3AD9">
        <w:rPr>
          <w:snapToGrid w:val="0"/>
          <w:color w:val="000000"/>
          <w:szCs w:val="0"/>
          <w:u w:color="000000"/>
        </w:rPr>
        <w:t xml:space="preserve">. Nonane is </w:t>
      </w:r>
      <w:r>
        <w:rPr>
          <w:snapToGrid w:val="0"/>
          <w:color w:val="000000"/>
          <w:szCs w:val="0"/>
          <w:u w:color="000000"/>
        </w:rPr>
        <w:t xml:space="preserve">a major component of Shellsol, which is used for the solvent extraction of U. Since some Shellsol does report to the tailings stream, nonane was identified </w:t>
      </w:r>
      <w:r w:rsidRPr="005E3AD9">
        <w:rPr>
          <w:snapToGrid w:val="0"/>
          <w:color w:val="000000"/>
          <w:szCs w:val="0"/>
          <w:u w:color="000000"/>
        </w:rPr>
        <w:t xml:space="preserve">as a </w:t>
      </w:r>
      <w:r>
        <w:rPr>
          <w:snapToGrid w:val="0"/>
          <w:color w:val="000000"/>
          <w:szCs w:val="0"/>
          <w:u w:color="000000"/>
        </w:rPr>
        <w:t xml:space="preserve">specific </w:t>
      </w:r>
      <w:r w:rsidRPr="005E3AD9">
        <w:rPr>
          <w:snapToGrid w:val="0"/>
          <w:color w:val="000000"/>
          <w:szCs w:val="0"/>
          <w:u w:color="000000"/>
        </w:rPr>
        <w:t>organic chemical of interest</w:t>
      </w:r>
      <w:r>
        <w:rPr>
          <w:snapToGrid w:val="0"/>
          <w:color w:val="000000"/>
          <w:szCs w:val="0"/>
          <w:u w:color="000000"/>
        </w:rPr>
        <w:t xml:space="preserve"> for this work</w:t>
      </w:r>
      <w:r w:rsidRPr="005E3AD9">
        <w:rPr>
          <w:snapToGrid w:val="0"/>
          <w:color w:val="000000"/>
          <w:szCs w:val="0"/>
          <w:u w:color="000000"/>
        </w:rPr>
        <w:t>.</w:t>
      </w:r>
      <w:r w:rsidRPr="00A7477E">
        <w:rPr>
          <w:snapToGrid w:val="0"/>
          <w:color w:val="000000"/>
          <w:szCs w:val="0"/>
          <w:u w:color="000000"/>
        </w:rPr>
        <w:t xml:space="preserve"> </w:t>
      </w:r>
      <w:r>
        <w:rPr>
          <w:snapToGrid w:val="0"/>
          <w:color w:val="000000"/>
          <w:szCs w:val="0"/>
          <w:u w:color="000000"/>
        </w:rPr>
        <w:t>Despite organics being detected</w:t>
      </w:r>
      <w:r w:rsidRPr="00A7477E">
        <w:rPr>
          <w:snapToGrid w:val="0"/>
          <w:color w:val="000000"/>
          <w:szCs w:val="0"/>
          <w:u w:color="000000"/>
        </w:rPr>
        <w:t>, aliphatic hydrocarbons are not toxic at the concentrations measured in the distillate.</w:t>
      </w:r>
    </w:p>
    <w:p w:rsidR="00D85FAC" w:rsidRPr="00A7477E" w:rsidRDefault="00D85FAC" w:rsidP="00D85FAC">
      <w:pPr>
        <w:pStyle w:val="Heading3"/>
      </w:pPr>
      <w:bookmarkStart w:id="72" w:name="_Toc313523421"/>
      <w:bookmarkStart w:id="73" w:name="_Toc316985264"/>
      <w:r w:rsidRPr="00A7477E">
        <w:t>Toxicity test results</w:t>
      </w:r>
      <w:bookmarkEnd w:id="72"/>
      <w:bookmarkEnd w:id="73"/>
    </w:p>
    <w:p w:rsidR="00D85FAC" w:rsidRPr="00A7477E" w:rsidRDefault="00D85FAC" w:rsidP="00D85FAC">
      <w:r w:rsidRPr="00A7477E">
        <w:t xml:space="preserve">The toxicity tests results showed that the distillate was of low toxicity to four of the five organisms tested (Table 3; Figure 1). However, the population growth rate of </w:t>
      </w:r>
      <w:r w:rsidRPr="00A7477E">
        <w:rPr>
          <w:i/>
        </w:rPr>
        <w:t xml:space="preserve">H. viridissima </w:t>
      </w:r>
      <w:r w:rsidRPr="00A7477E">
        <w:t xml:space="preserve">was reduced by ~50% following exposure to 100% distillate (Figure 1). The second batch of distillate was found to be higher in toxicity to </w:t>
      </w:r>
      <w:r w:rsidRPr="00A7477E">
        <w:rPr>
          <w:i/>
        </w:rPr>
        <w:t>H. viridissima</w:t>
      </w:r>
      <w:r w:rsidRPr="00A7477E">
        <w:t>, with a full toxic effect observed following exposure to 100% distillate</w:t>
      </w:r>
      <w:r>
        <w:t xml:space="preserve"> (Table 3). In contrast the second batch of distillate was of lower toxicity to </w:t>
      </w:r>
      <w:r w:rsidRPr="00990F04">
        <w:rPr>
          <w:i/>
        </w:rPr>
        <w:t>M. macleayi</w:t>
      </w:r>
      <w:r>
        <w:t xml:space="preserve"> and </w:t>
      </w:r>
      <w:r w:rsidRPr="00990F04">
        <w:rPr>
          <w:i/>
        </w:rPr>
        <w:t>Chlorella</w:t>
      </w:r>
      <w:r>
        <w:t xml:space="preserve"> sp. </w:t>
      </w:r>
    </w:p>
    <w:p w:rsidR="00D85FAC" w:rsidRDefault="00D85FAC" w:rsidP="00D85FAC"/>
    <w:p w:rsidR="00D85FAC" w:rsidRDefault="00D85FAC" w:rsidP="00D85FAC">
      <w:pPr>
        <w:spacing w:after="0" w:line="240" w:lineRule="auto"/>
        <w:jc w:val="left"/>
        <w:rPr>
          <w:rFonts w:ascii="Arial" w:hAnsi="Arial"/>
          <w:b/>
          <w:sz w:val="18"/>
        </w:rPr>
      </w:pPr>
      <w:r>
        <w:rPr>
          <w:b/>
        </w:rPr>
        <w:br w:type="page"/>
      </w:r>
    </w:p>
    <w:p w:rsidR="00D85FAC" w:rsidRPr="005D03C0" w:rsidRDefault="00D85FAC" w:rsidP="00D85FAC">
      <w:pPr>
        <w:pStyle w:val="tablecaption"/>
        <w:spacing w:before="0"/>
      </w:pPr>
      <w:r w:rsidRPr="00A7477E">
        <w:rPr>
          <w:b/>
        </w:rPr>
        <w:lastRenderedPageBreak/>
        <w:t xml:space="preserve">Table </w:t>
      </w:r>
      <w:proofErr w:type="gramStart"/>
      <w:r w:rsidRPr="00A7477E">
        <w:rPr>
          <w:b/>
        </w:rPr>
        <w:t>2</w:t>
      </w:r>
      <w:r w:rsidRPr="00A7477E">
        <w:t xml:space="preserve"> </w:t>
      </w:r>
      <w:r>
        <w:t xml:space="preserve"> Composition</w:t>
      </w:r>
      <w:proofErr w:type="gramEnd"/>
      <w:r>
        <w:t xml:space="preserve"> </w:t>
      </w:r>
      <w:r w:rsidRPr="00A7477E">
        <w:t>of the process water before and after treatm</w:t>
      </w:r>
      <w:r>
        <w:t>ent with the brine concentrator</w:t>
      </w:r>
    </w:p>
    <w:tbl>
      <w:tblPr>
        <w:tblW w:w="8379" w:type="dxa"/>
        <w:tblCellMar>
          <w:left w:w="0" w:type="dxa"/>
          <w:right w:w="0" w:type="dxa"/>
        </w:tblCellMar>
        <w:tblLook w:val="04A0"/>
      </w:tblPr>
      <w:tblGrid>
        <w:gridCol w:w="3134"/>
        <w:gridCol w:w="1843"/>
        <w:gridCol w:w="1559"/>
        <w:gridCol w:w="1843"/>
      </w:tblGrid>
      <w:tr w:rsidR="00D85FAC" w:rsidRPr="00A7477E" w:rsidTr="00D85FAC">
        <w:tc>
          <w:tcPr>
            <w:tcW w:w="3134" w:type="dxa"/>
            <w:tcBorders>
              <w:top w:val="single" w:sz="8" w:space="0" w:color="003366"/>
              <w:left w:val="nil"/>
              <w:bottom w:val="single" w:sz="8" w:space="0" w:color="000000"/>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b/>
                <w:spacing w:val="-2"/>
              </w:rPr>
            </w:pPr>
            <w:r w:rsidRPr="00582951">
              <w:rPr>
                <w:b/>
                <w:spacing w:val="-2"/>
              </w:rPr>
              <w:t>Analyte</w:t>
            </w:r>
          </w:p>
        </w:tc>
        <w:tc>
          <w:tcPr>
            <w:tcW w:w="1843" w:type="dxa"/>
            <w:tcBorders>
              <w:top w:val="single" w:sz="8" w:space="0" w:color="003366"/>
              <w:left w:val="nil"/>
              <w:bottom w:val="single" w:sz="8" w:space="0" w:color="000000"/>
              <w:right w:val="nil"/>
            </w:tcBorders>
          </w:tcPr>
          <w:p w:rsidR="00D85FAC" w:rsidRPr="00A7477E" w:rsidRDefault="00D85FAC" w:rsidP="00D85FAC">
            <w:pPr>
              <w:pStyle w:val="table1"/>
              <w:jc w:val="center"/>
              <w:rPr>
                <w:b/>
              </w:rPr>
            </w:pPr>
            <w:r w:rsidRPr="00A7477E">
              <w:rPr>
                <w:b/>
              </w:rPr>
              <w:t xml:space="preserve">Process water (feed) </w:t>
            </w:r>
            <w:r w:rsidRPr="00A7477E">
              <w:rPr>
                <w:b/>
                <w:snapToGrid w:val="0"/>
                <w:color w:val="000000"/>
                <w:position w:val="4"/>
                <w:sz w:val="11"/>
                <w:szCs w:val="0"/>
                <w:u w:color="000000"/>
              </w:rPr>
              <w:t>a</w:t>
            </w:r>
          </w:p>
        </w:tc>
        <w:tc>
          <w:tcPr>
            <w:tcW w:w="1559" w:type="dxa"/>
            <w:tcBorders>
              <w:top w:val="single" w:sz="8" w:space="0" w:color="003366"/>
              <w:left w:val="nil"/>
              <w:bottom w:val="single" w:sz="8" w:space="0" w:color="000000"/>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rPr>
                <w:b/>
              </w:rPr>
            </w:pPr>
            <w:r w:rsidRPr="00A7477E">
              <w:rPr>
                <w:b/>
              </w:rPr>
              <w:t xml:space="preserve">First </w:t>
            </w:r>
            <w:r>
              <w:rPr>
                <w:b/>
              </w:rPr>
              <w:t>d</w:t>
            </w:r>
            <w:r w:rsidRPr="00A7477E">
              <w:rPr>
                <w:b/>
              </w:rPr>
              <w:t xml:space="preserve">istillate </w:t>
            </w:r>
            <w:r>
              <w:rPr>
                <w:b/>
              </w:rPr>
              <w:t>b</w:t>
            </w:r>
            <w:r w:rsidRPr="00A7477E">
              <w:rPr>
                <w:b/>
              </w:rPr>
              <w:t>atch</w:t>
            </w:r>
          </w:p>
        </w:tc>
        <w:tc>
          <w:tcPr>
            <w:tcW w:w="1843" w:type="dxa"/>
            <w:tcBorders>
              <w:top w:val="single" w:sz="8" w:space="0" w:color="003366"/>
              <w:left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rPr>
                <w:b/>
              </w:rPr>
            </w:pPr>
            <w:r w:rsidRPr="00A7477E">
              <w:rPr>
                <w:b/>
              </w:rPr>
              <w:t xml:space="preserve">Second </w:t>
            </w:r>
            <w:r>
              <w:rPr>
                <w:b/>
              </w:rPr>
              <w:t>d</w:t>
            </w:r>
            <w:r w:rsidRPr="00A7477E">
              <w:rPr>
                <w:b/>
              </w:rPr>
              <w:t xml:space="preserve">istillate </w:t>
            </w:r>
            <w:r>
              <w:rPr>
                <w:b/>
              </w:rPr>
              <w:t>b</w:t>
            </w:r>
            <w:r w:rsidRPr="00A7477E">
              <w:rPr>
                <w:b/>
              </w:rPr>
              <w:t>atch</w:t>
            </w:r>
          </w:p>
        </w:tc>
      </w:tr>
      <w:tr w:rsidR="00D85FAC" w:rsidRPr="00A7477E" w:rsidTr="00D85FAC">
        <w:tc>
          <w:tcPr>
            <w:tcW w:w="3134" w:type="dxa"/>
            <w:tcBorders>
              <w:top w:val="single" w:sz="8" w:space="0" w:color="000000"/>
              <w:left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pH</w:t>
            </w:r>
          </w:p>
        </w:tc>
        <w:tc>
          <w:tcPr>
            <w:tcW w:w="1843" w:type="dxa"/>
            <w:tcBorders>
              <w:top w:val="single" w:sz="8" w:space="0" w:color="000000"/>
              <w:left w:val="nil"/>
              <w:right w:val="nil"/>
            </w:tcBorders>
          </w:tcPr>
          <w:p w:rsidR="00D85FAC" w:rsidRPr="00A7477E" w:rsidRDefault="00D85FAC" w:rsidP="00D85FAC">
            <w:pPr>
              <w:pStyle w:val="table1"/>
              <w:jc w:val="center"/>
            </w:pPr>
            <w:r w:rsidRPr="00A7477E">
              <w:t>4.1 – 4.5</w:t>
            </w:r>
          </w:p>
        </w:tc>
        <w:tc>
          <w:tcPr>
            <w:tcW w:w="1559" w:type="dxa"/>
            <w:tcBorders>
              <w:top w:val="single" w:sz="8" w:space="0" w:color="000000"/>
              <w:left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5.8</w:t>
            </w:r>
          </w:p>
        </w:tc>
        <w:tc>
          <w:tcPr>
            <w:tcW w:w="1843" w:type="dxa"/>
            <w:tcBorders>
              <w:top w:val="single" w:sz="8" w:space="0" w:color="000000"/>
              <w:left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6.7</w:t>
            </w:r>
          </w:p>
        </w:tc>
      </w:tr>
      <w:tr w:rsidR="00D85FAC" w:rsidRPr="00A7477E" w:rsidTr="00D85FAC">
        <w:tc>
          <w:tcPr>
            <w:tcW w:w="3134" w:type="dxa"/>
            <w:tcBorders>
              <w:left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Electrical Conductivity (µS cm</w:t>
            </w:r>
            <w:r w:rsidRPr="00582951">
              <w:rPr>
                <w:snapToGrid w:val="0"/>
                <w:color w:val="000000"/>
                <w:spacing w:val="-2"/>
                <w:position w:val="4"/>
                <w:sz w:val="11"/>
                <w:szCs w:val="0"/>
                <w:u w:color="000000"/>
              </w:rPr>
              <w:t>-1</w:t>
            </w:r>
            <w:r w:rsidRPr="00582951">
              <w:rPr>
                <w:spacing w:val="-2"/>
              </w:rPr>
              <w:t>)</w:t>
            </w:r>
          </w:p>
        </w:tc>
        <w:tc>
          <w:tcPr>
            <w:tcW w:w="1843" w:type="dxa"/>
            <w:tcBorders>
              <w:left w:val="nil"/>
              <w:right w:val="nil"/>
            </w:tcBorders>
          </w:tcPr>
          <w:p w:rsidR="00D85FAC" w:rsidRPr="00A7477E" w:rsidRDefault="00D85FAC" w:rsidP="00D85FAC">
            <w:pPr>
              <w:pStyle w:val="table1"/>
              <w:jc w:val="center"/>
            </w:pPr>
            <w:r w:rsidRPr="00A7477E">
              <w:t>20</w:t>
            </w:r>
            <w:r>
              <w:t xml:space="preserve"> </w:t>
            </w:r>
            <w:r w:rsidRPr="00A7477E">
              <w:t>9</w:t>
            </w:r>
            <w:r>
              <w:t xml:space="preserve">00 – </w:t>
            </w:r>
            <w:r w:rsidRPr="00A7477E">
              <w:t>29</w:t>
            </w:r>
            <w:r>
              <w:t xml:space="preserve"> </w:t>
            </w:r>
            <w:r w:rsidRPr="00A7477E">
              <w:t>70</w:t>
            </w:r>
            <w:r>
              <w:t>0</w:t>
            </w:r>
          </w:p>
        </w:tc>
        <w:tc>
          <w:tcPr>
            <w:tcW w:w="1559" w:type="dxa"/>
            <w:tcBorders>
              <w:left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17</w:t>
            </w:r>
          </w:p>
        </w:tc>
        <w:tc>
          <w:tcPr>
            <w:tcW w:w="1843" w:type="dxa"/>
            <w:tcBorders>
              <w:left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12</w:t>
            </w:r>
          </w:p>
        </w:tc>
      </w:tr>
      <w:tr w:rsidR="00D85FAC" w:rsidRPr="00A7477E" w:rsidTr="00D85FAC">
        <w:tc>
          <w:tcPr>
            <w:tcW w:w="3134" w:type="dxa"/>
            <w:tcBorders>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Manganese (mg L</w:t>
            </w:r>
            <w:r w:rsidRPr="00582951">
              <w:rPr>
                <w:snapToGrid w:val="0"/>
                <w:color w:val="000000"/>
                <w:spacing w:val="-2"/>
                <w:position w:val="4"/>
                <w:sz w:val="11"/>
                <w:szCs w:val="0"/>
                <w:u w:color="000000"/>
              </w:rPr>
              <w:t>-1</w:t>
            </w:r>
            <w:r w:rsidRPr="00582951">
              <w:rPr>
                <w:spacing w:val="-2"/>
              </w:rPr>
              <w:t xml:space="preserve">) </w:t>
            </w:r>
          </w:p>
        </w:tc>
        <w:tc>
          <w:tcPr>
            <w:tcW w:w="1843" w:type="dxa"/>
            <w:tcBorders>
              <w:left w:val="nil"/>
              <w:bottom w:val="nil"/>
              <w:right w:val="nil"/>
            </w:tcBorders>
          </w:tcPr>
          <w:p w:rsidR="00D85FAC" w:rsidRPr="00A7477E" w:rsidRDefault="00D85FAC" w:rsidP="00D85FAC">
            <w:pPr>
              <w:pStyle w:val="table1"/>
              <w:jc w:val="center"/>
            </w:pPr>
            <w:r w:rsidRPr="00A7477E">
              <w:t xml:space="preserve">1367 </w:t>
            </w:r>
            <w:r>
              <w:t>–</w:t>
            </w:r>
            <w:r w:rsidRPr="00A7477E">
              <w:t xml:space="preserve"> 1551</w:t>
            </w:r>
          </w:p>
        </w:tc>
        <w:tc>
          <w:tcPr>
            <w:tcW w:w="1559" w:type="dxa"/>
            <w:tcBorders>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0.23</w:t>
            </w:r>
          </w:p>
        </w:tc>
        <w:tc>
          <w:tcPr>
            <w:tcW w:w="1843" w:type="dxa"/>
            <w:tcBorders>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0.13</w:t>
            </w:r>
          </w:p>
        </w:tc>
      </w:tr>
      <w:tr w:rsidR="00D85FAC" w:rsidRPr="00A7477E" w:rsidTr="00D85FAC">
        <w:tc>
          <w:tcPr>
            <w:tcW w:w="3134"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Calcium (mg L</w:t>
            </w:r>
            <w:r w:rsidRPr="00582951">
              <w:rPr>
                <w:snapToGrid w:val="0"/>
                <w:color w:val="000000"/>
                <w:spacing w:val="-2"/>
                <w:position w:val="4"/>
                <w:sz w:val="11"/>
                <w:szCs w:val="0"/>
                <w:u w:color="000000"/>
              </w:rPr>
              <w:t>-1</w:t>
            </w:r>
            <w:r w:rsidRPr="00582951">
              <w:rPr>
                <w:spacing w:val="-2"/>
              </w:rPr>
              <w:t xml:space="preserve">) </w:t>
            </w:r>
          </w:p>
        </w:tc>
        <w:tc>
          <w:tcPr>
            <w:tcW w:w="1843" w:type="dxa"/>
            <w:tcBorders>
              <w:top w:val="nil"/>
              <w:left w:val="nil"/>
              <w:bottom w:val="nil"/>
              <w:right w:val="nil"/>
            </w:tcBorders>
          </w:tcPr>
          <w:p w:rsidR="00D85FAC" w:rsidRPr="00A7477E" w:rsidRDefault="00D85FAC" w:rsidP="00D85FAC">
            <w:pPr>
              <w:pStyle w:val="table1"/>
              <w:jc w:val="center"/>
            </w:pPr>
            <w:r w:rsidRPr="00A7477E">
              <w:t xml:space="preserve">300 </w:t>
            </w:r>
            <w:r>
              <w:t>–</w:t>
            </w:r>
            <w:r w:rsidRPr="00A7477E">
              <w:t xml:space="preserve"> 341</w:t>
            </w:r>
            <w:r>
              <w:t xml:space="preserve"> </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0.11</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&lt;0.1</w:t>
            </w:r>
          </w:p>
        </w:tc>
      </w:tr>
      <w:tr w:rsidR="00D85FAC" w:rsidRPr="00A7477E" w:rsidTr="00D85FAC">
        <w:tc>
          <w:tcPr>
            <w:tcW w:w="3134"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Magnesium (mg L</w:t>
            </w:r>
            <w:r w:rsidRPr="00582951">
              <w:rPr>
                <w:snapToGrid w:val="0"/>
                <w:color w:val="000000"/>
                <w:spacing w:val="-2"/>
                <w:position w:val="4"/>
                <w:sz w:val="11"/>
                <w:szCs w:val="0"/>
                <w:u w:color="000000"/>
              </w:rPr>
              <w:t>-1</w:t>
            </w:r>
            <w:r w:rsidRPr="00582951">
              <w:rPr>
                <w:spacing w:val="-2"/>
              </w:rPr>
              <w:t xml:space="preserve">) </w:t>
            </w:r>
          </w:p>
        </w:tc>
        <w:tc>
          <w:tcPr>
            <w:tcW w:w="1843" w:type="dxa"/>
            <w:tcBorders>
              <w:top w:val="nil"/>
              <w:left w:val="nil"/>
              <w:bottom w:val="nil"/>
              <w:right w:val="nil"/>
            </w:tcBorders>
          </w:tcPr>
          <w:p w:rsidR="00D85FAC" w:rsidRPr="00A7477E" w:rsidRDefault="00D85FAC" w:rsidP="00D85FAC">
            <w:pPr>
              <w:pStyle w:val="table1"/>
              <w:jc w:val="center"/>
            </w:pPr>
            <w:r w:rsidRPr="00A7477E">
              <w:t xml:space="preserve">3607 </w:t>
            </w:r>
            <w:r>
              <w:t>–</w:t>
            </w:r>
            <w:r w:rsidRPr="00A7477E">
              <w:t xml:space="preserve"> 4123</w:t>
            </w:r>
            <w:r>
              <w:t xml:space="preserve"> </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0.6</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0.4</w:t>
            </w:r>
          </w:p>
        </w:tc>
      </w:tr>
      <w:tr w:rsidR="00D85FAC" w:rsidRPr="00A7477E" w:rsidTr="00D85FAC">
        <w:tc>
          <w:tcPr>
            <w:tcW w:w="3134"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Ammonia</w:t>
            </w:r>
            <w:r w:rsidRPr="00582951">
              <w:rPr>
                <w:spacing w:val="-2"/>
                <w:vertAlign w:val="subscript"/>
              </w:rPr>
              <w:t xml:space="preserve"> </w:t>
            </w:r>
            <w:r w:rsidRPr="00582951">
              <w:rPr>
                <w:spacing w:val="-2"/>
              </w:rPr>
              <w:t>(mg L</w:t>
            </w:r>
            <w:r w:rsidRPr="00582951">
              <w:rPr>
                <w:snapToGrid w:val="0"/>
                <w:color w:val="000000"/>
                <w:spacing w:val="-2"/>
                <w:position w:val="4"/>
                <w:sz w:val="11"/>
                <w:szCs w:val="0"/>
                <w:u w:color="000000"/>
              </w:rPr>
              <w:t>-1</w:t>
            </w:r>
            <w:r w:rsidRPr="00582951">
              <w:rPr>
                <w:spacing w:val="-2"/>
              </w:rPr>
              <w:t xml:space="preserve"> N) </w:t>
            </w:r>
          </w:p>
        </w:tc>
        <w:tc>
          <w:tcPr>
            <w:tcW w:w="1843" w:type="dxa"/>
            <w:tcBorders>
              <w:top w:val="nil"/>
              <w:left w:val="nil"/>
              <w:bottom w:val="nil"/>
              <w:right w:val="nil"/>
            </w:tcBorders>
          </w:tcPr>
          <w:p w:rsidR="00D85FAC" w:rsidRPr="00A7477E" w:rsidRDefault="00D85FAC" w:rsidP="00D85FAC">
            <w:pPr>
              <w:pStyle w:val="table1"/>
              <w:jc w:val="center"/>
            </w:pPr>
            <w:r w:rsidRPr="00A7477E">
              <w:t xml:space="preserve">550 </w:t>
            </w:r>
            <w:r>
              <w:t>–</w:t>
            </w:r>
            <w:r w:rsidRPr="00A7477E">
              <w:t xml:space="preserve"> 756</w:t>
            </w:r>
            <w:r>
              <w:t xml:space="preserve"> </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0.7</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0.8</w:t>
            </w:r>
          </w:p>
        </w:tc>
      </w:tr>
      <w:tr w:rsidR="00D85FAC" w:rsidRPr="00A7477E" w:rsidTr="00D85FAC">
        <w:tc>
          <w:tcPr>
            <w:tcW w:w="3134"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Biocarbonate</w:t>
            </w:r>
            <w:r w:rsidRPr="00582951">
              <w:rPr>
                <w:spacing w:val="-2"/>
                <w:vertAlign w:val="superscript"/>
              </w:rPr>
              <w:t xml:space="preserve"> </w:t>
            </w:r>
            <w:r w:rsidRPr="00582951">
              <w:rPr>
                <w:spacing w:val="-2"/>
              </w:rPr>
              <w:t>(mg L</w:t>
            </w:r>
            <w:r w:rsidRPr="00582951">
              <w:rPr>
                <w:snapToGrid w:val="0"/>
                <w:color w:val="000000"/>
                <w:spacing w:val="-2"/>
                <w:position w:val="4"/>
                <w:sz w:val="11"/>
                <w:szCs w:val="0"/>
                <w:u w:color="000000"/>
              </w:rPr>
              <w:t>-1</w:t>
            </w:r>
            <w:r w:rsidRPr="00582951">
              <w:rPr>
                <w:spacing w:val="-2"/>
              </w:rPr>
              <w:t xml:space="preserve"> CaCO</w:t>
            </w:r>
            <w:r w:rsidRPr="00582951">
              <w:rPr>
                <w:spacing w:val="-2"/>
                <w:vertAlign w:val="subscript"/>
              </w:rPr>
              <w:t>3</w:t>
            </w:r>
            <w:r w:rsidRPr="00582951">
              <w:rPr>
                <w:spacing w:val="-2"/>
              </w:rPr>
              <w:t xml:space="preserve">) </w:t>
            </w:r>
          </w:p>
        </w:tc>
        <w:tc>
          <w:tcPr>
            <w:tcW w:w="1843" w:type="dxa"/>
            <w:tcBorders>
              <w:top w:val="nil"/>
              <w:left w:val="nil"/>
              <w:bottom w:val="nil"/>
              <w:right w:val="nil"/>
            </w:tcBorders>
          </w:tcPr>
          <w:p w:rsidR="00D85FAC" w:rsidRPr="00A7477E" w:rsidRDefault="00D85FAC" w:rsidP="00D85FAC">
            <w:pPr>
              <w:pStyle w:val="table1"/>
              <w:jc w:val="center"/>
            </w:pPr>
            <w:r w:rsidRPr="00A7477E">
              <w:t>&lt;1</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7</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6</w:t>
            </w:r>
          </w:p>
        </w:tc>
      </w:tr>
      <w:tr w:rsidR="00D85FAC" w:rsidRPr="00A7477E" w:rsidTr="00D85FAC">
        <w:tc>
          <w:tcPr>
            <w:tcW w:w="3134"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Uranium (µg L</w:t>
            </w:r>
            <w:r w:rsidRPr="00582951">
              <w:rPr>
                <w:snapToGrid w:val="0"/>
                <w:color w:val="000000"/>
                <w:spacing w:val="-2"/>
                <w:position w:val="4"/>
                <w:sz w:val="11"/>
                <w:szCs w:val="0"/>
                <w:u w:color="000000"/>
              </w:rPr>
              <w:t>-1</w:t>
            </w:r>
            <w:r w:rsidRPr="00582951">
              <w:rPr>
                <w:spacing w:val="-2"/>
              </w:rPr>
              <w:t>)</w:t>
            </w:r>
          </w:p>
        </w:tc>
        <w:tc>
          <w:tcPr>
            <w:tcW w:w="1843" w:type="dxa"/>
            <w:tcBorders>
              <w:top w:val="nil"/>
              <w:left w:val="nil"/>
              <w:bottom w:val="nil"/>
              <w:right w:val="nil"/>
            </w:tcBorders>
          </w:tcPr>
          <w:p w:rsidR="00D85FAC" w:rsidRPr="00A7477E" w:rsidRDefault="00D85FAC" w:rsidP="00D85FAC">
            <w:pPr>
              <w:pStyle w:val="table1"/>
              <w:jc w:val="center"/>
            </w:pPr>
            <w:r w:rsidRPr="00A7477E">
              <w:t xml:space="preserve">9600 </w:t>
            </w:r>
            <w:r>
              <w:t>–</w:t>
            </w:r>
            <w:r w:rsidRPr="00A7477E">
              <w:t xml:space="preserve"> 25</w:t>
            </w:r>
            <w:r>
              <w:t xml:space="preserve"> </w:t>
            </w:r>
            <w:r w:rsidRPr="00A7477E">
              <w:t>300</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1.1</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1.5</w:t>
            </w:r>
          </w:p>
        </w:tc>
      </w:tr>
      <w:tr w:rsidR="00D85FAC" w:rsidRPr="00A7477E" w:rsidTr="00D85FAC">
        <w:tc>
          <w:tcPr>
            <w:tcW w:w="3134"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DOC (mg L</w:t>
            </w:r>
            <w:r w:rsidRPr="00582951">
              <w:rPr>
                <w:snapToGrid w:val="0"/>
                <w:color w:val="000000"/>
                <w:spacing w:val="-2"/>
                <w:position w:val="4"/>
                <w:sz w:val="11"/>
                <w:szCs w:val="0"/>
                <w:u w:color="000000"/>
              </w:rPr>
              <w:t>-1</w:t>
            </w:r>
            <w:r w:rsidRPr="00582951">
              <w:rPr>
                <w:spacing w:val="-2"/>
              </w:rPr>
              <w:t>)</w:t>
            </w:r>
          </w:p>
        </w:tc>
        <w:tc>
          <w:tcPr>
            <w:tcW w:w="1843" w:type="dxa"/>
            <w:tcBorders>
              <w:top w:val="nil"/>
              <w:left w:val="nil"/>
              <w:bottom w:val="nil"/>
              <w:right w:val="nil"/>
            </w:tcBorders>
          </w:tcPr>
          <w:p w:rsidR="00D85FAC" w:rsidRPr="00A7477E" w:rsidRDefault="00D85FAC" w:rsidP="00D85FAC">
            <w:pPr>
              <w:pStyle w:val="table1"/>
              <w:jc w:val="center"/>
            </w:pPr>
            <w:r w:rsidRPr="00A7477E">
              <w:t xml:space="preserve">&lt;1 </w:t>
            </w:r>
            <w:r>
              <w:t>–</w:t>
            </w:r>
            <w:r w:rsidRPr="00A7477E">
              <w:t xml:space="preserve"> 6</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0.6</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NM</w:t>
            </w:r>
            <w:r w:rsidRPr="00A7477E">
              <w:rPr>
                <w:snapToGrid w:val="0"/>
                <w:color w:val="000000"/>
                <w:position w:val="4"/>
                <w:sz w:val="11"/>
                <w:szCs w:val="0"/>
                <w:u w:color="000000"/>
              </w:rPr>
              <w:t>C</w:t>
            </w:r>
          </w:p>
        </w:tc>
      </w:tr>
      <w:tr w:rsidR="00D85FAC" w:rsidRPr="00A7477E" w:rsidTr="00D85FAC">
        <w:tc>
          <w:tcPr>
            <w:tcW w:w="3134"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Decane (µg L</w:t>
            </w:r>
            <w:r w:rsidRPr="00582951">
              <w:rPr>
                <w:snapToGrid w:val="0"/>
                <w:color w:val="000000"/>
                <w:spacing w:val="-2"/>
                <w:position w:val="4"/>
                <w:sz w:val="11"/>
                <w:szCs w:val="0"/>
                <w:u w:color="000000"/>
              </w:rPr>
              <w:t>-1</w:t>
            </w:r>
            <w:r w:rsidRPr="00582951">
              <w:rPr>
                <w:spacing w:val="-2"/>
              </w:rPr>
              <w:t>)</w:t>
            </w:r>
            <w:r w:rsidRPr="00582951">
              <w:rPr>
                <w:spacing w:val="-2"/>
                <w:vertAlign w:val="superscript"/>
              </w:rPr>
              <w:t xml:space="preserve"> </w:t>
            </w:r>
          </w:p>
        </w:tc>
        <w:tc>
          <w:tcPr>
            <w:tcW w:w="1843" w:type="dxa"/>
            <w:tcBorders>
              <w:top w:val="nil"/>
              <w:left w:val="nil"/>
              <w:bottom w:val="nil"/>
              <w:right w:val="nil"/>
            </w:tcBorders>
          </w:tcPr>
          <w:p w:rsidR="00D85FAC" w:rsidRPr="00A7477E" w:rsidRDefault="00D85FAC" w:rsidP="00D85FAC">
            <w:pPr>
              <w:pStyle w:val="table1"/>
              <w:jc w:val="center"/>
            </w:pPr>
            <w:r w:rsidRPr="00A7477E">
              <w:t>Not detected</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NM</w:t>
            </w:r>
            <w:r w:rsidRPr="00A7477E">
              <w:rPr>
                <w:snapToGrid w:val="0"/>
                <w:color w:val="000000"/>
                <w:position w:val="4"/>
                <w:sz w:val="11"/>
                <w:szCs w:val="0"/>
                <w:u w:color="000000"/>
              </w:rPr>
              <w:t>c</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 xml:space="preserve">2 </w:t>
            </w:r>
            <w:r w:rsidRPr="00A7477E">
              <w:rPr>
                <w:snapToGrid w:val="0"/>
                <w:color w:val="000000"/>
                <w:position w:val="4"/>
                <w:sz w:val="11"/>
                <w:szCs w:val="0"/>
                <w:u w:color="000000"/>
              </w:rPr>
              <w:t>d</w:t>
            </w:r>
          </w:p>
        </w:tc>
      </w:tr>
      <w:tr w:rsidR="00D85FAC" w:rsidRPr="00A7477E" w:rsidTr="00D85FAC">
        <w:tc>
          <w:tcPr>
            <w:tcW w:w="3134"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Phenol, 3,5-bis (1,1-dimethylethyl) (µg L</w:t>
            </w:r>
            <w:r w:rsidRPr="00582951">
              <w:rPr>
                <w:snapToGrid w:val="0"/>
                <w:color w:val="000000"/>
                <w:spacing w:val="-2"/>
                <w:position w:val="4"/>
                <w:sz w:val="11"/>
                <w:szCs w:val="0"/>
                <w:u w:color="000000"/>
              </w:rPr>
              <w:t>-1</w:t>
            </w:r>
            <w:r w:rsidRPr="00582951">
              <w:rPr>
                <w:spacing w:val="-2"/>
              </w:rPr>
              <w:t xml:space="preserve">) </w:t>
            </w:r>
            <w:r w:rsidRPr="00582951">
              <w:rPr>
                <w:snapToGrid w:val="0"/>
                <w:color w:val="000000"/>
                <w:spacing w:val="-2"/>
                <w:position w:val="4"/>
                <w:sz w:val="11"/>
                <w:szCs w:val="0"/>
                <w:u w:color="000000"/>
              </w:rPr>
              <w:t>b</w:t>
            </w:r>
          </w:p>
        </w:tc>
        <w:tc>
          <w:tcPr>
            <w:tcW w:w="1843" w:type="dxa"/>
            <w:tcBorders>
              <w:top w:val="nil"/>
              <w:left w:val="nil"/>
              <w:bottom w:val="nil"/>
              <w:right w:val="nil"/>
            </w:tcBorders>
          </w:tcPr>
          <w:p w:rsidR="00D85FAC" w:rsidRPr="00A7477E" w:rsidRDefault="00D85FAC" w:rsidP="00D85FAC">
            <w:pPr>
              <w:pStyle w:val="table1"/>
              <w:jc w:val="center"/>
            </w:pPr>
            <w:r w:rsidRPr="00A7477E">
              <w:t>Not detected</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NM</w:t>
            </w:r>
            <w:r w:rsidRPr="00A7477E">
              <w:rPr>
                <w:snapToGrid w:val="0"/>
                <w:color w:val="000000"/>
                <w:position w:val="4"/>
                <w:sz w:val="11"/>
                <w:szCs w:val="0"/>
                <w:u w:color="000000"/>
              </w:rPr>
              <w:t>c</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 xml:space="preserve">6 </w:t>
            </w:r>
            <w:r w:rsidRPr="00A7477E">
              <w:rPr>
                <w:snapToGrid w:val="0"/>
                <w:color w:val="000000"/>
                <w:position w:val="4"/>
                <w:sz w:val="11"/>
                <w:szCs w:val="0"/>
                <w:u w:color="000000"/>
              </w:rPr>
              <w:t>d</w:t>
            </w:r>
          </w:p>
        </w:tc>
      </w:tr>
      <w:tr w:rsidR="00D85FAC" w:rsidRPr="00A7477E" w:rsidTr="00D85FAC">
        <w:tc>
          <w:tcPr>
            <w:tcW w:w="3134"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Phenol, 2,4-bis (1,1-dimethylethyl) (µg L</w:t>
            </w:r>
            <w:r w:rsidRPr="00582951">
              <w:rPr>
                <w:snapToGrid w:val="0"/>
                <w:color w:val="000000"/>
                <w:spacing w:val="-2"/>
                <w:position w:val="4"/>
                <w:sz w:val="11"/>
                <w:szCs w:val="0"/>
                <w:u w:color="000000"/>
              </w:rPr>
              <w:t>-1</w:t>
            </w:r>
            <w:r w:rsidRPr="00582951">
              <w:rPr>
                <w:spacing w:val="-2"/>
              </w:rPr>
              <w:t xml:space="preserve">) </w:t>
            </w:r>
            <w:r w:rsidRPr="00582951">
              <w:rPr>
                <w:snapToGrid w:val="0"/>
                <w:color w:val="000000"/>
                <w:spacing w:val="-2"/>
                <w:position w:val="4"/>
                <w:sz w:val="11"/>
                <w:szCs w:val="0"/>
                <w:u w:color="000000"/>
              </w:rPr>
              <w:t>b</w:t>
            </w:r>
          </w:p>
        </w:tc>
        <w:tc>
          <w:tcPr>
            <w:tcW w:w="1843" w:type="dxa"/>
            <w:tcBorders>
              <w:top w:val="nil"/>
              <w:left w:val="nil"/>
              <w:bottom w:val="nil"/>
              <w:right w:val="nil"/>
            </w:tcBorders>
          </w:tcPr>
          <w:p w:rsidR="00D85FAC" w:rsidRPr="00A7477E" w:rsidRDefault="00D85FAC" w:rsidP="00D85FAC">
            <w:pPr>
              <w:pStyle w:val="table1"/>
              <w:jc w:val="center"/>
            </w:pPr>
            <w:r w:rsidRPr="00A7477E">
              <w:t>Not detected</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NM</w:t>
            </w:r>
            <w:r w:rsidRPr="00A7477E">
              <w:rPr>
                <w:snapToGrid w:val="0"/>
                <w:color w:val="000000"/>
                <w:position w:val="4"/>
                <w:sz w:val="11"/>
                <w:szCs w:val="0"/>
                <w:u w:color="000000"/>
              </w:rPr>
              <w:t>c</w:t>
            </w:r>
          </w:p>
        </w:tc>
        <w:tc>
          <w:tcPr>
            <w:tcW w:w="1843" w:type="dxa"/>
            <w:tcBorders>
              <w:top w:val="nil"/>
              <w:left w:val="nil"/>
              <w:bottom w:val="nil"/>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 xml:space="preserve">12 </w:t>
            </w:r>
            <w:r w:rsidRPr="00A7477E">
              <w:rPr>
                <w:snapToGrid w:val="0"/>
                <w:color w:val="000000"/>
                <w:position w:val="4"/>
                <w:sz w:val="11"/>
                <w:szCs w:val="0"/>
                <w:u w:color="000000"/>
              </w:rPr>
              <w:t>d</w:t>
            </w:r>
          </w:p>
        </w:tc>
      </w:tr>
      <w:tr w:rsidR="00D85FAC" w:rsidRPr="00A7477E" w:rsidTr="00D85FAC">
        <w:tc>
          <w:tcPr>
            <w:tcW w:w="3134"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D85FAC" w:rsidRPr="00582951" w:rsidRDefault="00D85FAC" w:rsidP="00D85FAC">
            <w:pPr>
              <w:pStyle w:val="table1"/>
              <w:rPr>
                <w:spacing w:val="-2"/>
              </w:rPr>
            </w:pPr>
            <w:r w:rsidRPr="00582951">
              <w:rPr>
                <w:spacing w:val="-2"/>
              </w:rPr>
              <w:t>1,2-Benzenedicarboxylic acid, buty (µg L</w:t>
            </w:r>
            <w:r w:rsidRPr="00582951">
              <w:rPr>
                <w:snapToGrid w:val="0"/>
                <w:color w:val="000000"/>
                <w:spacing w:val="-2"/>
                <w:position w:val="4"/>
                <w:sz w:val="11"/>
                <w:szCs w:val="0"/>
                <w:u w:color="000000"/>
              </w:rPr>
              <w:t>-1</w:t>
            </w:r>
            <w:r w:rsidRPr="00582951">
              <w:rPr>
                <w:spacing w:val="-2"/>
              </w:rPr>
              <w:t xml:space="preserve">) </w:t>
            </w:r>
            <w:r w:rsidRPr="00582951">
              <w:rPr>
                <w:snapToGrid w:val="0"/>
                <w:color w:val="000000"/>
                <w:spacing w:val="-2"/>
                <w:position w:val="4"/>
                <w:sz w:val="11"/>
                <w:szCs w:val="0"/>
                <w:u w:color="000000"/>
              </w:rPr>
              <w:t>b</w:t>
            </w:r>
          </w:p>
        </w:tc>
        <w:tc>
          <w:tcPr>
            <w:tcW w:w="1843" w:type="dxa"/>
            <w:tcBorders>
              <w:top w:val="nil"/>
              <w:left w:val="nil"/>
              <w:bottom w:val="single" w:sz="8" w:space="0" w:color="000000"/>
              <w:right w:val="nil"/>
            </w:tcBorders>
          </w:tcPr>
          <w:p w:rsidR="00D85FAC" w:rsidRPr="00A7477E" w:rsidRDefault="00D85FAC" w:rsidP="00D85FAC">
            <w:pPr>
              <w:pStyle w:val="table1"/>
              <w:jc w:val="center"/>
            </w:pPr>
            <w:r w:rsidRPr="00A7477E">
              <w:t>Not detected</w:t>
            </w:r>
          </w:p>
        </w:tc>
        <w:tc>
          <w:tcPr>
            <w:tcW w:w="155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NM</w:t>
            </w:r>
            <w:r w:rsidRPr="00A7477E">
              <w:rPr>
                <w:snapToGrid w:val="0"/>
                <w:color w:val="000000"/>
                <w:position w:val="4"/>
                <w:sz w:val="11"/>
                <w:szCs w:val="0"/>
                <w:u w:color="000000"/>
              </w:rPr>
              <w:t>c</w:t>
            </w:r>
          </w:p>
        </w:tc>
        <w:tc>
          <w:tcPr>
            <w:tcW w:w="1843"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rsidR="00D85FAC" w:rsidRPr="00A7477E" w:rsidRDefault="00D85FAC" w:rsidP="00D85FAC">
            <w:pPr>
              <w:pStyle w:val="table1"/>
              <w:jc w:val="center"/>
            </w:pPr>
            <w:r w:rsidRPr="00A7477E">
              <w:t xml:space="preserve">10 </w:t>
            </w:r>
            <w:r w:rsidRPr="00A7477E">
              <w:rPr>
                <w:snapToGrid w:val="0"/>
                <w:color w:val="000000"/>
                <w:position w:val="4"/>
                <w:sz w:val="11"/>
                <w:szCs w:val="0"/>
                <w:u w:color="000000"/>
              </w:rPr>
              <w:t>d</w:t>
            </w:r>
          </w:p>
        </w:tc>
      </w:tr>
    </w:tbl>
    <w:p w:rsidR="00D85FAC" w:rsidRPr="007206B2" w:rsidRDefault="00D85FAC" w:rsidP="00D85FAC">
      <w:pPr>
        <w:pStyle w:val="tablenote"/>
        <w:spacing w:after="0"/>
        <w:ind w:left="0" w:firstLine="0"/>
        <w:rPr>
          <w:snapToGrid w:val="0"/>
          <w:spacing w:val="-2"/>
          <w:u w:color="000000"/>
        </w:rPr>
      </w:pPr>
      <w:proofErr w:type="gramStart"/>
      <w:r w:rsidRPr="007206B2">
        <w:rPr>
          <w:snapToGrid w:val="0"/>
          <w:color w:val="000000"/>
          <w:spacing w:val="-2"/>
          <w:position w:val="3"/>
          <w:sz w:val="9"/>
          <w:szCs w:val="0"/>
          <w:u w:color="000000"/>
        </w:rPr>
        <w:t>a</w:t>
      </w:r>
      <w:proofErr w:type="gramEnd"/>
      <w:r w:rsidRPr="007206B2">
        <w:rPr>
          <w:snapToGrid w:val="0"/>
          <w:color w:val="000000"/>
          <w:spacing w:val="-2"/>
          <w:position w:val="3"/>
          <w:sz w:val="9"/>
          <w:szCs w:val="0"/>
          <w:u w:color="000000"/>
        </w:rPr>
        <w:t xml:space="preserve"> </w:t>
      </w:r>
      <w:r w:rsidRPr="007206B2">
        <w:rPr>
          <w:spacing w:val="-2"/>
        </w:rPr>
        <w:t xml:space="preserve">Value ranges based on numerous composite samples of the feed taken from 10 July – 9 August 2011 (data provided by ERA); </w:t>
      </w:r>
      <w:r w:rsidRPr="007206B2">
        <w:rPr>
          <w:snapToGrid w:val="0"/>
          <w:color w:val="000000"/>
          <w:spacing w:val="-2"/>
          <w:position w:val="3"/>
          <w:sz w:val="9"/>
          <w:szCs w:val="0"/>
          <w:u w:color="000000"/>
        </w:rPr>
        <w:t>b</w:t>
      </w:r>
      <w:r w:rsidRPr="007206B2">
        <w:rPr>
          <w:spacing w:val="-2"/>
          <w:u w:color="000000"/>
        </w:rPr>
        <w:t xml:space="preserve"> Known to leach from plastics; </w:t>
      </w:r>
      <w:r w:rsidRPr="007206B2">
        <w:rPr>
          <w:snapToGrid w:val="0"/>
          <w:color w:val="000000"/>
          <w:spacing w:val="-2"/>
          <w:position w:val="3"/>
          <w:sz w:val="9"/>
          <w:szCs w:val="0"/>
          <w:u w:color="000000"/>
        </w:rPr>
        <w:t>c</w:t>
      </w:r>
      <w:r w:rsidRPr="007206B2">
        <w:rPr>
          <w:snapToGrid w:val="0"/>
          <w:color w:val="000000"/>
          <w:spacing w:val="-2"/>
          <w:szCs w:val="0"/>
          <w:u w:color="000000"/>
        </w:rPr>
        <w:t xml:space="preserve"> NM: Not measured; </w:t>
      </w:r>
      <w:r w:rsidRPr="007206B2">
        <w:rPr>
          <w:snapToGrid w:val="0"/>
          <w:spacing w:val="-2"/>
          <w:position w:val="3"/>
          <w:sz w:val="9"/>
          <w:u w:color="000000"/>
        </w:rPr>
        <w:t>d</w:t>
      </w:r>
      <w:r w:rsidRPr="007206B2">
        <w:rPr>
          <w:snapToGrid w:val="0"/>
          <w:spacing w:val="-2"/>
          <w:u w:color="000000"/>
        </w:rPr>
        <w:t xml:space="preserve"> Not a definitive measurement as concentration estimated from closest chemical surrogate</w:t>
      </w:r>
    </w:p>
    <w:p w:rsidR="00D85FAC" w:rsidRPr="00A7477E" w:rsidRDefault="00D85FAC" w:rsidP="00D85FAC">
      <w:pPr>
        <w:pStyle w:val="tablecaption"/>
        <w:spacing w:before="240"/>
      </w:pPr>
      <w:r w:rsidRPr="00A7477E">
        <w:rPr>
          <w:b/>
        </w:rPr>
        <w:t xml:space="preserve">Table </w:t>
      </w:r>
      <w:proofErr w:type="gramStart"/>
      <w:r>
        <w:rPr>
          <w:b/>
        </w:rPr>
        <w:t>3</w:t>
      </w:r>
      <w:r w:rsidRPr="00A7477E">
        <w:t xml:space="preserve"> </w:t>
      </w:r>
      <w:r>
        <w:t xml:space="preserve"> </w:t>
      </w:r>
      <w:r w:rsidRPr="00A7477E">
        <w:t>Toxicity</w:t>
      </w:r>
      <w:proofErr w:type="gramEnd"/>
      <w:r w:rsidRPr="00A7477E">
        <w:t xml:space="preserve"> </w:t>
      </w:r>
      <w:r>
        <w:t>of t</w:t>
      </w:r>
      <w:r w:rsidRPr="00A7477E">
        <w:t xml:space="preserve">he </w:t>
      </w:r>
      <w:r>
        <w:t>p</w:t>
      </w:r>
      <w:r w:rsidRPr="00A7477E">
        <w:t xml:space="preserve">ilot </w:t>
      </w:r>
      <w:r>
        <w:t>b</w:t>
      </w:r>
      <w:r w:rsidRPr="00A7477E">
        <w:t xml:space="preserve">rine </w:t>
      </w:r>
      <w:r>
        <w:t>c</w:t>
      </w:r>
      <w:r w:rsidRPr="00A7477E">
        <w:t xml:space="preserve">oncentrator </w:t>
      </w:r>
      <w:r>
        <w:t>distillate</w:t>
      </w:r>
    </w:p>
    <w:tbl>
      <w:tblPr>
        <w:tblW w:w="0" w:type="auto"/>
        <w:tblInd w:w="108" w:type="dxa"/>
        <w:tblBorders>
          <w:bottom w:val="single" w:sz="12" w:space="0" w:color="auto"/>
        </w:tblBorders>
        <w:tblLayout w:type="fixed"/>
        <w:tblLook w:val="01E0"/>
      </w:tblPr>
      <w:tblGrid>
        <w:gridCol w:w="2835"/>
        <w:gridCol w:w="2410"/>
        <w:gridCol w:w="1488"/>
        <w:gridCol w:w="1489"/>
      </w:tblGrid>
      <w:tr w:rsidR="00D85FAC" w:rsidRPr="00A7477E" w:rsidTr="00D85FAC">
        <w:tc>
          <w:tcPr>
            <w:tcW w:w="2835" w:type="dxa"/>
            <w:vMerge w:val="restart"/>
            <w:tcBorders>
              <w:top w:val="single" w:sz="4" w:space="0" w:color="auto"/>
              <w:bottom w:val="nil"/>
            </w:tcBorders>
            <w:vAlign w:val="center"/>
          </w:tcPr>
          <w:p w:rsidR="00D85FAC" w:rsidRPr="00A7477E" w:rsidRDefault="00D85FAC" w:rsidP="00D85FAC">
            <w:pPr>
              <w:pStyle w:val="table1"/>
              <w:rPr>
                <w:b/>
              </w:rPr>
            </w:pPr>
            <w:r w:rsidRPr="00A7477E">
              <w:rPr>
                <w:b/>
              </w:rPr>
              <w:t>Species</w:t>
            </w:r>
          </w:p>
        </w:tc>
        <w:tc>
          <w:tcPr>
            <w:tcW w:w="2410" w:type="dxa"/>
            <w:vMerge w:val="restart"/>
            <w:tcBorders>
              <w:top w:val="single" w:sz="4" w:space="0" w:color="auto"/>
            </w:tcBorders>
            <w:vAlign w:val="center"/>
          </w:tcPr>
          <w:p w:rsidR="00D85FAC" w:rsidRPr="00A7477E" w:rsidRDefault="00D85FAC" w:rsidP="00D85FAC">
            <w:pPr>
              <w:pStyle w:val="table1"/>
              <w:ind w:firstLine="34"/>
              <w:rPr>
                <w:b/>
              </w:rPr>
            </w:pPr>
            <w:r>
              <w:rPr>
                <w:b/>
              </w:rPr>
              <w:t>Endpoint</w:t>
            </w:r>
          </w:p>
        </w:tc>
        <w:tc>
          <w:tcPr>
            <w:tcW w:w="2977" w:type="dxa"/>
            <w:gridSpan w:val="2"/>
            <w:tcBorders>
              <w:top w:val="single" w:sz="4" w:space="0" w:color="auto"/>
              <w:bottom w:val="single" w:sz="4" w:space="0" w:color="auto"/>
            </w:tcBorders>
          </w:tcPr>
          <w:p w:rsidR="00D85FAC" w:rsidRPr="00A7477E" w:rsidRDefault="00D85FAC" w:rsidP="00D85FAC">
            <w:pPr>
              <w:pStyle w:val="table1"/>
              <w:jc w:val="center"/>
              <w:rPr>
                <w:b/>
              </w:rPr>
            </w:pPr>
            <w:r>
              <w:rPr>
                <w:b/>
              </w:rPr>
              <w:t>Percentage effect following exposure to 100</w:t>
            </w:r>
            <w:r w:rsidRPr="00A7477E">
              <w:rPr>
                <w:b/>
              </w:rPr>
              <w:t xml:space="preserve">% </w:t>
            </w:r>
            <w:r>
              <w:rPr>
                <w:b/>
              </w:rPr>
              <w:t>d</w:t>
            </w:r>
            <w:r w:rsidRPr="00A7477E">
              <w:rPr>
                <w:b/>
              </w:rPr>
              <w:t>istillate</w:t>
            </w:r>
          </w:p>
        </w:tc>
      </w:tr>
      <w:tr w:rsidR="00D85FAC" w:rsidRPr="00A7477E" w:rsidTr="00D85FAC">
        <w:tc>
          <w:tcPr>
            <w:tcW w:w="2835" w:type="dxa"/>
            <w:vMerge/>
            <w:tcBorders>
              <w:top w:val="nil"/>
              <w:bottom w:val="single" w:sz="4" w:space="0" w:color="auto"/>
            </w:tcBorders>
          </w:tcPr>
          <w:p w:rsidR="00D85FAC" w:rsidRPr="00A7477E" w:rsidRDefault="00D85FAC" w:rsidP="00D85FAC">
            <w:pPr>
              <w:pStyle w:val="table1"/>
              <w:jc w:val="both"/>
            </w:pPr>
          </w:p>
        </w:tc>
        <w:tc>
          <w:tcPr>
            <w:tcW w:w="2410" w:type="dxa"/>
            <w:vMerge/>
            <w:tcBorders>
              <w:bottom w:val="single" w:sz="4" w:space="0" w:color="auto"/>
            </w:tcBorders>
          </w:tcPr>
          <w:p w:rsidR="00D85FAC" w:rsidRPr="00A7477E" w:rsidRDefault="00D85FAC" w:rsidP="00D85FAC">
            <w:pPr>
              <w:pStyle w:val="table1"/>
              <w:ind w:firstLine="34"/>
            </w:pPr>
          </w:p>
        </w:tc>
        <w:tc>
          <w:tcPr>
            <w:tcW w:w="1488" w:type="dxa"/>
            <w:tcBorders>
              <w:top w:val="single" w:sz="4" w:space="0" w:color="auto"/>
              <w:bottom w:val="single" w:sz="4" w:space="0" w:color="auto"/>
            </w:tcBorders>
          </w:tcPr>
          <w:p w:rsidR="00D85FAC" w:rsidRPr="00A7477E" w:rsidRDefault="00D85FAC" w:rsidP="00D85FAC">
            <w:pPr>
              <w:pStyle w:val="table1"/>
              <w:jc w:val="center"/>
              <w:rPr>
                <w:b/>
              </w:rPr>
            </w:pPr>
            <w:r>
              <w:rPr>
                <w:b/>
              </w:rPr>
              <w:t>First batch</w:t>
            </w:r>
          </w:p>
        </w:tc>
        <w:tc>
          <w:tcPr>
            <w:tcW w:w="1489" w:type="dxa"/>
            <w:tcBorders>
              <w:top w:val="single" w:sz="4" w:space="0" w:color="auto"/>
              <w:bottom w:val="single" w:sz="4" w:space="0" w:color="auto"/>
            </w:tcBorders>
          </w:tcPr>
          <w:p w:rsidR="00D85FAC" w:rsidRPr="00A7477E" w:rsidRDefault="00D85FAC" w:rsidP="00D85FAC">
            <w:pPr>
              <w:pStyle w:val="table1"/>
              <w:jc w:val="center"/>
              <w:rPr>
                <w:b/>
              </w:rPr>
            </w:pPr>
            <w:r>
              <w:rPr>
                <w:b/>
              </w:rPr>
              <w:t>Second batch</w:t>
            </w:r>
          </w:p>
        </w:tc>
      </w:tr>
      <w:tr w:rsidR="00D85FAC" w:rsidRPr="00A7477E" w:rsidTr="00D85FAC">
        <w:tc>
          <w:tcPr>
            <w:tcW w:w="2835" w:type="dxa"/>
            <w:tcBorders>
              <w:top w:val="single" w:sz="4" w:space="0" w:color="auto"/>
              <w:bottom w:val="nil"/>
            </w:tcBorders>
            <w:shd w:val="clear" w:color="auto" w:fill="auto"/>
          </w:tcPr>
          <w:p w:rsidR="00D85FAC" w:rsidRPr="00A7477E" w:rsidRDefault="00D85FAC" w:rsidP="00D85FAC">
            <w:pPr>
              <w:pStyle w:val="table1"/>
            </w:pPr>
            <w:r w:rsidRPr="00A7477E">
              <w:rPr>
                <w:i/>
              </w:rPr>
              <w:t>Chlorella</w:t>
            </w:r>
            <w:r w:rsidRPr="00A7477E">
              <w:t xml:space="preserve"> sp. (unicellular alga)</w:t>
            </w:r>
          </w:p>
        </w:tc>
        <w:tc>
          <w:tcPr>
            <w:tcW w:w="2410" w:type="dxa"/>
            <w:tcBorders>
              <w:top w:val="single" w:sz="4" w:space="0" w:color="auto"/>
              <w:bottom w:val="nil"/>
            </w:tcBorders>
          </w:tcPr>
          <w:p w:rsidR="00D85FAC" w:rsidRPr="00A7477E" w:rsidRDefault="00D85FAC" w:rsidP="00D85FAC">
            <w:pPr>
              <w:pStyle w:val="table1"/>
              <w:ind w:firstLine="34"/>
            </w:pPr>
            <w:r>
              <w:t>72-h cell division rate</w:t>
            </w:r>
          </w:p>
        </w:tc>
        <w:tc>
          <w:tcPr>
            <w:tcW w:w="1488" w:type="dxa"/>
            <w:tcBorders>
              <w:top w:val="single" w:sz="4" w:space="0" w:color="auto"/>
              <w:bottom w:val="nil"/>
            </w:tcBorders>
          </w:tcPr>
          <w:p w:rsidR="00D85FAC" w:rsidRPr="008A2230" w:rsidRDefault="00D85FAC" w:rsidP="00D85FAC">
            <w:pPr>
              <w:pStyle w:val="table1"/>
              <w:jc w:val="center"/>
            </w:pPr>
            <w:r w:rsidRPr="008A2230">
              <w:t>11</w:t>
            </w:r>
          </w:p>
        </w:tc>
        <w:tc>
          <w:tcPr>
            <w:tcW w:w="1489" w:type="dxa"/>
            <w:tcBorders>
              <w:top w:val="single" w:sz="4" w:space="0" w:color="auto"/>
              <w:bottom w:val="nil"/>
            </w:tcBorders>
          </w:tcPr>
          <w:p w:rsidR="00D85FAC" w:rsidRPr="008A2230" w:rsidRDefault="00D85FAC" w:rsidP="00D85FAC">
            <w:pPr>
              <w:pStyle w:val="table1"/>
              <w:jc w:val="center"/>
            </w:pPr>
            <w:r w:rsidRPr="008A2230">
              <w:t>0</w:t>
            </w:r>
          </w:p>
        </w:tc>
      </w:tr>
      <w:tr w:rsidR="00D85FAC" w:rsidRPr="00A7477E" w:rsidTr="00D85FAC">
        <w:tc>
          <w:tcPr>
            <w:tcW w:w="2835" w:type="dxa"/>
            <w:tcBorders>
              <w:top w:val="nil"/>
              <w:bottom w:val="nil"/>
            </w:tcBorders>
            <w:shd w:val="clear" w:color="auto" w:fill="auto"/>
          </w:tcPr>
          <w:p w:rsidR="00D85FAC" w:rsidRPr="00A7477E" w:rsidRDefault="00D85FAC" w:rsidP="00D85FAC">
            <w:pPr>
              <w:pStyle w:val="table1"/>
            </w:pPr>
            <w:r w:rsidRPr="00A7477E">
              <w:rPr>
                <w:i/>
              </w:rPr>
              <w:t xml:space="preserve">Lemna aequinoctialis </w:t>
            </w:r>
            <w:r w:rsidRPr="00A7477E">
              <w:t>(duckweed)</w:t>
            </w:r>
          </w:p>
        </w:tc>
        <w:tc>
          <w:tcPr>
            <w:tcW w:w="2410" w:type="dxa"/>
            <w:tcBorders>
              <w:top w:val="nil"/>
              <w:bottom w:val="nil"/>
            </w:tcBorders>
          </w:tcPr>
          <w:p w:rsidR="00D85FAC" w:rsidRPr="00A7477E" w:rsidRDefault="00D85FAC" w:rsidP="00D85FAC">
            <w:pPr>
              <w:pStyle w:val="table1"/>
              <w:ind w:firstLine="34"/>
            </w:pPr>
            <w:r>
              <w:t>96-h growth rate</w:t>
            </w:r>
          </w:p>
        </w:tc>
        <w:tc>
          <w:tcPr>
            <w:tcW w:w="1488" w:type="dxa"/>
            <w:tcBorders>
              <w:top w:val="nil"/>
              <w:bottom w:val="nil"/>
            </w:tcBorders>
          </w:tcPr>
          <w:p w:rsidR="00D85FAC" w:rsidRPr="008A2230" w:rsidRDefault="00D85FAC" w:rsidP="00D85FAC">
            <w:pPr>
              <w:pStyle w:val="table1"/>
              <w:jc w:val="center"/>
            </w:pPr>
            <w:r>
              <w:t>N.T.</w:t>
            </w:r>
            <w:r w:rsidRPr="008A2230">
              <w:rPr>
                <w:snapToGrid w:val="0"/>
                <w:color w:val="000000"/>
                <w:position w:val="4"/>
                <w:sz w:val="11"/>
                <w:szCs w:val="0"/>
                <w:u w:color="000000"/>
              </w:rPr>
              <w:t>a</w:t>
            </w:r>
          </w:p>
        </w:tc>
        <w:tc>
          <w:tcPr>
            <w:tcW w:w="1489" w:type="dxa"/>
            <w:tcBorders>
              <w:top w:val="nil"/>
              <w:bottom w:val="nil"/>
            </w:tcBorders>
          </w:tcPr>
          <w:p w:rsidR="00D85FAC" w:rsidRPr="008A2230" w:rsidRDefault="00D85FAC" w:rsidP="00D85FAC">
            <w:pPr>
              <w:pStyle w:val="table1"/>
              <w:jc w:val="center"/>
            </w:pPr>
            <w:r w:rsidRPr="008A2230">
              <w:t>0</w:t>
            </w:r>
          </w:p>
        </w:tc>
      </w:tr>
      <w:tr w:rsidR="00D85FAC" w:rsidRPr="00A7477E" w:rsidTr="00D85FAC">
        <w:tc>
          <w:tcPr>
            <w:tcW w:w="2835" w:type="dxa"/>
            <w:tcBorders>
              <w:bottom w:val="nil"/>
            </w:tcBorders>
            <w:shd w:val="clear" w:color="auto" w:fill="auto"/>
          </w:tcPr>
          <w:p w:rsidR="00D85FAC" w:rsidRPr="00A7477E" w:rsidRDefault="00D85FAC" w:rsidP="00D85FAC">
            <w:pPr>
              <w:pStyle w:val="table1"/>
            </w:pPr>
            <w:r w:rsidRPr="00A7477E">
              <w:rPr>
                <w:i/>
              </w:rPr>
              <w:t xml:space="preserve">Hydra viridissima </w:t>
            </w:r>
            <w:r w:rsidRPr="00A7477E">
              <w:t>(green hydra)</w:t>
            </w:r>
          </w:p>
        </w:tc>
        <w:tc>
          <w:tcPr>
            <w:tcW w:w="2410" w:type="dxa"/>
            <w:tcBorders>
              <w:bottom w:val="nil"/>
            </w:tcBorders>
          </w:tcPr>
          <w:p w:rsidR="00D85FAC" w:rsidRPr="00A7477E" w:rsidRDefault="00D85FAC" w:rsidP="00D85FAC">
            <w:pPr>
              <w:pStyle w:val="table1"/>
              <w:ind w:firstLine="34"/>
            </w:pPr>
            <w:r>
              <w:t>96-h population growth rate</w:t>
            </w:r>
          </w:p>
        </w:tc>
        <w:tc>
          <w:tcPr>
            <w:tcW w:w="1488" w:type="dxa"/>
            <w:tcBorders>
              <w:bottom w:val="nil"/>
            </w:tcBorders>
          </w:tcPr>
          <w:p w:rsidR="00D85FAC" w:rsidRPr="008A2230" w:rsidRDefault="00D85FAC" w:rsidP="00D85FAC">
            <w:pPr>
              <w:pStyle w:val="table1"/>
              <w:jc w:val="center"/>
            </w:pPr>
            <w:r w:rsidRPr="008A2230">
              <w:t>53</w:t>
            </w:r>
          </w:p>
        </w:tc>
        <w:tc>
          <w:tcPr>
            <w:tcW w:w="1489" w:type="dxa"/>
            <w:tcBorders>
              <w:bottom w:val="nil"/>
            </w:tcBorders>
          </w:tcPr>
          <w:p w:rsidR="00D85FAC" w:rsidRPr="008A2230" w:rsidRDefault="00D85FAC" w:rsidP="00D85FAC">
            <w:pPr>
              <w:pStyle w:val="table1"/>
              <w:jc w:val="center"/>
            </w:pPr>
            <w:r w:rsidRPr="008A2230">
              <w:t>100</w:t>
            </w:r>
          </w:p>
        </w:tc>
      </w:tr>
      <w:tr w:rsidR="00D85FAC" w:rsidRPr="00A7477E" w:rsidTr="00D85FAC">
        <w:tc>
          <w:tcPr>
            <w:tcW w:w="2835" w:type="dxa"/>
            <w:tcBorders>
              <w:bottom w:val="nil"/>
            </w:tcBorders>
            <w:shd w:val="clear" w:color="auto" w:fill="auto"/>
          </w:tcPr>
          <w:p w:rsidR="00D85FAC" w:rsidRPr="00A7477E" w:rsidRDefault="00D85FAC" w:rsidP="00D85FAC">
            <w:pPr>
              <w:pStyle w:val="table1"/>
            </w:pPr>
            <w:r w:rsidRPr="00A7477E">
              <w:rPr>
                <w:i/>
              </w:rPr>
              <w:t xml:space="preserve">Moinodaphnia macleayi </w:t>
            </w:r>
            <w:r w:rsidRPr="00A7477E">
              <w:t>(cladoceran)</w:t>
            </w:r>
          </w:p>
        </w:tc>
        <w:tc>
          <w:tcPr>
            <w:tcW w:w="2410" w:type="dxa"/>
            <w:tcBorders>
              <w:bottom w:val="nil"/>
            </w:tcBorders>
          </w:tcPr>
          <w:p w:rsidR="00D85FAC" w:rsidRPr="00A7477E" w:rsidRDefault="00D85FAC" w:rsidP="00D85FAC">
            <w:pPr>
              <w:pStyle w:val="table1"/>
              <w:ind w:firstLine="34"/>
            </w:pPr>
            <w:r>
              <w:t>3 brood (6 day) reproduction</w:t>
            </w:r>
          </w:p>
        </w:tc>
        <w:tc>
          <w:tcPr>
            <w:tcW w:w="1488" w:type="dxa"/>
            <w:tcBorders>
              <w:bottom w:val="nil"/>
            </w:tcBorders>
          </w:tcPr>
          <w:p w:rsidR="00D85FAC" w:rsidRPr="008A2230" w:rsidRDefault="00D85FAC" w:rsidP="00D85FAC">
            <w:pPr>
              <w:pStyle w:val="table1"/>
              <w:jc w:val="center"/>
            </w:pPr>
            <w:r w:rsidRPr="008A2230">
              <w:t>13</w:t>
            </w:r>
          </w:p>
        </w:tc>
        <w:tc>
          <w:tcPr>
            <w:tcW w:w="1489" w:type="dxa"/>
            <w:tcBorders>
              <w:bottom w:val="nil"/>
            </w:tcBorders>
          </w:tcPr>
          <w:p w:rsidR="00D85FAC" w:rsidRPr="008A2230" w:rsidRDefault="00D85FAC" w:rsidP="00D85FAC">
            <w:pPr>
              <w:pStyle w:val="table1"/>
              <w:jc w:val="center"/>
            </w:pPr>
            <w:r w:rsidRPr="008A2230">
              <w:t>6</w:t>
            </w:r>
          </w:p>
        </w:tc>
      </w:tr>
      <w:tr w:rsidR="00D85FAC" w:rsidRPr="00A7477E" w:rsidTr="00D85FAC">
        <w:tc>
          <w:tcPr>
            <w:tcW w:w="2835" w:type="dxa"/>
            <w:tcBorders>
              <w:top w:val="nil"/>
              <w:bottom w:val="single" w:sz="4" w:space="0" w:color="auto"/>
            </w:tcBorders>
            <w:shd w:val="clear" w:color="auto" w:fill="auto"/>
          </w:tcPr>
          <w:p w:rsidR="00D85FAC" w:rsidRPr="00A7477E" w:rsidRDefault="00D85FAC" w:rsidP="00D85FAC">
            <w:pPr>
              <w:pStyle w:val="table1"/>
            </w:pPr>
            <w:r w:rsidRPr="00A7477E">
              <w:rPr>
                <w:i/>
              </w:rPr>
              <w:t>Mogurnda mogurnda</w:t>
            </w:r>
            <w:r w:rsidRPr="00A7477E">
              <w:t xml:space="preserve"> (fish)</w:t>
            </w:r>
          </w:p>
        </w:tc>
        <w:tc>
          <w:tcPr>
            <w:tcW w:w="2410" w:type="dxa"/>
            <w:tcBorders>
              <w:top w:val="nil"/>
              <w:bottom w:val="single" w:sz="4" w:space="0" w:color="auto"/>
            </w:tcBorders>
          </w:tcPr>
          <w:p w:rsidR="00D85FAC" w:rsidRPr="00A7477E" w:rsidRDefault="00D85FAC" w:rsidP="00D85FAC">
            <w:pPr>
              <w:pStyle w:val="table1"/>
              <w:ind w:firstLine="34"/>
            </w:pPr>
            <w:r>
              <w:t>96-h survival</w:t>
            </w:r>
          </w:p>
        </w:tc>
        <w:tc>
          <w:tcPr>
            <w:tcW w:w="1488" w:type="dxa"/>
            <w:tcBorders>
              <w:top w:val="nil"/>
              <w:bottom w:val="single" w:sz="4" w:space="0" w:color="auto"/>
            </w:tcBorders>
          </w:tcPr>
          <w:p w:rsidR="00D85FAC" w:rsidRPr="008A2230" w:rsidRDefault="00D85FAC" w:rsidP="00D85FAC">
            <w:pPr>
              <w:pStyle w:val="table1"/>
              <w:jc w:val="center"/>
            </w:pPr>
            <w:r>
              <w:t>N.T.</w:t>
            </w:r>
          </w:p>
        </w:tc>
        <w:tc>
          <w:tcPr>
            <w:tcW w:w="1489" w:type="dxa"/>
            <w:tcBorders>
              <w:top w:val="nil"/>
              <w:bottom w:val="single" w:sz="4" w:space="0" w:color="auto"/>
            </w:tcBorders>
          </w:tcPr>
          <w:p w:rsidR="00D85FAC" w:rsidRPr="008A2230" w:rsidRDefault="00D85FAC" w:rsidP="00D85FAC">
            <w:pPr>
              <w:pStyle w:val="table1"/>
              <w:jc w:val="center"/>
            </w:pPr>
            <w:r w:rsidRPr="008A2230">
              <w:t>7</w:t>
            </w:r>
          </w:p>
        </w:tc>
      </w:tr>
    </w:tbl>
    <w:p w:rsidR="00D85FAC" w:rsidRPr="008A2230" w:rsidRDefault="00D85FAC" w:rsidP="00D85FAC">
      <w:pPr>
        <w:pStyle w:val="tablenote"/>
        <w:rPr>
          <w:snapToGrid w:val="0"/>
          <w:color w:val="000000"/>
          <w:szCs w:val="0"/>
          <w:u w:color="000000"/>
        </w:rPr>
      </w:pPr>
      <w:proofErr w:type="gramStart"/>
      <w:r w:rsidRPr="008A2230">
        <w:rPr>
          <w:snapToGrid w:val="0"/>
          <w:color w:val="000000"/>
          <w:position w:val="3"/>
          <w:sz w:val="9"/>
          <w:szCs w:val="0"/>
          <w:u w:color="000000"/>
        </w:rPr>
        <w:t>a</w:t>
      </w:r>
      <w:proofErr w:type="gramEnd"/>
      <w:r>
        <w:rPr>
          <w:snapToGrid w:val="0"/>
          <w:color w:val="000000"/>
          <w:position w:val="3"/>
          <w:sz w:val="9"/>
          <w:szCs w:val="0"/>
          <w:u w:color="000000"/>
        </w:rPr>
        <w:t xml:space="preserve"> </w:t>
      </w:r>
      <w:r>
        <w:rPr>
          <w:snapToGrid w:val="0"/>
          <w:color w:val="000000"/>
          <w:szCs w:val="0"/>
          <w:u w:color="000000"/>
        </w:rPr>
        <w:t xml:space="preserve">N.T. = </w:t>
      </w:r>
      <w:r w:rsidRPr="008A2230">
        <w:rPr>
          <w:snapToGrid w:val="0"/>
          <w:color w:val="000000"/>
          <w:szCs w:val="0"/>
          <w:u w:color="000000"/>
        </w:rPr>
        <w:t xml:space="preserve">Not tested </w:t>
      </w:r>
    </w:p>
    <w:p w:rsidR="00D85FAC" w:rsidRPr="00A7477E" w:rsidRDefault="00D85FAC" w:rsidP="00D85FAC">
      <w:pPr>
        <w:jc w:val="center"/>
      </w:pPr>
      <w:r w:rsidRPr="00A7477E">
        <w:object w:dxaOrig="6584" w:dyaOrig="5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25pt;height:212.45pt" o:ole="">
            <v:imagedata r:id="rId34" o:title="" croptop="6530f"/>
          </v:shape>
          <o:OLEObject Type="Embed" ProgID="SigmaPlotGraphicObject.10" ShapeID="_x0000_i1025" DrawAspect="Content" ObjectID="_1394264731" r:id="rId35"/>
        </w:object>
      </w:r>
    </w:p>
    <w:p w:rsidR="00D85FAC" w:rsidRPr="00A7477E" w:rsidRDefault="00D85FAC" w:rsidP="00D85FAC">
      <w:pPr>
        <w:pStyle w:val="figurecaption"/>
      </w:pPr>
      <w:r w:rsidRPr="00A7477E">
        <w:rPr>
          <w:b/>
        </w:rPr>
        <w:t xml:space="preserve">Figure </w:t>
      </w:r>
      <w:proofErr w:type="gramStart"/>
      <w:r w:rsidRPr="00A7477E">
        <w:rPr>
          <w:b/>
        </w:rPr>
        <w:t xml:space="preserve">1 </w:t>
      </w:r>
      <w:r>
        <w:rPr>
          <w:b/>
        </w:rPr>
        <w:t xml:space="preserve"> </w:t>
      </w:r>
      <w:r w:rsidRPr="00A7477E">
        <w:t>Concentration</w:t>
      </w:r>
      <w:proofErr w:type="gramEnd"/>
      <w:r w:rsidRPr="00A7477E">
        <w:t>-response plots of the five species to the pilot brine concentrator distillate (batch</w:t>
      </w:r>
      <w:r>
        <w:t> </w:t>
      </w:r>
      <w:r w:rsidRPr="00A7477E">
        <w:t>1 for alga, hydra and cladoceran</w:t>
      </w:r>
      <w:r>
        <w:t>; batch 2 for duckweed and fish)</w:t>
      </w:r>
    </w:p>
    <w:p w:rsidR="00D85FAC" w:rsidRPr="00A7477E" w:rsidRDefault="00D85FAC" w:rsidP="00D85FAC">
      <w:pPr>
        <w:pStyle w:val="Heading3"/>
        <w:rPr>
          <w:noProof/>
          <w:lang w:eastAsia="en-AU"/>
        </w:rPr>
      </w:pPr>
      <w:bookmarkStart w:id="74" w:name="_Toc313523422"/>
      <w:bookmarkStart w:id="75" w:name="_Toc316985265"/>
      <w:r w:rsidRPr="00A7477E">
        <w:rPr>
          <w:noProof/>
          <w:lang w:eastAsia="en-AU"/>
        </w:rPr>
        <w:lastRenderedPageBreak/>
        <w:t>Toxicity Identification Evaluation (TIE) results</w:t>
      </w:r>
      <w:bookmarkEnd w:id="74"/>
      <w:bookmarkEnd w:id="75"/>
    </w:p>
    <w:p w:rsidR="00D85FAC" w:rsidRDefault="00D85FAC" w:rsidP="00D85FAC">
      <w:pPr>
        <w:rPr>
          <w:lang w:eastAsia="en-AU"/>
        </w:rPr>
      </w:pPr>
      <w:r>
        <w:rPr>
          <w:lang w:eastAsia="en-AU"/>
        </w:rPr>
        <w:t>Initial c</w:t>
      </w:r>
      <w:r w:rsidRPr="00A7477E">
        <w:rPr>
          <w:lang w:eastAsia="en-AU"/>
        </w:rPr>
        <w:t xml:space="preserve">hemical analysis of the distillate indicated that ammonia, manganese (Mn) and an organic component were </w:t>
      </w:r>
      <w:r>
        <w:rPr>
          <w:lang w:eastAsia="en-AU"/>
        </w:rPr>
        <w:t xml:space="preserve">potential </w:t>
      </w:r>
      <w:r w:rsidRPr="00A7477E">
        <w:rPr>
          <w:lang w:eastAsia="en-AU"/>
        </w:rPr>
        <w:t xml:space="preserve">candidate constituents </w:t>
      </w:r>
      <w:r>
        <w:rPr>
          <w:lang w:eastAsia="en-AU"/>
        </w:rPr>
        <w:t xml:space="preserve">for causing a toxic response. </w:t>
      </w:r>
      <w:r w:rsidRPr="00A7477E">
        <w:rPr>
          <w:lang w:eastAsia="en-AU"/>
        </w:rPr>
        <w:t xml:space="preserve">However, initial TIE results suggested none of these constituents were causing or contributing to the </w:t>
      </w:r>
      <w:r>
        <w:rPr>
          <w:lang w:eastAsia="en-AU"/>
        </w:rPr>
        <w:t xml:space="preserve">observed negative </w:t>
      </w:r>
      <w:r w:rsidRPr="00A7477E">
        <w:rPr>
          <w:lang w:eastAsia="en-AU"/>
        </w:rPr>
        <w:t xml:space="preserve">effect on </w:t>
      </w:r>
      <w:r w:rsidRPr="00A7477E">
        <w:rPr>
          <w:i/>
          <w:lang w:eastAsia="en-AU"/>
        </w:rPr>
        <w:t>H. viridissima</w:t>
      </w:r>
      <w:r w:rsidRPr="00A7477E">
        <w:rPr>
          <w:lang w:eastAsia="en-AU"/>
        </w:rPr>
        <w:t xml:space="preserve"> (Table 3). Specifically, pH manipulation</w:t>
      </w:r>
      <w:r>
        <w:rPr>
          <w:lang w:eastAsia="en-AU"/>
        </w:rPr>
        <w:t xml:space="preserve"> (raising pH) </w:t>
      </w:r>
      <w:r w:rsidRPr="00A7477E">
        <w:rPr>
          <w:lang w:eastAsia="en-AU"/>
        </w:rPr>
        <w:t>and stripping</w:t>
      </w:r>
      <w:r>
        <w:rPr>
          <w:lang w:eastAsia="en-AU"/>
        </w:rPr>
        <w:t xml:space="preserve"> to remove ammonia that was present</w:t>
      </w:r>
      <w:r w:rsidRPr="00A7477E">
        <w:rPr>
          <w:lang w:eastAsia="en-AU"/>
        </w:rPr>
        <w:t xml:space="preserve"> indicated that ammonia was not causing the effect. Whilst the pH manipulation suggested Mn may be contributing to the effect, the</w:t>
      </w:r>
      <w:r>
        <w:rPr>
          <w:lang w:eastAsia="en-AU"/>
        </w:rPr>
        <w:t xml:space="preserve"> effect of</w:t>
      </w:r>
      <w:r w:rsidRPr="00A7477E">
        <w:rPr>
          <w:lang w:eastAsia="en-AU"/>
        </w:rPr>
        <w:t xml:space="preserve"> </w:t>
      </w:r>
      <w:r>
        <w:rPr>
          <w:lang w:eastAsia="en-AU"/>
        </w:rPr>
        <w:t xml:space="preserve">addition of </w:t>
      </w:r>
      <w:r w:rsidRPr="00980FF3">
        <w:rPr>
          <w:lang w:eastAsia="en-AU"/>
        </w:rPr>
        <w:t>Ethylene</w:t>
      </w:r>
      <w:r>
        <w:rPr>
          <w:lang w:eastAsia="en-AU"/>
        </w:rPr>
        <w:t>d</w:t>
      </w:r>
      <w:r w:rsidRPr="00980FF3">
        <w:rPr>
          <w:lang w:eastAsia="en-AU"/>
        </w:rPr>
        <w:t>iamine</w:t>
      </w:r>
      <w:r>
        <w:rPr>
          <w:lang w:eastAsia="en-AU"/>
        </w:rPr>
        <w:t xml:space="preserve"> t</w:t>
      </w:r>
      <w:r w:rsidRPr="00980FF3">
        <w:rPr>
          <w:lang w:eastAsia="en-AU"/>
        </w:rPr>
        <w:t>etra</w:t>
      </w:r>
      <w:r>
        <w:rPr>
          <w:lang w:eastAsia="en-AU"/>
        </w:rPr>
        <w:t>a</w:t>
      </w:r>
      <w:r w:rsidRPr="00980FF3">
        <w:rPr>
          <w:lang w:eastAsia="en-AU"/>
        </w:rPr>
        <w:t>cetic acid</w:t>
      </w:r>
      <w:r>
        <w:rPr>
          <w:lang w:eastAsia="en-AU"/>
        </w:rPr>
        <w:t xml:space="preserve"> (</w:t>
      </w:r>
      <w:r w:rsidRPr="00A7477E">
        <w:rPr>
          <w:lang w:eastAsia="en-AU"/>
        </w:rPr>
        <w:t>EDTA</w:t>
      </w:r>
      <w:r>
        <w:rPr>
          <w:lang w:eastAsia="en-AU"/>
        </w:rPr>
        <w:t>, a chelating agent)</w:t>
      </w:r>
      <w:r w:rsidRPr="00A7477E">
        <w:rPr>
          <w:lang w:eastAsia="en-AU"/>
        </w:rPr>
        <w:t xml:space="preserve"> indicated that</w:t>
      </w:r>
      <w:r>
        <w:rPr>
          <w:lang w:eastAsia="en-AU"/>
        </w:rPr>
        <w:t xml:space="preserve"> this was unlikely</w:t>
      </w:r>
      <w:r w:rsidRPr="00A7477E">
        <w:rPr>
          <w:lang w:eastAsia="en-AU"/>
        </w:rPr>
        <w:t xml:space="preserve">. Removal of the organic component did not change the toxicity of the distillate, discounting organics as a cause of toxicity. </w:t>
      </w:r>
    </w:p>
    <w:p w:rsidR="00D85FAC" w:rsidRPr="00A7477E" w:rsidRDefault="00D85FAC" w:rsidP="00D85FAC">
      <w:pPr>
        <w:pStyle w:val="tablecaption"/>
      </w:pPr>
      <w:r w:rsidRPr="00A7477E">
        <w:rPr>
          <w:b/>
        </w:rPr>
        <w:t xml:space="preserve">Table </w:t>
      </w:r>
      <w:proofErr w:type="gramStart"/>
      <w:r w:rsidRPr="00A7477E">
        <w:rPr>
          <w:b/>
        </w:rPr>
        <w:t xml:space="preserve">3 </w:t>
      </w:r>
      <w:r>
        <w:rPr>
          <w:b/>
        </w:rPr>
        <w:t xml:space="preserve"> </w:t>
      </w:r>
      <w:r w:rsidRPr="00A7477E">
        <w:t>Results</w:t>
      </w:r>
      <w:proofErr w:type="gramEnd"/>
      <w:r w:rsidRPr="00A7477E">
        <w:t xml:space="preserve"> of Toxicity Identification Evaluation toxicity tests using </w:t>
      </w:r>
      <w:r w:rsidRPr="00A7477E">
        <w:rPr>
          <w:i/>
        </w:rPr>
        <w:t>H. viridissima</w:t>
      </w:r>
    </w:p>
    <w:tbl>
      <w:tblPr>
        <w:tblW w:w="0" w:type="auto"/>
        <w:tblInd w:w="108" w:type="dxa"/>
        <w:tblBorders>
          <w:bottom w:val="single" w:sz="12" w:space="0" w:color="auto"/>
        </w:tblBorders>
        <w:tblLayout w:type="fixed"/>
        <w:tblLook w:val="01E0"/>
      </w:tblPr>
      <w:tblGrid>
        <w:gridCol w:w="1560"/>
        <w:gridCol w:w="3685"/>
        <w:gridCol w:w="3119"/>
      </w:tblGrid>
      <w:tr w:rsidR="00D85FAC" w:rsidRPr="00A7477E" w:rsidTr="00D85FAC">
        <w:tc>
          <w:tcPr>
            <w:tcW w:w="1560" w:type="dxa"/>
            <w:tcBorders>
              <w:top w:val="single" w:sz="4" w:space="0" w:color="auto"/>
              <w:bottom w:val="nil"/>
            </w:tcBorders>
            <w:vAlign w:val="center"/>
          </w:tcPr>
          <w:p w:rsidR="00D85FAC" w:rsidRPr="00A7477E" w:rsidRDefault="00D85FAC" w:rsidP="00D85FAC">
            <w:pPr>
              <w:pStyle w:val="table1"/>
              <w:rPr>
                <w:b/>
              </w:rPr>
            </w:pPr>
            <w:r w:rsidRPr="00A7477E">
              <w:rPr>
                <w:b/>
              </w:rPr>
              <w:t>TIE test</w:t>
            </w:r>
          </w:p>
        </w:tc>
        <w:tc>
          <w:tcPr>
            <w:tcW w:w="3685" w:type="dxa"/>
            <w:tcBorders>
              <w:top w:val="single" w:sz="4" w:space="0" w:color="auto"/>
            </w:tcBorders>
          </w:tcPr>
          <w:p w:rsidR="00D85FAC" w:rsidRPr="00A7477E" w:rsidRDefault="00D85FAC" w:rsidP="00D85FAC">
            <w:pPr>
              <w:pStyle w:val="table1"/>
              <w:jc w:val="center"/>
              <w:rPr>
                <w:b/>
              </w:rPr>
            </w:pPr>
            <w:r w:rsidRPr="00A7477E">
              <w:rPr>
                <w:b/>
              </w:rPr>
              <w:t>Result</w:t>
            </w:r>
          </w:p>
        </w:tc>
        <w:tc>
          <w:tcPr>
            <w:tcW w:w="3119" w:type="dxa"/>
            <w:tcBorders>
              <w:top w:val="single" w:sz="4" w:space="0" w:color="auto"/>
            </w:tcBorders>
          </w:tcPr>
          <w:p w:rsidR="00D85FAC" w:rsidRPr="00A7477E" w:rsidRDefault="00D85FAC" w:rsidP="00D85FAC">
            <w:pPr>
              <w:pStyle w:val="table1"/>
              <w:jc w:val="center"/>
              <w:rPr>
                <w:b/>
              </w:rPr>
            </w:pPr>
            <w:r w:rsidRPr="00A7477E">
              <w:rPr>
                <w:b/>
              </w:rPr>
              <w:t>Interpretation</w:t>
            </w:r>
          </w:p>
        </w:tc>
      </w:tr>
      <w:tr w:rsidR="00D85FAC" w:rsidRPr="00A7477E" w:rsidTr="00D85FAC">
        <w:tc>
          <w:tcPr>
            <w:tcW w:w="1560" w:type="dxa"/>
            <w:tcBorders>
              <w:top w:val="single" w:sz="4" w:space="0" w:color="auto"/>
              <w:bottom w:val="nil"/>
            </w:tcBorders>
            <w:shd w:val="clear" w:color="auto" w:fill="auto"/>
          </w:tcPr>
          <w:p w:rsidR="00D85FAC" w:rsidRPr="00A7477E" w:rsidRDefault="00D85FAC" w:rsidP="00D85FAC">
            <w:pPr>
              <w:pStyle w:val="table1"/>
            </w:pPr>
            <w:r w:rsidRPr="00A7477E">
              <w:t xml:space="preserve">Graduated pH </w:t>
            </w:r>
          </w:p>
        </w:tc>
        <w:tc>
          <w:tcPr>
            <w:tcW w:w="3685" w:type="dxa"/>
            <w:tcBorders>
              <w:top w:val="single" w:sz="4" w:space="0" w:color="auto"/>
              <w:bottom w:val="nil"/>
            </w:tcBorders>
          </w:tcPr>
          <w:p w:rsidR="00D85FAC" w:rsidRPr="00A7477E" w:rsidRDefault="00D85FAC" w:rsidP="00D85FAC">
            <w:pPr>
              <w:pStyle w:val="table1"/>
              <w:jc w:val="center"/>
            </w:pPr>
            <w:r w:rsidRPr="00A7477E">
              <w:t>38% increase in growth rate at higher pH</w:t>
            </w:r>
          </w:p>
        </w:tc>
        <w:tc>
          <w:tcPr>
            <w:tcW w:w="3119" w:type="dxa"/>
            <w:tcBorders>
              <w:top w:val="single" w:sz="4" w:space="0" w:color="auto"/>
              <w:bottom w:val="nil"/>
            </w:tcBorders>
          </w:tcPr>
          <w:p w:rsidR="00D85FAC" w:rsidRPr="00A7477E" w:rsidRDefault="00D85FAC" w:rsidP="00D85FAC">
            <w:pPr>
              <w:pStyle w:val="table1"/>
              <w:jc w:val="center"/>
            </w:pPr>
            <w:r w:rsidRPr="00A7477E">
              <w:t>Ammonia toxicity not significant but metals may be implicated</w:t>
            </w:r>
          </w:p>
        </w:tc>
      </w:tr>
      <w:tr w:rsidR="00D85FAC" w:rsidRPr="00A7477E" w:rsidTr="00D85FAC">
        <w:tc>
          <w:tcPr>
            <w:tcW w:w="1560" w:type="dxa"/>
            <w:tcBorders>
              <w:top w:val="nil"/>
              <w:bottom w:val="nil"/>
            </w:tcBorders>
            <w:shd w:val="clear" w:color="auto" w:fill="auto"/>
          </w:tcPr>
          <w:p w:rsidR="00D85FAC" w:rsidRPr="00A7477E" w:rsidRDefault="00D85FAC" w:rsidP="00D85FAC">
            <w:pPr>
              <w:pStyle w:val="table1"/>
            </w:pPr>
            <w:r w:rsidRPr="00A7477E">
              <w:t>EDTA addition</w:t>
            </w:r>
          </w:p>
        </w:tc>
        <w:tc>
          <w:tcPr>
            <w:tcW w:w="3685" w:type="dxa"/>
            <w:tcBorders>
              <w:top w:val="nil"/>
              <w:bottom w:val="nil"/>
            </w:tcBorders>
          </w:tcPr>
          <w:p w:rsidR="00D85FAC" w:rsidRPr="00A7477E" w:rsidRDefault="00D85FAC" w:rsidP="00D85FAC">
            <w:pPr>
              <w:pStyle w:val="table1"/>
              <w:jc w:val="center"/>
            </w:pPr>
            <w:r>
              <w:t xml:space="preserve">No reduced toxicity </w:t>
            </w:r>
            <w:r w:rsidRPr="00A7477E">
              <w:t xml:space="preserve"> with EDTA addition</w:t>
            </w:r>
          </w:p>
        </w:tc>
        <w:tc>
          <w:tcPr>
            <w:tcW w:w="3119" w:type="dxa"/>
            <w:tcBorders>
              <w:top w:val="nil"/>
              <w:bottom w:val="nil"/>
            </w:tcBorders>
          </w:tcPr>
          <w:p w:rsidR="00D85FAC" w:rsidRPr="00A7477E" w:rsidRDefault="00D85FAC" w:rsidP="00D85FAC">
            <w:pPr>
              <w:pStyle w:val="table1"/>
              <w:jc w:val="center"/>
            </w:pPr>
            <w:r w:rsidRPr="00A7477E">
              <w:t>Metal toxicity not significant</w:t>
            </w:r>
          </w:p>
        </w:tc>
      </w:tr>
      <w:tr w:rsidR="00D85FAC" w:rsidRPr="00A7477E" w:rsidTr="00D85FAC">
        <w:tc>
          <w:tcPr>
            <w:tcW w:w="1560" w:type="dxa"/>
            <w:tcBorders>
              <w:bottom w:val="nil"/>
            </w:tcBorders>
            <w:shd w:val="clear" w:color="auto" w:fill="auto"/>
          </w:tcPr>
          <w:p w:rsidR="00D85FAC" w:rsidRPr="00A7477E" w:rsidRDefault="00D85FAC" w:rsidP="00D85FAC">
            <w:pPr>
              <w:pStyle w:val="table1"/>
            </w:pPr>
            <w:r w:rsidRPr="00A7477E">
              <w:t>Ammonia stripping</w:t>
            </w:r>
          </w:p>
        </w:tc>
        <w:tc>
          <w:tcPr>
            <w:tcW w:w="3685" w:type="dxa"/>
            <w:tcBorders>
              <w:bottom w:val="nil"/>
            </w:tcBorders>
          </w:tcPr>
          <w:p w:rsidR="00D85FAC" w:rsidRPr="00A7477E" w:rsidRDefault="00D85FAC" w:rsidP="00D85FAC">
            <w:pPr>
              <w:pStyle w:val="table1"/>
              <w:jc w:val="center"/>
            </w:pPr>
            <w:r w:rsidRPr="00A7477E">
              <w:t>No increase in growth rate following removal of ammonia</w:t>
            </w:r>
          </w:p>
        </w:tc>
        <w:tc>
          <w:tcPr>
            <w:tcW w:w="3119" w:type="dxa"/>
            <w:tcBorders>
              <w:bottom w:val="nil"/>
            </w:tcBorders>
          </w:tcPr>
          <w:p w:rsidR="00D85FAC" w:rsidRPr="00A7477E" w:rsidRDefault="00D85FAC" w:rsidP="00D85FAC">
            <w:pPr>
              <w:pStyle w:val="table1"/>
              <w:jc w:val="center"/>
            </w:pPr>
            <w:r w:rsidRPr="00A7477E">
              <w:t>Effect not due to ammonia</w:t>
            </w:r>
          </w:p>
        </w:tc>
      </w:tr>
      <w:tr w:rsidR="00D85FAC" w:rsidRPr="00A7477E" w:rsidTr="00D85FAC">
        <w:tc>
          <w:tcPr>
            <w:tcW w:w="1560" w:type="dxa"/>
            <w:tcBorders>
              <w:top w:val="nil"/>
              <w:bottom w:val="nil"/>
            </w:tcBorders>
            <w:shd w:val="clear" w:color="auto" w:fill="auto"/>
          </w:tcPr>
          <w:p w:rsidR="00D85FAC" w:rsidRPr="00A7477E" w:rsidRDefault="00D85FAC" w:rsidP="00D85FAC">
            <w:pPr>
              <w:pStyle w:val="table1"/>
            </w:pPr>
            <w:r w:rsidRPr="00A7477E">
              <w:t>C18 Solid Phase Extraction</w:t>
            </w:r>
          </w:p>
        </w:tc>
        <w:tc>
          <w:tcPr>
            <w:tcW w:w="3685" w:type="dxa"/>
            <w:tcBorders>
              <w:top w:val="nil"/>
              <w:bottom w:val="nil"/>
            </w:tcBorders>
          </w:tcPr>
          <w:p w:rsidR="00D85FAC" w:rsidRPr="00A7477E" w:rsidRDefault="00D85FAC" w:rsidP="00D85FAC">
            <w:pPr>
              <w:pStyle w:val="table1"/>
              <w:jc w:val="center"/>
            </w:pPr>
            <w:r w:rsidRPr="00A7477E">
              <w:t>No change in growth rate following SPE treatment</w:t>
            </w:r>
          </w:p>
        </w:tc>
        <w:tc>
          <w:tcPr>
            <w:tcW w:w="3119" w:type="dxa"/>
            <w:tcBorders>
              <w:top w:val="nil"/>
              <w:bottom w:val="nil"/>
            </w:tcBorders>
          </w:tcPr>
          <w:p w:rsidR="00D85FAC" w:rsidRPr="00A7477E" w:rsidRDefault="00D85FAC" w:rsidP="00D85FAC">
            <w:pPr>
              <w:pStyle w:val="table1"/>
              <w:jc w:val="center"/>
            </w:pPr>
            <w:r w:rsidRPr="00A7477E">
              <w:t>Effects not due to organic compounds</w:t>
            </w:r>
          </w:p>
        </w:tc>
      </w:tr>
      <w:tr w:rsidR="00D85FAC" w:rsidRPr="00A7477E" w:rsidTr="00D85FAC">
        <w:tc>
          <w:tcPr>
            <w:tcW w:w="1560" w:type="dxa"/>
            <w:tcBorders>
              <w:bottom w:val="nil"/>
            </w:tcBorders>
            <w:shd w:val="clear" w:color="auto" w:fill="auto"/>
          </w:tcPr>
          <w:p w:rsidR="00D85FAC" w:rsidRPr="00A7477E" w:rsidRDefault="00D85FAC" w:rsidP="00D85FAC">
            <w:pPr>
              <w:pStyle w:val="table1"/>
            </w:pPr>
            <w:r w:rsidRPr="00A7477E">
              <w:t>Calcium addition</w:t>
            </w:r>
          </w:p>
        </w:tc>
        <w:tc>
          <w:tcPr>
            <w:tcW w:w="3685" w:type="dxa"/>
            <w:tcBorders>
              <w:bottom w:val="nil"/>
            </w:tcBorders>
          </w:tcPr>
          <w:p w:rsidR="00D85FAC" w:rsidRPr="00A7477E" w:rsidRDefault="00D85FAC" w:rsidP="00D85FAC">
            <w:pPr>
              <w:pStyle w:val="table1"/>
              <w:jc w:val="center"/>
            </w:pPr>
            <w:r w:rsidRPr="00A7477E">
              <w:t>~70% recovery with the addition of 0.5 mg L</w:t>
            </w:r>
            <w:r w:rsidRPr="00A7477E">
              <w:rPr>
                <w:snapToGrid w:val="0"/>
                <w:color w:val="000000"/>
                <w:position w:val="4"/>
                <w:sz w:val="11"/>
                <w:szCs w:val="0"/>
                <w:u w:color="000000"/>
              </w:rPr>
              <w:t>-1</w:t>
            </w:r>
            <w:r w:rsidRPr="00A7477E">
              <w:t xml:space="preserve"> Ca</w:t>
            </w:r>
          </w:p>
        </w:tc>
        <w:tc>
          <w:tcPr>
            <w:tcW w:w="3119" w:type="dxa"/>
            <w:tcBorders>
              <w:bottom w:val="nil"/>
            </w:tcBorders>
          </w:tcPr>
          <w:p w:rsidR="00D85FAC" w:rsidRPr="00A7477E" w:rsidRDefault="00D85FAC" w:rsidP="00D85FAC">
            <w:pPr>
              <w:pStyle w:val="table1"/>
              <w:jc w:val="center"/>
            </w:pPr>
            <w:r w:rsidRPr="00A7477E">
              <w:t>Majority of effects due to Ca deficiency</w:t>
            </w:r>
          </w:p>
        </w:tc>
      </w:tr>
      <w:tr w:rsidR="00D85FAC" w:rsidRPr="00A7477E" w:rsidTr="00D85FAC">
        <w:tc>
          <w:tcPr>
            <w:tcW w:w="1560" w:type="dxa"/>
            <w:tcBorders>
              <w:top w:val="nil"/>
              <w:bottom w:val="single" w:sz="4" w:space="0" w:color="auto"/>
            </w:tcBorders>
            <w:shd w:val="clear" w:color="auto" w:fill="auto"/>
          </w:tcPr>
          <w:p w:rsidR="00D85FAC" w:rsidRPr="00A7477E" w:rsidRDefault="00D85FAC" w:rsidP="00D85FAC">
            <w:pPr>
              <w:pStyle w:val="table1"/>
            </w:pPr>
            <w:r w:rsidRPr="00A7477E">
              <w:t>Major ion addition</w:t>
            </w:r>
          </w:p>
        </w:tc>
        <w:tc>
          <w:tcPr>
            <w:tcW w:w="3685" w:type="dxa"/>
            <w:tcBorders>
              <w:top w:val="nil"/>
              <w:bottom w:val="single" w:sz="4" w:space="0" w:color="auto"/>
            </w:tcBorders>
          </w:tcPr>
          <w:p w:rsidR="00D85FAC" w:rsidRPr="00A7477E" w:rsidRDefault="00D85FAC" w:rsidP="00D85FAC">
            <w:pPr>
              <w:pStyle w:val="table1"/>
              <w:ind w:firstLine="34"/>
              <w:jc w:val="center"/>
            </w:pPr>
            <w:r w:rsidRPr="00A7477E">
              <w:t>87 and 96% recovery with the addition of 50 and 100% major ions, respectively</w:t>
            </w:r>
          </w:p>
        </w:tc>
        <w:tc>
          <w:tcPr>
            <w:tcW w:w="3119" w:type="dxa"/>
            <w:tcBorders>
              <w:top w:val="nil"/>
              <w:bottom w:val="single" w:sz="4" w:space="0" w:color="auto"/>
            </w:tcBorders>
          </w:tcPr>
          <w:p w:rsidR="00D85FAC" w:rsidRPr="00A7477E" w:rsidRDefault="00D85FAC" w:rsidP="00D85FAC">
            <w:pPr>
              <w:pStyle w:val="table1"/>
              <w:jc w:val="center"/>
            </w:pPr>
            <w:r w:rsidRPr="00A7477E">
              <w:t>All effects due to major ion deficiency</w:t>
            </w:r>
          </w:p>
        </w:tc>
      </w:tr>
    </w:tbl>
    <w:p w:rsidR="00D85FAC" w:rsidRPr="00A7477E" w:rsidRDefault="00D85FAC" w:rsidP="00D85FAC">
      <w:pPr>
        <w:pStyle w:val="tablenote"/>
        <w:spacing w:before="0"/>
        <w:rPr>
          <w:lang w:eastAsia="en-AU"/>
        </w:rPr>
      </w:pPr>
    </w:p>
    <w:p w:rsidR="00D85FAC" w:rsidRDefault="00D85FAC" w:rsidP="00D85FAC">
      <w:pPr>
        <w:rPr>
          <w:snapToGrid w:val="0"/>
          <w:color w:val="000000"/>
          <w:spacing w:val="-2"/>
          <w:szCs w:val="0"/>
          <w:u w:color="000000"/>
          <w:lang w:eastAsia="en-AU"/>
        </w:rPr>
      </w:pPr>
      <w:r w:rsidRPr="007206B2">
        <w:rPr>
          <w:spacing w:val="-2"/>
          <w:lang w:eastAsia="en-AU"/>
        </w:rPr>
        <w:t xml:space="preserve">In light of the above negative findings, the issue of major ion deficiency was specifically investigated as a potential cause of the effect on </w:t>
      </w:r>
      <w:r w:rsidRPr="007206B2">
        <w:rPr>
          <w:i/>
          <w:spacing w:val="-2"/>
          <w:lang w:eastAsia="en-AU"/>
        </w:rPr>
        <w:t>H. viridissima</w:t>
      </w:r>
      <w:r w:rsidRPr="007206B2">
        <w:rPr>
          <w:spacing w:val="-2"/>
          <w:lang w:eastAsia="en-AU"/>
        </w:rPr>
        <w:t xml:space="preserve">. Firstly, Ca addition was investigated due to its importance for nematocyst function and other physiological processes in </w:t>
      </w:r>
      <w:r w:rsidRPr="007206B2">
        <w:rPr>
          <w:i/>
          <w:spacing w:val="-2"/>
          <w:lang w:eastAsia="en-AU"/>
        </w:rPr>
        <w:t>Hydra</w:t>
      </w:r>
      <w:r w:rsidRPr="007206B2">
        <w:rPr>
          <w:spacing w:val="-2"/>
          <w:lang w:eastAsia="en-AU"/>
        </w:rPr>
        <w:t xml:space="preserve"> (Gitter </w:t>
      </w:r>
      <w:r>
        <w:rPr>
          <w:spacing w:val="-2"/>
          <w:lang w:eastAsia="en-AU"/>
        </w:rPr>
        <w:t>et al</w:t>
      </w:r>
      <w:r w:rsidRPr="007206B2">
        <w:rPr>
          <w:spacing w:val="-2"/>
          <w:lang w:eastAsia="en-AU"/>
        </w:rPr>
        <w:t xml:space="preserve"> 1994, Kawaii </w:t>
      </w:r>
      <w:r>
        <w:rPr>
          <w:spacing w:val="-2"/>
          <w:lang w:eastAsia="en-AU"/>
        </w:rPr>
        <w:t>et al</w:t>
      </w:r>
      <w:r w:rsidRPr="007206B2">
        <w:rPr>
          <w:spacing w:val="-2"/>
          <w:lang w:eastAsia="en-AU"/>
        </w:rPr>
        <w:t xml:space="preserve"> 1999, Zalizniak </w:t>
      </w:r>
      <w:r>
        <w:rPr>
          <w:spacing w:val="-2"/>
          <w:lang w:eastAsia="en-AU"/>
        </w:rPr>
        <w:t>et al</w:t>
      </w:r>
      <w:r w:rsidRPr="007206B2">
        <w:rPr>
          <w:spacing w:val="-2"/>
          <w:lang w:eastAsia="en-AU"/>
        </w:rPr>
        <w:t xml:space="preserve"> 2006). The addition of 0.25 and 0.5 mg L</w:t>
      </w:r>
      <w:r w:rsidRPr="007206B2">
        <w:rPr>
          <w:snapToGrid w:val="0"/>
          <w:color w:val="000000"/>
          <w:spacing w:val="-2"/>
          <w:position w:val="5"/>
          <w:sz w:val="15"/>
          <w:szCs w:val="0"/>
          <w:u w:color="000000"/>
          <w:lang w:eastAsia="en-AU"/>
        </w:rPr>
        <w:t>-1</w:t>
      </w:r>
      <w:r w:rsidRPr="007206B2">
        <w:rPr>
          <w:snapToGrid w:val="0"/>
          <w:color w:val="000000"/>
          <w:spacing w:val="-2"/>
          <w:szCs w:val="0"/>
          <w:u w:color="000000"/>
          <w:lang w:eastAsia="en-AU"/>
        </w:rPr>
        <w:t xml:space="preserve"> Ca to the distillate resulted in a 64% and 71% recovery relative to the Synthetic Soft Water (SSW) control, suggesting Ca deficiency as a reason for the effect of distillate on </w:t>
      </w:r>
      <w:r w:rsidRPr="007206B2">
        <w:rPr>
          <w:i/>
          <w:snapToGrid w:val="0"/>
          <w:color w:val="000000"/>
          <w:spacing w:val="-2"/>
          <w:szCs w:val="0"/>
          <w:u w:color="000000"/>
          <w:lang w:eastAsia="en-AU"/>
        </w:rPr>
        <w:t>H. viridissima</w:t>
      </w:r>
      <w:r w:rsidRPr="007206B2">
        <w:rPr>
          <w:snapToGrid w:val="0"/>
          <w:color w:val="000000"/>
          <w:spacing w:val="-2"/>
          <w:szCs w:val="0"/>
          <w:u w:color="000000"/>
          <w:lang w:eastAsia="en-AU"/>
        </w:rPr>
        <w:t>. An additional test was conducted that involved the addition of sodium (Na), potassium (K) and Ca at concentrations that were 0, 50 and 100% that of SSW (SSW contains 0.4, 1.0 and 0.4 mg L</w:t>
      </w:r>
      <w:r w:rsidRPr="007206B2">
        <w:rPr>
          <w:snapToGrid w:val="0"/>
          <w:color w:val="000000"/>
          <w:spacing w:val="-2"/>
          <w:position w:val="5"/>
          <w:sz w:val="15"/>
          <w:szCs w:val="0"/>
          <w:u w:color="000000"/>
          <w:lang w:eastAsia="en-AU"/>
        </w:rPr>
        <w:t>-1</w:t>
      </w:r>
      <w:r w:rsidRPr="007206B2">
        <w:rPr>
          <w:snapToGrid w:val="0"/>
          <w:color w:val="000000"/>
          <w:spacing w:val="-2"/>
          <w:szCs w:val="0"/>
          <w:u w:color="000000"/>
          <w:lang w:eastAsia="en-AU"/>
        </w:rPr>
        <w:t xml:space="preserve"> of calcium, sodium and potassium, respectively). These major cations were targeted because they were below detection limit in the distillate, while magnesium was at concentrations similar to SSW. The results showed an 87% and 96% recovery of </w:t>
      </w:r>
      <w:r w:rsidRPr="007206B2">
        <w:rPr>
          <w:i/>
          <w:snapToGrid w:val="0"/>
          <w:color w:val="000000"/>
          <w:spacing w:val="-2"/>
          <w:szCs w:val="0"/>
          <w:u w:color="000000"/>
          <w:lang w:eastAsia="en-AU"/>
        </w:rPr>
        <w:t xml:space="preserve">H. viridissima </w:t>
      </w:r>
      <w:r w:rsidRPr="007206B2">
        <w:rPr>
          <w:snapToGrid w:val="0"/>
          <w:color w:val="000000"/>
          <w:spacing w:val="-2"/>
          <w:szCs w:val="0"/>
          <w:u w:color="000000"/>
          <w:lang w:eastAsia="en-AU"/>
        </w:rPr>
        <w:t>population growth rates with the addition of 50 and 100% major ions, respectively (Figure 2). This strongly indicates that the majority of the adverse effect from the distillate on Hydra was due to major ion deficiency issue rather than a chemical toxicity.</w:t>
      </w:r>
    </w:p>
    <w:p w:rsidR="00D85FAC" w:rsidRPr="007206B2" w:rsidRDefault="00D85FAC" w:rsidP="00D85FAC">
      <w:pPr>
        <w:rPr>
          <w:spacing w:val="-2"/>
          <w:lang w:eastAsia="en-AU"/>
        </w:rPr>
      </w:pPr>
      <w:r>
        <w:rPr>
          <w:noProof/>
          <w:lang w:eastAsia="en-AU"/>
        </w:rPr>
        <w:t>Despite the substantive removal of toxic effect by replacement of major cations, the concentrations of Mn in the distillate (110–2</w:t>
      </w:r>
      <w:r w:rsidRPr="009131EF">
        <w:t>20 µg L</w:t>
      </w:r>
      <w:r w:rsidRPr="009131EF">
        <w:rPr>
          <w:snapToGrid w:val="0"/>
          <w:color w:val="000000"/>
          <w:position w:val="5"/>
          <w:sz w:val="15"/>
          <w:szCs w:val="0"/>
          <w:u w:color="000000"/>
        </w:rPr>
        <w:t>-1</w:t>
      </w:r>
      <w:r>
        <w:rPr>
          <w:rFonts w:ascii="Estrangelo Edessa" w:hAnsi="Estrangelo Edessa" w:cs="Estrangelo Edessa"/>
          <w:noProof/>
          <w:lang w:eastAsia="en-AU"/>
        </w:rPr>
        <w:t>)</w:t>
      </w:r>
      <w:r>
        <w:rPr>
          <w:noProof/>
          <w:lang w:eastAsia="en-AU"/>
        </w:rPr>
        <w:t xml:space="preserve"> remained a concern as they were higher than the IC</w:t>
      </w:r>
      <w:r w:rsidRPr="009131EF">
        <w:rPr>
          <w:noProof/>
          <w:snapToGrid w:val="0"/>
          <w:color w:val="000000"/>
          <w:position w:val="-5"/>
          <w:sz w:val="15"/>
          <w:szCs w:val="0"/>
          <w:u w:color="000000"/>
          <w:lang w:eastAsia="en-AU"/>
        </w:rPr>
        <w:t>10</w:t>
      </w:r>
      <w:r>
        <w:rPr>
          <w:noProof/>
          <w:lang w:eastAsia="en-AU"/>
        </w:rPr>
        <w:t xml:space="preserve"> of 70 µg L</w:t>
      </w:r>
      <w:r w:rsidRPr="009131EF">
        <w:rPr>
          <w:noProof/>
          <w:snapToGrid w:val="0"/>
          <w:color w:val="000000"/>
          <w:position w:val="5"/>
          <w:sz w:val="15"/>
          <w:szCs w:val="0"/>
          <w:u w:color="000000"/>
          <w:lang w:eastAsia="en-AU"/>
        </w:rPr>
        <w:t>-1</w:t>
      </w:r>
      <w:r w:rsidRPr="009131EF">
        <w:rPr>
          <w:noProof/>
          <w:snapToGrid w:val="0"/>
          <w:color w:val="000000"/>
          <w:szCs w:val="0"/>
          <w:u w:color="000000"/>
          <w:lang w:eastAsia="en-AU"/>
        </w:rPr>
        <w:t xml:space="preserve"> </w:t>
      </w:r>
      <w:r>
        <w:rPr>
          <w:noProof/>
          <w:lang w:eastAsia="en-AU"/>
        </w:rPr>
        <w:t xml:space="preserve">previously reported for </w:t>
      </w:r>
      <w:r w:rsidRPr="007C25B3">
        <w:rPr>
          <w:i/>
          <w:noProof/>
          <w:lang w:eastAsia="en-AU"/>
        </w:rPr>
        <w:t>H. viridissima</w:t>
      </w:r>
      <w:r>
        <w:rPr>
          <w:noProof/>
          <w:lang w:eastAsia="en-AU"/>
        </w:rPr>
        <w:t xml:space="preserve"> in circumneutral pH (6.0–7.0) soft waters (Harford et al 2009). Additionally, the lack of major ions in the distillate had the potential to exacerbate Mn toxicity. Therefore, the effects of Mn in the presence of reduced concentrations of major ions were examined using modifed SSW (ie with 0, 50 and 100% Na, K and Ca concentrations). In all SSW types Mn reduced the growth rate of hydra relative to the relevant SSW type control. The effect was most noticeable in the SSW with half the Na, K and Ca concentrations where growth rate was reduced by 9 and 20% in the 110 and 220 µg L</w:t>
      </w:r>
      <w:r w:rsidRPr="00FB5FF1">
        <w:rPr>
          <w:noProof/>
          <w:vertAlign w:val="superscript"/>
          <w:lang w:eastAsia="en-AU"/>
        </w:rPr>
        <w:t>-</w:t>
      </w:r>
      <w:r>
        <w:rPr>
          <w:noProof/>
          <w:vertAlign w:val="superscript"/>
          <w:lang w:eastAsia="en-AU"/>
        </w:rPr>
        <w:t xml:space="preserve">1 </w:t>
      </w:r>
      <w:r>
        <w:rPr>
          <w:noProof/>
          <w:lang w:eastAsia="en-AU"/>
        </w:rPr>
        <w:t>treatments (Figure 3). A two-way ANOVA of the results showed that the growth rates of hydra in the 220 µg L</w:t>
      </w:r>
      <w:r w:rsidRPr="003F122A">
        <w:rPr>
          <w:noProof/>
          <w:vertAlign w:val="superscript"/>
          <w:lang w:eastAsia="en-AU"/>
        </w:rPr>
        <w:t>-1</w:t>
      </w:r>
      <w:r>
        <w:rPr>
          <w:noProof/>
          <w:lang w:eastAsia="en-AU"/>
        </w:rPr>
        <w:t xml:space="preserve"> Mn treatments were statistically lower than the </w:t>
      </w:r>
      <w:r>
        <w:rPr>
          <w:noProof/>
          <w:lang w:eastAsia="en-AU"/>
        </w:rPr>
        <w:lastRenderedPageBreak/>
        <w:t xml:space="preserve">controls but there was no interaction between major ion concentration and Mn toxicity. Thus, Mn caused a similar reduction in the growth rate of hydra despite the SSW type. Consequently, </w:t>
      </w:r>
      <w:r>
        <w:t>despite the recognised issue with deficiencies of major ions in the distillate, a specific toxic response to Mn was identified</w:t>
      </w:r>
      <w:r>
        <w:rPr>
          <w:noProof/>
          <w:lang w:eastAsia="en-AU"/>
        </w:rPr>
        <w:t>. In</w:t>
      </w:r>
      <w:r>
        <w:t xml:space="preserve"> this context, it is recommended that the concentration of Mn in the distillate not exceed </w:t>
      </w:r>
      <w:r>
        <w:rPr>
          <w:noProof/>
          <w:lang w:eastAsia="en-AU"/>
        </w:rPr>
        <w:t>~100 µg L</w:t>
      </w:r>
      <w:r w:rsidRPr="0051773F">
        <w:rPr>
          <w:noProof/>
          <w:vertAlign w:val="superscript"/>
          <w:lang w:eastAsia="en-AU"/>
        </w:rPr>
        <w:t>-1</w:t>
      </w:r>
      <w:r>
        <w:rPr>
          <w:noProof/>
          <w:lang w:eastAsia="en-AU"/>
        </w:rPr>
        <w:t>.</w:t>
      </w:r>
    </w:p>
    <w:p w:rsidR="00D85FAC" w:rsidRPr="00A7477E" w:rsidRDefault="00D85FAC" w:rsidP="00D85FAC">
      <w:pPr>
        <w:spacing w:before="200"/>
        <w:jc w:val="center"/>
      </w:pPr>
      <w:r w:rsidRPr="00A7477E">
        <w:object w:dxaOrig="6342" w:dyaOrig="5784">
          <v:shape id="_x0000_i1026" type="#_x0000_t75" style="width:243.8pt;height:209.6pt" o:ole="">
            <v:imagedata r:id="rId36" o:title="" croptop="3945f"/>
          </v:shape>
          <o:OLEObject Type="Embed" ProgID="SigmaPlotGraphicObject.10" ShapeID="_x0000_i1026" DrawAspect="Content" ObjectID="_1394264732" r:id="rId37"/>
        </w:object>
      </w:r>
    </w:p>
    <w:p w:rsidR="00D85FAC" w:rsidRPr="00A7477E" w:rsidRDefault="00D85FAC" w:rsidP="00D85FAC">
      <w:pPr>
        <w:pStyle w:val="figurecaption"/>
      </w:pPr>
      <w:r w:rsidRPr="00A7477E">
        <w:rPr>
          <w:b/>
        </w:rPr>
        <w:t xml:space="preserve">Figure </w:t>
      </w:r>
      <w:proofErr w:type="gramStart"/>
      <w:r w:rsidRPr="00A7477E">
        <w:rPr>
          <w:b/>
        </w:rPr>
        <w:t xml:space="preserve">2 </w:t>
      </w:r>
      <w:r>
        <w:rPr>
          <w:b/>
        </w:rPr>
        <w:t xml:space="preserve"> </w:t>
      </w:r>
      <w:r w:rsidRPr="00A7477E">
        <w:t>Effect</w:t>
      </w:r>
      <w:proofErr w:type="gramEnd"/>
      <w:r w:rsidRPr="00A7477E">
        <w:t xml:space="preserve"> of major ion (Ca, K, Na) addition on the toxicity of pilot brine concentrator distillate to </w:t>
      </w:r>
      <w:r>
        <w:rPr>
          <w:i/>
        </w:rPr>
        <w:t>H. </w:t>
      </w:r>
      <w:r w:rsidRPr="00A7477E">
        <w:rPr>
          <w:i/>
        </w:rPr>
        <w:t>viridissima</w:t>
      </w:r>
      <w:r w:rsidRPr="00A7477E">
        <w:t>, relative to growth rate in normal sy</w:t>
      </w:r>
      <w:r>
        <w:t>nthetic soft water, ie 0.34 day</w:t>
      </w:r>
      <w:r w:rsidRPr="00F3417E">
        <w:rPr>
          <w:snapToGrid w:val="0"/>
          <w:color w:val="000000"/>
          <w:position w:val="4"/>
          <w:sz w:val="12"/>
          <w:szCs w:val="0"/>
          <w:u w:color="000000"/>
        </w:rPr>
        <w:t>-1</w:t>
      </w:r>
      <w:r>
        <w:t>. Data represent the mean ± se (</w:t>
      </w:r>
      <w:r w:rsidRPr="00424C11">
        <w:rPr>
          <w:i/>
        </w:rPr>
        <w:t>n</w:t>
      </w:r>
      <w:r>
        <w:t xml:space="preserve"> = 3).</w:t>
      </w:r>
    </w:p>
    <w:p w:rsidR="00D85FAC" w:rsidRDefault="00D85FAC" w:rsidP="00D85FAC">
      <w:pPr>
        <w:jc w:val="center"/>
      </w:pPr>
      <w:r>
        <w:object w:dxaOrig="9137" w:dyaOrig="5275">
          <v:shape id="_x0000_i1027" type="#_x0000_t75" style="width:337.9pt;height:197.45pt" o:ole="">
            <v:imagedata r:id="rId38" o:title=""/>
          </v:shape>
          <o:OLEObject Type="Embed" ProgID="Excel.Sheet.12" ShapeID="_x0000_i1027" DrawAspect="Content" ObjectID="_1394264733" r:id="rId39"/>
        </w:object>
      </w:r>
    </w:p>
    <w:p w:rsidR="00D85FAC" w:rsidRPr="00A7477E" w:rsidRDefault="00D85FAC" w:rsidP="00D85FAC">
      <w:pPr>
        <w:pStyle w:val="figurecaption"/>
      </w:pPr>
      <w:r w:rsidRPr="00A7477E">
        <w:rPr>
          <w:b/>
        </w:rPr>
        <w:t xml:space="preserve">Figure </w:t>
      </w:r>
      <w:proofErr w:type="gramStart"/>
      <w:r>
        <w:rPr>
          <w:b/>
        </w:rPr>
        <w:t>3</w:t>
      </w:r>
      <w:r w:rsidRPr="00A7477E">
        <w:rPr>
          <w:b/>
        </w:rPr>
        <w:t xml:space="preserve"> </w:t>
      </w:r>
      <w:r>
        <w:rPr>
          <w:b/>
        </w:rPr>
        <w:t xml:space="preserve"> </w:t>
      </w:r>
      <w:r w:rsidRPr="00A7477E">
        <w:t>Effect</w:t>
      </w:r>
      <w:proofErr w:type="gramEnd"/>
      <w:r w:rsidRPr="00A7477E">
        <w:t xml:space="preserve"> of </w:t>
      </w:r>
      <w:r>
        <w:t xml:space="preserve">manganese on </w:t>
      </w:r>
      <w:r w:rsidRPr="00720749">
        <w:rPr>
          <w:i/>
        </w:rPr>
        <w:t>Hydra viridissima</w:t>
      </w:r>
      <w:r>
        <w:t xml:space="preserve"> in modified Synthetic Soft Waters (SSW). Data represent the mean ± se (</w:t>
      </w:r>
      <w:r w:rsidRPr="00424C11">
        <w:rPr>
          <w:i/>
        </w:rPr>
        <w:t>n</w:t>
      </w:r>
      <w:r>
        <w:t xml:space="preserve"> = 3).</w:t>
      </w:r>
    </w:p>
    <w:p w:rsidR="00D85FAC" w:rsidRPr="00A7477E" w:rsidRDefault="00D85FAC" w:rsidP="00D85FAC">
      <w:pPr>
        <w:pStyle w:val="Heading2"/>
      </w:pPr>
      <w:bookmarkStart w:id="76" w:name="_Toc313523423"/>
      <w:bookmarkStart w:id="77" w:name="_Toc316985266"/>
      <w:r w:rsidRPr="00A7477E">
        <w:t>Steps for completion</w:t>
      </w:r>
      <w:bookmarkEnd w:id="76"/>
      <w:bookmarkEnd w:id="77"/>
    </w:p>
    <w:p w:rsidR="00D85FAC" w:rsidRPr="00A7477E" w:rsidRDefault="00D85FAC" w:rsidP="00D85FAC">
      <w:pPr>
        <w:rPr>
          <w:noProof/>
          <w:lang w:eastAsia="en-AU"/>
        </w:rPr>
      </w:pPr>
      <w:r>
        <w:t xml:space="preserve">The work done to date will be published. The toxicity of distillate produced following the addition of anti-scalant and anti-foaming chemicals to the feed process water will need to be specifically assessed prior to the brine concentrator at the Ranger mine becoming operational. </w:t>
      </w:r>
    </w:p>
    <w:p w:rsidR="00D85FAC" w:rsidRPr="00A7477E" w:rsidRDefault="00D85FAC" w:rsidP="00D85FAC">
      <w:pPr>
        <w:pStyle w:val="Heading2"/>
        <w:rPr>
          <w:noProof/>
          <w:lang w:eastAsia="en-AU"/>
        </w:rPr>
      </w:pPr>
      <w:bookmarkStart w:id="78" w:name="_Toc313523424"/>
      <w:bookmarkStart w:id="79" w:name="_Toc316985267"/>
      <w:r w:rsidRPr="00A7477E">
        <w:rPr>
          <w:noProof/>
          <w:lang w:eastAsia="en-AU"/>
        </w:rPr>
        <w:lastRenderedPageBreak/>
        <w:t>References</w:t>
      </w:r>
      <w:bookmarkEnd w:id="78"/>
      <w:bookmarkEnd w:id="79"/>
    </w:p>
    <w:p w:rsidR="00D85FAC" w:rsidRPr="00A7477E" w:rsidRDefault="00D85FAC" w:rsidP="00D85FAC">
      <w:pPr>
        <w:pStyle w:val="referencelist1"/>
      </w:pPr>
      <w:proofErr w:type="gramStart"/>
      <w:r w:rsidRPr="00A7477E">
        <w:t>Gitter AH Oliver D &amp; Thurm U 1994.</w:t>
      </w:r>
      <w:proofErr w:type="gramEnd"/>
      <w:r w:rsidRPr="00A7477E">
        <w:t xml:space="preserve"> Calcium- and voltage-dependence of nematocyst discharge in </w:t>
      </w:r>
      <w:r w:rsidRPr="00A7477E">
        <w:rPr>
          <w:i/>
          <w:iCs/>
        </w:rPr>
        <w:t>Hydra vulgaris</w:t>
      </w:r>
      <w:r w:rsidRPr="00A7477E">
        <w:rPr>
          <w:iCs/>
        </w:rPr>
        <w:t xml:space="preserve">. </w:t>
      </w:r>
      <w:r w:rsidRPr="00A7477E">
        <w:rPr>
          <w:i/>
          <w:iCs/>
        </w:rPr>
        <w:t xml:space="preserve">Journal of Comparative Physiology </w:t>
      </w:r>
      <w:proofErr w:type="gramStart"/>
      <w:r w:rsidRPr="00A7477E">
        <w:rPr>
          <w:i/>
          <w:iCs/>
        </w:rPr>
        <w:t>A</w:t>
      </w:r>
      <w:proofErr w:type="gramEnd"/>
      <w:r w:rsidRPr="00A7477E">
        <w:rPr>
          <w:iCs/>
        </w:rPr>
        <w:t xml:space="preserve"> 175, 115</w:t>
      </w:r>
      <w:r>
        <w:rPr>
          <w:iCs/>
        </w:rPr>
        <w:t>–</w:t>
      </w:r>
      <w:r w:rsidRPr="00A7477E">
        <w:rPr>
          <w:iCs/>
        </w:rPr>
        <w:t>122.</w:t>
      </w:r>
    </w:p>
    <w:p w:rsidR="00D85FAC" w:rsidRDefault="00D85FAC" w:rsidP="00D85FAC">
      <w:pPr>
        <w:pStyle w:val="referencelist1"/>
      </w:pPr>
      <w:r>
        <w:t>Harford</w:t>
      </w:r>
      <w:r w:rsidRPr="004F2D44">
        <w:t xml:space="preserve"> </w:t>
      </w:r>
      <w:r>
        <w:t>A, Hogan</w:t>
      </w:r>
      <w:r w:rsidRPr="004F2D44">
        <w:t xml:space="preserve"> </w:t>
      </w:r>
      <w:r>
        <w:t xml:space="preserve">A, Cheng K, Costello C, Houston M &amp; van Dam R 2009. </w:t>
      </w:r>
      <w:proofErr w:type="gramStart"/>
      <w:r>
        <w:t>Preliminary assessment of the toxicity of manganese to three tropical freshwater species.</w:t>
      </w:r>
      <w:proofErr w:type="gramEnd"/>
      <w:r>
        <w:t xml:space="preserve"> </w:t>
      </w:r>
      <w:proofErr w:type="gramStart"/>
      <w:r>
        <w:t>In</w:t>
      </w:r>
      <w:r w:rsidRPr="007C25B3">
        <w:rPr>
          <w:b/>
          <w:i/>
          <w:sz w:val="26"/>
          <w:szCs w:val="26"/>
        </w:rPr>
        <w:t xml:space="preserve"> </w:t>
      </w:r>
      <w:r w:rsidRPr="00090399">
        <w:rPr>
          <w:b/>
          <w:i/>
          <w:sz w:val="26"/>
          <w:szCs w:val="26"/>
        </w:rPr>
        <w:t>eriss</w:t>
      </w:r>
      <w:r>
        <w:t xml:space="preserve"> </w:t>
      </w:r>
      <w:r w:rsidRPr="00B72AF9">
        <w:rPr>
          <w:i/>
        </w:rPr>
        <w:t>research summary 200</w:t>
      </w:r>
      <w:r>
        <w:rPr>
          <w:i/>
        </w:rPr>
        <w:t>7</w:t>
      </w:r>
      <w:r w:rsidRPr="00B72AF9">
        <w:rPr>
          <w:i/>
        </w:rPr>
        <w:t>–200</w:t>
      </w:r>
      <w:r>
        <w:rPr>
          <w:i/>
        </w:rPr>
        <w:t>8.</w:t>
      </w:r>
      <w:proofErr w:type="gramEnd"/>
      <w:r w:rsidRPr="007C25B3">
        <w:t xml:space="preserve"> </w:t>
      </w:r>
      <w:proofErr w:type="gramStart"/>
      <w:r>
        <w:t>eds</w:t>
      </w:r>
      <w:proofErr w:type="gramEnd"/>
      <w:r w:rsidRPr="007C25B3">
        <w:t xml:space="preserve"> </w:t>
      </w:r>
      <w:r>
        <w:t xml:space="preserve">Jones DR &amp; </w:t>
      </w:r>
      <w:r w:rsidRPr="0044788D">
        <w:t>Webb</w:t>
      </w:r>
      <w:r>
        <w:t xml:space="preserve"> A, Supervising Scientist Report 200, Supervising Scientist, Darwin NT, 12–19.</w:t>
      </w:r>
    </w:p>
    <w:p w:rsidR="00D85FAC" w:rsidRPr="00A7477E" w:rsidRDefault="00D85FAC" w:rsidP="00D85FAC">
      <w:pPr>
        <w:pStyle w:val="referencelist1"/>
      </w:pPr>
      <w:r w:rsidRPr="00A7477E">
        <w:t xml:space="preserve">Kawaii S, Yamashita K, Nakai M, Takahashi M &amp; Fusetani N 1999. </w:t>
      </w:r>
      <w:proofErr w:type="gramStart"/>
      <w:r w:rsidRPr="00A7477E">
        <w:t xml:space="preserve">Calcium dependence of settlement and nematocyst discharge in actinulae of the Hydroid </w:t>
      </w:r>
      <w:r w:rsidRPr="00A7477E">
        <w:rPr>
          <w:i/>
        </w:rPr>
        <w:t>Tubularia mesembryanthemum</w:t>
      </w:r>
      <w:r w:rsidRPr="00A7477E">
        <w:t>.</w:t>
      </w:r>
      <w:proofErr w:type="gramEnd"/>
      <w:r w:rsidRPr="00A7477E">
        <w:t xml:space="preserve"> </w:t>
      </w:r>
      <w:r w:rsidRPr="00A7477E">
        <w:rPr>
          <w:i/>
        </w:rPr>
        <w:t>Biological Bulletin</w:t>
      </w:r>
      <w:r w:rsidRPr="00A7477E">
        <w:t xml:space="preserve"> 196, 45</w:t>
      </w:r>
      <w:r>
        <w:t>–</w:t>
      </w:r>
      <w:r w:rsidRPr="00A7477E">
        <w:t>51.</w:t>
      </w:r>
    </w:p>
    <w:p w:rsidR="00D85FAC" w:rsidRPr="00A7477E" w:rsidRDefault="00D85FAC" w:rsidP="00D85FAC">
      <w:pPr>
        <w:pStyle w:val="referencelist1"/>
      </w:pPr>
      <w:proofErr w:type="gramStart"/>
      <w:r w:rsidRPr="00A7477E">
        <w:t>van</w:t>
      </w:r>
      <w:proofErr w:type="gramEnd"/>
      <w:r w:rsidRPr="00A7477E">
        <w:t xml:space="preserve"> Dam R, Hogan A, Harford A, Cheng C &amp; Costello C 2011. Toxicity testing of Ranger process water </w:t>
      </w:r>
      <w:proofErr w:type="gramStart"/>
      <w:r w:rsidRPr="00A7477E">
        <w:t>permeate</w:t>
      </w:r>
      <w:proofErr w:type="gramEnd"/>
      <w:r w:rsidRPr="00A7477E">
        <w:t xml:space="preserve">. </w:t>
      </w:r>
      <w:proofErr w:type="gramStart"/>
      <w:r w:rsidRPr="00A7477E">
        <w:t xml:space="preserve">In </w:t>
      </w:r>
      <w:r w:rsidRPr="00A7477E">
        <w:rPr>
          <w:b/>
          <w:bCs/>
          <w:i/>
          <w:iCs/>
          <w:sz w:val="23"/>
          <w:szCs w:val="23"/>
        </w:rPr>
        <w:t xml:space="preserve">eriss </w:t>
      </w:r>
      <w:r w:rsidRPr="00A7477E">
        <w:rPr>
          <w:i/>
          <w:iCs/>
        </w:rPr>
        <w:t>research summary 2009–2010</w:t>
      </w:r>
      <w:r w:rsidRPr="00A7477E">
        <w:t>.</w:t>
      </w:r>
      <w:proofErr w:type="gramEnd"/>
      <w:r w:rsidRPr="00A7477E">
        <w:t xml:space="preserve"> </w:t>
      </w:r>
      <w:proofErr w:type="gramStart"/>
      <w:r w:rsidRPr="00A7477E">
        <w:t>eds</w:t>
      </w:r>
      <w:proofErr w:type="gramEnd"/>
      <w:r w:rsidRPr="00A7477E">
        <w:t xml:space="preserve"> Jones DR &amp; Webb A, Supervising Scientist Report 202, Supervising Scientist, Darwin NT, 28–31.</w:t>
      </w:r>
    </w:p>
    <w:p w:rsidR="00D85FAC" w:rsidRDefault="00D85FAC" w:rsidP="00D85FAC">
      <w:pPr>
        <w:pStyle w:val="referencelist1"/>
        <w:rPr>
          <w:noProof/>
          <w:lang w:eastAsia="en-AU"/>
        </w:rPr>
      </w:pPr>
      <w:r w:rsidRPr="00A7477E">
        <w:rPr>
          <w:noProof/>
          <w:lang w:eastAsia="en-AU"/>
        </w:rPr>
        <w:t>Zalizniak L, Kefford BJ &amp; Nugegoda D 2006. Is all salinity the same? I. The effect of ionic compositions on the salinity tolerance of five species of freshwater invertebrates. </w:t>
      </w:r>
      <w:r w:rsidRPr="00A7477E">
        <w:rPr>
          <w:i/>
          <w:iCs/>
          <w:noProof/>
          <w:lang w:eastAsia="en-AU"/>
        </w:rPr>
        <w:t>Marine and Freshwater Research</w:t>
      </w:r>
      <w:r w:rsidRPr="00A7477E">
        <w:rPr>
          <w:noProof/>
          <w:lang w:eastAsia="en-AU"/>
        </w:rPr>
        <w:t xml:space="preserve"> </w:t>
      </w:r>
      <w:r w:rsidRPr="00A7477E">
        <w:rPr>
          <w:bCs/>
          <w:noProof/>
          <w:lang w:eastAsia="en-AU"/>
        </w:rPr>
        <w:t>57</w:t>
      </w:r>
      <w:r w:rsidRPr="00A7477E">
        <w:rPr>
          <w:noProof/>
          <w:lang w:eastAsia="en-AU"/>
        </w:rPr>
        <w:t>, 75–82.</w:t>
      </w:r>
    </w:p>
    <w:p w:rsidR="00D85FAC" w:rsidRPr="00A7477E" w:rsidRDefault="00D85FAC" w:rsidP="00D85FAC">
      <w:pPr>
        <w:pStyle w:val="referencelist1"/>
        <w:rPr>
          <w:noProof/>
          <w:lang w:eastAsia="en-AU"/>
        </w:rPr>
      </w:pPr>
    </w:p>
    <w:p w:rsidR="00D85FAC" w:rsidRDefault="00D85FAC" w:rsidP="00D85FAC">
      <w:pPr>
        <w:pStyle w:val="Heading4"/>
        <w:sectPr w:rsidR="00D85FAC" w:rsidSect="00D85FAC">
          <w:headerReference w:type="default" r:id="rId40"/>
          <w:footnotePr>
            <w:numRestart w:val="eachSect"/>
          </w:footnotePr>
          <w:pgSz w:w="11907" w:h="16839" w:code="9"/>
          <w:pgMar w:top="1440" w:right="1797" w:bottom="1440" w:left="1797" w:header="851" w:footer="833" w:gutter="0"/>
          <w:cols w:space="360"/>
          <w:noEndnote/>
          <w:titlePg/>
        </w:sectPr>
      </w:pPr>
      <w:bookmarkStart w:id="80" w:name="_Toc309215789"/>
    </w:p>
    <w:p w:rsidR="00D85FAC" w:rsidRDefault="00D85FAC" w:rsidP="00D85FAC">
      <w:pPr>
        <w:pStyle w:val="Heading1"/>
      </w:pPr>
      <w:bookmarkStart w:id="81" w:name="_Toc319670709"/>
      <w:r w:rsidRPr="00DA6E75">
        <w:lastRenderedPageBreak/>
        <w:t>Effects of magnesium pulse exposures on aquatic organisms</w:t>
      </w:r>
      <w:bookmarkEnd w:id="80"/>
      <w:bookmarkEnd w:id="81"/>
    </w:p>
    <w:p w:rsidR="00D85FAC" w:rsidRPr="008E44C5" w:rsidRDefault="00D85FAC" w:rsidP="00D85FAC">
      <w:pPr>
        <w:pStyle w:val="authors"/>
        <w:spacing w:after="800"/>
      </w:pPr>
      <w:bookmarkStart w:id="82" w:name="_Toc316987212"/>
      <w:bookmarkStart w:id="83" w:name="_Toc319670710"/>
      <w:r>
        <w:t>MA Trenfield, AC Hogan, AJ Harford &amp; RA van Dam</w:t>
      </w:r>
      <w:bookmarkEnd w:id="82"/>
      <w:bookmarkEnd w:id="83"/>
    </w:p>
    <w:p w:rsidR="00D85FAC" w:rsidRPr="007A723E" w:rsidRDefault="00D85FAC" w:rsidP="00D85FAC">
      <w:pPr>
        <w:pStyle w:val="Heading2"/>
      </w:pPr>
      <w:bookmarkStart w:id="84" w:name="_Toc313523426"/>
      <w:bookmarkStart w:id="85" w:name="_Toc316985269"/>
      <w:r w:rsidRPr="00DA6E75">
        <w:t>Background</w:t>
      </w:r>
      <w:bookmarkEnd w:id="84"/>
      <w:bookmarkEnd w:id="85"/>
    </w:p>
    <w:p w:rsidR="00D85FAC" w:rsidRPr="00D00D7B" w:rsidRDefault="00D85FAC" w:rsidP="00D85FAC">
      <w:pPr>
        <w:rPr>
          <w:spacing w:val="-2"/>
        </w:rPr>
      </w:pPr>
      <w:r w:rsidRPr="00D00D7B">
        <w:rPr>
          <w:spacing w:val="-2"/>
        </w:rPr>
        <w:t>Acquisition of continuous water quality monitoring data in Magela Creek downstream of Ranger since the 2005</w:t>
      </w:r>
      <w:r>
        <w:rPr>
          <w:spacing w:val="-2"/>
        </w:rPr>
        <w:t>–</w:t>
      </w:r>
      <w:r w:rsidRPr="00D00D7B">
        <w:rPr>
          <w:spacing w:val="-2"/>
        </w:rPr>
        <w:t xml:space="preserve">06 wet </w:t>
      </w:r>
      <w:proofErr w:type="gramStart"/>
      <w:r w:rsidRPr="00D00D7B">
        <w:rPr>
          <w:spacing w:val="-2"/>
        </w:rPr>
        <w:t>season</w:t>
      </w:r>
      <w:proofErr w:type="gramEnd"/>
      <w:r w:rsidRPr="00D00D7B">
        <w:rPr>
          <w:spacing w:val="-2"/>
        </w:rPr>
        <w:t xml:space="preserve"> has enabled quantification of the magnitude, duration and frequency of transient magnesium (Mg) concentrations resulting from mine water discharges. The mine discharge signal is tracked using Electrical Conductivity (EC) as a surrogate for Mg concentration (see KKN 131 Surface water, groundwater, chemical, biological, sediment, radiological monitoring: Results of the stream monitoring program in Magela Creek and Gulungul Creek catchments, 2010–11 for full details). These monitoring data have shown that peak Mg concentrations associated with pulse events arising from mine site discharges, at times, exceed the provisional site-specific trigger value (TV) for Mg (3 mg L</w:t>
      </w:r>
      <w:r w:rsidRPr="00D00D7B">
        <w:rPr>
          <w:snapToGrid w:val="0"/>
          <w:color w:val="000000"/>
          <w:spacing w:val="-2"/>
          <w:position w:val="5"/>
          <w:sz w:val="15"/>
          <w:szCs w:val="0"/>
          <w:u w:color="000000"/>
        </w:rPr>
        <w:t>-1</w:t>
      </w:r>
      <w:r w:rsidRPr="00D00D7B">
        <w:rPr>
          <w:spacing w:val="-2"/>
        </w:rPr>
        <w:t xml:space="preserve">; van Dam </w:t>
      </w:r>
      <w:r>
        <w:rPr>
          <w:spacing w:val="-2"/>
        </w:rPr>
        <w:t>et al</w:t>
      </w:r>
      <w:r w:rsidRPr="00D00D7B">
        <w:rPr>
          <w:spacing w:val="-2"/>
        </w:rPr>
        <w:t xml:space="preserve"> 2010) in Magela Creek, and have, on one occasion, reached a maximum value of approximately 16</w:t>
      </w:r>
      <w:r>
        <w:rPr>
          <w:spacing w:val="-2"/>
        </w:rPr>
        <w:t> </w:t>
      </w:r>
      <w:r w:rsidRPr="00D00D7B">
        <w:rPr>
          <w:spacing w:val="-2"/>
        </w:rPr>
        <w:t>mg</w:t>
      </w:r>
      <w:r>
        <w:rPr>
          <w:spacing w:val="-2"/>
        </w:rPr>
        <w:t> </w:t>
      </w:r>
      <w:r w:rsidRPr="00D00D7B">
        <w:rPr>
          <w:spacing w:val="-2"/>
        </w:rPr>
        <w:t>L</w:t>
      </w:r>
      <w:r w:rsidRPr="00D00D7B">
        <w:rPr>
          <w:snapToGrid w:val="0"/>
          <w:color w:val="000000"/>
          <w:spacing w:val="-2"/>
          <w:position w:val="5"/>
          <w:sz w:val="15"/>
          <w:szCs w:val="0"/>
          <w:u w:color="000000"/>
        </w:rPr>
        <w:t>-1</w:t>
      </w:r>
      <w:r w:rsidRPr="00D00D7B">
        <w:rPr>
          <w:spacing w:val="-2"/>
        </w:rPr>
        <w:t>. The ecotoxicity data upon which the Mg site-specific trigger value was derived were based on continuous exposures over three to six days (depending on the test species). Given that the majority of the Mg concentration pulses occur over timescales of only minutes to hours, it was unknown if these shorter duration exceedances could have the potential for adverse effects on aquatic biota. To address this important issue, an assessment of the toxicity of Mg under a pulse exposure regime was initiated in late 2008.</w:t>
      </w:r>
    </w:p>
    <w:p w:rsidR="00D85FAC" w:rsidRPr="007A723E" w:rsidRDefault="00D85FAC" w:rsidP="00D85FAC">
      <w:r>
        <w:t>Previous analysis of the continuous monitoring EC data (converted to Mg concentration) indicated that more than 95% of the exceedences (51 of 53) occurred for 24 h or less. Consequently, pulse exposure durations of up to 24 h were considered of relevance. As such, this study assessed the effects of 4, 8 and 24-h Mg pulses on six local aquatic species. The experiments were done at a constant Mg</w:t>
      </w:r>
      <w:proofErr w:type="gramStart"/>
      <w:r>
        <w:t>:Ca</w:t>
      </w:r>
      <w:proofErr w:type="gramEnd"/>
      <w:r>
        <w:t xml:space="preserve"> ratio of 9:1, as determined by van Dam et al (2010). The aim is</w:t>
      </w:r>
      <w:r w:rsidRPr="00DA6E75">
        <w:t xml:space="preserve"> to establish a quantitative relationship between the TVs and exposure durations such that TVs can be derived for any given </w:t>
      </w:r>
      <w:r>
        <w:t>pulse duration. In 2010–11, testing was completed for all six species, and the results are summarised below.</w:t>
      </w:r>
    </w:p>
    <w:p w:rsidR="00D85FAC" w:rsidRPr="007A723E" w:rsidRDefault="00D85FAC" w:rsidP="00D85FAC">
      <w:pPr>
        <w:pStyle w:val="Heading2"/>
      </w:pPr>
      <w:bookmarkStart w:id="86" w:name="_Toc313523427"/>
      <w:bookmarkStart w:id="87" w:name="_Toc316985270"/>
      <w:r w:rsidRPr="00DA6E75">
        <w:t>Methods</w:t>
      </w:r>
      <w:bookmarkEnd w:id="86"/>
      <w:bookmarkEnd w:id="87"/>
    </w:p>
    <w:p w:rsidR="00D85FAC" w:rsidRPr="007A723E" w:rsidRDefault="00D85FAC" w:rsidP="00D85FAC">
      <w:r w:rsidRPr="00DA6E75">
        <w:t>The effects of a single Mg pulse of 4, 8 and 24-h duration to six local species were assessed using the following test durations and endpoi</w:t>
      </w:r>
      <w:r>
        <w:t>nts: green alga (</w:t>
      </w:r>
      <w:r>
        <w:rPr>
          <w:i/>
        </w:rPr>
        <w:t>Chlorella</w:t>
      </w:r>
      <w:r>
        <w:t xml:space="preserve"> sp) – 72-h cell division rate; duckweed (</w:t>
      </w:r>
      <w:r>
        <w:rPr>
          <w:i/>
        </w:rPr>
        <w:t>Lemna aequinoctialis</w:t>
      </w:r>
      <w:r>
        <w:t>) – 96-h growth inhibition</w:t>
      </w:r>
      <w:r w:rsidRPr="00DA6E75">
        <w:t>; green hydra (</w:t>
      </w:r>
      <w:r w:rsidRPr="00DA6E75">
        <w:rPr>
          <w:i/>
        </w:rPr>
        <w:t>Hydra viridissima</w:t>
      </w:r>
      <w:r w:rsidRPr="00DA6E75">
        <w:t>) – 96-h population growth rate; cladoceran (</w:t>
      </w:r>
      <w:r>
        <w:rPr>
          <w:i/>
        </w:rPr>
        <w:t>Moinodaphnia macleayi</w:t>
      </w:r>
      <w:r>
        <w:t>) – ~6-d, 3-brood reproduction; gastropod (</w:t>
      </w:r>
      <w:r>
        <w:rPr>
          <w:i/>
        </w:rPr>
        <w:t>Amerianna cumingi</w:t>
      </w:r>
      <w:r>
        <w:t>) – 96-h reproduction; and fish (</w:t>
      </w:r>
      <w:r>
        <w:rPr>
          <w:i/>
        </w:rPr>
        <w:t>Mogurnda mogurnda</w:t>
      </w:r>
      <w:r>
        <w:t>) – 96-h survival</w:t>
      </w:r>
      <w:r w:rsidRPr="00DA6E75">
        <w:t xml:space="preserve">. In most cases, test species were exposed to the Mg pulse over a range of Mg concentrations. Exceptions to this were </w:t>
      </w:r>
      <w:r>
        <w:rPr>
          <w:i/>
        </w:rPr>
        <w:t>M. mogurnda</w:t>
      </w:r>
      <w:r>
        <w:t xml:space="preserve"> (all pulse durations) and </w:t>
      </w:r>
      <w:r>
        <w:rPr>
          <w:i/>
        </w:rPr>
        <w:t>Chlorella</w:t>
      </w:r>
      <w:r>
        <w:t xml:space="preserve"> sp (4-h and 8-h pulses)</w:t>
      </w:r>
      <w:proofErr w:type="gramStart"/>
      <w:r>
        <w:t>,  which</w:t>
      </w:r>
      <w:proofErr w:type="gramEnd"/>
      <w:r>
        <w:t>, due to their relative insensitivity, were only exposed to a control and very high (~4 g L</w:t>
      </w:r>
      <w:r>
        <w:rPr>
          <w:snapToGrid w:val="0"/>
          <w:color w:val="000000"/>
          <w:position w:val="5"/>
          <w:sz w:val="15"/>
          <w:szCs w:val="0"/>
          <w:u w:color="000000"/>
        </w:rPr>
        <w:t>-1</w:t>
      </w:r>
      <w:r>
        <w:t xml:space="preserve">) Mg concentration. Pulses were administered from the commencement of the test, after which time the organisms were returned to natural Magela Creek water (MCW) for the remainder of the standard test period (three to six days). </w:t>
      </w:r>
    </w:p>
    <w:p w:rsidR="00D85FAC" w:rsidRPr="007A723E" w:rsidRDefault="00D85FAC" w:rsidP="00D85FAC">
      <w:r>
        <w:rPr>
          <w:i/>
        </w:rPr>
        <w:lastRenderedPageBreak/>
        <w:t>Chlorella</w:t>
      </w:r>
      <w:r>
        <w:t xml:space="preserve"> sp presented specific challenges related to the difficulties in recovering a sufficient proportion of cells from the Mg exposure solutions and returning them to control water. Following unsuccessful trials using centrifugation, cells were successfully isolated from the pulse water using a 1.2 µm polycarbonate filter. Cells were then rinsed in MCW (with 80-100% recovery) before resuspensing into MCW.</w:t>
      </w:r>
    </w:p>
    <w:p w:rsidR="00D85FAC" w:rsidRPr="007A723E" w:rsidRDefault="00D85FAC" w:rsidP="00D85FAC">
      <w:r>
        <w:t xml:space="preserve">For </w:t>
      </w:r>
      <w:r>
        <w:rPr>
          <w:i/>
        </w:rPr>
        <w:t>M. macleayi</w:t>
      </w:r>
      <w:r>
        <w:t xml:space="preserve">, it was possible to investigate the influence of pulse timing with respect to the developmental stage of the test organism. There is evidence to suggest the sensitivity of crustaceans to </w:t>
      </w:r>
      <w:r w:rsidRPr="00DA6E75">
        <w:t xml:space="preserve">toxicants is dependent on developmental stages and the </w:t>
      </w:r>
      <w:r>
        <w:t xml:space="preserve">molt cycle (Lee &amp; Buikema 1979, Wright &amp; Frain 1981, McCahon &amp; Pascoe 1988). Consequently, for </w:t>
      </w:r>
      <w:r w:rsidRPr="00923D85">
        <w:rPr>
          <w:i/>
        </w:rPr>
        <w:t>M. macleayi</w:t>
      </w:r>
      <w:r>
        <w:t>, pulses were administered both at the commencement of the test and also at the onset of reproductive maturity ie, when the juvenile cladocerans were 27-h old and developing their first brood offspring (approximately 24 h into the experiment).</w:t>
      </w:r>
    </w:p>
    <w:p w:rsidR="00D85FAC" w:rsidRPr="007A723E" w:rsidRDefault="00D85FAC" w:rsidP="00D85FAC">
      <w:r>
        <w:t>The results from all tests were compared with those from tests where the organisms were continuously exposed to Mg throughout the standard test period.</w:t>
      </w:r>
    </w:p>
    <w:p w:rsidR="00D85FAC" w:rsidRPr="007A723E" w:rsidRDefault="00D85FAC" w:rsidP="00D85FAC">
      <w:pPr>
        <w:pStyle w:val="Heading2"/>
      </w:pPr>
      <w:bookmarkStart w:id="88" w:name="_Toc313523428"/>
      <w:bookmarkStart w:id="89" w:name="_Toc316985271"/>
      <w:r w:rsidRPr="005E6AB5">
        <w:t>Progress</w:t>
      </w:r>
      <w:bookmarkEnd w:id="88"/>
      <w:bookmarkEnd w:id="89"/>
    </w:p>
    <w:p w:rsidR="00D85FAC" w:rsidRDefault="00D85FAC" w:rsidP="00D85FAC">
      <w:r w:rsidRPr="00DA6E75">
        <w:t>Table 1 presents the Mg concentrations that caused a 10% (IC10) and 50% (IC50) inhibition in the organism response relative to a control (unexposed) response. Magnesium toxicity typically decreased with a reduction in exposur</w:t>
      </w:r>
      <w:r>
        <w:t>e duration</w:t>
      </w:r>
      <w:r w:rsidRPr="00DA6E75">
        <w:t xml:space="preserve">. As an example, the 4-h, 8-h, 24-h and continuous exposure concentration-response relationships for </w:t>
      </w:r>
      <w:r>
        <w:rPr>
          <w:i/>
        </w:rPr>
        <w:t xml:space="preserve">H. </w:t>
      </w:r>
      <w:proofErr w:type="gramStart"/>
      <w:r>
        <w:rPr>
          <w:i/>
        </w:rPr>
        <w:t>viridissima</w:t>
      </w:r>
      <w:r>
        <w:t xml:space="preserve">  are</w:t>
      </w:r>
      <w:proofErr w:type="gramEnd"/>
      <w:r>
        <w:t xml:space="preserve"> provided in Figure 1. This graph clearly shows the reduction in toxicity as the pulse duration decreases. Based on the IC50 values</w:t>
      </w:r>
      <w:r w:rsidRPr="00DA6E75">
        <w:t>, where available, the reduction in Mg toxicity of a 4-h exposure duration compared with a continuous (72, 96 or 120 h) exposure duration ranged from two-fold (</w:t>
      </w:r>
      <w:r>
        <w:rPr>
          <w:i/>
        </w:rPr>
        <w:t>H. viridissima</w:t>
      </w:r>
      <w:r>
        <w:t>) to almost 50-fold (</w:t>
      </w:r>
      <w:r>
        <w:rPr>
          <w:i/>
        </w:rPr>
        <w:t>Amerianna cumingi</w:t>
      </w:r>
      <w:r>
        <w:t>).</w:t>
      </w:r>
    </w:p>
    <w:p w:rsidR="00D85FAC" w:rsidRDefault="00D85FAC" w:rsidP="00D85FAC"/>
    <w:p w:rsidR="00D85FAC" w:rsidRDefault="00D85FAC" w:rsidP="00D85FAC">
      <w:pPr>
        <w:jc w:val="center"/>
      </w:pPr>
      <w:r w:rsidRPr="009728CB">
        <w:rPr>
          <w:noProof/>
          <w:spacing w:val="-2"/>
          <w:lang w:eastAsia="en-AU"/>
        </w:rPr>
        <w:drawing>
          <wp:inline distT="0" distB="0" distL="0" distR="0">
            <wp:extent cx="3777680" cy="2662989"/>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screen"/>
                    <a:srcRect t="4248"/>
                    <a:stretch>
                      <a:fillRect/>
                    </a:stretch>
                  </pic:blipFill>
                  <pic:spPr bwMode="auto">
                    <a:xfrm>
                      <a:off x="0" y="0"/>
                      <a:ext cx="3783570" cy="2667141"/>
                    </a:xfrm>
                    <a:prstGeom prst="rect">
                      <a:avLst/>
                    </a:prstGeom>
                    <a:noFill/>
                    <a:ln w="9525">
                      <a:noFill/>
                      <a:miter lim="800000"/>
                      <a:headEnd/>
                      <a:tailEnd/>
                    </a:ln>
                  </pic:spPr>
                </pic:pic>
              </a:graphicData>
            </a:graphic>
          </wp:inline>
        </w:drawing>
      </w:r>
    </w:p>
    <w:p w:rsidR="00D85FAC" w:rsidRDefault="00D85FAC" w:rsidP="00D85FAC">
      <w:pPr>
        <w:pStyle w:val="figurecaption"/>
      </w:pPr>
      <w:r w:rsidRPr="00D96EA8">
        <w:rPr>
          <w:b/>
        </w:rPr>
        <w:t xml:space="preserve">Figure </w:t>
      </w:r>
      <w:proofErr w:type="gramStart"/>
      <w:r w:rsidRPr="00D96EA8">
        <w:rPr>
          <w:b/>
        </w:rPr>
        <w:t>1</w:t>
      </w:r>
      <w:r w:rsidRPr="005E6AB5">
        <w:t xml:space="preserve">  </w:t>
      </w:r>
      <w:r w:rsidRPr="00D96EA8">
        <w:t>Effect</w:t>
      </w:r>
      <w:proofErr w:type="gramEnd"/>
      <w:r w:rsidRPr="00D96EA8">
        <w:t xml:space="preserve"> of exposure duration on the toxicity of magnesium to </w:t>
      </w:r>
      <w:r w:rsidRPr="00C97815">
        <w:rPr>
          <w:i/>
        </w:rPr>
        <w:t>H. viridissima</w:t>
      </w:r>
      <w:r w:rsidRPr="00D96EA8">
        <w:t>. Data points represent means (</w:t>
      </w:r>
      <w:r w:rsidRPr="005E6AB5">
        <w:t>n</w:t>
      </w:r>
      <w:r w:rsidRPr="00D96EA8">
        <w:t xml:space="preserve"> = 3) </w:t>
      </w:r>
      <w:r w:rsidRPr="00D96EA8">
        <w:sym w:font="Symbol" w:char="F0B1"/>
      </w:r>
      <w:r w:rsidRPr="00D96EA8">
        <w:t xml:space="preserve"> standard error. Data expressed as a percentage of control growth rate which ranged from 0.3-0.4 day</w:t>
      </w:r>
      <w:r w:rsidRPr="00C97815">
        <w:rPr>
          <w:vertAlign w:val="superscript"/>
        </w:rPr>
        <w:t>-1</w:t>
      </w:r>
      <w:r w:rsidRPr="00D96EA8">
        <w:t>. Concentration-response curve models (3 parameter sigmoid) for the data can be identified as follows: solid line – continuous exposure</w:t>
      </w:r>
      <w:proofErr w:type="gramStart"/>
      <w:r w:rsidRPr="00D96EA8">
        <w:t>;  short</w:t>
      </w:r>
      <w:proofErr w:type="gramEnd"/>
      <w:r w:rsidRPr="00D96EA8">
        <w:t xml:space="preserve"> dashed line – 4 h pulse exposure; dashed-dotted line – 8 h pulse exposure; and long dashed line – 24 h pulse exposure.</w:t>
      </w:r>
    </w:p>
    <w:p w:rsidR="00D85FAC" w:rsidRPr="008B47B4" w:rsidRDefault="00D85FAC" w:rsidP="00D85FAC">
      <w:pPr>
        <w:pStyle w:val="4point"/>
      </w:pPr>
    </w:p>
    <w:p w:rsidR="00D85FAC" w:rsidRPr="008B47B4" w:rsidRDefault="00D85FAC" w:rsidP="00D85FAC">
      <w:pPr>
        <w:sectPr w:rsidR="00D85FAC" w:rsidRPr="008B47B4" w:rsidSect="00D85FAC">
          <w:headerReference w:type="default" r:id="rId42"/>
          <w:footnotePr>
            <w:numRestart w:val="eachSect"/>
          </w:footnotePr>
          <w:pgSz w:w="11907" w:h="16839" w:code="9"/>
          <w:pgMar w:top="1440" w:right="1797" w:bottom="1440" w:left="1797" w:header="851" w:footer="833" w:gutter="0"/>
          <w:cols w:space="360"/>
          <w:noEndnote/>
          <w:titlePg/>
        </w:sectPr>
      </w:pPr>
    </w:p>
    <w:p w:rsidR="00D85FAC" w:rsidRPr="007A723E" w:rsidRDefault="00D85FAC" w:rsidP="00D85FAC">
      <w:pPr>
        <w:pStyle w:val="tablecaption"/>
      </w:pPr>
      <w:r w:rsidRPr="005E6AB5">
        <w:rPr>
          <w:b/>
        </w:rPr>
        <w:lastRenderedPageBreak/>
        <w:t xml:space="preserve">Table </w:t>
      </w:r>
      <w:proofErr w:type="gramStart"/>
      <w:r w:rsidRPr="005E6AB5">
        <w:rPr>
          <w:b/>
        </w:rPr>
        <w:t>1</w:t>
      </w:r>
      <w:r>
        <w:rPr>
          <w:b/>
        </w:rPr>
        <w:t xml:space="preserve"> </w:t>
      </w:r>
      <w:r w:rsidRPr="005E6AB5">
        <w:t xml:space="preserve"> Toxicity</w:t>
      </w:r>
      <w:proofErr w:type="gramEnd"/>
      <w:r w:rsidRPr="005E6AB5">
        <w:t xml:space="preserve"> of pulse exposures of magnesium (mg L</w:t>
      </w:r>
      <w:r>
        <w:rPr>
          <w:snapToGrid w:val="0"/>
          <w:color w:val="000000"/>
          <w:position w:val="4"/>
          <w:sz w:val="12"/>
          <w:szCs w:val="0"/>
          <w:u w:color="000000"/>
        </w:rPr>
        <w:t>-1</w:t>
      </w:r>
      <w:r w:rsidRPr="005E6AB5">
        <w:t>) to</w:t>
      </w:r>
      <w:r>
        <w:t xml:space="preserve"> six tropical aquatic organisms</w:t>
      </w:r>
    </w:p>
    <w:tbl>
      <w:tblPr>
        <w:tblW w:w="11438" w:type="dxa"/>
        <w:tblLayout w:type="fixed"/>
        <w:tblLook w:val="04A0"/>
      </w:tblPr>
      <w:tblGrid>
        <w:gridCol w:w="2528"/>
        <w:gridCol w:w="1100"/>
        <w:gridCol w:w="1210"/>
        <w:gridCol w:w="1100"/>
        <w:gridCol w:w="1100"/>
        <w:gridCol w:w="1100"/>
        <w:gridCol w:w="1100"/>
        <w:gridCol w:w="1100"/>
        <w:gridCol w:w="1100"/>
      </w:tblGrid>
      <w:tr w:rsidR="00D85FAC" w:rsidRPr="007A723E" w:rsidTr="00D85FAC">
        <w:tc>
          <w:tcPr>
            <w:tcW w:w="2528" w:type="dxa"/>
            <w:vMerge w:val="restart"/>
            <w:tcBorders>
              <w:top w:val="single" w:sz="4" w:space="0" w:color="auto"/>
            </w:tcBorders>
            <w:shd w:val="clear" w:color="auto" w:fill="auto"/>
          </w:tcPr>
          <w:p w:rsidR="00D85FAC" w:rsidRPr="00F715FA" w:rsidRDefault="00D85FAC" w:rsidP="00D85FAC">
            <w:pPr>
              <w:pStyle w:val="table1"/>
              <w:jc w:val="both"/>
              <w:rPr>
                <w:rFonts w:eastAsiaTheme="minorHAnsi" w:cstheme="minorBidi"/>
                <w:b/>
                <w:szCs w:val="22"/>
              </w:rPr>
            </w:pPr>
            <w:r w:rsidRPr="00F715FA">
              <w:rPr>
                <w:rFonts w:ascii="Times New Roman" w:hAnsi="Times New Roman"/>
                <w:b/>
                <w:sz w:val="18"/>
              </w:rPr>
              <w:t>Species</w:t>
            </w:r>
          </w:p>
        </w:tc>
        <w:tc>
          <w:tcPr>
            <w:tcW w:w="2310" w:type="dxa"/>
            <w:gridSpan w:val="2"/>
            <w:tcBorders>
              <w:top w:val="single" w:sz="4" w:space="0" w:color="auto"/>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4-h pulse</w:t>
            </w:r>
          </w:p>
        </w:tc>
        <w:tc>
          <w:tcPr>
            <w:tcW w:w="2200" w:type="dxa"/>
            <w:gridSpan w:val="2"/>
            <w:tcBorders>
              <w:top w:val="single" w:sz="4" w:space="0" w:color="auto"/>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8-h pulse</w:t>
            </w:r>
          </w:p>
        </w:tc>
        <w:tc>
          <w:tcPr>
            <w:tcW w:w="2200" w:type="dxa"/>
            <w:gridSpan w:val="2"/>
            <w:tcBorders>
              <w:top w:val="single" w:sz="4" w:space="0" w:color="auto"/>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24-h pulse</w:t>
            </w:r>
          </w:p>
        </w:tc>
        <w:tc>
          <w:tcPr>
            <w:tcW w:w="2200" w:type="dxa"/>
            <w:gridSpan w:val="2"/>
            <w:tcBorders>
              <w:top w:val="single" w:sz="4" w:space="0" w:color="auto"/>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vertAlign w:val="superscript"/>
              </w:rPr>
            </w:pPr>
            <w:r w:rsidRPr="00F715FA">
              <w:rPr>
                <w:rFonts w:ascii="Times New Roman" w:hAnsi="Times New Roman"/>
                <w:b/>
                <w:sz w:val="18"/>
              </w:rPr>
              <w:t>Continuous exposure</w:t>
            </w:r>
            <w:r w:rsidRPr="00F715FA">
              <w:rPr>
                <w:rFonts w:ascii="Times New Roman" w:hAnsi="Times New Roman"/>
                <w:b/>
                <w:sz w:val="18"/>
                <w:vertAlign w:val="superscript"/>
              </w:rPr>
              <w:t>1</w:t>
            </w:r>
          </w:p>
        </w:tc>
      </w:tr>
      <w:tr w:rsidR="00D85FAC" w:rsidRPr="007A723E" w:rsidTr="00D85FAC">
        <w:tc>
          <w:tcPr>
            <w:tcW w:w="2528" w:type="dxa"/>
            <w:vMerge/>
            <w:tcBorders>
              <w:bottom w:val="single" w:sz="4" w:space="0" w:color="auto"/>
            </w:tcBorders>
            <w:shd w:val="clear" w:color="auto" w:fill="auto"/>
          </w:tcPr>
          <w:p w:rsidR="00D85FAC" w:rsidRPr="00F715FA" w:rsidRDefault="00D85FAC" w:rsidP="00D85FAC">
            <w:pPr>
              <w:pStyle w:val="table1"/>
              <w:jc w:val="both"/>
              <w:rPr>
                <w:rFonts w:eastAsiaTheme="minorHAnsi" w:cstheme="minorBidi"/>
                <w:b/>
                <w:szCs w:val="22"/>
              </w:rPr>
            </w:pPr>
          </w:p>
        </w:tc>
        <w:tc>
          <w:tcPr>
            <w:tcW w:w="1100" w:type="dxa"/>
            <w:tcBorders>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IC10</w:t>
            </w:r>
          </w:p>
        </w:tc>
        <w:tc>
          <w:tcPr>
            <w:tcW w:w="1210" w:type="dxa"/>
            <w:tcBorders>
              <w:bottom w:val="single" w:sz="4" w:space="0" w:color="auto"/>
            </w:tcBorders>
            <w:shd w:val="clear" w:color="auto" w:fill="auto"/>
          </w:tcPr>
          <w:p w:rsidR="00D85FAC" w:rsidRPr="00F715FA" w:rsidRDefault="00D85FAC" w:rsidP="00D85FAC">
            <w:pPr>
              <w:pStyle w:val="table1"/>
              <w:ind w:right="222"/>
              <w:jc w:val="center"/>
              <w:rPr>
                <w:rFonts w:eastAsiaTheme="minorHAnsi" w:cstheme="minorBidi"/>
                <w:b/>
                <w:szCs w:val="22"/>
              </w:rPr>
            </w:pPr>
            <w:r w:rsidRPr="00F715FA">
              <w:rPr>
                <w:rFonts w:ascii="Times New Roman" w:hAnsi="Times New Roman"/>
                <w:b/>
                <w:sz w:val="18"/>
              </w:rPr>
              <w:t>IC50</w:t>
            </w:r>
          </w:p>
        </w:tc>
        <w:tc>
          <w:tcPr>
            <w:tcW w:w="1100" w:type="dxa"/>
            <w:tcBorders>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IC10</w:t>
            </w:r>
          </w:p>
        </w:tc>
        <w:tc>
          <w:tcPr>
            <w:tcW w:w="1100" w:type="dxa"/>
            <w:tcBorders>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IC50</w:t>
            </w:r>
          </w:p>
        </w:tc>
        <w:tc>
          <w:tcPr>
            <w:tcW w:w="1100" w:type="dxa"/>
            <w:tcBorders>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IC10</w:t>
            </w:r>
          </w:p>
        </w:tc>
        <w:tc>
          <w:tcPr>
            <w:tcW w:w="1100" w:type="dxa"/>
            <w:tcBorders>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IC50</w:t>
            </w:r>
          </w:p>
        </w:tc>
        <w:tc>
          <w:tcPr>
            <w:tcW w:w="1100" w:type="dxa"/>
            <w:tcBorders>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IC10</w:t>
            </w:r>
          </w:p>
        </w:tc>
        <w:tc>
          <w:tcPr>
            <w:tcW w:w="1100" w:type="dxa"/>
            <w:tcBorders>
              <w:bottom w:val="single" w:sz="4" w:space="0" w:color="auto"/>
            </w:tcBorders>
            <w:shd w:val="clear" w:color="auto" w:fill="auto"/>
          </w:tcPr>
          <w:p w:rsidR="00D85FAC" w:rsidRPr="00F715FA" w:rsidRDefault="00D85FAC" w:rsidP="00D85FAC">
            <w:pPr>
              <w:pStyle w:val="table1"/>
              <w:jc w:val="center"/>
              <w:rPr>
                <w:rFonts w:eastAsiaTheme="minorHAnsi" w:cstheme="minorBidi"/>
                <w:b/>
                <w:szCs w:val="22"/>
              </w:rPr>
            </w:pPr>
            <w:r w:rsidRPr="00F715FA">
              <w:rPr>
                <w:rFonts w:ascii="Times New Roman" w:hAnsi="Times New Roman"/>
                <w:b/>
                <w:sz w:val="18"/>
              </w:rPr>
              <w:t>IC50</w:t>
            </w:r>
          </w:p>
        </w:tc>
      </w:tr>
      <w:tr w:rsidR="00D85FAC" w:rsidRPr="007A723E" w:rsidTr="00D85FAC">
        <w:tc>
          <w:tcPr>
            <w:tcW w:w="2528" w:type="dxa"/>
            <w:tcBorders>
              <w:top w:val="single" w:sz="4" w:space="0" w:color="auto"/>
            </w:tcBorders>
            <w:shd w:val="clear" w:color="auto" w:fill="auto"/>
          </w:tcPr>
          <w:p w:rsidR="00D85FAC" w:rsidRPr="008679E1" w:rsidRDefault="00D85FAC" w:rsidP="00D85FAC">
            <w:pPr>
              <w:pStyle w:val="table1"/>
              <w:jc w:val="both"/>
              <w:rPr>
                <w:rFonts w:eastAsiaTheme="minorHAnsi" w:cstheme="minorBidi"/>
                <w:i/>
                <w:szCs w:val="16"/>
              </w:rPr>
            </w:pPr>
            <w:r w:rsidRPr="008679E1">
              <w:rPr>
                <w:rFonts w:ascii="Times New Roman" w:hAnsi="Times New Roman"/>
                <w:i/>
                <w:szCs w:val="16"/>
              </w:rPr>
              <w:t xml:space="preserve">Chlorella </w:t>
            </w:r>
            <w:r w:rsidRPr="008679E1">
              <w:rPr>
                <w:rFonts w:ascii="Times New Roman" w:hAnsi="Times New Roman"/>
                <w:szCs w:val="16"/>
              </w:rPr>
              <w:t>sp (unicellular alga)</w:t>
            </w:r>
          </w:p>
        </w:tc>
        <w:tc>
          <w:tcPr>
            <w:tcW w:w="1100" w:type="dxa"/>
            <w:tcBorders>
              <w:top w:val="single" w:sz="4" w:space="0" w:color="auto"/>
            </w:tcBorders>
            <w:shd w:val="clear" w:color="auto" w:fill="auto"/>
          </w:tcPr>
          <w:p w:rsidR="00D85FAC" w:rsidRPr="008679E1" w:rsidRDefault="00D85FAC" w:rsidP="00D85FAC">
            <w:pPr>
              <w:pStyle w:val="table1"/>
              <w:tabs>
                <w:tab w:val="left" w:pos="0"/>
              </w:tabs>
              <w:jc w:val="center"/>
              <w:rPr>
                <w:rFonts w:eastAsiaTheme="minorHAnsi" w:cstheme="minorBidi"/>
                <w:szCs w:val="16"/>
              </w:rPr>
            </w:pPr>
            <w:r w:rsidRPr="008679E1">
              <w:rPr>
                <w:rFonts w:ascii="Times New Roman" w:hAnsi="Times New Roman"/>
                <w:szCs w:val="16"/>
              </w:rPr>
              <w:t>&gt;3900</w:t>
            </w:r>
            <w:r w:rsidRPr="008679E1">
              <w:rPr>
                <w:rFonts w:ascii="Times New Roman" w:hAnsi="Times New Roman"/>
                <w:snapToGrid w:val="0"/>
                <w:color w:val="000000"/>
                <w:position w:val="4"/>
                <w:sz w:val="11"/>
                <w:szCs w:val="0"/>
                <w:u w:color="000000"/>
              </w:rPr>
              <w:t>2</w:t>
            </w:r>
          </w:p>
        </w:tc>
        <w:tc>
          <w:tcPr>
            <w:tcW w:w="1210" w:type="dxa"/>
            <w:tcBorders>
              <w:top w:val="single" w:sz="4" w:space="0" w:color="auto"/>
            </w:tcBorders>
            <w:shd w:val="clear" w:color="auto" w:fill="auto"/>
          </w:tcPr>
          <w:p w:rsidR="00D85FAC" w:rsidRPr="008679E1" w:rsidRDefault="00D85FAC" w:rsidP="00D85FAC">
            <w:pPr>
              <w:pStyle w:val="table1"/>
              <w:ind w:right="222"/>
              <w:jc w:val="center"/>
              <w:rPr>
                <w:rFonts w:eastAsiaTheme="minorHAnsi" w:cstheme="minorBidi"/>
                <w:szCs w:val="16"/>
              </w:rPr>
            </w:pPr>
            <w:r w:rsidRPr="008679E1">
              <w:rPr>
                <w:rFonts w:ascii="Times New Roman" w:hAnsi="Times New Roman"/>
                <w:szCs w:val="16"/>
              </w:rPr>
              <w:t>&gt;3900</w:t>
            </w:r>
            <w:r w:rsidRPr="008679E1">
              <w:rPr>
                <w:rFonts w:ascii="Times New Roman" w:hAnsi="Times New Roman"/>
                <w:snapToGrid w:val="0"/>
                <w:color w:val="000000"/>
                <w:position w:val="4"/>
                <w:sz w:val="11"/>
                <w:szCs w:val="0"/>
                <w:u w:color="000000"/>
              </w:rPr>
              <w:t>2</w:t>
            </w:r>
          </w:p>
        </w:tc>
        <w:tc>
          <w:tcPr>
            <w:tcW w:w="1100" w:type="dxa"/>
            <w:tcBorders>
              <w:top w:val="single" w:sz="4" w:space="0" w:color="auto"/>
            </w:tcBorders>
            <w:shd w:val="clear" w:color="auto" w:fill="auto"/>
          </w:tcPr>
          <w:p w:rsidR="00D85FAC" w:rsidRPr="008679E1" w:rsidRDefault="00D85FAC" w:rsidP="00D85FAC">
            <w:pPr>
              <w:pStyle w:val="table1"/>
              <w:jc w:val="center"/>
              <w:rPr>
                <w:szCs w:val="16"/>
              </w:rPr>
            </w:pPr>
            <w:r w:rsidRPr="008679E1">
              <w:rPr>
                <w:rFonts w:ascii="Times New Roman" w:hAnsi="Times New Roman"/>
                <w:szCs w:val="16"/>
              </w:rPr>
              <w:t>&gt;4100</w:t>
            </w:r>
            <w:r w:rsidRPr="008679E1">
              <w:rPr>
                <w:rFonts w:ascii="Times New Roman" w:hAnsi="Times New Roman"/>
                <w:snapToGrid w:val="0"/>
                <w:color w:val="000000"/>
                <w:position w:val="4"/>
                <w:sz w:val="11"/>
                <w:szCs w:val="0"/>
                <w:u w:color="000000"/>
              </w:rPr>
              <w:t>2</w:t>
            </w:r>
          </w:p>
        </w:tc>
        <w:tc>
          <w:tcPr>
            <w:tcW w:w="1100" w:type="dxa"/>
            <w:tcBorders>
              <w:top w:val="single" w:sz="4" w:space="0" w:color="auto"/>
            </w:tcBorders>
            <w:shd w:val="clear" w:color="auto" w:fill="auto"/>
          </w:tcPr>
          <w:p w:rsidR="00D85FAC" w:rsidRPr="008679E1" w:rsidRDefault="00D85FAC" w:rsidP="00D85FAC">
            <w:pPr>
              <w:pStyle w:val="table1"/>
              <w:jc w:val="center"/>
              <w:rPr>
                <w:szCs w:val="16"/>
              </w:rPr>
            </w:pPr>
            <w:r w:rsidRPr="008679E1">
              <w:rPr>
                <w:rFonts w:ascii="Times New Roman" w:hAnsi="Times New Roman"/>
                <w:szCs w:val="16"/>
              </w:rPr>
              <w:t>&gt;4100</w:t>
            </w:r>
            <w:r w:rsidRPr="008679E1">
              <w:rPr>
                <w:rFonts w:ascii="Times New Roman" w:hAnsi="Times New Roman"/>
                <w:snapToGrid w:val="0"/>
                <w:color w:val="000000"/>
                <w:position w:val="4"/>
                <w:sz w:val="11"/>
                <w:szCs w:val="0"/>
                <w:u w:color="000000"/>
              </w:rPr>
              <w:t>2</w:t>
            </w:r>
          </w:p>
        </w:tc>
        <w:tc>
          <w:tcPr>
            <w:tcW w:w="1100" w:type="dxa"/>
            <w:tcBorders>
              <w:top w:val="single" w:sz="4" w:space="0" w:color="auto"/>
            </w:tcBorders>
            <w:shd w:val="clear" w:color="auto" w:fill="auto"/>
          </w:tcPr>
          <w:p w:rsidR="00D85FAC" w:rsidRPr="008679E1" w:rsidRDefault="00D85FAC" w:rsidP="00D85FAC">
            <w:pPr>
              <w:pStyle w:val="table1"/>
              <w:jc w:val="center"/>
              <w:rPr>
                <w:szCs w:val="16"/>
              </w:rPr>
            </w:pPr>
            <w:r w:rsidRPr="008679E1">
              <w:rPr>
                <w:rFonts w:ascii="Times New Roman" w:hAnsi="Times New Roman"/>
                <w:szCs w:val="16"/>
              </w:rPr>
              <w:t>3940</w:t>
            </w:r>
          </w:p>
        </w:tc>
        <w:tc>
          <w:tcPr>
            <w:tcW w:w="1100" w:type="dxa"/>
            <w:tcBorders>
              <w:top w:val="single" w:sz="4" w:space="0" w:color="auto"/>
            </w:tcBorders>
            <w:shd w:val="clear" w:color="auto" w:fill="auto"/>
          </w:tcPr>
          <w:p w:rsidR="00D85FAC" w:rsidRPr="008679E1" w:rsidRDefault="00D85FAC" w:rsidP="00D85FAC">
            <w:pPr>
              <w:pStyle w:val="table1"/>
              <w:jc w:val="center"/>
              <w:rPr>
                <w:szCs w:val="16"/>
              </w:rPr>
            </w:pPr>
            <w:r w:rsidRPr="008679E1">
              <w:rPr>
                <w:rFonts w:ascii="Times New Roman" w:hAnsi="Times New Roman"/>
                <w:szCs w:val="16"/>
              </w:rPr>
              <w:t>&gt;4300</w:t>
            </w:r>
            <w:r w:rsidRPr="008679E1">
              <w:rPr>
                <w:rFonts w:ascii="Times New Roman" w:hAnsi="Times New Roman"/>
                <w:snapToGrid w:val="0"/>
                <w:color w:val="000000"/>
                <w:position w:val="4"/>
                <w:sz w:val="11"/>
                <w:szCs w:val="0"/>
                <w:u w:color="000000"/>
              </w:rPr>
              <w:t>2</w:t>
            </w:r>
          </w:p>
        </w:tc>
        <w:tc>
          <w:tcPr>
            <w:tcW w:w="1100" w:type="dxa"/>
            <w:tcBorders>
              <w:top w:val="single" w:sz="4" w:space="0" w:color="auto"/>
            </w:tcBorders>
            <w:shd w:val="clear" w:color="auto" w:fill="auto"/>
          </w:tcPr>
          <w:p w:rsidR="00D85FAC" w:rsidRPr="008679E1" w:rsidRDefault="00D85FAC" w:rsidP="00D85FAC">
            <w:pPr>
              <w:pStyle w:val="table1"/>
              <w:jc w:val="center"/>
              <w:rPr>
                <w:szCs w:val="16"/>
              </w:rPr>
            </w:pPr>
            <w:r w:rsidRPr="008679E1">
              <w:rPr>
                <w:rFonts w:ascii="Times New Roman" w:hAnsi="Times New Roman"/>
                <w:szCs w:val="16"/>
              </w:rPr>
              <w:t>818</w:t>
            </w:r>
            <w:r w:rsidRPr="008679E1">
              <w:rPr>
                <w:rFonts w:ascii="Times New Roman" w:hAnsi="Times New Roman"/>
                <w:szCs w:val="16"/>
              </w:rPr>
              <w:br/>
              <w:t>(169-1268)</w:t>
            </w:r>
            <w:r w:rsidRPr="008679E1">
              <w:rPr>
                <w:rFonts w:ascii="Times New Roman" w:hAnsi="Times New Roman"/>
                <w:snapToGrid w:val="0"/>
                <w:color w:val="000000"/>
                <w:position w:val="4"/>
                <w:sz w:val="11"/>
                <w:szCs w:val="0"/>
                <w:u w:color="000000"/>
              </w:rPr>
              <w:t>3</w:t>
            </w:r>
          </w:p>
        </w:tc>
        <w:tc>
          <w:tcPr>
            <w:tcW w:w="1100" w:type="dxa"/>
            <w:tcBorders>
              <w:top w:val="single" w:sz="4" w:space="0" w:color="auto"/>
            </w:tcBorders>
            <w:shd w:val="clear" w:color="auto" w:fill="auto"/>
          </w:tcPr>
          <w:p w:rsidR="00D85FAC" w:rsidRPr="008679E1" w:rsidRDefault="00D85FAC" w:rsidP="00D85FAC">
            <w:pPr>
              <w:pStyle w:val="table1"/>
              <w:jc w:val="center"/>
              <w:rPr>
                <w:szCs w:val="16"/>
              </w:rPr>
            </w:pPr>
            <w:r w:rsidRPr="008679E1">
              <w:rPr>
                <w:rFonts w:ascii="Times New Roman" w:hAnsi="Times New Roman"/>
                <w:szCs w:val="16"/>
              </w:rPr>
              <w:t>3435</w:t>
            </w:r>
            <w:r w:rsidRPr="008679E1">
              <w:rPr>
                <w:rFonts w:ascii="Times New Roman" w:hAnsi="Times New Roman"/>
                <w:szCs w:val="16"/>
              </w:rPr>
              <w:br/>
              <w:t>(2936-3934)</w:t>
            </w:r>
          </w:p>
        </w:tc>
      </w:tr>
      <w:tr w:rsidR="00D85FAC" w:rsidRPr="007A723E" w:rsidTr="00D85FAC">
        <w:tc>
          <w:tcPr>
            <w:tcW w:w="2528" w:type="dxa"/>
            <w:shd w:val="clear" w:color="auto" w:fill="auto"/>
          </w:tcPr>
          <w:p w:rsidR="00D85FAC" w:rsidRPr="008679E1" w:rsidRDefault="00D85FAC" w:rsidP="00D85FAC">
            <w:pPr>
              <w:pStyle w:val="table1"/>
              <w:rPr>
                <w:rFonts w:ascii="Times New Roman" w:hAnsi="Times New Roman"/>
                <w:i/>
                <w:szCs w:val="16"/>
              </w:rPr>
            </w:pPr>
            <w:r w:rsidRPr="008679E1">
              <w:rPr>
                <w:rFonts w:ascii="Times New Roman" w:hAnsi="Times New Roman"/>
                <w:i/>
                <w:szCs w:val="16"/>
              </w:rPr>
              <w:t>Lemna aequinoctialis</w:t>
            </w:r>
            <w:r w:rsidRPr="008679E1">
              <w:rPr>
                <w:rFonts w:ascii="Times New Roman" w:hAnsi="Times New Roman"/>
                <w:szCs w:val="16"/>
              </w:rPr>
              <w:t xml:space="preserve"> (duckweed)</w:t>
            </w:r>
          </w:p>
        </w:tc>
        <w:tc>
          <w:tcPr>
            <w:tcW w:w="1100" w:type="dxa"/>
            <w:shd w:val="clear" w:color="auto" w:fill="auto"/>
          </w:tcPr>
          <w:p w:rsidR="00D85FAC" w:rsidRDefault="00D85FAC" w:rsidP="00D85FAC">
            <w:pPr>
              <w:pStyle w:val="table1"/>
              <w:tabs>
                <w:tab w:val="left" w:pos="0"/>
              </w:tabs>
              <w:jc w:val="center"/>
              <w:rPr>
                <w:rFonts w:ascii="Times New Roman" w:hAnsi="Times New Roman"/>
                <w:szCs w:val="16"/>
              </w:rPr>
            </w:pPr>
            <w:r w:rsidRPr="008679E1">
              <w:rPr>
                <w:rFonts w:ascii="Times New Roman" w:hAnsi="Times New Roman"/>
                <w:szCs w:val="16"/>
              </w:rPr>
              <w:t xml:space="preserve">4212 </w:t>
            </w:r>
          </w:p>
          <w:p w:rsidR="00D85FAC" w:rsidRPr="008679E1" w:rsidRDefault="00D85FAC" w:rsidP="00D85FAC">
            <w:pPr>
              <w:pStyle w:val="table1"/>
              <w:tabs>
                <w:tab w:val="left" w:pos="0"/>
              </w:tabs>
              <w:jc w:val="center"/>
              <w:rPr>
                <w:rFonts w:ascii="Times New Roman" w:hAnsi="Times New Roman"/>
                <w:szCs w:val="16"/>
              </w:rPr>
            </w:pPr>
            <w:r w:rsidRPr="008679E1">
              <w:rPr>
                <w:rFonts w:ascii="Times New Roman" w:hAnsi="Times New Roman"/>
                <w:szCs w:val="16"/>
              </w:rPr>
              <w:t>(3491-NC)</w:t>
            </w:r>
            <w:r w:rsidRPr="008679E1">
              <w:rPr>
                <w:rFonts w:ascii="Times New Roman" w:hAnsi="Times New Roman"/>
                <w:snapToGrid w:val="0"/>
                <w:color w:val="000000"/>
                <w:position w:val="4"/>
                <w:sz w:val="11"/>
                <w:szCs w:val="0"/>
                <w:u w:color="000000"/>
              </w:rPr>
              <w:t>4</w:t>
            </w:r>
          </w:p>
        </w:tc>
        <w:tc>
          <w:tcPr>
            <w:tcW w:w="1210" w:type="dxa"/>
            <w:shd w:val="clear" w:color="auto" w:fill="auto"/>
          </w:tcPr>
          <w:p w:rsidR="00D85FAC" w:rsidRPr="008679E1" w:rsidRDefault="00D85FAC" w:rsidP="00D85FAC">
            <w:pPr>
              <w:pStyle w:val="table1"/>
              <w:ind w:right="222"/>
              <w:jc w:val="center"/>
              <w:rPr>
                <w:rFonts w:ascii="Times New Roman" w:hAnsi="Times New Roman"/>
                <w:szCs w:val="16"/>
              </w:rPr>
            </w:pPr>
            <w:r w:rsidRPr="008679E1">
              <w:rPr>
                <w:rFonts w:ascii="Times New Roman" w:hAnsi="Times New Roman"/>
                <w:szCs w:val="16"/>
              </w:rPr>
              <w:t>&gt;4220</w:t>
            </w:r>
            <w:r w:rsidRPr="008679E1">
              <w:rPr>
                <w:rFonts w:ascii="Times New Roman" w:hAnsi="Times New Roman"/>
                <w:snapToGrid w:val="0"/>
                <w:color w:val="000000"/>
                <w:position w:val="4"/>
                <w:sz w:val="11"/>
                <w:szCs w:val="0"/>
                <w:u w:color="000000"/>
              </w:rPr>
              <w:t>2</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1495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(720-2394)</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3781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(3412-NC)</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79.6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(NC-677)</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2851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(2367-3310)</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36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(13-68)</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629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(413-956)</w:t>
            </w:r>
          </w:p>
        </w:tc>
      </w:tr>
      <w:tr w:rsidR="00D85FAC" w:rsidRPr="007A723E" w:rsidTr="00D85FAC">
        <w:tc>
          <w:tcPr>
            <w:tcW w:w="2528" w:type="dxa"/>
            <w:shd w:val="clear" w:color="auto" w:fill="auto"/>
          </w:tcPr>
          <w:p w:rsidR="00D85FAC" w:rsidRPr="008679E1" w:rsidRDefault="00D85FAC" w:rsidP="00D85FAC">
            <w:pPr>
              <w:pStyle w:val="table1"/>
              <w:rPr>
                <w:rFonts w:ascii="Times New Roman" w:hAnsi="Times New Roman"/>
                <w:i/>
                <w:szCs w:val="16"/>
              </w:rPr>
            </w:pPr>
            <w:r w:rsidRPr="008679E1">
              <w:rPr>
                <w:rFonts w:ascii="Times New Roman" w:hAnsi="Times New Roman"/>
                <w:i/>
                <w:szCs w:val="16"/>
              </w:rPr>
              <w:t>Hydra viridissima</w:t>
            </w:r>
            <w:r w:rsidRPr="008679E1">
              <w:rPr>
                <w:rFonts w:ascii="Times New Roman" w:hAnsi="Times New Roman"/>
                <w:szCs w:val="16"/>
              </w:rPr>
              <w:t xml:space="preserve"> (green hydra)</w:t>
            </w:r>
          </w:p>
        </w:tc>
        <w:tc>
          <w:tcPr>
            <w:tcW w:w="1100" w:type="dxa"/>
            <w:shd w:val="clear" w:color="auto" w:fill="auto"/>
          </w:tcPr>
          <w:p w:rsidR="00D85FAC" w:rsidRDefault="00D85FAC" w:rsidP="00D85FAC">
            <w:pPr>
              <w:pStyle w:val="table1"/>
              <w:tabs>
                <w:tab w:val="left" w:pos="0"/>
              </w:tabs>
              <w:jc w:val="center"/>
              <w:rPr>
                <w:rFonts w:ascii="Times New Roman" w:hAnsi="Times New Roman"/>
                <w:szCs w:val="16"/>
              </w:rPr>
            </w:pPr>
            <w:r w:rsidRPr="008679E1">
              <w:rPr>
                <w:rFonts w:ascii="Times New Roman" w:hAnsi="Times New Roman"/>
                <w:szCs w:val="16"/>
              </w:rPr>
              <w:t xml:space="preserve">1213 </w:t>
            </w:r>
          </w:p>
          <w:p w:rsidR="00D85FAC" w:rsidRPr="008679E1" w:rsidRDefault="00D85FAC" w:rsidP="00D85FAC">
            <w:pPr>
              <w:pStyle w:val="table1"/>
              <w:tabs>
                <w:tab w:val="left" w:pos="0"/>
              </w:tabs>
              <w:jc w:val="center"/>
              <w:rPr>
                <w:rFonts w:ascii="Times New Roman" w:hAnsi="Times New Roman"/>
                <w:szCs w:val="16"/>
              </w:rPr>
            </w:pPr>
            <w:r w:rsidRPr="008679E1">
              <w:rPr>
                <w:rFonts w:ascii="Times New Roman" w:hAnsi="Times New Roman"/>
                <w:szCs w:val="16"/>
              </w:rPr>
              <w:t>(1124-1268)</w:t>
            </w:r>
          </w:p>
        </w:tc>
        <w:tc>
          <w:tcPr>
            <w:tcW w:w="1210" w:type="dxa"/>
            <w:shd w:val="clear" w:color="auto" w:fill="auto"/>
          </w:tcPr>
          <w:p w:rsidR="00D85FAC" w:rsidRDefault="00D85FAC" w:rsidP="00D85FAC">
            <w:pPr>
              <w:pStyle w:val="table1"/>
              <w:tabs>
                <w:tab w:val="left" w:pos="1544"/>
              </w:tabs>
              <w:jc w:val="center"/>
              <w:rPr>
                <w:rFonts w:ascii="Times New Roman" w:hAnsi="Times New Roman"/>
                <w:szCs w:val="16"/>
              </w:rPr>
            </w:pPr>
            <w:r w:rsidRPr="008679E1">
              <w:rPr>
                <w:rFonts w:ascii="Times New Roman" w:hAnsi="Times New Roman"/>
                <w:szCs w:val="16"/>
              </w:rPr>
              <w:t xml:space="preserve">1351 </w:t>
            </w:r>
          </w:p>
          <w:p w:rsidR="00D85FAC" w:rsidRPr="008679E1" w:rsidRDefault="00D85FAC" w:rsidP="00D85FAC">
            <w:pPr>
              <w:pStyle w:val="table1"/>
              <w:tabs>
                <w:tab w:val="left" w:pos="1544"/>
              </w:tabs>
              <w:jc w:val="center"/>
              <w:rPr>
                <w:rFonts w:ascii="Times New Roman" w:hAnsi="Times New Roman"/>
                <w:szCs w:val="16"/>
              </w:rPr>
            </w:pPr>
            <w:r w:rsidRPr="008679E1">
              <w:rPr>
                <w:rFonts w:ascii="Times New Roman" w:hAnsi="Times New Roman"/>
                <w:szCs w:val="16"/>
              </w:rPr>
              <w:t>(1321-1454)</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1001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(961-1094)</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1045</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 xml:space="preserve"> (1014-1111)</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709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(532-828)</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900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(820-966)</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246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(139-322)</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713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(646-780)</w:t>
            </w:r>
          </w:p>
        </w:tc>
      </w:tr>
      <w:tr w:rsidR="00D85FAC" w:rsidRPr="007A723E" w:rsidTr="00D85FAC">
        <w:tc>
          <w:tcPr>
            <w:tcW w:w="2528" w:type="dxa"/>
            <w:shd w:val="clear" w:color="auto" w:fill="auto"/>
          </w:tcPr>
          <w:p w:rsidR="00D85FAC" w:rsidRPr="008679E1" w:rsidRDefault="00D85FAC" w:rsidP="00D85FAC">
            <w:pPr>
              <w:pStyle w:val="table1"/>
              <w:rPr>
                <w:rFonts w:ascii="Times New Roman" w:hAnsi="Times New Roman"/>
                <w:i/>
                <w:szCs w:val="16"/>
              </w:rPr>
            </w:pPr>
            <w:r w:rsidRPr="008679E1">
              <w:rPr>
                <w:rFonts w:ascii="Times New Roman" w:hAnsi="Times New Roman"/>
                <w:i/>
                <w:szCs w:val="16"/>
              </w:rPr>
              <w:t>Moinodaphnia macleayi</w:t>
            </w:r>
            <w:r w:rsidRPr="008679E1">
              <w:rPr>
                <w:rFonts w:ascii="Times New Roman" w:hAnsi="Times New Roman"/>
                <w:szCs w:val="16"/>
              </w:rPr>
              <w:t xml:space="preserve">  (cladoceran)</w:t>
            </w:r>
          </w:p>
        </w:tc>
        <w:tc>
          <w:tcPr>
            <w:tcW w:w="1100" w:type="dxa"/>
            <w:shd w:val="clear" w:color="auto" w:fill="auto"/>
          </w:tcPr>
          <w:p w:rsidR="00D85FAC" w:rsidRPr="008679E1" w:rsidRDefault="00D85FAC" w:rsidP="00D85FAC">
            <w:pPr>
              <w:pStyle w:val="table1"/>
              <w:tabs>
                <w:tab w:val="left" w:pos="0"/>
              </w:tabs>
              <w:jc w:val="center"/>
              <w:rPr>
                <w:rFonts w:ascii="Times New Roman" w:hAnsi="Times New Roman"/>
                <w:szCs w:val="16"/>
              </w:rPr>
            </w:pPr>
          </w:p>
        </w:tc>
        <w:tc>
          <w:tcPr>
            <w:tcW w:w="1210" w:type="dxa"/>
            <w:shd w:val="clear" w:color="auto" w:fill="auto"/>
          </w:tcPr>
          <w:p w:rsidR="00D85FAC" w:rsidRPr="008679E1" w:rsidRDefault="00D85FAC" w:rsidP="00D85FAC">
            <w:pPr>
              <w:pStyle w:val="table1"/>
              <w:tabs>
                <w:tab w:val="left" w:pos="1544"/>
              </w:tabs>
              <w:jc w:val="center"/>
              <w:rPr>
                <w:rFonts w:ascii="Times New Roman" w:hAnsi="Times New Roman"/>
                <w:szCs w:val="16"/>
              </w:rPr>
            </w:pPr>
          </w:p>
        </w:tc>
        <w:tc>
          <w:tcPr>
            <w:tcW w:w="1100" w:type="dxa"/>
            <w:shd w:val="clear" w:color="auto" w:fill="auto"/>
          </w:tcPr>
          <w:p w:rsidR="00D85FAC" w:rsidRPr="008679E1" w:rsidRDefault="00D85FAC" w:rsidP="00D85FAC">
            <w:pPr>
              <w:pStyle w:val="table1"/>
              <w:jc w:val="center"/>
              <w:rPr>
                <w:rFonts w:ascii="Times New Roman" w:hAnsi="Times New Roman"/>
                <w:szCs w:val="16"/>
              </w:rPr>
            </w:pPr>
          </w:p>
        </w:tc>
        <w:tc>
          <w:tcPr>
            <w:tcW w:w="1100" w:type="dxa"/>
            <w:shd w:val="clear" w:color="auto" w:fill="auto"/>
          </w:tcPr>
          <w:p w:rsidR="00D85FAC" w:rsidRPr="008679E1" w:rsidRDefault="00D85FAC" w:rsidP="00D85FAC">
            <w:pPr>
              <w:pStyle w:val="table1"/>
              <w:jc w:val="center"/>
              <w:rPr>
                <w:rFonts w:ascii="Times New Roman" w:hAnsi="Times New Roman"/>
                <w:szCs w:val="16"/>
              </w:rPr>
            </w:pPr>
          </w:p>
        </w:tc>
        <w:tc>
          <w:tcPr>
            <w:tcW w:w="1100" w:type="dxa"/>
            <w:shd w:val="clear" w:color="auto" w:fill="auto"/>
          </w:tcPr>
          <w:p w:rsidR="00D85FAC" w:rsidRPr="008679E1" w:rsidRDefault="00D85FAC" w:rsidP="00D85FAC">
            <w:pPr>
              <w:pStyle w:val="table1"/>
              <w:jc w:val="center"/>
              <w:rPr>
                <w:rFonts w:ascii="Times New Roman" w:hAnsi="Times New Roman"/>
                <w:szCs w:val="16"/>
              </w:rPr>
            </w:pPr>
          </w:p>
        </w:tc>
        <w:tc>
          <w:tcPr>
            <w:tcW w:w="1100" w:type="dxa"/>
            <w:shd w:val="clear" w:color="auto" w:fill="auto"/>
          </w:tcPr>
          <w:p w:rsidR="00D85FAC" w:rsidRPr="008679E1" w:rsidRDefault="00D85FAC" w:rsidP="00D85FAC">
            <w:pPr>
              <w:pStyle w:val="table1"/>
              <w:jc w:val="center"/>
              <w:rPr>
                <w:rFonts w:ascii="Times New Roman" w:hAnsi="Times New Roman"/>
                <w:szCs w:val="16"/>
              </w:rPr>
            </w:pPr>
          </w:p>
        </w:tc>
        <w:tc>
          <w:tcPr>
            <w:tcW w:w="1100" w:type="dxa"/>
            <w:shd w:val="clear" w:color="auto" w:fill="auto"/>
          </w:tcPr>
          <w:p w:rsidR="00D85FAC" w:rsidRPr="008679E1" w:rsidRDefault="00D85FAC" w:rsidP="00D85FAC">
            <w:pPr>
              <w:pStyle w:val="table1"/>
              <w:jc w:val="center"/>
              <w:rPr>
                <w:rFonts w:ascii="Times New Roman" w:hAnsi="Times New Roman"/>
                <w:szCs w:val="16"/>
              </w:rPr>
            </w:pPr>
          </w:p>
        </w:tc>
        <w:tc>
          <w:tcPr>
            <w:tcW w:w="1100" w:type="dxa"/>
            <w:shd w:val="clear" w:color="auto" w:fill="auto"/>
          </w:tcPr>
          <w:p w:rsidR="00D85FAC" w:rsidRPr="008679E1" w:rsidRDefault="00D85FAC" w:rsidP="00D85FAC">
            <w:pPr>
              <w:pStyle w:val="table1"/>
              <w:jc w:val="center"/>
              <w:rPr>
                <w:rFonts w:ascii="Times New Roman" w:hAnsi="Times New Roman"/>
                <w:szCs w:val="16"/>
              </w:rPr>
            </w:pPr>
          </w:p>
        </w:tc>
      </w:tr>
      <w:tr w:rsidR="00D85FAC" w:rsidRPr="007A723E" w:rsidTr="00D85FAC">
        <w:tc>
          <w:tcPr>
            <w:tcW w:w="2528" w:type="dxa"/>
            <w:shd w:val="clear" w:color="auto" w:fill="auto"/>
          </w:tcPr>
          <w:p w:rsidR="00D85FAC" w:rsidRPr="008679E1" w:rsidRDefault="00D85FAC" w:rsidP="00D85FAC">
            <w:pPr>
              <w:pStyle w:val="table1"/>
              <w:tabs>
                <w:tab w:val="left" w:pos="0"/>
              </w:tabs>
              <w:jc w:val="both"/>
              <w:rPr>
                <w:rFonts w:ascii="Times New Roman" w:eastAsiaTheme="minorHAnsi" w:hAnsi="Times New Roman"/>
                <w:szCs w:val="16"/>
              </w:rPr>
            </w:pPr>
            <w:r w:rsidRPr="008679E1">
              <w:rPr>
                <w:rFonts w:ascii="Times New Roman" w:hAnsi="Times New Roman"/>
                <w:szCs w:val="16"/>
              </w:rPr>
              <w:t>Exposed at test commencement</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1017</w:t>
            </w:r>
            <w:r w:rsidRPr="008679E1">
              <w:rPr>
                <w:rFonts w:ascii="Times New Roman" w:hAnsi="Times New Roman"/>
                <w:szCs w:val="16"/>
              </w:rPr>
              <w:br/>
              <w:t>(707-1354)</w:t>
            </w:r>
          </w:p>
        </w:tc>
        <w:tc>
          <w:tcPr>
            <w:tcW w:w="121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1461</w:t>
            </w:r>
            <w:r w:rsidRPr="008679E1">
              <w:rPr>
                <w:rFonts w:ascii="Times New Roman" w:hAnsi="Times New Roman"/>
                <w:szCs w:val="16"/>
              </w:rPr>
              <w:br/>
              <w:t>(1192-1569)</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612</w:t>
            </w:r>
            <w:r w:rsidRPr="008679E1">
              <w:rPr>
                <w:rFonts w:ascii="Times New Roman" w:hAnsi="Times New Roman"/>
                <w:szCs w:val="16"/>
              </w:rPr>
              <w:br/>
              <w:t>(303-900)</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1043</w:t>
            </w:r>
            <w:r w:rsidRPr="008679E1">
              <w:rPr>
                <w:rFonts w:ascii="Times New Roman" w:hAnsi="Times New Roman"/>
                <w:szCs w:val="16"/>
              </w:rPr>
              <w:br/>
              <w:t>(867-1316)</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216</w:t>
            </w:r>
            <w:r w:rsidRPr="008679E1">
              <w:rPr>
                <w:rFonts w:ascii="Times New Roman" w:hAnsi="Times New Roman"/>
                <w:szCs w:val="16"/>
              </w:rPr>
              <w:br/>
              <w:t>(91-346)</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502</w:t>
            </w:r>
            <w:r w:rsidRPr="008679E1">
              <w:rPr>
                <w:rFonts w:ascii="Times New Roman" w:hAnsi="Times New Roman"/>
                <w:szCs w:val="16"/>
              </w:rPr>
              <w:br/>
              <w:t>(439-604)</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39</w:t>
            </w:r>
            <w:r w:rsidRPr="008679E1">
              <w:rPr>
                <w:rFonts w:ascii="Times New Roman" w:hAnsi="Times New Roman"/>
                <w:szCs w:val="16"/>
              </w:rPr>
              <w:br/>
              <w:t>(17-54)</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122</w:t>
            </w:r>
            <w:r w:rsidRPr="008679E1">
              <w:rPr>
                <w:rFonts w:ascii="Times New Roman" w:hAnsi="Times New Roman"/>
                <w:szCs w:val="16"/>
              </w:rPr>
              <w:br/>
              <w:t>(99-151)</w:t>
            </w:r>
          </w:p>
        </w:tc>
      </w:tr>
      <w:tr w:rsidR="00D85FAC" w:rsidRPr="007A723E" w:rsidTr="00D85FAC">
        <w:tc>
          <w:tcPr>
            <w:tcW w:w="2528" w:type="dxa"/>
            <w:shd w:val="clear" w:color="auto" w:fill="auto"/>
          </w:tcPr>
          <w:p w:rsidR="00D85FAC" w:rsidRPr="008679E1" w:rsidRDefault="00D85FAC" w:rsidP="00D85FAC">
            <w:pPr>
              <w:pStyle w:val="table1"/>
              <w:tabs>
                <w:tab w:val="left" w:pos="0"/>
              </w:tabs>
              <w:rPr>
                <w:rFonts w:ascii="Times New Roman" w:eastAsiaTheme="minorHAnsi" w:hAnsi="Times New Roman"/>
                <w:szCs w:val="16"/>
              </w:rPr>
            </w:pPr>
            <w:r w:rsidRPr="008679E1">
              <w:rPr>
                <w:rFonts w:ascii="Times New Roman" w:hAnsi="Times New Roman"/>
                <w:szCs w:val="16"/>
              </w:rPr>
              <w:t>Exposed at onset of reproductive maturity</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212</w:t>
            </w:r>
            <w:r w:rsidRPr="008679E1">
              <w:rPr>
                <w:rFonts w:ascii="Times New Roman" w:hAnsi="Times New Roman"/>
                <w:szCs w:val="16"/>
              </w:rPr>
              <w:br/>
              <w:t>(NC-335)</w:t>
            </w:r>
          </w:p>
        </w:tc>
        <w:tc>
          <w:tcPr>
            <w:tcW w:w="121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358</w:t>
            </w:r>
            <w:r w:rsidRPr="008679E1">
              <w:rPr>
                <w:rFonts w:ascii="Times New Roman" w:hAnsi="Times New Roman"/>
                <w:szCs w:val="16"/>
              </w:rPr>
              <w:br/>
              <w:t>(264-420)</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61.8</w:t>
            </w:r>
            <w:r w:rsidRPr="008679E1">
              <w:rPr>
                <w:rFonts w:ascii="Times New Roman" w:hAnsi="Times New Roman"/>
                <w:szCs w:val="16"/>
              </w:rPr>
              <w:br/>
              <w:t>(NC-162)</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296</w:t>
            </w:r>
            <w:r w:rsidRPr="008679E1">
              <w:rPr>
                <w:rFonts w:ascii="Times New Roman" w:hAnsi="Times New Roman"/>
                <w:szCs w:val="16"/>
              </w:rPr>
              <w:br/>
              <w:t>(231-362)</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128</w:t>
            </w:r>
            <w:r w:rsidRPr="008679E1">
              <w:rPr>
                <w:rFonts w:ascii="Times New Roman" w:hAnsi="Times New Roman"/>
                <w:szCs w:val="16"/>
              </w:rPr>
              <w:br/>
              <w:t>(77-179)</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247</w:t>
            </w:r>
            <w:r w:rsidRPr="008679E1">
              <w:rPr>
                <w:rFonts w:ascii="Times New Roman" w:hAnsi="Times New Roman"/>
                <w:szCs w:val="16"/>
              </w:rPr>
              <w:br/>
              <w:t>(218-278)</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n/a</w:t>
            </w:r>
          </w:p>
        </w:tc>
        <w:tc>
          <w:tcPr>
            <w:tcW w:w="1100" w:type="dxa"/>
            <w:shd w:val="clear" w:color="auto" w:fill="auto"/>
          </w:tcPr>
          <w:p w:rsidR="00D85FAC" w:rsidRPr="008679E1" w:rsidRDefault="00D85FAC" w:rsidP="00D85FAC">
            <w:pPr>
              <w:pStyle w:val="table1"/>
              <w:jc w:val="center"/>
              <w:rPr>
                <w:rFonts w:ascii="Times New Roman" w:eastAsiaTheme="minorHAnsi" w:hAnsi="Times New Roman"/>
                <w:szCs w:val="16"/>
              </w:rPr>
            </w:pPr>
            <w:r w:rsidRPr="008679E1">
              <w:rPr>
                <w:rFonts w:ascii="Times New Roman" w:hAnsi="Times New Roman"/>
                <w:szCs w:val="16"/>
              </w:rPr>
              <w:t>n/a</w:t>
            </w:r>
          </w:p>
        </w:tc>
      </w:tr>
      <w:tr w:rsidR="00D85FAC" w:rsidRPr="007A723E" w:rsidTr="00D85FAC">
        <w:tc>
          <w:tcPr>
            <w:tcW w:w="2528" w:type="dxa"/>
            <w:shd w:val="clear" w:color="auto" w:fill="auto"/>
          </w:tcPr>
          <w:p w:rsidR="00D85FAC" w:rsidRPr="008679E1" w:rsidRDefault="00D85FAC" w:rsidP="00D85FAC">
            <w:pPr>
              <w:pStyle w:val="table1"/>
              <w:tabs>
                <w:tab w:val="left" w:pos="0"/>
              </w:tabs>
              <w:rPr>
                <w:rFonts w:ascii="Times New Roman" w:hAnsi="Times New Roman"/>
                <w:szCs w:val="16"/>
              </w:rPr>
            </w:pPr>
            <w:r w:rsidRPr="008679E1">
              <w:rPr>
                <w:rFonts w:ascii="Times New Roman" w:hAnsi="Times New Roman"/>
                <w:i/>
                <w:szCs w:val="16"/>
              </w:rPr>
              <w:t>Amerianna cumingi</w:t>
            </w:r>
            <w:r w:rsidRPr="008679E1">
              <w:rPr>
                <w:rFonts w:ascii="Times New Roman" w:hAnsi="Times New Roman"/>
                <w:szCs w:val="16"/>
              </w:rPr>
              <w:t xml:space="preserve"> (gastropod)</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3031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(NC)</w:t>
            </w:r>
          </w:p>
        </w:tc>
        <w:tc>
          <w:tcPr>
            <w:tcW w:w="1210" w:type="dxa"/>
            <w:shd w:val="clear" w:color="auto" w:fill="auto"/>
          </w:tcPr>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&gt;4170</w:t>
            </w:r>
            <w:r w:rsidRPr="008679E1">
              <w:rPr>
                <w:rFonts w:ascii="Times New Roman" w:hAnsi="Times New Roman"/>
                <w:snapToGrid w:val="0"/>
                <w:color w:val="000000"/>
                <w:position w:val="4"/>
                <w:sz w:val="11"/>
                <w:szCs w:val="0"/>
                <w:u w:color="000000"/>
              </w:rPr>
              <w:t>2</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(2572-NC)</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387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(NC-1972)</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2743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(1739-3851)</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301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(NC-1260)</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1937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(1343-2633)</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5.6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(0.6-14)</w:t>
            </w:r>
          </w:p>
        </w:tc>
        <w:tc>
          <w:tcPr>
            <w:tcW w:w="1100" w:type="dxa"/>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96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(61-150)</w:t>
            </w:r>
          </w:p>
        </w:tc>
      </w:tr>
      <w:tr w:rsidR="00D85FAC" w:rsidRPr="007A723E" w:rsidTr="00D85FAC">
        <w:tc>
          <w:tcPr>
            <w:tcW w:w="2528" w:type="dxa"/>
            <w:tcBorders>
              <w:bottom w:val="single" w:sz="4" w:space="0" w:color="auto"/>
            </w:tcBorders>
            <w:shd w:val="clear" w:color="auto" w:fill="auto"/>
          </w:tcPr>
          <w:p w:rsidR="00D85FAC" w:rsidRPr="008679E1" w:rsidRDefault="00D85FAC" w:rsidP="00D85FAC">
            <w:pPr>
              <w:pStyle w:val="table1"/>
              <w:tabs>
                <w:tab w:val="left" w:pos="0"/>
              </w:tabs>
              <w:rPr>
                <w:rFonts w:ascii="Times New Roman" w:hAnsi="Times New Roman"/>
                <w:i/>
                <w:szCs w:val="16"/>
              </w:rPr>
            </w:pPr>
            <w:r w:rsidRPr="008679E1">
              <w:rPr>
                <w:rFonts w:ascii="Times New Roman" w:hAnsi="Times New Roman"/>
                <w:i/>
                <w:szCs w:val="16"/>
              </w:rPr>
              <w:t>Mogurnda mogurnda</w:t>
            </w:r>
            <w:r w:rsidRPr="008679E1">
              <w:rPr>
                <w:rFonts w:ascii="Times New Roman" w:hAnsi="Times New Roman"/>
                <w:szCs w:val="16"/>
              </w:rPr>
              <w:t xml:space="preserve"> (fish)</w:t>
            </w:r>
          </w:p>
        </w:tc>
        <w:tc>
          <w:tcPr>
            <w:tcW w:w="1100" w:type="dxa"/>
            <w:tcBorders>
              <w:bottom w:val="single" w:sz="4" w:space="0" w:color="auto"/>
            </w:tcBorders>
            <w:shd w:val="clear" w:color="auto" w:fill="auto"/>
          </w:tcPr>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&gt;4100</w:t>
            </w:r>
            <w:r w:rsidRPr="008679E1">
              <w:rPr>
                <w:rFonts w:ascii="Times New Roman" w:hAnsi="Times New Roman"/>
                <w:snapToGrid w:val="0"/>
                <w:color w:val="000000"/>
                <w:position w:val="4"/>
                <w:sz w:val="11"/>
                <w:szCs w:val="0"/>
                <w:u w:color="000000"/>
              </w:rPr>
              <w:t>2</w:t>
            </w:r>
          </w:p>
        </w:tc>
        <w:tc>
          <w:tcPr>
            <w:tcW w:w="1210" w:type="dxa"/>
            <w:tcBorders>
              <w:bottom w:val="single" w:sz="4" w:space="0" w:color="auto"/>
            </w:tcBorders>
            <w:shd w:val="clear" w:color="auto" w:fill="auto"/>
          </w:tcPr>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&gt;4100</w:t>
            </w:r>
            <w:r w:rsidRPr="008679E1">
              <w:rPr>
                <w:rFonts w:ascii="Times New Roman" w:hAnsi="Times New Roman"/>
                <w:snapToGrid w:val="0"/>
                <w:color w:val="000000"/>
                <w:position w:val="4"/>
                <w:sz w:val="11"/>
                <w:szCs w:val="0"/>
                <w:u w:color="000000"/>
              </w:rPr>
              <w:t>2</w:t>
            </w:r>
          </w:p>
        </w:tc>
        <w:tc>
          <w:tcPr>
            <w:tcW w:w="1100" w:type="dxa"/>
            <w:tcBorders>
              <w:bottom w:val="single" w:sz="4" w:space="0" w:color="auto"/>
            </w:tcBorders>
            <w:shd w:val="clear" w:color="auto" w:fill="auto"/>
          </w:tcPr>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&gt;4100</w:t>
            </w:r>
            <w:r w:rsidRPr="008679E1">
              <w:rPr>
                <w:rFonts w:ascii="Times New Roman" w:hAnsi="Times New Roman"/>
                <w:snapToGrid w:val="0"/>
                <w:color w:val="000000"/>
                <w:position w:val="4"/>
                <w:sz w:val="11"/>
                <w:szCs w:val="0"/>
                <w:u w:color="000000"/>
              </w:rPr>
              <w:t>2</w:t>
            </w:r>
          </w:p>
        </w:tc>
        <w:tc>
          <w:tcPr>
            <w:tcW w:w="1100" w:type="dxa"/>
            <w:tcBorders>
              <w:bottom w:val="single" w:sz="4" w:space="0" w:color="auto"/>
            </w:tcBorders>
            <w:shd w:val="clear" w:color="auto" w:fill="auto"/>
          </w:tcPr>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&gt;4100</w:t>
            </w:r>
            <w:r w:rsidRPr="008679E1">
              <w:rPr>
                <w:rFonts w:ascii="Times New Roman" w:hAnsi="Times New Roman"/>
                <w:snapToGrid w:val="0"/>
                <w:color w:val="000000"/>
                <w:position w:val="4"/>
                <w:sz w:val="11"/>
                <w:szCs w:val="0"/>
                <w:u w:color="000000"/>
              </w:rPr>
              <w:t>2</w:t>
            </w:r>
          </w:p>
        </w:tc>
        <w:tc>
          <w:tcPr>
            <w:tcW w:w="1100" w:type="dxa"/>
            <w:tcBorders>
              <w:bottom w:val="single" w:sz="4" w:space="0" w:color="auto"/>
            </w:tcBorders>
            <w:shd w:val="clear" w:color="auto" w:fill="auto"/>
          </w:tcPr>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&gt;4100</w:t>
            </w:r>
            <w:r w:rsidRPr="008679E1">
              <w:rPr>
                <w:rFonts w:ascii="Times New Roman" w:hAnsi="Times New Roman"/>
                <w:snapToGrid w:val="0"/>
                <w:color w:val="000000"/>
                <w:position w:val="4"/>
                <w:sz w:val="11"/>
                <w:szCs w:val="0"/>
                <w:u w:color="000000"/>
              </w:rPr>
              <w:t>2</w:t>
            </w:r>
          </w:p>
        </w:tc>
        <w:tc>
          <w:tcPr>
            <w:tcW w:w="1100" w:type="dxa"/>
            <w:tcBorders>
              <w:bottom w:val="single" w:sz="4" w:space="0" w:color="auto"/>
            </w:tcBorders>
            <w:shd w:val="clear" w:color="auto" w:fill="auto"/>
          </w:tcPr>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&gt;4100</w:t>
            </w:r>
            <w:r w:rsidRPr="008679E1">
              <w:rPr>
                <w:rFonts w:ascii="Times New Roman" w:hAnsi="Times New Roman"/>
                <w:snapToGrid w:val="0"/>
                <w:color w:val="000000"/>
                <w:position w:val="4"/>
                <w:sz w:val="11"/>
                <w:szCs w:val="0"/>
                <w:u w:color="000000"/>
              </w:rPr>
              <w:t>2</w:t>
            </w:r>
          </w:p>
        </w:tc>
        <w:tc>
          <w:tcPr>
            <w:tcW w:w="1100" w:type="dxa"/>
            <w:tcBorders>
              <w:bottom w:val="single" w:sz="4" w:space="0" w:color="auto"/>
            </w:tcBorders>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4008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(3850-4025)</w:t>
            </w:r>
          </w:p>
        </w:tc>
        <w:tc>
          <w:tcPr>
            <w:tcW w:w="1100" w:type="dxa"/>
            <w:tcBorders>
              <w:bottom w:val="single" w:sz="4" w:space="0" w:color="auto"/>
            </w:tcBorders>
            <w:shd w:val="clear" w:color="auto" w:fill="auto"/>
          </w:tcPr>
          <w:p w:rsidR="00D85FAC" w:rsidRDefault="00D85FAC" w:rsidP="00D85FAC">
            <w:pPr>
              <w:pStyle w:val="table1"/>
              <w:jc w:val="center"/>
              <w:rPr>
                <w:rFonts w:ascii="Times New Roman" w:hAnsi="Times New Roman"/>
                <w:szCs w:val="16"/>
              </w:rPr>
            </w:pPr>
            <w:r w:rsidRPr="008679E1">
              <w:rPr>
                <w:rFonts w:ascii="Times New Roman" w:hAnsi="Times New Roman"/>
                <w:szCs w:val="16"/>
              </w:rPr>
              <w:t xml:space="preserve">4054 </w:t>
            </w:r>
          </w:p>
          <w:p w:rsidR="00D85FAC" w:rsidRPr="008679E1" w:rsidRDefault="00D85FAC" w:rsidP="00D85FAC">
            <w:pPr>
              <w:pStyle w:val="table1"/>
              <w:jc w:val="center"/>
              <w:rPr>
                <w:rFonts w:ascii="Times New Roman" w:hAnsi="Times New Roman"/>
                <w:szCs w:val="16"/>
              </w:rPr>
            </w:pPr>
            <w:r w:rsidRPr="008679E1">
              <w:rPr>
                <w:rFonts w:ascii="Times New Roman" w:hAnsi="Times New Roman"/>
                <w:szCs w:val="16"/>
              </w:rPr>
              <w:t>(4046-4063)</w:t>
            </w:r>
          </w:p>
        </w:tc>
      </w:tr>
    </w:tbl>
    <w:p w:rsidR="00D85FAC" w:rsidRPr="007A723E" w:rsidRDefault="00D85FAC" w:rsidP="00D85FAC">
      <w:pPr>
        <w:pStyle w:val="tablenote"/>
        <w:tabs>
          <w:tab w:val="clear" w:pos="240"/>
          <w:tab w:val="left" w:pos="142"/>
        </w:tabs>
        <w:spacing w:after="60"/>
        <w:ind w:left="142" w:right="3238" w:hanging="142"/>
        <w:rPr>
          <w:rFonts w:ascii="Times New Roman" w:hAnsi="Times New Roman"/>
        </w:rPr>
      </w:pPr>
      <w:r w:rsidRPr="005E6AB5">
        <w:rPr>
          <w:rFonts w:ascii="Times New Roman" w:hAnsi="Times New Roman"/>
          <w:szCs w:val="14"/>
          <w:vertAlign w:val="superscript"/>
        </w:rPr>
        <w:t>1</w:t>
      </w:r>
      <w:r w:rsidRPr="005E6AB5">
        <w:rPr>
          <w:rFonts w:ascii="Times New Roman" w:hAnsi="Times New Roman"/>
          <w:szCs w:val="14"/>
        </w:rPr>
        <w:t xml:space="preserve"> </w:t>
      </w:r>
      <w:r w:rsidRPr="005E6AB5">
        <w:rPr>
          <w:rFonts w:ascii="Times New Roman" w:hAnsi="Times New Roman"/>
          <w:szCs w:val="14"/>
        </w:rPr>
        <w:tab/>
      </w:r>
      <w:r w:rsidRPr="005E6AB5">
        <w:rPr>
          <w:rFonts w:ascii="Times New Roman" w:hAnsi="Times New Roman"/>
        </w:rPr>
        <w:t xml:space="preserve">Continuous exposure data reproduced from van Dam </w:t>
      </w:r>
      <w:r>
        <w:rPr>
          <w:rFonts w:ascii="Times New Roman" w:hAnsi="Times New Roman"/>
        </w:rPr>
        <w:t>et al</w:t>
      </w:r>
      <w:r w:rsidRPr="005E6AB5">
        <w:rPr>
          <w:rFonts w:ascii="Times New Roman" w:hAnsi="Times New Roman"/>
        </w:rPr>
        <w:t xml:space="preserve"> (2010) </w:t>
      </w:r>
    </w:p>
    <w:p w:rsidR="00D85FAC" w:rsidRPr="007A723E" w:rsidRDefault="00D85FAC" w:rsidP="00D85FAC">
      <w:pPr>
        <w:pStyle w:val="tablenote"/>
        <w:tabs>
          <w:tab w:val="clear" w:pos="240"/>
          <w:tab w:val="left" w:pos="142"/>
        </w:tabs>
        <w:spacing w:after="60"/>
        <w:ind w:left="142" w:right="3238" w:hanging="142"/>
        <w:rPr>
          <w:rFonts w:ascii="Times New Roman" w:hAnsi="Times New Roman"/>
          <w:lang w:eastAsia="en-AU"/>
        </w:rPr>
      </w:pPr>
      <w:r w:rsidRPr="005E6AB5">
        <w:rPr>
          <w:rFonts w:ascii="Times New Roman" w:hAnsi="Times New Roman"/>
          <w:snapToGrid w:val="0"/>
          <w:color w:val="000000"/>
          <w:position w:val="4"/>
          <w:sz w:val="11"/>
          <w:szCs w:val="0"/>
          <w:u w:color="000000"/>
          <w:lang w:eastAsia="en-AU"/>
        </w:rPr>
        <w:t>2</w:t>
      </w:r>
      <w:r w:rsidRPr="005E6AB5">
        <w:rPr>
          <w:rFonts w:ascii="Times New Roman" w:hAnsi="Times New Roman"/>
          <w:lang w:eastAsia="en-AU"/>
        </w:rPr>
        <w:t xml:space="preserve"> </w:t>
      </w:r>
      <w:r w:rsidRPr="005E6AB5">
        <w:rPr>
          <w:rFonts w:ascii="Times New Roman" w:hAnsi="Times New Roman"/>
          <w:lang w:eastAsia="en-AU"/>
        </w:rPr>
        <w:tab/>
        <w:t xml:space="preserve">Values were reported as </w:t>
      </w:r>
      <w:r>
        <w:rPr>
          <w:rFonts w:ascii="Times New Roman" w:hAnsi="Times New Roman"/>
          <w:lang w:eastAsia="en-AU"/>
        </w:rPr>
        <w:t>‘</w:t>
      </w:r>
      <w:r w:rsidRPr="005E6AB5">
        <w:rPr>
          <w:rFonts w:ascii="Times New Roman" w:hAnsi="Times New Roman"/>
          <w:lang w:eastAsia="en-AU"/>
        </w:rPr>
        <w:t>greater than</w:t>
      </w:r>
      <w:r>
        <w:rPr>
          <w:rFonts w:ascii="Times New Roman" w:hAnsi="Times New Roman"/>
          <w:lang w:eastAsia="en-AU"/>
        </w:rPr>
        <w:t>’</w:t>
      </w:r>
      <w:r w:rsidRPr="005E6AB5">
        <w:rPr>
          <w:rFonts w:ascii="Times New Roman" w:hAnsi="Times New Roman"/>
          <w:lang w:eastAsia="en-AU"/>
        </w:rPr>
        <w:t xml:space="preserve"> values where the model could not predict the relevant IC value within the Mg concentration range tested, the maximum of which approximately corresponded to the maximum Mg concentration that could be tested at the specified Mg:Ca ratio of 9:1 without exceeding the solubility limit of CaSO</w:t>
      </w:r>
      <w:r w:rsidRPr="005E6AB5">
        <w:rPr>
          <w:rFonts w:ascii="Times New Roman" w:hAnsi="Times New Roman"/>
          <w:snapToGrid w:val="0"/>
          <w:color w:val="000000"/>
          <w:position w:val="-3"/>
          <w:lang w:eastAsia="en-AU"/>
        </w:rPr>
        <w:t>4</w:t>
      </w:r>
      <w:r w:rsidRPr="005E6AB5">
        <w:rPr>
          <w:rFonts w:ascii="Times New Roman" w:hAnsi="Times New Roman"/>
          <w:lang w:eastAsia="en-AU"/>
        </w:rPr>
        <w:t xml:space="preserve"> (</w:t>
      </w:r>
      <w:r>
        <w:rPr>
          <w:rFonts w:ascii="Times New Roman" w:hAnsi="Times New Roman"/>
          <w:lang w:eastAsia="en-AU"/>
        </w:rPr>
        <w:t>ie</w:t>
      </w:r>
      <w:r w:rsidRPr="005E6AB5">
        <w:rPr>
          <w:rFonts w:ascii="Times New Roman" w:hAnsi="Times New Roman"/>
          <w:lang w:eastAsia="en-AU"/>
        </w:rPr>
        <w:t xml:space="preserve"> ~4200 mg L</w:t>
      </w:r>
      <w:r w:rsidRPr="005E6AB5">
        <w:rPr>
          <w:rFonts w:ascii="Times New Roman" w:hAnsi="Times New Roman"/>
          <w:snapToGrid w:val="0"/>
          <w:color w:val="000000"/>
          <w:position w:val="4"/>
          <w:sz w:val="11"/>
          <w:szCs w:val="0"/>
          <w:u w:color="000000"/>
          <w:lang w:eastAsia="en-AU"/>
        </w:rPr>
        <w:t>-1</w:t>
      </w:r>
      <w:r w:rsidRPr="005E6AB5">
        <w:rPr>
          <w:rFonts w:ascii="Times New Roman" w:hAnsi="Times New Roman"/>
          <w:lang w:eastAsia="en-AU"/>
        </w:rPr>
        <w:t xml:space="preserve"> Mg) </w:t>
      </w:r>
    </w:p>
    <w:p w:rsidR="00D85FAC" w:rsidRPr="007A723E" w:rsidRDefault="00D85FAC" w:rsidP="00D85FAC">
      <w:pPr>
        <w:pStyle w:val="tablenote"/>
        <w:tabs>
          <w:tab w:val="clear" w:pos="240"/>
          <w:tab w:val="left" w:pos="142"/>
        </w:tabs>
        <w:spacing w:after="60"/>
        <w:ind w:left="142" w:right="3238" w:hanging="142"/>
        <w:rPr>
          <w:rFonts w:ascii="Times New Roman" w:hAnsi="Times New Roman"/>
          <w:lang w:eastAsia="en-AU"/>
        </w:rPr>
      </w:pPr>
      <w:r w:rsidRPr="005E6AB5">
        <w:rPr>
          <w:rFonts w:ascii="Times New Roman" w:hAnsi="Times New Roman"/>
          <w:snapToGrid w:val="0"/>
          <w:color w:val="000000"/>
          <w:position w:val="4"/>
          <w:sz w:val="11"/>
          <w:szCs w:val="0"/>
          <w:u w:color="000000"/>
        </w:rPr>
        <w:t>3</w:t>
      </w:r>
      <w:r w:rsidRPr="005E6AB5">
        <w:rPr>
          <w:rFonts w:ascii="Times New Roman" w:hAnsi="Times New Roman"/>
        </w:rPr>
        <w:t xml:space="preserve"> </w:t>
      </w:r>
      <w:r w:rsidRPr="005E6AB5">
        <w:rPr>
          <w:rFonts w:ascii="Times New Roman" w:hAnsi="Times New Roman"/>
        </w:rPr>
        <w:tab/>
        <w:t>95% Confidence limits</w:t>
      </w:r>
      <w:r w:rsidRPr="005E6AB5">
        <w:rPr>
          <w:rFonts w:ascii="Times New Roman" w:hAnsi="Times New Roman"/>
          <w:lang w:eastAsia="en-AU"/>
        </w:rPr>
        <w:t xml:space="preserve"> </w:t>
      </w:r>
    </w:p>
    <w:p w:rsidR="00D85FAC" w:rsidRDefault="00D85FAC" w:rsidP="00D85FAC">
      <w:pPr>
        <w:pStyle w:val="tablenote"/>
        <w:tabs>
          <w:tab w:val="clear" w:pos="240"/>
          <w:tab w:val="left" w:pos="142"/>
        </w:tabs>
        <w:ind w:left="142" w:right="3237" w:hanging="142"/>
        <w:rPr>
          <w:rFonts w:ascii="Times New Roman" w:hAnsi="Times New Roman"/>
          <w:lang w:eastAsia="en-AU"/>
        </w:rPr>
      </w:pPr>
      <w:r w:rsidRPr="005E6AB5">
        <w:rPr>
          <w:rFonts w:ascii="Times New Roman" w:hAnsi="Times New Roman"/>
          <w:snapToGrid w:val="0"/>
          <w:color w:val="000000"/>
          <w:position w:val="4"/>
          <w:sz w:val="11"/>
          <w:szCs w:val="0"/>
          <w:u w:color="000000"/>
          <w:lang w:eastAsia="en-AU"/>
        </w:rPr>
        <w:t>4</w:t>
      </w:r>
      <w:r w:rsidRPr="005E6AB5">
        <w:rPr>
          <w:rFonts w:ascii="Times New Roman" w:hAnsi="Times New Roman"/>
          <w:lang w:eastAsia="en-AU"/>
        </w:rPr>
        <w:t xml:space="preserve"> </w:t>
      </w:r>
      <w:r w:rsidRPr="005E6AB5">
        <w:rPr>
          <w:rFonts w:ascii="Times New Roman" w:hAnsi="Times New Roman"/>
          <w:lang w:eastAsia="en-AU"/>
        </w:rPr>
        <w:tab/>
        <w:t>NC not calculable</w:t>
      </w:r>
    </w:p>
    <w:p w:rsidR="00D85FAC" w:rsidRDefault="00081B24" w:rsidP="00D85FAC">
      <w:pPr>
        <w:pStyle w:val="landscape"/>
        <w:framePr w:wrap="around"/>
        <w:rPr>
          <w:lang w:eastAsia="en-AU"/>
        </w:rPr>
      </w:pPr>
      <w:r>
        <w:rPr>
          <w:lang w:eastAsia="en-AU"/>
        </w:rPr>
        <w:fldChar w:fldCharType="begin"/>
      </w:r>
      <w:r w:rsidR="00D85FAC">
        <w:rPr>
          <w:lang w:eastAsia="en-AU"/>
        </w:rPr>
        <w:instrText xml:space="preserve"> PAGE   \* MERGEFORMAT </w:instrText>
      </w:r>
      <w:r>
        <w:rPr>
          <w:lang w:eastAsia="en-AU"/>
        </w:rPr>
        <w:fldChar w:fldCharType="separate"/>
      </w:r>
      <w:r w:rsidR="00D85FAC">
        <w:rPr>
          <w:noProof/>
          <w:lang w:eastAsia="en-AU"/>
        </w:rPr>
        <w:t>24</w:t>
      </w:r>
      <w:r>
        <w:rPr>
          <w:lang w:eastAsia="en-AU"/>
        </w:rPr>
        <w:fldChar w:fldCharType="end"/>
      </w:r>
    </w:p>
    <w:p w:rsidR="00D85FAC" w:rsidRDefault="00D85FAC" w:rsidP="00D85FAC">
      <w:pPr>
        <w:rPr>
          <w:lang w:eastAsia="en-AU"/>
        </w:rPr>
      </w:pPr>
    </w:p>
    <w:p w:rsidR="00D85FAC" w:rsidRPr="00F715FA" w:rsidRDefault="00D85FAC" w:rsidP="00D85FAC">
      <w:pPr>
        <w:pStyle w:val="tablenote"/>
        <w:tabs>
          <w:tab w:val="clear" w:pos="240"/>
          <w:tab w:val="left" w:pos="142"/>
        </w:tabs>
        <w:ind w:left="142" w:right="3237" w:hanging="142"/>
        <w:rPr>
          <w:highlight w:val="yellow"/>
        </w:rPr>
        <w:sectPr w:rsidR="00D85FAC" w:rsidRPr="00F715FA" w:rsidSect="00D85FAC">
          <w:headerReference w:type="even" r:id="rId43"/>
          <w:footerReference w:type="even" r:id="rId44"/>
          <w:footerReference w:type="default" r:id="rId45"/>
          <w:footnotePr>
            <w:numRestart w:val="eachSect"/>
          </w:footnotePr>
          <w:pgSz w:w="16840" w:h="11907" w:orient="landscape" w:code="9"/>
          <w:pgMar w:top="1440" w:right="3198" w:bottom="2875" w:left="1797" w:header="720" w:footer="720" w:gutter="0"/>
          <w:cols w:space="360"/>
          <w:noEndnote/>
          <w:docGrid w:linePitch="299"/>
        </w:sectPr>
      </w:pPr>
    </w:p>
    <w:p w:rsidR="00D85FAC" w:rsidRDefault="00D85FAC" w:rsidP="00D85FAC">
      <w:r>
        <w:rPr>
          <w:i/>
        </w:rPr>
        <w:lastRenderedPageBreak/>
        <w:t>M. macleayi</w:t>
      </w:r>
      <w:r>
        <w:t xml:space="preserve"> was more sensitive to Mg when exposed at the onset of reproduction compared with exposure to first instar neonates (ie at test commencement) (Table 1, Figure 2). Regardless of pulse duration, pulses administered around the onset of reproductive maturity resulted in higher toxicity than the same pulse duration applied at the start of the test. This finding differs from a common assumption in ecotoxicology that early life stages of species (ie neonates) are more sensitive than later life stages. However, as noted earlier, sensitivity in crustaceans has been reported to also be dependent on the timing of exposure in relation to the molting cycle. The exact mechanism by which exposures around the onset of reproductive maturity result in more toxic effects is not yet known, but could be related to: (i) a lack of energy resources available for reproduction, due to the increased energy requirements for maintenance (associated with the added stress of coping with Mg exposure); and/or (ii) increased permeability to ions of the exoskeleton immediately after molting.</w:t>
      </w:r>
    </w:p>
    <w:p w:rsidR="00D85FAC" w:rsidRDefault="00D85FAC" w:rsidP="00D85FAC">
      <w:pPr>
        <w:spacing w:after="0"/>
      </w:pPr>
    </w:p>
    <w:tbl>
      <w:tblPr>
        <w:tblW w:w="0" w:type="auto"/>
        <w:tblLayout w:type="fixed"/>
        <w:tblLook w:val="04A0"/>
      </w:tblPr>
      <w:tblGrid>
        <w:gridCol w:w="4178"/>
        <w:gridCol w:w="4180"/>
      </w:tblGrid>
      <w:tr w:rsidR="00D85FAC" w:rsidRPr="007A723E" w:rsidTr="00D85FAC">
        <w:tc>
          <w:tcPr>
            <w:tcW w:w="4178" w:type="dxa"/>
          </w:tcPr>
          <w:p w:rsidR="00D85FAC" w:rsidRPr="007A723E" w:rsidRDefault="00D85FAC" w:rsidP="00D85FAC">
            <w:pPr>
              <w:spacing w:after="0" w:line="240" w:lineRule="auto"/>
              <w:jc w:val="center"/>
              <w:rPr>
                <w:b/>
                <w:noProof/>
                <w:sz w:val="20"/>
                <w:lang w:eastAsia="en-AU"/>
              </w:rPr>
            </w:pPr>
            <w:r w:rsidRPr="005E6AB5">
              <w:rPr>
                <w:rFonts w:eastAsiaTheme="minorHAnsi"/>
                <w:b/>
                <w:noProof/>
                <w:sz w:val="20"/>
                <w:szCs w:val="22"/>
                <w:lang w:eastAsia="en-AU"/>
              </w:rPr>
              <w:t>A.</w:t>
            </w:r>
          </w:p>
        </w:tc>
        <w:tc>
          <w:tcPr>
            <w:tcW w:w="4180" w:type="dxa"/>
          </w:tcPr>
          <w:p w:rsidR="00D85FAC" w:rsidRPr="007A723E" w:rsidRDefault="00D85FAC" w:rsidP="00D85FAC">
            <w:pPr>
              <w:spacing w:after="0" w:line="240" w:lineRule="auto"/>
              <w:jc w:val="center"/>
              <w:rPr>
                <w:b/>
                <w:noProof/>
                <w:sz w:val="20"/>
                <w:lang w:eastAsia="en-AU"/>
              </w:rPr>
            </w:pPr>
            <w:r w:rsidRPr="005E6AB5">
              <w:rPr>
                <w:rFonts w:eastAsiaTheme="minorHAnsi"/>
                <w:b/>
                <w:noProof/>
                <w:sz w:val="20"/>
                <w:szCs w:val="22"/>
                <w:lang w:eastAsia="en-AU"/>
              </w:rPr>
              <w:t>B.</w:t>
            </w:r>
          </w:p>
        </w:tc>
      </w:tr>
      <w:tr w:rsidR="00D85FAC" w:rsidRPr="007A723E" w:rsidTr="00D85FAC">
        <w:trPr>
          <w:trHeight w:val="3061"/>
        </w:trPr>
        <w:tc>
          <w:tcPr>
            <w:tcW w:w="4178" w:type="dxa"/>
          </w:tcPr>
          <w:p w:rsidR="00D85FAC" w:rsidRPr="007A723E" w:rsidRDefault="00D85FAC" w:rsidP="00D85FAC">
            <w:pPr>
              <w:jc w:val="center"/>
            </w:pPr>
            <w:r>
              <w:rPr>
                <w:rFonts w:eastAsiaTheme="minorHAnsi"/>
                <w:noProof/>
                <w:szCs w:val="22"/>
                <w:lang w:eastAsia="en-AU"/>
              </w:rPr>
              <w:drawing>
                <wp:inline distT="0" distB="0" distL="0" distR="0">
                  <wp:extent cx="2577143" cy="183562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screen"/>
                          <a:srcRect t="5408" r="24191" b="51781"/>
                          <a:stretch>
                            <a:fillRect/>
                          </a:stretch>
                        </pic:blipFill>
                        <pic:spPr bwMode="auto">
                          <a:xfrm>
                            <a:off x="0" y="0"/>
                            <a:ext cx="2577742" cy="1836051"/>
                          </a:xfrm>
                          <a:prstGeom prst="rect">
                            <a:avLst/>
                          </a:prstGeom>
                          <a:noFill/>
                          <a:ln w="9525">
                            <a:noFill/>
                            <a:miter lim="800000"/>
                            <a:headEnd/>
                            <a:tailEnd/>
                          </a:ln>
                        </pic:spPr>
                      </pic:pic>
                    </a:graphicData>
                  </a:graphic>
                </wp:inline>
              </w:drawing>
            </w:r>
          </w:p>
        </w:tc>
        <w:tc>
          <w:tcPr>
            <w:tcW w:w="4180" w:type="dxa"/>
          </w:tcPr>
          <w:p w:rsidR="00D85FAC" w:rsidRPr="007A723E" w:rsidRDefault="00D85FAC" w:rsidP="00D85FAC">
            <w:pPr>
              <w:jc w:val="center"/>
            </w:pPr>
            <w:r>
              <w:rPr>
                <w:noProof/>
                <w:lang w:eastAsia="en-AU"/>
              </w:rPr>
              <w:drawing>
                <wp:inline distT="0" distB="0" distL="0" distR="0">
                  <wp:extent cx="2635439" cy="1869743"/>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screen"/>
                          <a:srcRect t="43112" r="23363" b="9243"/>
                          <a:stretch>
                            <a:fillRect/>
                          </a:stretch>
                        </pic:blipFill>
                        <pic:spPr bwMode="auto">
                          <a:xfrm>
                            <a:off x="0" y="0"/>
                            <a:ext cx="2635439" cy="1869743"/>
                          </a:xfrm>
                          <a:prstGeom prst="rect">
                            <a:avLst/>
                          </a:prstGeom>
                          <a:noFill/>
                          <a:ln w="9525">
                            <a:noFill/>
                            <a:miter lim="800000"/>
                            <a:headEnd/>
                            <a:tailEnd/>
                          </a:ln>
                        </pic:spPr>
                      </pic:pic>
                    </a:graphicData>
                  </a:graphic>
                </wp:inline>
              </w:drawing>
            </w:r>
          </w:p>
        </w:tc>
      </w:tr>
      <w:tr w:rsidR="00D85FAC" w:rsidRPr="007A723E" w:rsidTr="00D85FAC">
        <w:tc>
          <w:tcPr>
            <w:tcW w:w="8358" w:type="dxa"/>
            <w:gridSpan w:val="2"/>
          </w:tcPr>
          <w:p w:rsidR="00D85FAC" w:rsidRPr="007A723E" w:rsidRDefault="00D85FAC" w:rsidP="00D85FAC">
            <w:pPr>
              <w:spacing w:after="0" w:line="240" w:lineRule="auto"/>
              <w:jc w:val="center"/>
              <w:rPr>
                <w:b/>
                <w:noProof/>
                <w:sz w:val="20"/>
                <w:lang w:eastAsia="en-AU"/>
              </w:rPr>
            </w:pPr>
            <w:r w:rsidRPr="005E6AB5">
              <w:rPr>
                <w:rFonts w:eastAsiaTheme="minorHAnsi"/>
                <w:b/>
                <w:noProof/>
                <w:sz w:val="20"/>
                <w:szCs w:val="22"/>
                <w:lang w:eastAsia="en-AU"/>
              </w:rPr>
              <w:t>C.</w:t>
            </w:r>
          </w:p>
        </w:tc>
      </w:tr>
      <w:tr w:rsidR="00D85FAC" w:rsidRPr="007A723E" w:rsidTr="00D85FAC">
        <w:tc>
          <w:tcPr>
            <w:tcW w:w="8358" w:type="dxa"/>
            <w:gridSpan w:val="2"/>
          </w:tcPr>
          <w:p w:rsidR="00D85FAC" w:rsidRPr="007A723E" w:rsidRDefault="00D85FAC" w:rsidP="00D85FAC">
            <w:pPr>
              <w:jc w:val="center"/>
            </w:pPr>
            <w:r>
              <w:rPr>
                <w:noProof/>
                <w:lang w:eastAsia="en-AU"/>
              </w:rPr>
              <w:drawing>
                <wp:inline distT="0" distB="0" distL="0" distR="0">
                  <wp:extent cx="2508575" cy="1836000"/>
                  <wp:effectExtent l="19050" t="0" r="60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screen"/>
                          <a:srcRect t="3975" r="23494" b="46765"/>
                          <a:stretch>
                            <a:fillRect/>
                          </a:stretch>
                        </pic:blipFill>
                        <pic:spPr bwMode="auto">
                          <a:xfrm>
                            <a:off x="0" y="0"/>
                            <a:ext cx="2508575" cy="1836000"/>
                          </a:xfrm>
                          <a:prstGeom prst="rect">
                            <a:avLst/>
                          </a:prstGeom>
                          <a:noFill/>
                          <a:ln w="9525">
                            <a:noFill/>
                            <a:miter lim="800000"/>
                            <a:headEnd/>
                            <a:tailEnd/>
                          </a:ln>
                        </pic:spPr>
                      </pic:pic>
                    </a:graphicData>
                  </a:graphic>
                </wp:inline>
              </w:drawing>
            </w:r>
          </w:p>
        </w:tc>
      </w:tr>
    </w:tbl>
    <w:p w:rsidR="00D85FAC" w:rsidRPr="007A723E" w:rsidRDefault="00D85FAC" w:rsidP="00D85FAC">
      <w:pPr>
        <w:pStyle w:val="figurecaption"/>
      </w:pPr>
      <w:r w:rsidRPr="005E6AB5">
        <w:rPr>
          <w:b/>
        </w:rPr>
        <w:t xml:space="preserve">Figure </w:t>
      </w:r>
      <w:proofErr w:type="gramStart"/>
      <w:r w:rsidRPr="005E6AB5">
        <w:rPr>
          <w:b/>
        </w:rPr>
        <w:t xml:space="preserve">2 </w:t>
      </w:r>
      <w:r w:rsidRPr="005E6AB5">
        <w:t xml:space="preserve"> Effect</w:t>
      </w:r>
      <w:proofErr w:type="gramEnd"/>
      <w:r w:rsidRPr="005E6AB5">
        <w:t xml:space="preserve"> of the timing of exposure on the toxicity of magnesium to </w:t>
      </w:r>
      <w:r w:rsidRPr="005E6AB5">
        <w:rPr>
          <w:i/>
          <w:iCs/>
        </w:rPr>
        <w:t>M. macleayi</w:t>
      </w:r>
      <w:r w:rsidRPr="005E6AB5">
        <w:rPr>
          <w:iCs/>
        </w:rPr>
        <w:t xml:space="preserve"> (A – 4-h pulse; B – 8-h pulse; C – 24-h pulse)</w:t>
      </w:r>
      <w:r w:rsidRPr="005E6AB5">
        <w:t>. Data points represent means (</w:t>
      </w:r>
      <w:r w:rsidRPr="005E6AB5">
        <w:rPr>
          <w:i/>
        </w:rPr>
        <w:t>n </w:t>
      </w:r>
      <w:r w:rsidRPr="005E6AB5">
        <w:t xml:space="preserve">= 10) </w:t>
      </w:r>
      <w:r w:rsidRPr="005E6AB5">
        <w:sym w:font="Symbol" w:char="F0B1"/>
      </w:r>
      <w:r w:rsidRPr="005E6AB5">
        <w:t xml:space="preserve"> standard error. Concentration-response curve models (3 parameter sigmoid) for the data can be identified as follows: solid line – Mg exposure at test commencement</w:t>
      </w:r>
      <w:proofErr w:type="gramStart"/>
      <w:r w:rsidRPr="005E6AB5">
        <w:t>;  dashed</w:t>
      </w:r>
      <w:proofErr w:type="gramEnd"/>
      <w:r w:rsidRPr="005E6AB5">
        <w:t xml:space="preserve"> line – exposure bracketing the onset of reproductive maturity. See Table 1 for corresponding toxicity estimates.</w:t>
      </w:r>
    </w:p>
    <w:p w:rsidR="00D85FAC" w:rsidRPr="008B47B4" w:rsidRDefault="00D85FAC" w:rsidP="00D85FAC">
      <w:pPr>
        <w:rPr>
          <w:spacing w:val="-2"/>
        </w:rPr>
      </w:pPr>
      <w:r w:rsidRPr="008B47B4">
        <w:rPr>
          <w:rFonts w:eastAsiaTheme="minorHAnsi"/>
          <w:spacing w:val="-2"/>
          <w:szCs w:val="22"/>
        </w:rPr>
        <w:t>The concentrations of Mg that resulted in toxic effects for these organisms were much greater than the maximum concentration that has been reported in Magela Creek downstream of the mine (16 mg L</w:t>
      </w:r>
      <w:r w:rsidRPr="008B47B4">
        <w:rPr>
          <w:rFonts w:eastAsiaTheme="minorHAnsi"/>
          <w:snapToGrid w:val="0"/>
          <w:color w:val="000000"/>
          <w:spacing w:val="-2"/>
          <w:position w:val="5"/>
          <w:sz w:val="15"/>
          <w:szCs w:val="0"/>
          <w:u w:color="000000"/>
        </w:rPr>
        <w:t xml:space="preserve">-1 </w:t>
      </w:r>
      <w:r w:rsidRPr="008B47B4">
        <w:rPr>
          <w:rFonts w:eastAsiaTheme="minorHAnsi"/>
          <w:snapToGrid w:val="0"/>
          <w:color w:val="000000"/>
          <w:spacing w:val="-2"/>
          <w:szCs w:val="0"/>
          <w:u w:color="000000"/>
        </w:rPr>
        <w:t>Mg</w:t>
      </w:r>
      <w:r w:rsidRPr="008B47B4">
        <w:rPr>
          <w:rFonts w:eastAsiaTheme="minorHAnsi"/>
          <w:spacing w:val="-2"/>
          <w:szCs w:val="22"/>
        </w:rPr>
        <w:t xml:space="preserve">). Even in the most sensitive test, where </w:t>
      </w:r>
      <w:r w:rsidRPr="008B47B4">
        <w:rPr>
          <w:rFonts w:eastAsiaTheme="minorHAnsi"/>
          <w:i/>
          <w:spacing w:val="-2"/>
          <w:szCs w:val="22"/>
        </w:rPr>
        <w:t>M. macleayi</w:t>
      </w:r>
      <w:r w:rsidRPr="008B47B4">
        <w:rPr>
          <w:rFonts w:eastAsiaTheme="minorHAnsi"/>
          <w:spacing w:val="-2"/>
          <w:szCs w:val="22"/>
        </w:rPr>
        <w:t xml:space="preserve"> was exposed at the onset of reproductive maturity, the concentrations of Mg that caused a 10% inhibition of the test endpoint (IC10; generally considered an </w:t>
      </w:r>
      <w:r>
        <w:rPr>
          <w:rFonts w:eastAsiaTheme="minorHAnsi"/>
          <w:spacing w:val="-2"/>
          <w:szCs w:val="22"/>
        </w:rPr>
        <w:t>‘</w:t>
      </w:r>
      <w:r w:rsidRPr="008B47B4">
        <w:rPr>
          <w:rFonts w:eastAsiaTheme="minorHAnsi"/>
          <w:spacing w:val="-2"/>
          <w:szCs w:val="22"/>
        </w:rPr>
        <w:t>acceptable</w:t>
      </w:r>
      <w:r>
        <w:rPr>
          <w:rFonts w:eastAsiaTheme="minorHAnsi"/>
          <w:spacing w:val="-2"/>
          <w:szCs w:val="22"/>
        </w:rPr>
        <w:t>’</w:t>
      </w:r>
      <w:r w:rsidRPr="008B47B4">
        <w:rPr>
          <w:rFonts w:eastAsiaTheme="minorHAnsi"/>
          <w:spacing w:val="-2"/>
          <w:szCs w:val="22"/>
        </w:rPr>
        <w:t xml:space="preserve"> level of effect) ranged from 62–212 mg L</w:t>
      </w:r>
      <w:r w:rsidRPr="008B47B4">
        <w:rPr>
          <w:rFonts w:eastAsiaTheme="minorHAnsi"/>
          <w:snapToGrid w:val="0"/>
          <w:color w:val="000000"/>
          <w:spacing w:val="-2"/>
          <w:position w:val="5"/>
          <w:sz w:val="15"/>
          <w:szCs w:val="0"/>
          <w:u w:color="000000"/>
        </w:rPr>
        <w:t>-1</w:t>
      </w:r>
      <w:r w:rsidRPr="008B47B4">
        <w:rPr>
          <w:rFonts w:eastAsiaTheme="minorHAnsi"/>
          <w:spacing w:val="-2"/>
          <w:szCs w:val="22"/>
        </w:rPr>
        <w:t>, which was 4–13 times higher than the reported maximum Mg concentration.</w:t>
      </w:r>
    </w:p>
    <w:p w:rsidR="00D85FAC" w:rsidRPr="007A723E" w:rsidRDefault="00D85FAC" w:rsidP="00D85FAC">
      <w:pPr>
        <w:pStyle w:val="Heading2"/>
      </w:pPr>
      <w:bookmarkStart w:id="90" w:name="_Toc313523429"/>
      <w:bookmarkStart w:id="91" w:name="_Toc316985272"/>
      <w:r w:rsidRPr="005E6AB5">
        <w:lastRenderedPageBreak/>
        <w:t>Conclusions</w:t>
      </w:r>
      <w:bookmarkEnd w:id="90"/>
      <w:bookmarkEnd w:id="91"/>
    </w:p>
    <w:p w:rsidR="00D85FAC" w:rsidRPr="007A723E" w:rsidRDefault="00D85FAC" w:rsidP="00D85FAC">
      <w:r w:rsidRPr="005E6AB5">
        <w:rPr>
          <w:rFonts w:eastAsiaTheme="minorHAnsi"/>
          <w:szCs w:val="22"/>
        </w:rPr>
        <w:t>Results show that pulse exposures of Mg of ≤24 h are generally substantially less toxic than continuous exposures over 3 to 6 days. However, the degree to which this is the case depends on the species and, for at least one species (</w:t>
      </w:r>
      <w:r>
        <w:rPr>
          <w:rFonts w:eastAsiaTheme="minorHAnsi"/>
          <w:szCs w:val="22"/>
        </w:rPr>
        <w:t>ie</w:t>
      </w:r>
      <w:r w:rsidRPr="005E6AB5">
        <w:rPr>
          <w:rFonts w:eastAsiaTheme="minorHAnsi"/>
          <w:szCs w:val="22"/>
        </w:rPr>
        <w:t xml:space="preserve"> </w:t>
      </w:r>
      <w:r w:rsidRPr="005E6AB5">
        <w:rPr>
          <w:rFonts w:eastAsiaTheme="minorHAnsi"/>
          <w:i/>
          <w:szCs w:val="22"/>
        </w:rPr>
        <w:t>M. macleayi</w:t>
      </w:r>
      <w:r w:rsidRPr="005E6AB5">
        <w:rPr>
          <w:rFonts w:eastAsiaTheme="minorHAnsi"/>
          <w:szCs w:val="22"/>
        </w:rPr>
        <w:t xml:space="preserve">), the life stage that is exposed. The Mg concentrations at which (sub-lethal) toxic effects have been observed are well in excess of those measured during pulse events in Magela Creek. However, ultimately, Mg concentrations in Magela Creek will need to be compared to pulse exposure trigger values derived from data for all the tested species, rather than toxicity values for </w:t>
      </w:r>
      <w:smartTag w:uri="urn:schemas-microsoft-com:office:smarttags" w:element="State">
        <w:smartTag w:uri="urn:schemas-microsoft-com:office:smarttags" w:element="place">
          <w:r w:rsidRPr="005E6AB5">
            <w:rPr>
              <w:rFonts w:eastAsiaTheme="minorHAnsi"/>
              <w:szCs w:val="22"/>
            </w:rPr>
            <w:t>ind</w:t>
          </w:r>
        </w:smartTag>
      </w:smartTag>
      <w:r w:rsidRPr="005E6AB5">
        <w:rPr>
          <w:rFonts w:eastAsiaTheme="minorHAnsi"/>
          <w:szCs w:val="22"/>
        </w:rPr>
        <w:t>ividual species.</w:t>
      </w:r>
    </w:p>
    <w:p w:rsidR="00D85FAC" w:rsidRPr="007A723E" w:rsidRDefault="00D85FAC" w:rsidP="00D85FAC">
      <w:pPr>
        <w:pStyle w:val="Heading2"/>
      </w:pPr>
      <w:bookmarkStart w:id="92" w:name="_Toc313523430"/>
      <w:bookmarkStart w:id="93" w:name="_Toc316985273"/>
      <w:r w:rsidRPr="005E6AB5">
        <w:t>Steps for completion</w:t>
      </w:r>
      <w:bookmarkEnd w:id="92"/>
      <w:bookmarkEnd w:id="93"/>
    </w:p>
    <w:p w:rsidR="00D85FAC" w:rsidRPr="007A723E" w:rsidRDefault="00D85FAC" w:rsidP="00D85FAC">
      <w:r w:rsidRPr="005E6AB5">
        <w:rPr>
          <w:rFonts w:eastAsiaTheme="minorHAnsi"/>
        </w:rPr>
        <w:t xml:space="preserve">Reliable toxicity estimates could not be obtained for </w:t>
      </w:r>
      <w:r w:rsidRPr="005E6AB5">
        <w:rPr>
          <w:rFonts w:eastAsiaTheme="minorHAnsi"/>
          <w:i/>
        </w:rPr>
        <w:t>L. aequinoctialis</w:t>
      </w:r>
      <w:r w:rsidRPr="005E6AB5">
        <w:rPr>
          <w:rFonts w:eastAsiaTheme="minorHAnsi"/>
        </w:rPr>
        <w:t xml:space="preserve"> (4-h pulse), </w:t>
      </w:r>
      <w:r w:rsidRPr="005E6AB5">
        <w:rPr>
          <w:rFonts w:eastAsiaTheme="minorHAnsi"/>
          <w:i/>
        </w:rPr>
        <w:t>M.</w:t>
      </w:r>
      <w:r>
        <w:rPr>
          <w:rFonts w:eastAsiaTheme="minorHAnsi"/>
          <w:i/>
        </w:rPr>
        <w:t> </w:t>
      </w:r>
      <w:r w:rsidRPr="005E6AB5">
        <w:rPr>
          <w:rFonts w:eastAsiaTheme="minorHAnsi"/>
          <w:i/>
        </w:rPr>
        <w:t>mogurnda</w:t>
      </w:r>
      <w:r w:rsidRPr="005E6AB5">
        <w:rPr>
          <w:rFonts w:eastAsiaTheme="minorHAnsi"/>
        </w:rPr>
        <w:t xml:space="preserve"> (4-h, 8-h, 24-h pulses) and </w:t>
      </w:r>
      <w:r w:rsidRPr="005E6AB5">
        <w:rPr>
          <w:rFonts w:eastAsiaTheme="minorHAnsi"/>
          <w:i/>
        </w:rPr>
        <w:t>Chlorella</w:t>
      </w:r>
      <w:r w:rsidRPr="005E6AB5">
        <w:rPr>
          <w:rFonts w:eastAsiaTheme="minorHAnsi"/>
        </w:rPr>
        <w:t xml:space="preserve"> sp (4-h, 8-h, 24-h pulses) up to the maximum Mg concentration tested (</w:t>
      </w:r>
      <w:r w:rsidRPr="005E6AB5">
        <w:rPr>
          <w:rFonts w:eastAsiaTheme="minorHAnsi"/>
          <w:lang w:eastAsia="en-AU"/>
        </w:rPr>
        <w:t>~4.2 g L</w:t>
      </w:r>
      <w:r w:rsidRPr="005E6AB5">
        <w:rPr>
          <w:rFonts w:eastAsiaTheme="minorHAnsi"/>
          <w:snapToGrid w:val="0"/>
          <w:color w:val="000000"/>
          <w:position w:val="5"/>
          <w:sz w:val="15"/>
          <w:szCs w:val="0"/>
          <w:u w:color="000000"/>
          <w:lang w:eastAsia="en-AU"/>
        </w:rPr>
        <w:t>-1</w:t>
      </w:r>
      <w:r w:rsidRPr="005E6AB5">
        <w:rPr>
          <w:rFonts w:eastAsiaTheme="minorHAnsi"/>
          <w:snapToGrid w:val="0"/>
          <w:color w:val="000000"/>
          <w:position w:val="4"/>
          <w:sz w:val="11"/>
          <w:szCs w:val="0"/>
          <w:u w:color="000000"/>
          <w:lang w:eastAsia="en-AU"/>
        </w:rPr>
        <w:t xml:space="preserve"> </w:t>
      </w:r>
      <w:r w:rsidRPr="005E6AB5">
        <w:rPr>
          <w:rFonts w:eastAsiaTheme="minorHAnsi"/>
        </w:rPr>
        <w:t>Mg), due to the need to maintain the Mg</w:t>
      </w:r>
      <w:proofErr w:type="gramStart"/>
      <w:r w:rsidRPr="005E6AB5">
        <w:rPr>
          <w:rFonts w:eastAsiaTheme="minorHAnsi"/>
        </w:rPr>
        <w:t>:Ca</w:t>
      </w:r>
      <w:proofErr w:type="gramEnd"/>
      <w:r w:rsidRPr="005E6AB5">
        <w:rPr>
          <w:rFonts w:eastAsiaTheme="minorHAnsi"/>
        </w:rPr>
        <w:t xml:space="preserve"> ratio at 9:1 and the solubility limit of CaSO</w:t>
      </w:r>
      <w:r w:rsidRPr="005E6AB5">
        <w:rPr>
          <w:rFonts w:eastAsiaTheme="minorHAnsi"/>
          <w:snapToGrid w:val="0"/>
          <w:color w:val="000000"/>
          <w:position w:val="-5"/>
          <w:sz w:val="15"/>
          <w:szCs w:val="0"/>
          <w:u w:color="000000"/>
        </w:rPr>
        <w:t>4</w:t>
      </w:r>
      <w:r w:rsidRPr="005E6AB5">
        <w:rPr>
          <w:rFonts w:eastAsiaTheme="minorHAnsi"/>
        </w:rPr>
        <w:t xml:space="preserve"> </w:t>
      </w:r>
      <w:r>
        <w:t>(</w:t>
      </w:r>
      <w:r w:rsidRPr="005E6AB5">
        <w:rPr>
          <w:rFonts w:eastAsiaTheme="minorHAnsi"/>
        </w:rPr>
        <w:t>~0.42 g L</w:t>
      </w:r>
      <w:r w:rsidRPr="005E6AB5">
        <w:rPr>
          <w:rFonts w:eastAsiaTheme="minorHAnsi"/>
          <w:snapToGrid w:val="0"/>
          <w:color w:val="000000"/>
          <w:position w:val="5"/>
          <w:sz w:val="15"/>
          <w:szCs w:val="0"/>
          <w:u w:color="000000"/>
        </w:rPr>
        <w:t>-1</w:t>
      </w:r>
      <w:r w:rsidRPr="005E6AB5">
        <w:rPr>
          <w:rFonts w:eastAsiaTheme="minorHAnsi"/>
        </w:rPr>
        <w:t>). In order to improve the toxicity estimates for these organisms, tests will need to be conducted using MgCl</w:t>
      </w:r>
      <w:r w:rsidRPr="005E6AB5">
        <w:rPr>
          <w:rFonts w:eastAsiaTheme="minorHAnsi"/>
          <w:snapToGrid w:val="0"/>
          <w:color w:val="000000"/>
          <w:position w:val="-5"/>
          <w:sz w:val="15"/>
          <w:szCs w:val="0"/>
          <w:u w:color="000000"/>
        </w:rPr>
        <w:t>2</w:t>
      </w:r>
      <w:r w:rsidRPr="005E6AB5">
        <w:rPr>
          <w:rFonts w:eastAsiaTheme="minorHAnsi"/>
        </w:rPr>
        <w:t xml:space="preserve"> and CaCl</w:t>
      </w:r>
      <w:r w:rsidRPr="005E6AB5">
        <w:rPr>
          <w:rFonts w:eastAsiaTheme="minorHAnsi"/>
          <w:snapToGrid w:val="0"/>
          <w:color w:val="000000"/>
          <w:position w:val="-5"/>
          <w:sz w:val="15"/>
          <w:szCs w:val="0"/>
          <w:u w:color="000000"/>
        </w:rPr>
        <w:t>2</w:t>
      </w:r>
      <w:r w:rsidRPr="005E6AB5">
        <w:rPr>
          <w:rFonts w:eastAsiaTheme="minorHAnsi"/>
        </w:rPr>
        <w:t>, the latter of which has a higher solubility than CaSO</w:t>
      </w:r>
      <w:r w:rsidRPr="005E6AB5">
        <w:rPr>
          <w:rFonts w:eastAsiaTheme="minorHAnsi"/>
          <w:snapToGrid w:val="0"/>
          <w:color w:val="000000"/>
          <w:position w:val="-5"/>
          <w:sz w:val="15"/>
          <w:szCs w:val="0"/>
          <w:u w:color="000000"/>
        </w:rPr>
        <w:t>4</w:t>
      </w:r>
      <w:r w:rsidRPr="005E6AB5">
        <w:rPr>
          <w:rFonts w:eastAsiaTheme="minorHAnsi"/>
        </w:rPr>
        <w:t xml:space="preserve">, thus, enabling a higher Mg concentration to be tested. </w:t>
      </w:r>
      <w:proofErr w:type="gramStart"/>
      <w:r w:rsidRPr="005E6AB5">
        <w:rPr>
          <w:rFonts w:eastAsiaTheme="minorHAnsi"/>
        </w:rPr>
        <w:t>van</w:t>
      </w:r>
      <w:proofErr w:type="gramEnd"/>
      <w:r w:rsidRPr="005E6AB5">
        <w:rPr>
          <w:rFonts w:eastAsiaTheme="minorHAnsi"/>
        </w:rPr>
        <w:t xml:space="preserve"> Dam </w:t>
      </w:r>
      <w:r>
        <w:rPr>
          <w:rFonts w:eastAsiaTheme="minorHAnsi"/>
        </w:rPr>
        <w:t>et al</w:t>
      </w:r>
      <w:r w:rsidRPr="005E6AB5">
        <w:rPr>
          <w:rFonts w:eastAsiaTheme="minorHAnsi"/>
        </w:rPr>
        <w:t xml:space="preserve"> (2010) showed that the toxicity of Mg was similar when added as the SO</w:t>
      </w:r>
      <w:r w:rsidRPr="005E6AB5">
        <w:rPr>
          <w:rFonts w:eastAsiaTheme="minorHAnsi"/>
          <w:vertAlign w:val="subscript"/>
        </w:rPr>
        <w:t>4</w:t>
      </w:r>
      <w:r w:rsidRPr="005E6AB5">
        <w:rPr>
          <w:rFonts w:eastAsiaTheme="minorHAnsi"/>
        </w:rPr>
        <w:t xml:space="preserve"> or Cl salt. Hence, the change in Mg salt should not confound the test data. Once these data have been obtained, a quantitative relationship will be derived between Mg water quality trigger values and exposure duration, to be applied to the monitoring and assessment framework for the Ranger mine. This will enable the environmental significance of any periodic excursions of Mg in Magela Creek to be quickly determined. </w:t>
      </w:r>
    </w:p>
    <w:p w:rsidR="00D85FAC" w:rsidRPr="007A723E" w:rsidRDefault="00D85FAC" w:rsidP="00D85FAC">
      <w:pPr>
        <w:pStyle w:val="Heading2"/>
      </w:pPr>
      <w:bookmarkStart w:id="94" w:name="_Toc313523431"/>
      <w:bookmarkStart w:id="95" w:name="_Toc316985274"/>
      <w:r w:rsidRPr="005E6AB5">
        <w:t>References</w:t>
      </w:r>
      <w:bookmarkEnd w:id="94"/>
      <w:bookmarkEnd w:id="95"/>
    </w:p>
    <w:p w:rsidR="00D85FAC" w:rsidRPr="007A723E" w:rsidRDefault="00D85FAC" w:rsidP="00D85FAC">
      <w:pPr>
        <w:pStyle w:val="referencelist1"/>
        <w:rPr>
          <w:lang w:eastAsia="en-AU"/>
        </w:rPr>
      </w:pPr>
      <w:proofErr w:type="gramStart"/>
      <w:r w:rsidRPr="007A723E">
        <w:rPr>
          <w:lang w:eastAsia="en-AU"/>
        </w:rPr>
        <w:t>Lee DR &amp; Buikema AL 1979.</w:t>
      </w:r>
      <w:proofErr w:type="gramEnd"/>
      <w:r w:rsidRPr="007A723E">
        <w:rPr>
          <w:lang w:eastAsia="en-AU"/>
        </w:rPr>
        <w:t xml:space="preserve"> </w:t>
      </w:r>
      <w:proofErr w:type="gramStart"/>
      <w:r w:rsidRPr="007A723E">
        <w:rPr>
          <w:lang w:eastAsia="en-AU"/>
        </w:rPr>
        <w:t xml:space="preserve">Molt-related sensitivity of </w:t>
      </w:r>
      <w:r w:rsidRPr="007A723E">
        <w:rPr>
          <w:i/>
          <w:iCs/>
          <w:lang w:eastAsia="en-AU"/>
        </w:rPr>
        <w:t>Daphnia pulex</w:t>
      </w:r>
      <w:r w:rsidRPr="007A723E">
        <w:rPr>
          <w:lang w:eastAsia="en-AU"/>
        </w:rPr>
        <w:t xml:space="preserve"> in toxicity testing.</w:t>
      </w:r>
      <w:proofErr w:type="gramEnd"/>
      <w:r w:rsidRPr="007A723E">
        <w:rPr>
          <w:lang w:eastAsia="en-AU"/>
        </w:rPr>
        <w:t xml:space="preserve"> </w:t>
      </w:r>
      <w:r w:rsidRPr="007A723E">
        <w:rPr>
          <w:i/>
          <w:lang w:eastAsia="en-AU"/>
        </w:rPr>
        <w:t>Journal of Fisheries Research Board of Canada</w:t>
      </w:r>
      <w:r w:rsidRPr="007A723E">
        <w:rPr>
          <w:lang w:eastAsia="en-AU"/>
        </w:rPr>
        <w:t xml:space="preserve"> 36, 1129</w:t>
      </w:r>
      <w:r>
        <w:rPr>
          <w:lang w:eastAsia="en-AU"/>
        </w:rPr>
        <w:t>–</w:t>
      </w:r>
      <w:r w:rsidRPr="007A723E">
        <w:rPr>
          <w:lang w:eastAsia="en-AU"/>
        </w:rPr>
        <w:t>1133.</w:t>
      </w:r>
    </w:p>
    <w:p w:rsidR="00D85FAC" w:rsidRPr="007A723E" w:rsidRDefault="00D85FAC" w:rsidP="00D85FAC">
      <w:pPr>
        <w:pStyle w:val="referencelist1"/>
        <w:rPr>
          <w:lang w:eastAsia="en-AU"/>
        </w:rPr>
      </w:pPr>
      <w:proofErr w:type="gramStart"/>
      <w:r w:rsidRPr="007A723E">
        <w:rPr>
          <w:lang w:eastAsia="en-AU"/>
        </w:rPr>
        <w:t>McCahon CP &amp; Pascoe D. 1988.</w:t>
      </w:r>
      <w:proofErr w:type="gramEnd"/>
      <w:r w:rsidRPr="007A723E">
        <w:rPr>
          <w:lang w:eastAsia="en-AU"/>
        </w:rPr>
        <w:t xml:space="preserve"> </w:t>
      </w:r>
      <w:proofErr w:type="gramStart"/>
      <w:r w:rsidRPr="007A723E">
        <w:rPr>
          <w:lang w:eastAsia="en-AU"/>
        </w:rPr>
        <w:t xml:space="preserve">Cadmium toxicity to the freshwater amphipod </w:t>
      </w:r>
      <w:r w:rsidRPr="007A723E">
        <w:rPr>
          <w:i/>
          <w:lang w:eastAsia="en-AU"/>
        </w:rPr>
        <w:t>Gammarus pulex</w:t>
      </w:r>
      <w:r w:rsidRPr="005E6AB5">
        <w:rPr>
          <w:lang w:eastAsia="en-AU"/>
        </w:rPr>
        <w:t xml:space="preserve"> (L.) during the moult cycle.</w:t>
      </w:r>
      <w:proofErr w:type="gramEnd"/>
      <w:r w:rsidRPr="005E6AB5">
        <w:rPr>
          <w:lang w:eastAsia="en-AU"/>
        </w:rPr>
        <w:t xml:space="preserve"> </w:t>
      </w:r>
      <w:r w:rsidRPr="005E6AB5">
        <w:rPr>
          <w:i/>
          <w:lang w:eastAsia="en-AU"/>
        </w:rPr>
        <w:t>Freshwater Biology</w:t>
      </w:r>
      <w:r w:rsidRPr="005E6AB5">
        <w:rPr>
          <w:lang w:eastAsia="en-AU"/>
        </w:rPr>
        <w:t xml:space="preserve"> 19, 197</w:t>
      </w:r>
      <w:r>
        <w:rPr>
          <w:lang w:eastAsia="en-AU"/>
        </w:rPr>
        <w:t>–</w:t>
      </w:r>
      <w:r w:rsidRPr="005E6AB5">
        <w:rPr>
          <w:lang w:eastAsia="en-AU"/>
        </w:rPr>
        <w:t>203.</w:t>
      </w:r>
    </w:p>
    <w:p w:rsidR="00D85FAC" w:rsidRPr="007A723E" w:rsidRDefault="00D85FAC" w:rsidP="00D85FAC">
      <w:pPr>
        <w:pStyle w:val="referencelist1"/>
        <w:rPr>
          <w:lang w:eastAsia="en-AU"/>
        </w:rPr>
      </w:pPr>
      <w:proofErr w:type="gramStart"/>
      <w:r w:rsidRPr="005E6AB5">
        <w:rPr>
          <w:lang w:eastAsia="en-AU"/>
        </w:rPr>
        <w:t>van</w:t>
      </w:r>
      <w:proofErr w:type="gramEnd"/>
      <w:r w:rsidRPr="005E6AB5">
        <w:rPr>
          <w:lang w:eastAsia="en-AU"/>
        </w:rPr>
        <w:t xml:space="preserve"> Dam RA, Hogan AC, McCullough CD, Houston MA, Humphrey CL &amp; Harford AJ 2010. </w:t>
      </w:r>
      <w:proofErr w:type="gramStart"/>
      <w:r w:rsidRPr="005E6AB5">
        <w:rPr>
          <w:lang w:eastAsia="en-AU"/>
        </w:rPr>
        <w:t>Aquatic toxicity of magnesium sulphate, and the influence of calcium, in very low ionic concentration water.</w:t>
      </w:r>
      <w:proofErr w:type="gramEnd"/>
      <w:r w:rsidRPr="005E6AB5">
        <w:rPr>
          <w:lang w:eastAsia="en-AU"/>
        </w:rPr>
        <w:t xml:space="preserve"> </w:t>
      </w:r>
      <w:r w:rsidRPr="005E6AB5">
        <w:rPr>
          <w:i/>
          <w:lang w:eastAsia="en-AU"/>
        </w:rPr>
        <w:t>Environmental Toxicology and Chemistry</w:t>
      </w:r>
      <w:r w:rsidRPr="005E6AB5">
        <w:rPr>
          <w:lang w:eastAsia="en-AU"/>
        </w:rPr>
        <w:t xml:space="preserve"> 29 (2), 410</w:t>
      </w:r>
      <w:r>
        <w:rPr>
          <w:lang w:eastAsia="en-AU"/>
        </w:rPr>
        <w:t>–</w:t>
      </w:r>
      <w:r w:rsidRPr="005E6AB5">
        <w:rPr>
          <w:lang w:eastAsia="en-AU"/>
        </w:rPr>
        <w:t>421.</w:t>
      </w:r>
    </w:p>
    <w:p w:rsidR="00D85FAC" w:rsidRDefault="00D85FAC" w:rsidP="00D85FAC">
      <w:pPr>
        <w:pStyle w:val="referencelist1"/>
        <w:rPr>
          <w:lang w:eastAsia="en-AU"/>
        </w:rPr>
      </w:pPr>
      <w:proofErr w:type="gramStart"/>
      <w:r w:rsidRPr="005E6AB5">
        <w:rPr>
          <w:lang w:eastAsia="en-AU"/>
        </w:rPr>
        <w:t>Wright DA &amp; Frain JW 1981.</w:t>
      </w:r>
      <w:proofErr w:type="gramEnd"/>
      <w:r w:rsidRPr="005E6AB5">
        <w:rPr>
          <w:lang w:eastAsia="en-AU"/>
        </w:rPr>
        <w:t xml:space="preserve"> </w:t>
      </w:r>
      <w:proofErr w:type="gramStart"/>
      <w:r w:rsidRPr="005E6AB5">
        <w:rPr>
          <w:lang w:eastAsia="en-AU"/>
        </w:rPr>
        <w:t xml:space="preserve">The effect of calcium on cadmium toxicity in the freshwater amphipod, </w:t>
      </w:r>
      <w:r w:rsidRPr="005E6AB5">
        <w:rPr>
          <w:i/>
          <w:lang w:eastAsia="en-AU"/>
        </w:rPr>
        <w:t>Gammarus pulex</w:t>
      </w:r>
      <w:r w:rsidRPr="005E6AB5">
        <w:rPr>
          <w:lang w:eastAsia="en-AU"/>
        </w:rPr>
        <w:t xml:space="preserve"> (L.).</w:t>
      </w:r>
      <w:proofErr w:type="gramEnd"/>
      <w:r w:rsidRPr="005E6AB5">
        <w:rPr>
          <w:lang w:eastAsia="en-AU"/>
        </w:rPr>
        <w:t xml:space="preserve"> </w:t>
      </w:r>
      <w:r w:rsidRPr="005E6AB5">
        <w:rPr>
          <w:i/>
          <w:lang w:eastAsia="en-AU"/>
        </w:rPr>
        <w:t>Archives of Environmental Contamination and Toxicology</w:t>
      </w:r>
      <w:r w:rsidRPr="005E6AB5">
        <w:rPr>
          <w:lang w:eastAsia="en-AU"/>
        </w:rPr>
        <w:t xml:space="preserve"> 10, 321</w:t>
      </w:r>
      <w:r>
        <w:rPr>
          <w:lang w:eastAsia="en-AU"/>
        </w:rPr>
        <w:t>–</w:t>
      </w:r>
      <w:r w:rsidRPr="005E6AB5">
        <w:rPr>
          <w:lang w:eastAsia="en-AU"/>
        </w:rPr>
        <w:t>328.</w:t>
      </w:r>
    </w:p>
    <w:p w:rsidR="00D85FAC" w:rsidRPr="007A723E" w:rsidRDefault="00D85FAC" w:rsidP="00D85FAC">
      <w:pPr>
        <w:pStyle w:val="referencelist1"/>
      </w:pPr>
    </w:p>
    <w:p w:rsidR="00D85FAC" w:rsidRDefault="00D85FAC" w:rsidP="00D85FAC">
      <w:pPr>
        <w:pStyle w:val="Heading4"/>
        <w:sectPr w:rsidR="00D85FAC" w:rsidSect="00D85FAC">
          <w:headerReference w:type="even" r:id="rId49"/>
          <w:footerReference w:type="even" r:id="rId50"/>
          <w:footerReference w:type="default" r:id="rId51"/>
          <w:footnotePr>
            <w:numRestart w:val="eachSect"/>
          </w:footnotePr>
          <w:pgSz w:w="11906" w:h="16838" w:code="9"/>
          <w:pgMar w:top="1440" w:right="1797" w:bottom="1440" w:left="1797" w:header="851" w:footer="833" w:gutter="0"/>
          <w:cols w:space="360"/>
          <w:noEndnote/>
        </w:sectPr>
      </w:pPr>
      <w:bookmarkStart w:id="96" w:name="_Toc282084546"/>
      <w:bookmarkStart w:id="97" w:name="_Toc282085512"/>
      <w:bookmarkStart w:id="98" w:name="_Toc309215790"/>
    </w:p>
    <w:p w:rsidR="00D85FAC" w:rsidRDefault="00D85FAC" w:rsidP="00D85FAC">
      <w:pPr>
        <w:pStyle w:val="Heading1"/>
      </w:pPr>
      <w:bookmarkStart w:id="99" w:name="_Toc319670711"/>
      <w:r>
        <w:lastRenderedPageBreak/>
        <w:t>Development of a reference toxicity testing program for routine toxicity test species</w:t>
      </w:r>
      <w:bookmarkEnd w:id="96"/>
      <w:bookmarkEnd w:id="97"/>
      <w:bookmarkEnd w:id="98"/>
      <w:bookmarkEnd w:id="99"/>
    </w:p>
    <w:p w:rsidR="00D85FAC" w:rsidRPr="008E44C5" w:rsidRDefault="00D85FAC" w:rsidP="00D85FAC">
      <w:pPr>
        <w:pStyle w:val="authors"/>
        <w:spacing w:after="800"/>
      </w:pPr>
      <w:bookmarkStart w:id="100" w:name="_Toc316987214"/>
      <w:bookmarkStart w:id="101" w:name="_Toc319670712"/>
      <w:r>
        <w:t>KL Cheng, AJ Harford &amp; RA van Dam</w:t>
      </w:r>
      <w:bookmarkEnd w:id="100"/>
      <w:bookmarkEnd w:id="101"/>
    </w:p>
    <w:p w:rsidR="00D85FAC" w:rsidRDefault="00D85FAC" w:rsidP="00D85FAC">
      <w:pPr>
        <w:pStyle w:val="Heading2"/>
      </w:pPr>
      <w:bookmarkStart w:id="102" w:name="_Toc282084548"/>
      <w:bookmarkStart w:id="103" w:name="_Toc313523433"/>
      <w:bookmarkStart w:id="104" w:name="_Toc316985276"/>
      <w:r>
        <w:t>Background</w:t>
      </w:r>
      <w:bookmarkEnd w:id="102"/>
      <w:bookmarkEnd w:id="103"/>
      <w:bookmarkEnd w:id="104"/>
    </w:p>
    <w:p w:rsidR="00D85FAC" w:rsidRDefault="00D85FAC" w:rsidP="00D85FAC">
      <w:r>
        <w:t xml:space="preserve">Over the past six years, in response to recommendations by van Dam (2004) and Dr Jenny Stauber at ARRTC’s 14th meeting (September 2004), the </w:t>
      </w:r>
      <w:r>
        <w:rPr>
          <w:b/>
          <w:i/>
          <w:sz w:val="26"/>
        </w:rPr>
        <w:t>eriss</w:t>
      </w:r>
      <w:r>
        <w:t xml:space="preserve"> ecotoxicology laboratory has been progressively implementing a program of reference toxicant testing, using uranium, for its routine suite of test species. The methods were developed in accordance with formal guidance on reference toxicant testing (Environment Canada 1990). Since 2004–05, reference toxicant control charts have been developed for four of the five routine testing species. This summary captures the reference toxicity testing progress for two years, 2009–10 and 2010–11. The aims for this period were to:</w:t>
      </w:r>
    </w:p>
    <w:p w:rsidR="00D85FAC" w:rsidRDefault="00D85FAC" w:rsidP="00D85FAC">
      <w:pPr>
        <w:pStyle w:val="numberlist1"/>
        <w:numPr>
          <w:ilvl w:val="0"/>
          <w:numId w:val="3"/>
        </w:numPr>
      </w:pPr>
      <w:r>
        <w:t xml:space="preserve">continue with the established reference toxicity testing programs for </w:t>
      </w:r>
      <w:r>
        <w:rPr>
          <w:i/>
          <w:iCs/>
        </w:rPr>
        <w:t>Moinodaphnia macleayi</w:t>
      </w:r>
      <w:r>
        <w:t xml:space="preserve">, </w:t>
      </w:r>
      <w:r>
        <w:rPr>
          <w:i/>
          <w:iCs/>
        </w:rPr>
        <w:t>Chlorella</w:t>
      </w:r>
      <w:r>
        <w:t xml:space="preserve"> sp, </w:t>
      </w:r>
      <w:r>
        <w:rPr>
          <w:i/>
          <w:iCs/>
        </w:rPr>
        <w:t>Hydra viridissima</w:t>
      </w:r>
      <w:r>
        <w:t xml:space="preserve"> and </w:t>
      </w:r>
      <w:r>
        <w:rPr>
          <w:i/>
        </w:rPr>
        <w:t>Mogurnda mogurnda</w:t>
      </w:r>
      <w:r>
        <w:t>; and</w:t>
      </w:r>
    </w:p>
    <w:p w:rsidR="00D85FAC" w:rsidRDefault="00D85FAC" w:rsidP="00D85FAC">
      <w:pPr>
        <w:pStyle w:val="numberlist1"/>
        <w:numPr>
          <w:ilvl w:val="0"/>
          <w:numId w:val="3"/>
        </w:numPr>
      </w:pPr>
      <w:proofErr w:type="gramStart"/>
      <w:r>
        <w:t>continue</w:t>
      </w:r>
      <w:proofErr w:type="gramEnd"/>
      <w:r>
        <w:t xml:space="preserve"> to investigate identified difficulties with the </w:t>
      </w:r>
      <w:r>
        <w:rPr>
          <w:i/>
        </w:rPr>
        <w:t>Lemna aequinoctialis</w:t>
      </w:r>
      <w:r>
        <w:t xml:space="preserve"> (duckweed) reference toxicity test, with the objective of establishing an acceptable and consistent control growth and a consistent concentration-response relationship.</w:t>
      </w:r>
    </w:p>
    <w:p w:rsidR="00D85FAC" w:rsidRDefault="00D85FAC" w:rsidP="00D85FAC">
      <w:pPr>
        <w:pStyle w:val="Heading2"/>
      </w:pPr>
      <w:bookmarkStart w:id="105" w:name="_Toc282084549"/>
      <w:bookmarkStart w:id="106" w:name="_Toc313523434"/>
      <w:bookmarkStart w:id="107" w:name="_Toc316985277"/>
      <w:r>
        <w:t>Methods</w:t>
      </w:r>
      <w:bookmarkEnd w:id="105"/>
      <w:bookmarkEnd w:id="106"/>
      <w:bookmarkEnd w:id="107"/>
    </w:p>
    <w:p w:rsidR="00D85FAC" w:rsidRDefault="00D85FAC" w:rsidP="00D85FAC">
      <w:r w:rsidRPr="00724253">
        <w:t xml:space="preserve">Descriptions of the testing procedures are provided in Riethmuller </w:t>
      </w:r>
      <w:r>
        <w:t>et al</w:t>
      </w:r>
      <w:r w:rsidRPr="00724253">
        <w:t xml:space="preserve"> </w:t>
      </w:r>
      <w:r>
        <w:t>(</w:t>
      </w:r>
      <w:r w:rsidRPr="00724253">
        <w:t>2003).</w:t>
      </w:r>
    </w:p>
    <w:p w:rsidR="00D85FAC" w:rsidRDefault="00D85FAC" w:rsidP="00D85FAC">
      <w:pPr>
        <w:pStyle w:val="Heading2"/>
      </w:pPr>
      <w:bookmarkStart w:id="108" w:name="_Toc282084550"/>
      <w:bookmarkStart w:id="109" w:name="_Toc313523435"/>
      <w:bookmarkStart w:id="110" w:name="_Toc316985278"/>
      <w:r>
        <w:t>Progress</w:t>
      </w:r>
      <w:bookmarkEnd w:id="108"/>
      <w:bookmarkEnd w:id="109"/>
      <w:bookmarkEnd w:id="110"/>
    </w:p>
    <w:p w:rsidR="00D85FAC" w:rsidRDefault="00D85FAC" w:rsidP="00D85FAC">
      <w:r w:rsidRPr="00724253">
        <w:t xml:space="preserve">In total, </w:t>
      </w:r>
      <w:r>
        <w:t>33</w:t>
      </w:r>
      <w:r w:rsidRPr="00724253">
        <w:t xml:space="preserve"> reference toxicants tests (</w:t>
      </w:r>
      <w:r w:rsidRPr="00724253">
        <w:rPr>
          <w:i/>
        </w:rPr>
        <w:t>Chlorella</w:t>
      </w:r>
      <w:r w:rsidRPr="00724253">
        <w:t xml:space="preserve"> – </w:t>
      </w:r>
      <w:r>
        <w:t>7</w:t>
      </w:r>
      <w:r w:rsidRPr="00724253">
        <w:t xml:space="preserve">; </w:t>
      </w:r>
      <w:r w:rsidRPr="00724253">
        <w:rPr>
          <w:i/>
        </w:rPr>
        <w:t>Hydra</w:t>
      </w:r>
      <w:r>
        <w:t xml:space="preserve"> – 6</w:t>
      </w:r>
      <w:r w:rsidRPr="00724253">
        <w:t xml:space="preserve">; </w:t>
      </w:r>
      <w:r w:rsidRPr="00724253">
        <w:rPr>
          <w:i/>
        </w:rPr>
        <w:t>Moinodaphnia</w:t>
      </w:r>
      <w:r>
        <w:t xml:space="preserve"> – 8</w:t>
      </w:r>
      <w:r w:rsidRPr="00724253">
        <w:t xml:space="preserve">; </w:t>
      </w:r>
      <w:r w:rsidRPr="00724253">
        <w:rPr>
          <w:i/>
        </w:rPr>
        <w:t>Mogurnda</w:t>
      </w:r>
      <w:r>
        <w:t xml:space="preserve"> – 5</w:t>
      </w:r>
      <w:r w:rsidRPr="00724253">
        <w:t xml:space="preserve"> and </w:t>
      </w:r>
      <w:r w:rsidRPr="00724253">
        <w:rPr>
          <w:i/>
        </w:rPr>
        <w:t>Lemna aequinoctialis</w:t>
      </w:r>
      <w:r w:rsidRPr="00724253">
        <w:t xml:space="preserve"> – </w:t>
      </w:r>
      <w:r>
        <w:t>7) were completed during 2009–10 and 2010–11</w:t>
      </w:r>
      <w:r w:rsidRPr="00724253">
        <w:t xml:space="preserve">. </w:t>
      </w:r>
      <w:r>
        <w:t>O</w:t>
      </w:r>
      <w:r w:rsidRPr="00724253">
        <w:t>f these tests</w:t>
      </w:r>
      <w:r>
        <w:t>, 31</w:t>
      </w:r>
      <w:r w:rsidRPr="00724253">
        <w:t xml:space="preserve"> provided valid results, as summarised in Table 1. The associated control ch</w:t>
      </w:r>
      <w:r>
        <w:t xml:space="preserve">arts for </w:t>
      </w:r>
      <w:r w:rsidRPr="00FA162B">
        <w:rPr>
          <w:i/>
        </w:rPr>
        <w:t xml:space="preserve">Chlorella </w:t>
      </w:r>
      <w:r w:rsidRPr="00811FCF">
        <w:t>sp</w:t>
      </w:r>
      <w:r w:rsidRPr="00D41393">
        <w:t>,</w:t>
      </w:r>
      <w:r w:rsidRPr="00FA162B">
        <w:rPr>
          <w:i/>
        </w:rPr>
        <w:t xml:space="preserve"> H. </w:t>
      </w:r>
      <w:proofErr w:type="gramStart"/>
      <w:r w:rsidRPr="00FA162B">
        <w:rPr>
          <w:i/>
        </w:rPr>
        <w:t>viridi</w:t>
      </w:r>
      <w:r>
        <w:rPr>
          <w:i/>
        </w:rPr>
        <w:t>s</w:t>
      </w:r>
      <w:r w:rsidRPr="00FA162B">
        <w:rPr>
          <w:i/>
        </w:rPr>
        <w:t>sima ,</w:t>
      </w:r>
      <w:proofErr w:type="gramEnd"/>
      <w:r w:rsidRPr="00FA162B">
        <w:rPr>
          <w:i/>
        </w:rPr>
        <w:t xml:space="preserve"> M. macleayi, and M. mogurnda</w:t>
      </w:r>
      <w:r>
        <w:rPr>
          <w:i/>
        </w:rPr>
        <w:t xml:space="preserve"> </w:t>
      </w:r>
      <w:r>
        <w:t xml:space="preserve">are presented in Figure 1. </w:t>
      </w:r>
      <w:r w:rsidRPr="00FA162B">
        <w:rPr>
          <w:i/>
        </w:rPr>
        <w:t>L.</w:t>
      </w:r>
      <w:r>
        <w:rPr>
          <w:i/>
        </w:rPr>
        <w:t> </w:t>
      </w:r>
      <w:r w:rsidRPr="00FA162B">
        <w:rPr>
          <w:i/>
        </w:rPr>
        <w:t>aquinoctialis</w:t>
      </w:r>
      <w:r>
        <w:t xml:space="preserve"> control chart is shown in Figure 4.</w:t>
      </w:r>
    </w:p>
    <w:p w:rsidR="00D85FAC" w:rsidRDefault="00D85FAC" w:rsidP="00D85FAC">
      <w:r>
        <w:t>A summary of the issues identified during the period for each component of the reference toxicity test program is provided below.</w:t>
      </w:r>
    </w:p>
    <w:p w:rsidR="00D85FAC" w:rsidRDefault="00D85FAC" w:rsidP="00D85FAC">
      <w:pPr>
        <w:rPr>
          <w:snapToGrid w:val="0"/>
          <w:color w:val="000000"/>
          <w:szCs w:val="0"/>
          <w:u w:color="000000"/>
        </w:rPr>
      </w:pPr>
    </w:p>
    <w:p w:rsidR="00D85FAC" w:rsidRDefault="00D85FAC" w:rsidP="00D85FAC">
      <w:pPr>
        <w:spacing w:line="276" w:lineRule="auto"/>
        <w:sectPr w:rsidR="00D85FAC" w:rsidSect="00D85FAC">
          <w:footnotePr>
            <w:numRestart w:val="eachSect"/>
          </w:footnotePr>
          <w:pgSz w:w="11906" w:h="16838" w:code="9"/>
          <w:pgMar w:top="1440" w:right="1797" w:bottom="1440" w:left="1797" w:header="851" w:footer="833" w:gutter="0"/>
          <w:cols w:space="360"/>
          <w:noEndnote/>
          <w:titlePg/>
        </w:sectPr>
      </w:pPr>
    </w:p>
    <w:tbl>
      <w:tblPr>
        <w:tblW w:w="14459" w:type="dxa"/>
        <w:tblInd w:w="108" w:type="dxa"/>
        <w:tblLayout w:type="fixed"/>
        <w:tblLook w:val="0000"/>
      </w:tblPr>
      <w:tblGrid>
        <w:gridCol w:w="7480"/>
        <w:gridCol w:w="6979"/>
      </w:tblGrid>
      <w:tr w:rsidR="00D85FAC" w:rsidTr="00D85FAC">
        <w:tc>
          <w:tcPr>
            <w:tcW w:w="7480" w:type="dxa"/>
          </w:tcPr>
          <w:p w:rsidR="00D85FAC" w:rsidRDefault="00D85FAC" w:rsidP="00D85FAC">
            <w:pPr>
              <w:pStyle w:val="referencelist1"/>
              <w:spacing w:after="0" w:line="276" w:lineRule="auto"/>
              <w:ind w:left="0" w:firstLine="0"/>
              <w:jc w:val="center"/>
              <w:rPr>
                <w:rFonts w:ascii="Arial" w:hAnsi="Arial" w:cs="Arial"/>
                <w:b/>
                <w:sz w:val="20"/>
              </w:rPr>
            </w:pPr>
            <w:r>
              <w:rPr>
                <w:rFonts w:ascii="Arial" w:hAnsi="Arial" w:cs="Arial"/>
                <w:b/>
                <w:sz w:val="20"/>
              </w:rPr>
              <w:lastRenderedPageBreak/>
              <w:t xml:space="preserve">A. </w:t>
            </w:r>
            <w:r>
              <w:rPr>
                <w:rFonts w:ascii="Arial" w:hAnsi="Arial" w:cs="Arial"/>
                <w:b/>
                <w:i/>
                <w:sz w:val="20"/>
              </w:rPr>
              <w:t>Chlorella</w:t>
            </w:r>
            <w:r>
              <w:rPr>
                <w:rFonts w:ascii="Arial" w:hAnsi="Arial" w:cs="Arial"/>
                <w:b/>
                <w:sz w:val="20"/>
              </w:rPr>
              <w:t xml:space="preserve"> sp.</w:t>
            </w:r>
          </w:p>
          <w:p w:rsidR="00D85FAC" w:rsidRPr="005445F4" w:rsidRDefault="00D85FAC" w:rsidP="00D85FAC">
            <w:pPr>
              <w:spacing w:line="276" w:lineRule="auto"/>
              <w:jc w:val="center"/>
            </w:pPr>
            <w:r w:rsidRPr="00173A39">
              <w:rPr>
                <w:noProof/>
                <w:lang w:eastAsia="en-AU"/>
              </w:rPr>
              <w:drawing>
                <wp:inline distT="0" distB="0" distL="0" distR="0">
                  <wp:extent cx="3730752" cy="2304288"/>
                  <wp:effectExtent l="0" t="0" r="0"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6979" w:type="dxa"/>
          </w:tcPr>
          <w:p w:rsidR="00D85FAC" w:rsidRDefault="00D85FAC" w:rsidP="00D85FAC">
            <w:pPr>
              <w:pStyle w:val="referencelist1"/>
              <w:spacing w:after="0" w:line="276" w:lineRule="auto"/>
              <w:ind w:left="0" w:firstLine="0"/>
              <w:jc w:val="center"/>
              <w:rPr>
                <w:rFonts w:ascii="Arial" w:hAnsi="Arial" w:cs="Arial"/>
                <w:b/>
                <w:sz w:val="20"/>
              </w:rPr>
            </w:pPr>
            <w:r>
              <w:rPr>
                <w:rFonts w:ascii="Arial" w:hAnsi="Arial" w:cs="Arial"/>
                <w:b/>
                <w:sz w:val="20"/>
              </w:rPr>
              <w:t xml:space="preserve">B. </w:t>
            </w:r>
            <w:r>
              <w:rPr>
                <w:rFonts w:ascii="Arial" w:hAnsi="Arial" w:cs="Arial"/>
                <w:b/>
                <w:i/>
                <w:sz w:val="20"/>
              </w:rPr>
              <w:t>Moinodaphnia macleayi</w:t>
            </w:r>
          </w:p>
          <w:p w:rsidR="00D85FAC" w:rsidRPr="004D5324" w:rsidRDefault="00D85FAC" w:rsidP="00D85FAC">
            <w:pPr>
              <w:spacing w:line="276" w:lineRule="auto"/>
              <w:jc w:val="center"/>
              <w:rPr>
                <w:rFonts w:ascii="Arial" w:hAnsi="Arial" w:cs="Arial"/>
                <w:b/>
                <w:sz w:val="20"/>
              </w:rPr>
            </w:pPr>
            <w:r w:rsidRPr="006E2E10">
              <w:rPr>
                <w:rFonts w:ascii="Arial" w:hAnsi="Arial" w:cs="Arial"/>
                <w:b/>
                <w:noProof/>
                <w:sz w:val="20"/>
                <w:lang w:eastAsia="en-AU"/>
              </w:rPr>
              <w:drawing>
                <wp:inline distT="0" distB="0" distL="0" distR="0">
                  <wp:extent cx="4059936" cy="2304288"/>
                  <wp:effectExtent l="0" t="0" r="0" b="0"/>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D85FAC" w:rsidTr="00D85FAC">
        <w:tc>
          <w:tcPr>
            <w:tcW w:w="7480" w:type="dxa"/>
          </w:tcPr>
          <w:p w:rsidR="00D85FAC" w:rsidRDefault="00D85FAC" w:rsidP="00D85FAC">
            <w:pPr>
              <w:pStyle w:val="referencelist1"/>
              <w:spacing w:before="120" w:after="0" w:line="276" w:lineRule="auto"/>
              <w:ind w:left="0" w:firstLine="0"/>
              <w:jc w:val="center"/>
              <w:rPr>
                <w:rFonts w:ascii="Arial" w:hAnsi="Arial" w:cs="Arial"/>
                <w:b/>
                <w:i/>
                <w:sz w:val="20"/>
              </w:rPr>
            </w:pPr>
            <w:r>
              <w:rPr>
                <w:rFonts w:ascii="Arial" w:hAnsi="Arial" w:cs="Arial"/>
                <w:b/>
                <w:sz w:val="20"/>
              </w:rPr>
              <w:t xml:space="preserve">C. </w:t>
            </w:r>
            <w:r>
              <w:rPr>
                <w:rFonts w:ascii="Arial" w:hAnsi="Arial" w:cs="Arial"/>
                <w:b/>
                <w:i/>
                <w:sz w:val="20"/>
              </w:rPr>
              <w:t>Hydra viridissima</w:t>
            </w:r>
          </w:p>
          <w:p w:rsidR="00D85FAC" w:rsidRPr="005713E4" w:rsidRDefault="00D85FAC" w:rsidP="00D85FAC">
            <w:pPr>
              <w:pStyle w:val="referencelist1"/>
              <w:spacing w:before="120" w:after="0" w:line="276" w:lineRule="auto"/>
              <w:ind w:left="0" w:firstLine="0"/>
              <w:jc w:val="center"/>
              <w:rPr>
                <w:rFonts w:ascii="Arial" w:hAnsi="Arial" w:cs="Arial"/>
                <w:b/>
                <w:sz w:val="20"/>
              </w:rPr>
            </w:pPr>
          </w:p>
          <w:p w:rsidR="00D85FAC" w:rsidRPr="005713E4" w:rsidRDefault="00D85FAC" w:rsidP="00D85FAC">
            <w:pPr>
              <w:spacing w:line="276" w:lineRule="auto"/>
              <w:jc w:val="center"/>
              <w:rPr>
                <w:rFonts w:ascii="Arial" w:hAnsi="Arial" w:cs="Arial"/>
                <w:sz w:val="20"/>
              </w:rPr>
            </w:pPr>
            <w:r w:rsidRPr="006E2E10">
              <w:rPr>
                <w:rFonts w:ascii="Arial" w:hAnsi="Arial" w:cs="Arial"/>
                <w:noProof/>
                <w:sz w:val="20"/>
                <w:lang w:eastAsia="en-AU"/>
              </w:rPr>
              <w:drawing>
                <wp:inline distT="0" distB="0" distL="0" distR="0">
                  <wp:extent cx="3803904" cy="2201875"/>
                  <wp:effectExtent l="0" t="0" r="0" b="0"/>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6979" w:type="dxa"/>
          </w:tcPr>
          <w:p w:rsidR="00D85FAC" w:rsidRDefault="00D85FAC" w:rsidP="00D85FAC">
            <w:pPr>
              <w:pStyle w:val="referencelist1"/>
              <w:spacing w:before="120" w:after="0" w:line="276" w:lineRule="auto"/>
              <w:ind w:left="0" w:firstLine="0"/>
              <w:jc w:val="center"/>
              <w:rPr>
                <w:rFonts w:ascii="Arial" w:hAnsi="Arial" w:cs="Arial"/>
                <w:b/>
                <w:i/>
                <w:sz w:val="20"/>
              </w:rPr>
            </w:pPr>
            <w:r>
              <w:rPr>
                <w:rFonts w:ascii="Arial" w:hAnsi="Arial" w:cs="Arial"/>
                <w:b/>
                <w:sz w:val="20"/>
              </w:rPr>
              <w:t xml:space="preserve">D. </w:t>
            </w:r>
            <w:r>
              <w:rPr>
                <w:rFonts w:ascii="Arial" w:hAnsi="Arial" w:cs="Arial"/>
                <w:b/>
                <w:i/>
                <w:sz w:val="20"/>
              </w:rPr>
              <w:t>Mogurnda mogurnda</w:t>
            </w:r>
          </w:p>
          <w:p w:rsidR="00D85FAC" w:rsidRPr="00AE0103" w:rsidRDefault="00D85FAC" w:rsidP="00D85FAC">
            <w:pPr>
              <w:spacing w:line="276" w:lineRule="auto"/>
              <w:jc w:val="center"/>
            </w:pPr>
            <w:r w:rsidRPr="00173A39">
              <w:rPr>
                <w:noProof/>
                <w:lang w:eastAsia="en-AU"/>
              </w:rPr>
              <w:drawing>
                <wp:inline distT="0" distB="0" distL="0" distR="0">
                  <wp:extent cx="4155034" cy="2516428"/>
                  <wp:effectExtent l="0" t="0" r="0" b="0"/>
                  <wp:docPr id="3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D85FAC" w:rsidRDefault="00081B24" w:rsidP="00D85FAC">
      <w:pPr>
        <w:pStyle w:val="landscape"/>
        <w:framePr w:wrap="around"/>
        <w:spacing w:line="276" w:lineRule="auto"/>
      </w:pPr>
      <w:fldSimple w:instr=" PAGE   \* MERGEFORMAT ">
        <w:r w:rsidR="00D85FAC">
          <w:rPr>
            <w:noProof/>
          </w:rPr>
          <w:t>28</w:t>
        </w:r>
      </w:fldSimple>
    </w:p>
    <w:p w:rsidR="00D85FAC" w:rsidRDefault="00D85FAC" w:rsidP="00D85FAC">
      <w:pPr>
        <w:pStyle w:val="figurecaption"/>
        <w:spacing w:after="0"/>
      </w:pPr>
      <w:r>
        <w:rPr>
          <w:b/>
          <w:bCs/>
        </w:rPr>
        <w:t xml:space="preserve">Figure </w:t>
      </w:r>
      <w:proofErr w:type="gramStart"/>
      <w:r>
        <w:rPr>
          <w:b/>
          <w:bCs/>
        </w:rPr>
        <w:t xml:space="preserve">1  </w:t>
      </w:r>
      <w:r>
        <w:t>Reference</w:t>
      </w:r>
      <w:proofErr w:type="gramEnd"/>
      <w:r>
        <w:t xml:space="preserve"> toxicant control charts for A. </w:t>
      </w:r>
      <w:r>
        <w:rPr>
          <w:i/>
        </w:rPr>
        <w:t xml:space="preserve">Chlorella </w:t>
      </w:r>
      <w:r>
        <w:t xml:space="preserve">sp, B. </w:t>
      </w:r>
      <w:r>
        <w:rPr>
          <w:i/>
        </w:rPr>
        <w:t>M. macleayi</w:t>
      </w:r>
      <w:r>
        <w:t xml:space="preserve">, C. </w:t>
      </w:r>
      <w:r>
        <w:rPr>
          <w:i/>
        </w:rPr>
        <w:t>H. viridissima</w:t>
      </w:r>
      <w:r>
        <w:t xml:space="preserve"> and D. </w:t>
      </w:r>
      <w:r>
        <w:rPr>
          <w:i/>
        </w:rPr>
        <w:t>M. mogurnda</w:t>
      </w:r>
      <w:r>
        <w:t xml:space="preserve">, as of Oct 2011. </w:t>
      </w:r>
    </w:p>
    <w:p w:rsidR="00D85FAC" w:rsidRDefault="00D85FAC" w:rsidP="00D85FAC">
      <w:pPr>
        <w:pStyle w:val="figurecaption"/>
        <w:spacing w:after="0"/>
      </w:pPr>
      <w:r>
        <w:t xml:space="preserve">Data points represent </w:t>
      </w:r>
      <w:proofErr w:type="gramStart"/>
      <w:r>
        <w:t>EC</w:t>
      </w:r>
      <w:r>
        <w:rPr>
          <w:snapToGrid w:val="0"/>
          <w:color w:val="000000"/>
          <w:position w:val="-4"/>
          <w:sz w:val="12"/>
          <w:szCs w:val="0"/>
          <w:u w:color="000000"/>
        </w:rPr>
        <w:t xml:space="preserve">50 </w:t>
      </w:r>
      <w:r>
        <w:t xml:space="preserve"> (</w:t>
      </w:r>
      <w:proofErr w:type="gramEnd"/>
      <w:r>
        <w:rPr>
          <w:snapToGrid w:val="0"/>
          <w:color w:val="000000"/>
          <w:szCs w:val="0"/>
          <w:u w:color="000000"/>
        </w:rPr>
        <w:t>µ</w:t>
      </w:r>
      <w:r>
        <w:t>g L</w:t>
      </w:r>
      <w:r w:rsidRPr="00461476">
        <w:rPr>
          <w:vertAlign w:val="superscript"/>
        </w:rPr>
        <w:t>-1</w:t>
      </w:r>
      <w:r>
        <w:t xml:space="preserve"> U) toxicity estimates and their 95% confidence limits (CLs). Reference lines represent the following: broken lines – upper and lower 99% confidence limits (</w:t>
      </w:r>
      <w:r>
        <w:sym w:font="Symbol" w:char="F0B1"/>
      </w:r>
      <w:r>
        <w:t xml:space="preserve"> 3 standard deviations) of the whole data set; dotted lines – upper and lower warning limits (</w:t>
      </w:r>
      <w:r>
        <w:sym w:font="Symbol" w:char="F0B1"/>
      </w:r>
      <w:r>
        <w:t xml:space="preserve"> 2 standard deviations); unbroken line – running mean.</w:t>
      </w:r>
    </w:p>
    <w:p w:rsidR="00D85FAC" w:rsidRDefault="00D85FAC" w:rsidP="00D85FAC">
      <w:pPr>
        <w:spacing w:line="276" w:lineRule="auto"/>
        <w:sectPr w:rsidR="00D85FAC">
          <w:headerReference w:type="even" r:id="rId56"/>
          <w:headerReference w:type="default" r:id="rId57"/>
          <w:footerReference w:type="even" r:id="rId58"/>
          <w:footerReference w:type="default" r:id="rId59"/>
          <w:footnotePr>
            <w:numRestart w:val="eachSect"/>
          </w:footnotePr>
          <w:pgSz w:w="16838" w:h="11906" w:orient="landscape" w:code="9"/>
          <w:pgMar w:top="1134" w:right="1134" w:bottom="1134" w:left="1701" w:header="1077" w:footer="833" w:gutter="0"/>
          <w:cols w:space="360"/>
          <w:noEndnote/>
        </w:sectPr>
      </w:pPr>
    </w:p>
    <w:p w:rsidR="00D85FAC" w:rsidRDefault="00D85FAC" w:rsidP="00D85FAC">
      <w:pPr>
        <w:pStyle w:val="tablecaption"/>
        <w:spacing w:line="276" w:lineRule="auto"/>
        <w:ind w:left="142"/>
      </w:pPr>
      <w:r w:rsidRPr="00202064">
        <w:rPr>
          <w:b/>
        </w:rPr>
        <w:lastRenderedPageBreak/>
        <w:t xml:space="preserve">Table </w:t>
      </w:r>
      <w:proofErr w:type="gramStart"/>
      <w:r w:rsidRPr="00202064">
        <w:rPr>
          <w:b/>
        </w:rPr>
        <w:t>1</w:t>
      </w:r>
      <w:r>
        <w:t xml:space="preserve">  Summary</w:t>
      </w:r>
      <w:proofErr w:type="gramEnd"/>
      <w:r>
        <w:t xml:space="preserve"> of uranium reference toxicity test results for 2009–10 and 2010–11</w:t>
      </w:r>
    </w:p>
    <w:tbl>
      <w:tblPr>
        <w:tblW w:w="7809" w:type="dxa"/>
        <w:jc w:val="center"/>
        <w:tblLayout w:type="fixed"/>
        <w:tblCellMar>
          <w:left w:w="0" w:type="dxa"/>
          <w:right w:w="0" w:type="dxa"/>
        </w:tblCellMar>
        <w:tblLook w:val="0000"/>
      </w:tblPr>
      <w:tblGrid>
        <w:gridCol w:w="1843"/>
        <w:gridCol w:w="851"/>
        <w:gridCol w:w="1751"/>
        <w:gridCol w:w="1196"/>
        <w:gridCol w:w="2168"/>
      </w:tblGrid>
      <w:tr w:rsidR="00D85FAC" w:rsidTr="00D85FAC">
        <w:trPr>
          <w:cantSplit/>
          <w:trHeight w:val="310"/>
          <w:jc w:val="center"/>
        </w:trPr>
        <w:tc>
          <w:tcPr>
            <w:tcW w:w="1843" w:type="dxa"/>
            <w:tcBorders>
              <w:top w:val="single" w:sz="4" w:space="0" w:color="auto"/>
              <w:bottom w:val="single" w:sz="4" w:space="0" w:color="auto"/>
            </w:tcBorders>
            <w:vAlign w:val="center"/>
          </w:tcPr>
          <w:p w:rsidR="00D85FAC" w:rsidRDefault="00D85FAC" w:rsidP="00D85FAC">
            <w:pPr>
              <w:pStyle w:val="table1"/>
              <w:spacing w:line="276" w:lineRule="auto"/>
              <w:jc w:val="center"/>
              <w:rPr>
                <w:rFonts w:eastAsia="Arial Unicode MS"/>
                <w:b/>
                <w:bCs/>
              </w:rPr>
            </w:pPr>
            <w:r>
              <w:rPr>
                <w:rFonts w:eastAsia="Arial Unicode MS"/>
                <w:b/>
                <w:bCs/>
              </w:rPr>
              <w:t>Species &amp; endpoint</w:t>
            </w:r>
          </w:p>
        </w:tc>
        <w:tc>
          <w:tcPr>
            <w:tcW w:w="851" w:type="dxa"/>
            <w:tcBorders>
              <w:top w:val="single" w:sz="4" w:space="0" w:color="auto"/>
              <w:bottom w:val="single" w:sz="4" w:space="0" w:color="auto"/>
            </w:tcBorders>
            <w:vAlign w:val="center"/>
          </w:tcPr>
          <w:p w:rsidR="00D85FAC" w:rsidRDefault="00D85FAC" w:rsidP="00D85FAC">
            <w:pPr>
              <w:pStyle w:val="table1"/>
              <w:spacing w:line="276" w:lineRule="auto"/>
              <w:jc w:val="center"/>
              <w:rPr>
                <w:rFonts w:eastAsia="Arial Unicode MS"/>
                <w:b/>
                <w:bCs/>
              </w:rPr>
            </w:pPr>
            <w:r>
              <w:rPr>
                <w:rFonts w:eastAsia="Arial Unicode MS"/>
                <w:b/>
                <w:bCs/>
              </w:rPr>
              <w:t>Test Code</w:t>
            </w:r>
          </w:p>
        </w:tc>
        <w:tc>
          <w:tcPr>
            <w:tcW w:w="1751" w:type="dxa"/>
            <w:tcBorders>
              <w:top w:val="single" w:sz="4" w:space="0" w:color="auto"/>
              <w:bottom w:val="single" w:sz="4" w:space="0" w:color="auto"/>
            </w:tcBorders>
            <w:vAlign w:val="center"/>
          </w:tcPr>
          <w:p w:rsidR="00D85FAC" w:rsidRDefault="00D85FAC" w:rsidP="00D85FAC">
            <w:pPr>
              <w:pStyle w:val="table1"/>
              <w:spacing w:line="276" w:lineRule="auto"/>
              <w:jc w:val="center"/>
              <w:rPr>
                <w:rFonts w:eastAsia="Arial Unicode MS"/>
                <w:b/>
                <w:bCs/>
              </w:rPr>
            </w:pPr>
            <w:r>
              <w:rPr>
                <w:rFonts w:eastAsia="Arial Unicode MS"/>
                <w:b/>
                <w:bCs/>
              </w:rPr>
              <w:t>EC</w:t>
            </w:r>
            <w:r>
              <w:rPr>
                <w:rFonts w:eastAsia="Arial Unicode MS"/>
                <w:b/>
                <w:snapToGrid w:val="0"/>
                <w:color w:val="000000"/>
                <w:position w:val="-4"/>
                <w:sz w:val="11"/>
                <w:szCs w:val="0"/>
                <w:u w:color="000000"/>
              </w:rPr>
              <w:t>50</w:t>
            </w:r>
            <w:r>
              <w:rPr>
                <w:rFonts w:eastAsia="Arial Unicode MS"/>
                <w:b/>
                <w:bCs/>
              </w:rPr>
              <w:t xml:space="preserve"> (</w:t>
            </w:r>
            <w:r>
              <w:rPr>
                <w:rFonts w:eastAsia="Arial Unicode MS"/>
                <w:b/>
                <w:bCs/>
              </w:rPr>
              <w:sym w:font="Symbol" w:char="F06D"/>
            </w:r>
            <w:r>
              <w:rPr>
                <w:rFonts w:eastAsia="Arial Unicode MS"/>
                <w:b/>
                <w:bCs/>
              </w:rPr>
              <w:t>g L</w:t>
            </w:r>
            <w:r w:rsidRPr="00461476">
              <w:rPr>
                <w:rFonts w:eastAsia="Arial Unicode MS"/>
                <w:b/>
                <w:bCs/>
                <w:vertAlign w:val="superscript"/>
              </w:rPr>
              <w:t>-1</w:t>
            </w:r>
            <w:r>
              <w:rPr>
                <w:rFonts w:eastAsia="Arial Unicode MS"/>
                <w:b/>
                <w:bCs/>
              </w:rPr>
              <w:t xml:space="preserve"> U)</w:t>
            </w:r>
          </w:p>
        </w:tc>
        <w:tc>
          <w:tcPr>
            <w:tcW w:w="1196" w:type="dxa"/>
            <w:tcBorders>
              <w:top w:val="single" w:sz="4" w:space="0" w:color="auto"/>
              <w:bottom w:val="single" w:sz="4" w:space="0" w:color="auto"/>
            </w:tcBorders>
            <w:vAlign w:val="center"/>
          </w:tcPr>
          <w:p w:rsidR="00D85FAC" w:rsidRDefault="00D85FAC" w:rsidP="00D85FAC">
            <w:pPr>
              <w:pStyle w:val="table1"/>
              <w:spacing w:line="276" w:lineRule="auto"/>
              <w:jc w:val="center"/>
              <w:rPr>
                <w:rFonts w:eastAsia="Arial Unicode MS"/>
                <w:b/>
                <w:bCs/>
              </w:rPr>
            </w:pPr>
            <w:r>
              <w:rPr>
                <w:rFonts w:eastAsia="Arial Unicode MS"/>
                <w:b/>
                <w:bCs/>
              </w:rPr>
              <w:t>Valid test?</w:t>
            </w:r>
          </w:p>
        </w:tc>
        <w:tc>
          <w:tcPr>
            <w:tcW w:w="2168" w:type="dxa"/>
            <w:tcBorders>
              <w:top w:val="single" w:sz="4" w:space="0" w:color="auto"/>
              <w:bottom w:val="single" w:sz="4" w:space="0" w:color="auto"/>
            </w:tcBorders>
            <w:vAlign w:val="center"/>
          </w:tcPr>
          <w:p w:rsidR="00D85FAC" w:rsidRDefault="00D85FAC" w:rsidP="00D85FAC">
            <w:pPr>
              <w:pStyle w:val="table1"/>
              <w:spacing w:line="276" w:lineRule="auto"/>
              <w:rPr>
                <w:rFonts w:eastAsia="Arial Unicode MS"/>
                <w:b/>
                <w:bCs/>
              </w:rPr>
            </w:pPr>
            <w:r>
              <w:rPr>
                <w:rFonts w:eastAsia="Arial Unicode MS"/>
                <w:b/>
                <w:bCs/>
              </w:rPr>
              <w:t>Comments</w:t>
            </w:r>
          </w:p>
        </w:tc>
      </w:tr>
      <w:tr w:rsidR="00D85FAC" w:rsidTr="00D85FAC">
        <w:trPr>
          <w:cantSplit/>
          <w:jc w:val="center"/>
        </w:trPr>
        <w:tc>
          <w:tcPr>
            <w:tcW w:w="1843" w:type="dxa"/>
            <w:tcBorders>
              <w:top w:val="single" w:sz="4" w:space="0" w:color="auto"/>
              <w:bottom w:val="single" w:sz="4" w:space="0" w:color="999999"/>
            </w:tcBorders>
          </w:tcPr>
          <w:p w:rsidR="00D85FAC" w:rsidRDefault="00D85FAC" w:rsidP="00D85FAC">
            <w:pPr>
              <w:pStyle w:val="table1"/>
              <w:spacing w:line="276" w:lineRule="auto"/>
              <w:rPr>
                <w:rFonts w:eastAsia="Arial Unicode MS"/>
              </w:rPr>
            </w:pPr>
            <w:r>
              <w:rPr>
                <w:rFonts w:eastAsia="Arial Unicode MS"/>
                <w:i/>
                <w:iCs/>
              </w:rPr>
              <w:t>Chlorella</w:t>
            </w:r>
            <w:r>
              <w:rPr>
                <w:rFonts w:eastAsia="Arial Unicode MS"/>
              </w:rPr>
              <w:t xml:space="preserve"> sp</w:t>
            </w:r>
            <w:r>
              <w:rPr>
                <w:rFonts w:eastAsia="Arial Unicode MS"/>
              </w:rPr>
              <w:br/>
              <w:t>(72-h cell division rate)</w:t>
            </w:r>
          </w:p>
        </w:tc>
        <w:tc>
          <w:tcPr>
            <w:tcW w:w="851" w:type="dxa"/>
            <w:tcBorders>
              <w:top w:val="single" w:sz="4" w:space="0" w:color="auto"/>
              <w:bottom w:val="single" w:sz="4" w:space="0" w:color="999999"/>
            </w:tcBorders>
          </w:tcPr>
          <w:p w:rsidR="00D85FAC" w:rsidRDefault="00D85FAC" w:rsidP="00D85FAC">
            <w:pPr>
              <w:pStyle w:val="table1"/>
              <w:spacing w:line="276" w:lineRule="auto"/>
              <w:jc w:val="center"/>
              <w:rPr>
                <w:rFonts w:eastAsia="Arial Unicode MS"/>
              </w:rPr>
            </w:pPr>
            <w:r>
              <w:rPr>
                <w:rFonts w:eastAsia="Arial Unicode MS"/>
              </w:rPr>
              <w:t>1064G</w:t>
            </w:r>
            <w:r>
              <w:rPr>
                <w:rFonts w:eastAsia="Arial Unicode MS"/>
              </w:rPr>
              <w:br/>
              <w:t>1080G</w:t>
            </w:r>
            <w:r>
              <w:rPr>
                <w:rFonts w:eastAsia="Arial Unicode MS"/>
              </w:rPr>
              <w:br/>
              <w:t>1091G</w:t>
            </w:r>
            <w:r>
              <w:rPr>
                <w:rFonts w:eastAsia="Arial Unicode MS"/>
              </w:rPr>
              <w:br/>
              <w:t>1106G</w:t>
            </w:r>
            <w:r>
              <w:rPr>
                <w:rFonts w:eastAsia="Arial Unicode MS"/>
              </w:rPr>
              <w:br/>
              <w:t>1144G</w:t>
            </w:r>
            <w:r>
              <w:rPr>
                <w:rFonts w:eastAsia="Arial Unicode MS"/>
              </w:rPr>
              <w:br/>
              <w:t>1163G</w:t>
            </w:r>
            <w:r>
              <w:rPr>
                <w:rFonts w:eastAsia="Arial Unicode MS"/>
              </w:rPr>
              <w:br/>
              <w:t>1178G</w:t>
            </w:r>
          </w:p>
        </w:tc>
        <w:tc>
          <w:tcPr>
            <w:tcW w:w="1751" w:type="dxa"/>
            <w:tcBorders>
              <w:top w:val="single" w:sz="4" w:space="0" w:color="auto"/>
              <w:bottom w:val="single" w:sz="4" w:space="0" w:color="999999"/>
            </w:tcBorders>
          </w:tcPr>
          <w:p w:rsidR="00D85FAC" w:rsidRDefault="00D85FAC" w:rsidP="00D85FAC">
            <w:pPr>
              <w:pStyle w:val="table1"/>
              <w:spacing w:line="276" w:lineRule="auto"/>
              <w:jc w:val="center"/>
              <w:rPr>
                <w:rFonts w:eastAsia="Arial Unicode MS"/>
              </w:rPr>
            </w:pPr>
            <w:r>
              <w:rPr>
                <w:rFonts w:eastAsia="Arial Unicode MS"/>
              </w:rPr>
              <w:t>10 (7, 13)</w:t>
            </w:r>
            <w:r>
              <w:rPr>
                <w:rFonts w:eastAsia="Arial Unicode MS"/>
              </w:rPr>
              <w:br/>
              <w:t>15 (11, 17)</w:t>
            </w:r>
            <w:r>
              <w:rPr>
                <w:rFonts w:eastAsia="Arial Unicode MS"/>
              </w:rPr>
              <w:br/>
              <w:t>30 (26, 38)</w:t>
            </w:r>
            <w:r>
              <w:rPr>
                <w:rFonts w:eastAsia="Arial Unicode MS"/>
              </w:rPr>
              <w:br/>
              <w:t>32 (26, 37)</w:t>
            </w:r>
            <w:r>
              <w:rPr>
                <w:rFonts w:eastAsia="Arial Unicode MS"/>
              </w:rPr>
              <w:br/>
              <w:t>20 (15, 26)</w:t>
            </w:r>
            <w:r>
              <w:rPr>
                <w:rFonts w:eastAsia="Arial Unicode MS"/>
              </w:rPr>
              <w:br/>
              <w:t>33 (27, 37)</w:t>
            </w:r>
            <w:r>
              <w:rPr>
                <w:rFonts w:eastAsia="Arial Unicode MS"/>
              </w:rPr>
              <w:br/>
              <w:t>23 (17, 28)</w:t>
            </w:r>
          </w:p>
        </w:tc>
        <w:tc>
          <w:tcPr>
            <w:tcW w:w="1196" w:type="dxa"/>
            <w:tcBorders>
              <w:top w:val="single" w:sz="4" w:space="0" w:color="auto"/>
              <w:bottom w:val="single" w:sz="4" w:space="0" w:color="999999"/>
            </w:tcBorders>
            <w:vAlign w:val="center"/>
          </w:tcPr>
          <w:p w:rsidR="00D85FAC" w:rsidRDefault="00D85FAC" w:rsidP="00D85FAC">
            <w:pPr>
              <w:pStyle w:val="table1"/>
              <w:spacing w:line="276" w:lineRule="auto"/>
              <w:jc w:val="center"/>
              <w:rPr>
                <w:rFonts w:eastAsia="Arial Unicode MS"/>
              </w:rPr>
            </w:pPr>
            <w:r>
              <w:rPr>
                <w:rFonts w:eastAsia="Arial Unicode MS"/>
              </w:rPr>
              <w:t>Yes</w:t>
            </w:r>
            <w:r>
              <w:rPr>
                <w:rFonts w:eastAsia="Arial Unicode MS"/>
              </w:rPr>
              <w:br/>
              <w:t>Yes</w:t>
            </w:r>
            <w:r>
              <w:rPr>
                <w:rFonts w:eastAsia="Arial Unicode MS"/>
              </w:rPr>
              <w:br/>
              <w:t>Yes</w:t>
            </w:r>
            <w:r>
              <w:rPr>
                <w:rFonts w:eastAsia="Arial Unicode MS"/>
              </w:rPr>
              <w:br/>
              <w:t xml:space="preserve">Yes </w:t>
            </w:r>
            <w:r>
              <w:rPr>
                <w:rFonts w:eastAsia="Arial Unicode MS"/>
              </w:rPr>
              <w:br/>
              <w:t>Yes</w:t>
            </w:r>
            <w:r>
              <w:rPr>
                <w:rFonts w:eastAsia="Arial Unicode MS"/>
              </w:rPr>
              <w:br/>
              <w:t>Yes</w:t>
            </w:r>
            <w:r>
              <w:rPr>
                <w:rFonts w:eastAsia="Arial Unicode MS"/>
              </w:rPr>
              <w:br/>
              <w:t>Yes</w:t>
            </w:r>
          </w:p>
        </w:tc>
        <w:tc>
          <w:tcPr>
            <w:tcW w:w="2168" w:type="dxa"/>
            <w:tcBorders>
              <w:top w:val="single" w:sz="4" w:space="0" w:color="auto"/>
              <w:bottom w:val="single" w:sz="4" w:space="0" w:color="999999"/>
            </w:tcBorders>
          </w:tcPr>
          <w:p w:rsidR="00D85FAC" w:rsidRDefault="00D85FAC" w:rsidP="00D85FAC">
            <w:pPr>
              <w:pStyle w:val="table1"/>
              <w:spacing w:line="276" w:lineRule="auto"/>
              <w:rPr>
                <w:rFonts w:eastAsia="Arial Unicode MS"/>
              </w:rPr>
            </w:pPr>
            <w:r>
              <w:rPr>
                <w:rFonts w:eastAsia="Arial Unicode MS"/>
              </w:rPr>
              <w:br/>
            </w:r>
            <w:r>
              <w:rPr>
                <w:rFonts w:eastAsia="Arial Unicode MS"/>
              </w:rPr>
              <w:br/>
            </w:r>
          </w:p>
        </w:tc>
      </w:tr>
      <w:tr w:rsidR="00D85FAC" w:rsidTr="00D85FAC">
        <w:trPr>
          <w:cantSplit/>
          <w:trHeight w:val="310"/>
          <w:jc w:val="center"/>
        </w:trPr>
        <w:tc>
          <w:tcPr>
            <w:tcW w:w="1843" w:type="dxa"/>
            <w:tcBorders>
              <w:bottom w:val="single" w:sz="4" w:space="0" w:color="999999"/>
            </w:tcBorders>
          </w:tcPr>
          <w:p w:rsidR="00D85FAC" w:rsidRDefault="00D85FAC" w:rsidP="00D85FAC">
            <w:pPr>
              <w:pStyle w:val="table1"/>
              <w:spacing w:line="276" w:lineRule="auto"/>
              <w:rPr>
                <w:rFonts w:eastAsia="Arial Unicode MS"/>
                <w:lang w:val="pt-BR"/>
              </w:rPr>
            </w:pPr>
            <w:r>
              <w:rPr>
                <w:rFonts w:eastAsia="Arial Unicode MS"/>
                <w:i/>
                <w:iCs/>
                <w:lang w:val="pt-BR"/>
              </w:rPr>
              <w:t>Hydra viridissima</w:t>
            </w:r>
            <w:r>
              <w:rPr>
                <w:rFonts w:eastAsia="Arial Unicode MS"/>
                <w:lang w:val="pt-BR"/>
              </w:rPr>
              <w:br/>
              <w:t>(96-h population growth)</w:t>
            </w:r>
          </w:p>
        </w:tc>
        <w:tc>
          <w:tcPr>
            <w:tcW w:w="851" w:type="dxa"/>
            <w:tcBorders>
              <w:bottom w:val="single" w:sz="4" w:space="0" w:color="999999"/>
            </w:tcBorders>
          </w:tcPr>
          <w:p w:rsidR="00D85FAC" w:rsidRDefault="00D85FAC" w:rsidP="00D85FAC">
            <w:pPr>
              <w:pStyle w:val="table1"/>
              <w:spacing w:line="276" w:lineRule="auto"/>
              <w:jc w:val="center"/>
              <w:rPr>
                <w:rFonts w:eastAsia="Arial Unicode MS"/>
              </w:rPr>
            </w:pPr>
            <w:r>
              <w:rPr>
                <w:rFonts w:eastAsia="Arial Unicode MS"/>
              </w:rPr>
              <w:t>1029B</w:t>
            </w:r>
            <w:r>
              <w:rPr>
                <w:rFonts w:eastAsia="Arial Unicode MS"/>
              </w:rPr>
              <w:br/>
              <w:t>1077B</w:t>
            </w:r>
            <w:r>
              <w:rPr>
                <w:rFonts w:eastAsia="Arial Unicode MS"/>
              </w:rPr>
              <w:br/>
              <w:t>1099B</w:t>
            </w:r>
            <w:r>
              <w:rPr>
                <w:rFonts w:eastAsia="Arial Unicode MS"/>
              </w:rPr>
              <w:br/>
              <w:t>1136B</w:t>
            </w:r>
            <w:r>
              <w:rPr>
                <w:rFonts w:eastAsia="Arial Unicode MS"/>
              </w:rPr>
              <w:br/>
              <w:t>1164B</w:t>
            </w:r>
            <w:r>
              <w:rPr>
                <w:rFonts w:eastAsia="Arial Unicode MS"/>
              </w:rPr>
              <w:br/>
              <w:t>1198B</w:t>
            </w:r>
          </w:p>
        </w:tc>
        <w:tc>
          <w:tcPr>
            <w:tcW w:w="1751" w:type="dxa"/>
            <w:tcBorders>
              <w:bottom w:val="single" w:sz="4" w:space="0" w:color="999999"/>
            </w:tcBorders>
          </w:tcPr>
          <w:p w:rsidR="00D85FAC" w:rsidRDefault="00D85FAC" w:rsidP="00D85FAC">
            <w:pPr>
              <w:pStyle w:val="table1"/>
              <w:spacing w:line="276" w:lineRule="auto"/>
              <w:jc w:val="center"/>
              <w:rPr>
                <w:rFonts w:eastAsia="Arial Unicode MS"/>
              </w:rPr>
            </w:pPr>
            <w:r>
              <w:rPr>
                <w:rFonts w:eastAsia="Arial Unicode MS"/>
              </w:rPr>
              <w:t>68 (65, 71)</w:t>
            </w:r>
            <w:r>
              <w:rPr>
                <w:rFonts w:eastAsia="Arial Unicode MS"/>
              </w:rPr>
              <w:br/>
              <w:t>45 (32, 59)</w:t>
            </w:r>
            <w:r>
              <w:rPr>
                <w:rFonts w:eastAsia="Arial Unicode MS"/>
              </w:rPr>
              <w:br/>
              <w:t>77 (72, 81)</w:t>
            </w:r>
            <w:r>
              <w:rPr>
                <w:rFonts w:eastAsia="Arial Unicode MS"/>
                <w:snapToGrid w:val="0"/>
                <w:color w:val="000000"/>
                <w:position w:val="4"/>
                <w:sz w:val="11"/>
                <w:szCs w:val="0"/>
                <w:u w:color="000000"/>
              </w:rPr>
              <w:t>a</w:t>
            </w:r>
            <w:r>
              <w:rPr>
                <w:rFonts w:eastAsia="Arial Unicode MS"/>
                <w:snapToGrid w:val="0"/>
                <w:color w:val="000000"/>
                <w:position w:val="4"/>
                <w:sz w:val="11"/>
                <w:szCs w:val="0"/>
                <w:u w:color="000000"/>
              </w:rPr>
              <w:br/>
            </w:r>
            <w:r>
              <w:rPr>
                <w:rFonts w:eastAsia="Arial Unicode MS"/>
                <w:snapToGrid w:val="0"/>
                <w:color w:val="000000"/>
                <w:szCs w:val="0"/>
                <w:u w:color="000000"/>
              </w:rPr>
              <w:t>98 (86, 109)</w:t>
            </w:r>
            <w:r>
              <w:rPr>
                <w:rFonts w:eastAsia="Arial Unicode MS"/>
                <w:snapToGrid w:val="0"/>
                <w:color w:val="000000"/>
                <w:szCs w:val="0"/>
                <w:u w:color="000000"/>
              </w:rPr>
              <w:br/>
              <w:t>90 (71, 103)</w:t>
            </w:r>
            <w:r>
              <w:rPr>
                <w:rFonts w:eastAsia="Arial Unicode MS"/>
                <w:snapToGrid w:val="0"/>
                <w:color w:val="000000"/>
                <w:szCs w:val="0"/>
                <w:u w:color="000000"/>
              </w:rPr>
              <w:br/>
              <w:t>103 (96, 109)</w:t>
            </w:r>
          </w:p>
        </w:tc>
        <w:tc>
          <w:tcPr>
            <w:tcW w:w="1196" w:type="dxa"/>
            <w:tcBorders>
              <w:bottom w:val="single" w:sz="4" w:space="0" w:color="999999"/>
            </w:tcBorders>
            <w:vAlign w:val="center"/>
          </w:tcPr>
          <w:p w:rsidR="00D85FAC" w:rsidRDefault="00D85FAC" w:rsidP="00D85FAC">
            <w:pPr>
              <w:pStyle w:val="table1"/>
              <w:spacing w:line="276" w:lineRule="auto"/>
              <w:jc w:val="center"/>
              <w:rPr>
                <w:rFonts w:eastAsia="Arial Unicode MS"/>
              </w:rPr>
            </w:pPr>
            <w:r>
              <w:rPr>
                <w:rFonts w:eastAsia="Arial Unicode MS"/>
              </w:rPr>
              <w:t>Yes</w:t>
            </w:r>
            <w:r>
              <w:rPr>
                <w:rFonts w:eastAsia="Arial Unicode MS"/>
              </w:rPr>
              <w:br/>
              <w:t>Yes</w:t>
            </w:r>
            <w:r>
              <w:rPr>
                <w:rFonts w:eastAsia="Arial Unicode MS"/>
              </w:rPr>
              <w:br/>
              <w:t>Yes</w:t>
            </w:r>
            <w:r>
              <w:rPr>
                <w:rFonts w:eastAsia="Arial Unicode MS"/>
              </w:rPr>
              <w:br/>
              <w:t>Yes</w:t>
            </w:r>
            <w:r>
              <w:rPr>
                <w:rFonts w:eastAsia="Arial Unicode MS"/>
              </w:rPr>
              <w:br/>
              <w:t>Yes</w:t>
            </w:r>
            <w:r>
              <w:rPr>
                <w:rFonts w:eastAsia="Arial Unicode MS"/>
              </w:rPr>
              <w:br/>
              <w:t>Yes</w:t>
            </w:r>
          </w:p>
        </w:tc>
        <w:tc>
          <w:tcPr>
            <w:tcW w:w="2168" w:type="dxa"/>
            <w:tcBorders>
              <w:bottom w:val="single" w:sz="4" w:space="0" w:color="999999"/>
            </w:tcBorders>
          </w:tcPr>
          <w:p w:rsidR="00D85FAC" w:rsidRDefault="00D85FAC" w:rsidP="00D85FAC">
            <w:pPr>
              <w:pStyle w:val="table1"/>
              <w:spacing w:line="276" w:lineRule="auto"/>
              <w:rPr>
                <w:rFonts w:eastAsia="Arial Unicode MS"/>
              </w:rPr>
            </w:pPr>
            <w:r>
              <w:rPr>
                <w:rFonts w:eastAsia="Arial Unicode MS"/>
              </w:rPr>
              <w:br/>
            </w:r>
            <w:r>
              <w:rPr>
                <w:rFonts w:eastAsia="Arial Unicode MS"/>
              </w:rPr>
              <w:br/>
            </w:r>
            <w:r>
              <w:rPr>
                <w:rFonts w:eastAsia="Arial Unicode MS"/>
              </w:rPr>
              <w:br/>
            </w:r>
          </w:p>
        </w:tc>
      </w:tr>
      <w:tr w:rsidR="00D85FAC" w:rsidTr="00D85FAC">
        <w:trPr>
          <w:cantSplit/>
          <w:trHeight w:val="310"/>
          <w:jc w:val="center"/>
        </w:trPr>
        <w:tc>
          <w:tcPr>
            <w:tcW w:w="1843" w:type="dxa"/>
            <w:tcBorders>
              <w:bottom w:val="single" w:sz="4" w:space="0" w:color="999999"/>
            </w:tcBorders>
          </w:tcPr>
          <w:p w:rsidR="00D85FAC" w:rsidRDefault="00D85FAC" w:rsidP="00D85FAC">
            <w:pPr>
              <w:pStyle w:val="table1"/>
              <w:spacing w:line="276" w:lineRule="auto"/>
              <w:rPr>
                <w:rFonts w:eastAsia="Arial Unicode MS"/>
              </w:rPr>
            </w:pPr>
            <w:r>
              <w:rPr>
                <w:rFonts w:eastAsia="Arial Unicode MS"/>
                <w:i/>
              </w:rPr>
              <w:t>Moinodaphnia macleayi</w:t>
            </w:r>
            <w:r>
              <w:rPr>
                <w:rFonts w:eastAsia="Arial Unicode MS"/>
              </w:rPr>
              <w:br/>
              <w:t>(48-h immobilisation)</w:t>
            </w:r>
          </w:p>
        </w:tc>
        <w:tc>
          <w:tcPr>
            <w:tcW w:w="851" w:type="dxa"/>
            <w:tcBorders>
              <w:bottom w:val="single" w:sz="4" w:space="0" w:color="999999"/>
            </w:tcBorders>
          </w:tcPr>
          <w:p w:rsidR="00D85FAC" w:rsidRDefault="00D85FAC" w:rsidP="00D85FAC">
            <w:pPr>
              <w:pStyle w:val="table1"/>
              <w:spacing w:line="276" w:lineRule="auto"/>
              <w:jc w:val="center"/>
              <w:rPr>
                <w:rFonts w:eastAsia="Arial Unicode MS"/>
              </w:rPr>
            </w:pPr>
            <w:r>
              <w:rPr>
                <w:rFonts w:eastAsia="Arial Unicode MS"/>
              </w:rPr>
              <w:t>1023I</w:t>
            </w:r>
            <w:r>
              <w:rPr>
                <w:rFonts w:eastAsia="Arial Unicode MS"/>
              </w:rPr>
              <w:br/>
              <w:t>1078I</w:t>
            </w:r>
            <w:r>
              <w:rPr>
                <w:rFonts w:eastAsia="Arial Unicode MS"/>
              </w:rPr>
              <w:br/>
            </w:r>
            <w:r>
              <w:rPr>
                <w:rFonts w:eastAsia="Arial Unicode MS"/>
              </w:rPr>
              <w:br/>
              <w:t>1103I</w:t>
            </w:r>
            <w:r>
              <w:rPr>
                <w:rFonts w:eastAsia="Arial Unicode MS"/>
              </w:rPr>
              <w:br/>
              <w:t>1129I</w:t>
            </w:r>
            <w:r>
              <w:rPr>
                <w:rFonts w:eastAsia="Arial Unicode MS"/>
              </w:rPr>
              <w:br/>
              <w:t>1156I</w:t>
            </w:r>
            <w:r>
              <w:rPr>
                <w:rFonts w:eastAsia="Arial Unicode MS"/>
              </w:rPr>
              <w:br/>
              <w:t>1174I</w:t>
            </w:r>
            <w:r>
              <w:rPr>
                <w:rFonts w:eastAsia="Arial Unicode MS"/>
              </w:rPr>
              <w:br/>
              <w:t>1190I</w:t>
            </w:r>
            <w:r>
              <w:rPr>
                <w:rFonts w:eastAsia="Arial Unicode MS"/>
              </w:rPr>
              <w:br/>
              <w:t>1191I</w:t>
            </w:r>
          </w:p>
        </w:tc>
        <w:tc>
          <w:tcPr>
            <w:tcW w:w="1751" w:type="dxa"/>
            <w:tcBorders>
              <w:bottom w:val="single" w:sz="4" w:space="0" w:color="999999"/>
            </w:tcBorders>
          </w:tcPr>
          <w:p w:rsidR="00D85FAC" w:rsidRDefault="00D85FAC" w:rsidP="00D85FAC">
            <w:pPr>
              <w:pStyle w:val="table1"/>
              <w:spacing w:line="276" w:lineRule="auto"/>
              <w:jc w:val="center"/>
              <w:rPr>
                <w:rFonts w:eastAsia="Arial Unicode MS"/>
              </w:rPr>
            </w:pPr>
            <w:r>
              <w:rPr>
                <w:rFonts w:eastAsia="Arial Unicode MS"/>
              </w:rPr>
              <w:t>95 (93, 98)</w:t>
            </w:r>
            <w:r>
              <w:rPr>
                <w:rFonts w:eastAsia="Arial Unicode MS"/>
              </w:rPr>
              <w:br/>
              <w:t>NC</w:t>
            </w:r>
            <w:r>
              <w:rPr>
                <w:rFonts w:eastAsia="Arial Unicode MS"/>
                <w:snapToGrid w:val="0"/>
                <w:color w:val="000000"/>
                <w:position w:val="4"/>
                <w:sz w:val="11"/>
                <w:szCs w:val="0"/>
                <w:u w:color="000000"/>
              </w:rPr>
              <w:t>b</w:t>
            </w:r>
            <w:r>
              <w:rPr>
                <w:rFonts w:eastAsia="Arial Unicode MS"/>
              </w:rPr>
              <w:br/>
            </w:r>
            <w:r>
              <w:rPr>
                <w:rFonts w:eastAsia="Arial Unicode MS"/>
              </w:rPr>
              <w:br/>
              <w:t>14 (11, 17)</w:t>
            </w:r>
            <w:r>
              <w:rPr>
                <w:rFonts w:eastAsia="Arial Unicode MS"/>
              </w:rPr>
              <w:br/>
              <w:t>55 (47, 64)</w:t>
            </w:r>
            <w:r>
              <w:rPr>
                <w:rFonts w:eastAsia="Arial Unicode MS"/>
              </w:rPr>
              <w:br/>
              <w:t>47 (NC)</w:t>
            </w:r>
            <w:r>
              <w:rPr>
                <w:rFonts w:eastAsia="Arial Unicode MS"/>
              </w:rPr>
              <w:br/>
              <w:t>225 (NC)</w:t>
            </w:r>
            <w:r>
              <w:rPr>
                <w:rFonts w:eastAsia="Arial Unicode MS"/>
              </w:rPr>
              <w:br/>
              <w:t>90 (78, 103)</w:t>
            </w:r>
            <w:r>
              <w:rPr>
                <w:rFonts w:eastAsia="Arial Unicode MS"/>
              </w:rPr>
              <w:br/>
              <w:t>NC</w:t>
            </w:r>
          </w:p>
        </w:tc>
        <w:tc>
          <w:tcPr>
            <w:tcW w:w="1196" w:type="dxa"/>
            <w:tcBorders>
              <w:bottom w:val="single" w:sz="4" w:space="0" w:color="999999"/>
            </w:tcBorders>
            <w:vAlign w:val="center"/>
          </w:tcPr>
          <w:p w:rsidR="00D85FAC" w:rsidRDefault="00D85FAC" w:rsidP="00D85FAC">
            <w:pPr>
              <w:pStyle w:val="table1"/>
              <w:spacing w:line="276" w:lineRule="auto"/>
              <w:jc w:val="center"/>
              <w:rPr>
                <w:rFonts w:eastAsia="Arial Unicode MS"/>
              </w:rPr>
            </w:pPr>
            <w:r>
              <w:rPr>
                <w:rFonts w:eastAsia="Arial Unicode MS"/>
              </w:rPr>
              <w:t>Yes</w:t>
            </w:r>
            <w:r>
              <w:rPr>
                <w:rFonts w:eastAsia="Arial Unicode MS"/>
              </w:rPr>
              <w:br/>
              <w:t>No</w:t>
            </w:r>
            <w:r>
              <w:rPr>
                <w:rFonts w:eastAsia="Arial Unicode MS"/>
              </w:rPr>
              <w:br/>
            </w:r>
            <w:r>
              <w:rPr>
                <w:rFonts w:eastAsia="Arial Unicode MS"/>
              </w:rPr>
              <w:br/>
              <w:t>Yes</w:t>
            </w:r>
            <w:r>
              <w:rPr>
                <w:rFonts w:eastAsia="Arial Unicode MS"/>
              </w:rPr>
              <w:br/>
              <w:t>Yes</w:t>
            </w:r>
            <w:r>
              <w:rPr>
                <w:rFonts w:eastAsia="Arial Unicode MS"/>
              </w:rPr>
              <w:br/>
              <w:t>Yes</w:t>
            </w:r>
            <w:r>
              <w:rPr>
                <w:rFonts w:eastAsia="Arial Unicode MS"/>
              </w:rPr>
              <w:br/>
              <w:t>Yes</w:t>
            </w:r>
            <w:r>
              <w:rPr>
                <w:rFonts w:eastAsia="Arial Unicode MS"/>
              </w:rPr>
              <w:br/>
              <w:t>Yes</w:t>
            </w:r>
            <w:r>
              <w:rPr>
                <w:rFonts w:eastAsia="Arial Unicode MS"/>
              </w:rPr>
              <w:br/>
              <w:t>No</w:t>
            </w:r>
          </w:p>
        </w:tc>
        <w:tc>
          <w:tcPr>
            <w:tcW w:w="2168" w:type="dxa"/>
            <w:tcBorders>
              <w:bottom w:val="single" w:sz="4" w:space="0" w:color="999999"/>
            </w:tcBorders>
          </w:tcPr>
          <w:p w:rsidR="00D85FAC" w:rsidRDefault="00D85FAC" w:rsidP="00D85FAC">
            <w:pPr>
              <w:pStyle w:val="table1"/>
              <w:tabs>
                <w:tab w:val="left" w:pos="0"/>
                <w:tab w:val="right" w:pos="8306"/>
              </w:tabs>
              <w:spacing w:line="276" w:lineRule="auto"/>
              <w:ind w:left="100" w:hanging="100"/>
              <w:rPr>
                <w:rFonts w:eastAsia="Arial Unicode MS"/>
                <w:snapToGrid w:val="0"/>
                <w:color w:val="000000"/>
                <w:position w:val="4"/>
                <w:szCs w:val="16"/>
                <w:u w:color="000000"/>
              </w:rPr>
            </w:pPr>
            <w:r w:rsidRPr="00D53C1A">
              <w:rPr>
                <w:rFonts w:eastAsia="Arial Unicode MS"/>
                <w:snapToGrid w:val="0"/>
                <w:color w:val="000000"/>
                <w:position w:val="4"/>
                <w:szCs w:val="16"/>
                <w:u w:color="000000"/>
              </w:rPr>
              <w:br/>
            </w:r>
            <w:r>
              <w:rPr>
                <w:rFonts w:eastAsia="Arial Unicode MS"/>
              </w:rPr>
              <w:t>No effect at highest concentration</w:t>
            </w:r>
            <w:r>
              <w:rPr>
                <w:rFonts w:eastAsia="Arial Unicode MS"/>
                <w:snapToGrid w:val="0"/>
                <w:color w:val="000000"/>
                <w:position w:val="4"/>
                <w:sz w:val="11"/>
                <w:szCs w:val="0"/>
                <w:u w:color="000000"/>
              </w:rPr>
              <w:t>a</w:t>
            </w:r>
            <w:r>
              <w:rPr>
                <w:rFonts w:eastAsia="Arial Unicode MS"/>
                <w:snapToGrid w:val="0"/>
                <w:color w:val="000000"/>
                <w:position w:val="4"/>
                <w:sz w:val="11"/>
                <w:szCs w:val="0"/>
                <w:u w:color="000000"/>
              </w:rPr>
              <w:br/>
            </w:r>
            <w:r>
              <w:rPr>
                <w:rFonts w:eastAsia="Arial Unicode MS"/>
              </w:rPr>
              <w:br/>
            </w:r>
            <w:r>
              <w:rPr>
                <w:rFonts w:eastAsia="Arial Unicode MS"/>
              </w:rPr>
              <w:br/>
            </w:r>
            <w:r>
              <w:rPr>
                <w:rFonts w:eastAsia="Arial Unicode MS"/>
              </w:rPr>
              <w:br/>
            </w:r>
            <w:r>
              <w:rPr>
                <w:rFonts w:eastAsia="Arial Unicode MS"/>
              </w:rPr>
              <w:br/>
            </w:r>
            <w:r>
              <w:rPr>
                <w:rFonts w:eastAsia="Arial Unicode MS"/>
              </w:rPr>
              <w:br/>
              <w:t>No effect at highest concentration</w:t>
            </w:r>
            <w:r>
              <w:rPr>
                <w:rFonts w:eastAsia="Arial Unicode MS"/>
                <w:snapToGrid w:val="0"/>
                <w:color w:val="000000"/>
                <w:position w:val="4"/>
                <w:sz w:val="11"/>
                <w:szCs w:val="0"/>
                <w:u w:color="000000"/>
              </w:rPr>
              <w:t>a</w:t>
            </w:r>
          </w:p>
        </w:tc>
      </w:tr>
      <w:tr w:rsidR="00D85FAC" w:rsidTr="00D85FAC">
        <w:trPr>
          <w:cantSplit/>
          <w:trHeight w:val="310"/>
          <w:jc w:val="center"/>
        </w:trPr>
        <w:tc>
          <w:tcPr>
            <w:tcW w:w="1843" w:type="dxa"/>
            <w:tcBorders>
              <w:top w:val="single" w:sz="4" w:space="0" w:color="999999"/>
              <w:bottom w:val="single" w:sz="4" w:space="0" w:color="999999"/>
            </w:tcBorders>
          </w:tcPr>
          <w:p w:rsidR="00D85FAC" w:rsidRDefault="00D85FAC" w:rsidP="00D85FAC">
            <w:pPr>
              <w:pStyle w:val="table1"/>
              <w:spacing w:line="276" w:lineRule="auto"/>
              <w:rPr>
                <w:rFonts w:eastAsia="Arial Unicode MS"/>
                <w:i/>
                <w:lang w:val="pt-BR"/>
              </w:rPr>
            </w:pPr>
            <w:r>
              <w:rPr>
                <w:rFonts w:eastAsia="Arial Unicode MS"/>
                <w:i/>
                <w:lang w:val="pt-BR"/>
              </w:rPr>
              <w:t>Mogurnda mogurnda</w:t>
            </w:r>
            <w:r>
              <w:rPr>
                <w:rFonts w:eastAsia="Arial Unicode MS"/>
                <w:lang w:val="pt-BR"/>
              </w:rPr>
              <w:br/>
              <w:t>(96-h sac fry survival)</w:t>
            </w:r>
            <w:r>
              <w:rPr>
                <w:rFonts w:eastAsia="Arial Unicode MS"/>
                <w:lang w:val="pt-BR"/>
              </w:rPr>
              <w:br/>
            </w:r>
          </w:p>
        </w:tc>
        <w:tc>
          <w:tcPr>
            <w:tcW w:w="851" w:type="dxa"/>
            <w:tcBorders>
              <w:top w:val="single" w:sz="4" w:space="0" w:color="999999"/>
              <w:bottom w:val="single" w:sz="4" w:space="0" w:color="999999"/>
            </w:tcBorders>
          </w:tcPr>
          <w:p w:rsidR="00D85FAC" w:rsidRDefault="00D85FAC" w:rsidP="00D85FAC">
            <w:pPr>
              <w:pStyle w:val="table1"/>
              <w:spacing w:line="276" w:lineRule="auto"/>
              <w:jc w:val="center"/>
              <w:rPr>
                <w:rFonts w:eastAsia="Arial Unicode MS"/>
              </w:rPr>
            </w:pPr>
            <w:r>
              <w:rPr>
                <w:rFonts w:eastAsia="Arial Unicode MS"/>
              </w:rPr>
              <w:t>1060E</w:t>
            </w:r>
            <w:r>
              <w:rPr>
                <w:rFonts w:eastAsia="Arial Unicode MS"/>
              </w:rPr>
              <w:br/>
              <w:t>1098E</w:t>
            </w:r>
            <w:r>
              <w:rPr>
                <w:rFonts w:eastAsia="Arial Unicode MS"/>
              </w:rPr>
              <w:br/>
              <w:t>1123E</w:t>
            </w:r>
            <w:r>
              <w:rPr>
                <w:rFonts w:eastAsia="Arial Unicode MS"/>
              </w:rPr>
              <w:br/>
              <w:t>1157E</w:t>
            </w:r>
            <w:r>
              <w:rPr>
                <w:rFonts w:eastAsia="Arial Unicode MS"/>
              </w:rPr>
              <w:br/>
              <w:t>1175E</w:t>
            </w:r>
          </w:p>
        </w:tc>
        <w:tc>
          <w:tcPr>
            <w:tcW w:w="1751" w:type="dxa"/>
            <w:tcBorders>
              <w:top w:val="single" w:sz="4" w:space="0" w:color="999999"/>
              <w:bottom w:val="single" w:sz="4" w:space="0" w:color="999999"/>
            </w:tcBorders>
          </w:tcPr>
          <w:p w:rsidR="00D85FAC" w:rsidRDefault="00D85FAC" w:rsidP="00D85FAC">
            <w:pPr>
              <w:pStyle w:val="table1"/>
              <w:spacing w:line="276" w:lineRule="auto"/>
              <w:jc w:val="center"/>
              <w:rPr>
                <w:rFonts w:eastAsia="Arial Unicode MS"/>
              </w:rPr>
            </w:pPr>
            <w:r>
              <w:rPr>
                <w:rFonts w:eastAsia="Arial Unicode MS"/>
              </w:rPr>
              <w:t>1202 (1043, 1349)</w:t>
            </w:r>
            <w:r>
              <w:rPr>
                <w:rFonts w:eastAsia="Arial Unicode MS"/>
              </w:rPr>
              <w:br/>
              <w:t>1252 (1108, 1373)</w:t>
            </w:r>
            <w:r>
              <w:rPr>
                <w:rFonts w:eastAsia="Arial Unicode MS"/>
              </w:rPr>
              <w:br/>
              <w:t>1582 (1469, 1689)</w:t>
            </w:r>
            <w:r>
              <w:rPr>
                <w:rFonts w:eastAsia="Arial Unicode MS"/>
              </w:rPr>
              <w:br/>
              <w:t>1640 (1590, 1660)</w:t>
            </w:r>
            <w:r>
              <w:rPr>
                <w:rFonts w:eastAsia="Arial Unicode MS"/>
              </w:rPr>
              <w:br/>
              <w:t>1636 (1523, 1687)</w:t>
            </w:r>
          </w:p>
        </w:tc>
        <w:tc>
          <w:tcPr>
            <w:tcW w:w="1196" w:type="dxa"/>
            <w:tcBorders>
              <w:top w:val="single" w:sz="4" w:space="0" w:color="999999"/>
              <w:bottom w:val="single" w:sz="4" w:space="0" w:color="999999"/>
            </w:tcBorders>
            <w:vAlign w:val="center"/>
          </w:tcPr>
          <w:p w:rsidR="00D85FAC" w:rsidRDefault="00D85FAC" w:rsidP="00D85FAC">
            <w:pPr>
              <w:pStyle w:val="table1"/>
              <w:spacing w:line="276" w:lineRule="auto"/>
              <w:jc w:val="center"/>
              <w:rPr>
                <w:rFonts w:eastAsia="Arial Unicode MS"/>
              </w:rPr>
            </w:pPr>
            <w:r>
              <w:rPr>
                <w:rFonts w:eastAsia="Arial Unicode MS"/>
              </w:rPr>
              <w:t>Yes</w:t>
            </w:r>
            <w:r>
              <w:rPr>
                <w:rFonts w:eastAsia="Arial Unicode MS"/>
              </w:rPr>
              <w:br/>
              <w:t>Yes</w:t>
            </w:r>
            <w:r>
              <w:rPr>
                <w:rFonts w:eastAsia="Arial Unicode MS"/>
              </w:rPr>
              <w:br/>
              <w:t>Yes</w:t>
            </w:r>
            <w:r>
              <w:rPr>
                <w:rFonts w:eastAsia="Arial Unicode MS"/>
              </w:rPr>
              <w:br/>
              <w:t>Yes</w:t>
            </w:r>
            <w:r>
              <w:rPr>
                <w:rFonts w:eastAsia="Arial Unicode MS"/>
              </w:rPr>
              <w:br/>
              <w:t>Yes</w:t>
            </w:r>
          </w:p>
        </w:tc>
        <w:tc>
          <w:tcPr>
            <w:tcW w:w="2168" w:type="dxa"/>
            <w:tcBorders>
              <w:top w:val="single" w:sz="4" w:space="0" w:color="999999"/>
              <w:bottom w:val="single" w:sz="4" w:space="0" w:color="999999"/>
            </w:tcBorders>
          </w:tcPr>
          <w:p w:rsidR="00D85FAC" w:rsidRDefault="00D85FAC" w:rsidP="00D85FAC">
            <w:pPr>
              <w:pStyle w:val="table1"/>
              <w:spacing w:line="276" w:lineRule="auto"/>
              <w:rPr>
                <w:rFonts w:eastAsia="Arial Unicode MS"/>
              </w:rPr>
            </w:pPr>
            <w:r>
              <w:rPr>
                <w:rFonts w:eastAsia="Arial Unicode MS"/>
              </w:rPr>
              <w:br/>
            </w:r>
            <w:r>
              <w:rPr>
                <w:rFonts w:eastAsia="Arial Unicode MS"/>
              </w:rPr>
              <w:br/>
            </w:r>
          </w:p>
        </w:tc>
      </w:tr>
      <w:tr w:rsidR="00D85FAC" w:rsidTr="00D85FAC">
        <w:trPr>
          <w:cantSplit/>
          <w:trHeight w:val="310"/>
          <w:jc w:val="center"/>
        </w:trPr>
        <w:tc>
          <w:tcPr>
            <w:tcW w:w="1843" w:type="dxa"/>
            <w:tcBorders>
              <w:top w:val="single" w:sz="4" w:space="0" w:color="999999"/>
              <w:bottom w:val="single" w:sz="4" w:space="0" w:color="auto"/>
            </w:tcBorders>
          </w:tcPr>
          <w:p w:rsidR="00D85FAC" w:rsidRPr="00621D54" w:rsidRDefault="00D85FAC" w:rsidP="00D85FAC">
            <w:pPr>
              <w:pStyle w:val="table1"/>
              <w:spacing w:line="276" w:lineRule="auto"/>
              <w:rPr>
                <w:rFonts w:eastAsia="Arial Unicode MS"/>
                <w:lang w:val="pt-BR"/>
              </w:rPr>
            </w:pPr>
            <w:r>
              <w:rPr>
                <w:rFonts w:eastAsia="Arial Unicode MS"/>
                <w:i/>
                <w:lang w:val="pt-BR"/>
              </w:rPr>
              <w:t xml:space="preserve">Lemna aquinoctialis </w:t>
            </w:r>
            <w:r>
              <w:rPr>
                <w:rFonts w:eastAsia="Arial Unicode MS"/>
                <w:lang w:val="pt-BR"/>
              </w:rPr>
              <w:t xml:space="preserve">(96-h population growth) </w:t>
            </w:r>
          </w:p>
        </w:tc>
        <w:tc>
          <w:tcPr>
            <w:tcW w:w="851" w:type="dxa"/>
            <w:tcBorders>
              <w:top w:val="single" w:sz="4" w:space="0" w:color="999999"/>
              <w:bottom w:val="single" w:sz="4" w:space="0" w:color="auto"/>
            </w:tcBorders>
          </w:tcPr>
          <w:p w:rsidR="00D85FAC" w:rsidRDefault="00D85FAC" w:rsidP="00D85FAC">
            <w:pPr>
              <w:pStyle w:val="table1"/>
              <w:spacing w:line="276" w:lineRule="auto"/>
              <w:rPr>
                <w:rFonts w:eastAsia="Arial Unicode MS"/>
              </w:rPr>
            </w:pPr>
            <w:r>
              <w:rPr>
                <w:rFonts w:eastAsia="Arial Unicode MS"/>
              </w:rPr>
              <w:t xml:space="preserve">    1049L</w:t>
            </w:r>
            <w:r>
              <w:rPr>
                <w:rFonts w:eastAsia="Arial Unicode MS"/>
              </w:rPr>
              <w:br/>
              <w:t xml:space="preserve">    1065L</w:t>
            </w:r>
            <w:r>
              <w:rPr>
                <w:rFonts w:eastAsia="Arial Unicode MS"/>
              </w:rPr>
              <w:br/>
              <w:t xml:space="preserve">    1089L</w:t>
            </w:r>
            <w:r>
              <w:rPr>
                <w:rFonts w:eastAsia="Arial Unicode MS"/>
              </w:rPr>
              <w:br/>
              <w:t xml:space="preserve">    1093L</w:t>
            </w:r>
            <w:r>
              <w:rPr>
                <w:rFonts w:eastAsia="Arial Unicode MS"/>
              </w:rPr>
              <w:br/>
              <w:t xml:space="preserve">    1141L</w:t>
            </w:r>
            <w:r>
              <w:rPr>
                <w:rFonts w:eastAsia="Arial Unicode MS"/>
              </w:rPr>
              <w:br/>
              <w:t xml:space="preserve">    1167L</w:t>
            </w:r>
            <w:r>
              <w:rPr>
                <w:rFonts w:eastAsia="Arial Unicode MS"/>
              </w:rPr>
              <w:br/>
              <w:t xml:space="preserve">    1183L</w:t>
            </w:r>
          </w:p>
        </w:tc>
        <w:tc>
          <w:tcPr>
            <w:tcW w:w="1751" w:type="dxa"/>
            <w:tcBorders>
              <w:top w:val="single" w:sz="4" w:space="0" w:color="999999"/>
              <w:bottom w:val="single" w:sz="4" w:space="0" w:color="auto"/>
            </w:tcBorders>
          </w:tcPr>
          <w:p w:rsidR="00D85FAC" w:rsidRDefault="00D85FAC" w:rsidP="00D85FAC">
            <w:pPr>
              <w:pStyle w:val="table1"/>
              <w:spacing w:line="276" w:lineRule="auto"/>
              <w:jc w:val="center"/>
              <w:rPr>
                <w:rFonts w:eastAsia="Arial Unicode MS"/>
              </w:rPr>
            </w:pPr>
            <w:r>
              <w:rPr>
                <w:rFonts w:eastAsia="Arial Unicode MS"/>
              </w:rPr>
              <w:t>10000 (7800 12000)</w:t>
            </w:r>
            <w:r>
              <w:rPr>
                <w:rFonts w:eastAsia="Arial Unicode MS"/>
              </w:rPr>
              <w:br/>
              <w:t>11650 (10300, 12300)</w:t>
            </w:r>
            <w:r>
              <w:rPr>
                <w:rFonts w:eastAsia="Arial Unicode MS"/>
              </w:rPr>
              <w:br/>
              <w:t>9480 (9080, 10530)</w:t>
            </w:r>
            <w:r>
              <w:rPr>
                <w:rFonts w:eastAsia="Arial Unicode MS"/>
              </w:rPr>
              <w:br/>
              <w:t>10370 (9900, 10900)</w:t>
            </w:r>
            <w:r>
              <w:rPr>
                <w:rFonts w:eastAsia="Arial Unicode MS"/>
              </w:rPr>
              <w:br/>
              <w:t>13030 (11500, 16000)</w:t>
            </w:r>
            <w:r>
              <w:rPr>
                <w:rFonts w:eastAsia="Arial Unicode MS"/>
              </w:rPr>
              <w:br/>
              <w:t>10900 (10300, 11340)</w:t>
            </w:r>
            <w:r>
              <w:rPr>
                <w:rFonts w:eastAsia="Arial Unicode MS"/>
              </w:rPr>
              <w:br/>
              <w:t>10450 (9180, 11840)</w:t>
            </w:r>
          </w:p>
        </w:tc>
        <w:tc>
          <w:tcPr>
            <w:tcW w:w="1196" w:type="dxa"/>
            <w:tcBorders>
              <w:top w:val="single" w:sz="4" w:space="0" w:color="999999"/>
              <w:bottom w:val="single" w:sz="4" w:space="0" w:color="auto"/>
            </w:tcBorders>
            <w:vAlign w:val="center"/>
          </w:tcPr>
          <w:p w:rsidR="00D85FAC" w:rsidRDefault="00D85FAC" w:rsidP="00D85FAC">
            <w:pPr>
              <w:pStyle w:val="table1"/>
              <w:spacing w:line="276" w:lineRule="auto"/>
              <w:jc w:val="center"/>
              <w:rPr>
                <w:rFonts w:eastAsia="Arial Unicode MS"/>
              </w:rPr>
            </w:pPr>
            <w:r>
              <w:rPr>
                <w:rFonts w:eastAsia="Arial Unicode MS"/>
              </w:rPr>
              <w:t>Yes</w:t>
            </w:r>
            <w:r>
              <w:rPr>
                <w:rFonts w:eastAsia="Arial Unicode MS"/>
              </w:rPr>
              <w:br/>
              <w:t>Yes</w:t>
            </w:r>
            <w:r>
              <w:rPr>
                <w:rFonts w:eastAsia="Arial Unicode MS"/>
              </w:rPr>
              <w:br/>
              <w:t>Yes</w:t>
            </w:r>
            <w:r>
              <w:rPr>
                <w:rFonts w:eastAsia="Arial Unicode MS"/>
              </w:rPr>
              <w:br/>
              <w:t>Yes</w:t>
            </w:r>
            <w:r>
              <w:rPr>
                <w:rFonts w:eastAsia="Arial Unicode MS"/>
              </w:rPr>
              <w:br/>
              <w:t>Yes</w:t>
            </w:r>
            <w:r>
              <w:rPr>
                <w:rFonts w:eastAsia="Arial Unicode MS"/>
              </w:rPr>
              <w:br/>
              <w:t>Yes</w:t>
            </w:r>
            <w:r>
              <w:rPr>
                <w:rFonts w:eastAsia="Arial Unicode MS"/>
              </w:rPr>
              <w:br/>
              <w:t>Yes</w:t>
            </w:r>
          </w:p>
        </w:tc>
        <w:tc>
          <w:tcPr>
            <w:tcW w:w="2168" w:type="dxa"/>
            <w:tcBorders>
              <w:top w:val="single" w:sz="4" w:space="0" w:color="999999"/>
              <w:bottom w:val="single" w:sz="4" w:space="0" w:color="auto"/>
            </w:tcBorders>
          </w:tcPr>
          <w:p w:rsidR="00D85FAC" w:rsidRDefault="00D85FAC" w:rsidP="00D85FAC">
            <w:pPr>
              <w:pStyle w:val="table1"/>
              <w:spacing w:line="276" w:lineRule="auto"/>
              <w:rPr>
                <w:rFonts w:eastAsia="Arial Unicode MS"/>
              </w:rPr>
            </w:pPr>
          </w:p>
        </w:tc>
      </w:tr>
    </w:tbl>
    <w:p w:rsidR="00D85FAC" w:rsidRDefault="00D85FAC" w:rsidP="00D85FAC">
      <w:pPr>
        <w:pStyle w:val="tablenote"/>
        <w:spacing w:after="0" w:line="276" w:lineRule="auto"/>
        <w:rPr>
          <w:snapToGrid w:val="0"/>
          <w:color w:val="000000"/>
          <w:position w:val="3"/>
          <w:sz w:val="9"/>
          <w:szCs w:val="0"/>
          <w:u w:color="000000"/>
        </w:rPr>
      </w:pPr>
      <w:r>
        <w:t>Values in parentheses represent 95% confidence limits</w:t>
      </w:r>
    </w:p>
    <w:p w:rsidR="00D85FAC" w:rsidRDefault="00D85FAC" w:rsidP="00D85FAC">
      <w:pPr>
        <w:pStyle w:val="tablenote"/>
        <w:spacing w:after="0" w:line="276" w:lineRule="auto"/>
      </w:pPr>
      <w:proofErr w:type="gramStart"/>
      <w:r>
        <w:rPr>
          <w:snapToGrid w:val="0"/>
          <w:color w:val="000000"/>
          <w:position w:val="3"/>
          <w:sz w:val="9"/>
          <w:szCs w:val="0"/>
          <w:u w:color="000000"/>
        </w:rPr>
        <w:t>a</w:t>
      </w:r>
      <w:r>
        <w:t xml:space="preserve">  See</w:t>
      </w:r>
      <w:proofErr w:type="gramEnd"/>
      <w:r>
        <w:t xml:space="preserve"> text for discussion</w:t>
      </w:r>
    </w:p>
    <w:p w:rsidR="00D85FAC" w:rsidRDefault="00D85FAC" w:rsidP="00D85FAC">
      <w:pPr>
        <w:pStyle w:val="tablenote"/>
        <w:spacing w:line="276" w:lineRule="auto"/>
      </w:pPr>
      <w:proofErr w:type="gramStart"/>
      <w:r w:rsidRPr="007C6ECA">
        <w:rPr>
          <w:snapToGrid w:val="0"/>
          <w:color w:val="000000"/>
          <w:position w:val="3"/>
          <w:sz w:val="9"/>
          <w:szCs w:val="0"/>
          <w:u w:color="000000"/>
        </w:rPr>
        <w:t>b</w:t>
      </w:r>
      <w:r>
        <w:t xml:space="preserve">  Not</w:t>
      </w:r>
      <w:proofErr w:type="gramEnd"/>
      <w:r>
        <w:t xml:space="preserve"> calculable </w:t>
      </w:r>
    </w:p>
    <w:p w:rsidR="00D85FAC" w:rsidRPr="00430CB0" w:rsidRDefault="00D85FAC" w:rsidP="00D85FAC">
      <w:pPr>
        <w:pStyle w:val="Heading3"/>
      </w:pPr>
      <w:bookmarkStart w:id="111" w:name="_Toc282084551"/>
      <w:bookmarkStart w:id="112" w:name="_Toc313523436"/>
      <w:bookmarkStart w:id="113" w:name="_Toc316985279"/>
      <w:r w:rsidRPr="00811FCF">
        <w:rPr>
          <w:i/>
        </w:rPr>
        <w:t>Chlorella</w:t>
      </w:r>
      <w:r w:rsidRPr="00430CB0">
        <w:t xml:space="preserve"> sp</w:t>
      </w:r>
      <w:bookmarkEnd w:id="111"/>
      <w:bookmarkEnd w:id="112"/>
      <w:bookmarkEnd w:id="113"/>
    </w:p>
    <w:p w:rsidR="00D85FAC" w:rsidRDefault="00D85FAC" w:rsidP="00D85FAC">
      <w:r w:rsidRPr="00724253">
        <w:t xml:space="preserve">All </w:t>
      </w:r>
      <w:r>
        <w:t>seven</w:t>
      </w:r>
      <w:r w:rsidRPr="00724253">
        <w:t xml:space="preserve"> </w:t>
      </w:r>
      <w:r w:rsidRPr="00724253">
        <w:rPr>
          <w:i/>
        </w:rPr>
        <w:t>Chlorella</w:t>
      </w:r>
      <w:r w:rsidRPr="00724253">
        <w:t xml:space="preserve"> sp </w:t>
      </w:r>
      <w:r>
        <w:t xml:space="preserve">tests were valid, </w:t>
      </w:r>
      <w:r w:rsidRPr="00724253">
        <w:t xml:space="preserve">with control growth rates within the acceptability criterion of 1.4 </w:t>
      </w:r>
      <w:r w:rsidRPr="00724253">
        <w:sym w:font="Symbol" w:char="F0B1"/>
      </w:r>
      <w:r w:rsidRPr="00724253">
        <w:t xml:space="preserve"> 0.3 doublings/day (Riethmuller </w:t>
      </w:r>
      <w:r>
        <w:t>et al</w:t>
      </w:r>
      <w:r w:rsidRPr="00724253">
        <w:t xml:space="preserve"> 2003). </w:t>
      </w:r>
      <w:r>
        <w:t>There are no issues associated with this protocol. The running mean (n=20) tests EC</w:t>
      </w:r>
      <w:r w:rsidRPr="007A5E94">
        <w:rPr>
          <w:vertAlign w:val="subscript"/>
        </w:rPr>
        <w:t>50</w:t>
      </w:r>
      <w:r>
        <w:t xml:space="preserve"> is 36 </w:t>
      </w:r>
      <w:r>
        <w:rPr>
          <w:snapToGrid w:val="0"/>
          <w:color w:val="000000"/>
          <w:szCs w:val="0"/>
          <w:u w:color="000000"/>
        </w:rPr>
        <w:t>µg L</w:t>
      </w:r>
      <w:r w:rsidRPr="00461476">
        <w:rPr>
          <w:snapToGrid w:val="0"/>
          <w:color w:val="000000"/>
          <w:szCs w:val="0"/>
          <w:u w:color="000000"/>
          <w:vertAlign w:val="superscript"/>
        </w:rPr>
        <w:t>-1</w:t>
      </w:r>
      <w:r>
        <w:rPr>
          <w:snapToGrid w:val="0"/>
          <w:color w:val="000000"/>
          <w:szCs w:val="0"/>
          <w:u w:color="000000"/>
        </w:rPr>
        <w:t xml:space="preserve"> U, with all results within the upper and lower warning limits (</w:t>
      </w:r>
      <w:r>
        <w:rPr>
          <w:snapToGrid w:val="0"/>
          <w:color w:val="000000"/>
          <w:szCs w:val="0"/>
          <w:u w:color="000000"/>
        </w:rPr>
        <w:sym w:font="Symbol" w:char="F0B1"/>
      </w:r>
      <w:r>
        <w:rPr>
          <w:snapToGrid w:val="0"/>
          <w:color w:val="000000"/>
          <w:szCs w:val="0"/>
          <w:u w:color="000000"/>
        </w:rPr>
        <w:t xml:space="preserve"> 2 standard deviations) of 68 and 5 µg L</w:t>
      </w:r>
      <w:r w:rsidRPr="00461476">
        <w:rPr>
          <w:snapToGrid w:val="0"/>
          <w:color w:val="000000"/>
          <w:szCs w:val="0"/>
          <w:u w:color="000000"/>
          <w:vertAlign w:val="superscript"/>
        </w:rPr>
        <w:t>-1</w:t>
      </w:r>
      <w:r>
        <w:rPr>
          <w:snapToGrid w:val="0"/>
          <w:color w:val="000000"/>
          <w:szCs w:val="0"/>
          <w:u w:color="000000"/>
        </w:rPr>
        <w:t xml:space="preserve"> U, respectively.</w:t>
      </w:r>
    </w:p>
    <w:p w:rsidR="00D85FAC" w:rsidRDefault="00D85FAC" w:rsidP="00D85FAC">
      <w:pPr>
        <w:pStyle w:val="Heading3"/>
      </w:pPr>
      <w:bookmarkStart w:id="114" w:name="_Toc282084552"/>
      <w:bookmarkStart w:id="115" w:name="_Toc313523437"/>
      <w:bookmarkStart w:id="116" w:name="_Toc316985280"/>
      <w:r w:rsidRPr="00811FCF">
        <w:rPr>
          <w:i/>
        </w:rPr>
        <w:t>Hydra viridissima</w:t>
      </w:r>
      <w:r>
        <w:t xml:space="preserve"> (green hydra)</w:t>
      </w:r>
      <w:bookmarkEnd w:id="114"/>
      <w:bookmarkEnd w:id="115"/>
      <w:bookmarkEnd w:id="116"/>
    </w:p>
    <w:p w:rsidR="00D85FAC" w:rsidRDefault="00D85FAC" w:rsidP="00D85FAC">
      <w:pPr>
        <w:rPr>
          <w:snapToGrid w:val="0"/>
          <w:color w:val="000000"/>
          <w:szCs w:val="0"/>
          <w:u w:color="000000"/>
        </w:rPr>
      </w:pPr>
      <w:r>
        <w:t xml:space="preserve">All six reference toxicity tests for </w:t>
      </w:r>
      <w:r>
        <w:rPr>
          <w:i/>
        </w:rPr>
        <w:t>H. viridissima</w:t>
      </w:r>
      <w:r>
        <w:t xml:space="preserve"> were valid. There are no issues associated with this protocol. The running mean (n=20) EC</w:t>
      </w:r>
      <w:r w:rsidRPr="007A5E94">
        <w:rPr>
          <w:vertAlign w:val="subscript"/>
        </w:rPr>
        <w:t>50</w:t>
      </w:r>
      <w:r>
        <w:t xml:space="preserve"> is 75 </w:t>
      </w:r>
      <w:r>
        <w:rPr>
          <w:snapToGrid w:val="0"/>
          <w:color w:val="000000"/>
          <w:szCs w:val="0"/>
          <w:u w:color="000000"/>
        </w:rPr>
        <w:t>µg L</w:t>
      </w:r>
      <w:r w:rsidRPr="00461476">
        <w:rPr>
          <w:snapToGrid w:val="0"/>
          <w:color w:val="000000"/>
          <w:szCs w:val="0"/>
          <w:u w:color="000000"/>
          <w:vertAlign w:val="superscript"/>
        </w:rPr>
        <w:t>-1</w:t>
      </w:r>
      <w:r>
        <w:rPr>
          <w:snapToGrid w:val="0"/>
          <w:color w:val="000000"/>
          <w:szCs w:val="0"/>
          <w:u w:color="000000"/>
        </w:rPr>
        <w:t xml:space="preserve"> U, with all results within the upper and lower warning limits (</w:t>
      </w:r>
      <w:r>
        <w:rPr>
          <w:snapToGrid w:val="0"/>
          <w:color w:val="000000"/>
          <w:szCs w:val="0"/>
          <w:u w:color="000000"/>
        </w:rPr>
        <w:sym w:font="Symbol" w:char="F0B1"/>
      </w:r>
      <w:r>
        <w:rPr>
          <w:snapToGrid w:val="0"/>
          <w:color w:val="000000"/>
          <w:szCs w:val="0"/>
          <w:u w:color="000000"/>
        </w:rPr>
        <w:t xml:space="preserve"> 2 standard deviations) of 113 and 40 µg L</w:t>
      </w:r>
      <w:r w:rsidRPr="00461476">
        <w:rPr>
          <w:snapToGrid w:val="0"/>
          <w:color w:val="000000"/>
          <w:szCs w:val="0"/>
          <w:u w:color="000000"/>
          <w:vertAlign w:val="superscript"/>
        </w:rPr>
        <w:t>-1</w:t>
      </w:r>
      <w:r>
        <w:rPr>
          <w:snapToGrid w:val="0"/>
          <w:color w:val="000000"/>
          <w:szCs w:val="0"/>
          <w:u w:color="000000"/>
        </w:rPr>
        <w:t xml:space="preserve"> U, respectively.</w:t>
      </w:r>
    </w:p>
    <w:p w:rsidR="00D85FAC" w:rsidRDefault="00D85FAC" w:rsidP="00D85FAC">
      <w:pPr>
        <w:pStyle w:val="Heading3"/>
      </w:pPr>
      <w:bookmarkStart w:id="117" w:name="_Toc282084553"/>
      <w:bookmarkStart w:id="118" w:name="_Toc313523438"/>
      <w:bookmarkStart w:id="119" w:name="_Toc316985281"/>
      <w:r w:rsidRPr="00811FCF">
        <w:rPr>
          <w:i/>
        </w:rPr>
        <w:lastRenderedPageBreak/>
        <w:t>Moinodaphnia macleayi</w:t>
      </w:r>
      <w:r>
        <w:t xml:space="preserve"> (water flea)</w:t>
      </w:r>
      <w:bookmarkEnd w:id="117"/>
      <w:bookmarkEnd w:id="118"/>
      <w:bookmarkEnd w:id="119"/>
    </w:p>
    <w:p w:rsidR="00D85FAC" w:rsidRPr="00554E9A" w:rsidRDefault="00D85FAC" w:rsidP="00D85FAC">
      <w:pPr>
        <w:rPr>
          <w:snapToGrid w:val="0"/>
          <w:color w:val="000000"/>
          <w:spacing w:val="-2"/>
          <w:szCs w:val="0"/>
          <w:u w:color="000000"/>
        </w:rPr>
      </w:pPr>
      <w:r w:rsidRPr="00554E9A">
        <w:rPr>
          <w:snapToGrid w:val="0"/>
          <w:color w:val="000000"/>
          <w:spacing w:val="-2"/>
          <w:szCs w:val="0"/>
          <w:u w:color="000000"/>
        </w:rPr>
        <w:t>The current running mean (n=19) EC</w:t>
      </w:r>
      <w:r w:rsidRPr="00554E9A">
        <w:rPr>
          <w:snapToGrid w:val="0"/>
          <w:color w:val="000000"/>
          <w:spacing w:val="-2"/>
          <w:position w:val="-5"/>
          <w:sz w:val="15"/>
          <w:szCs w:val="0"/>
          <w:u w:color="000000"/>
        </w:rPr>
        <w:t>50</w:t>
      </w:r>
      <w:r w:rsidRPr="00554E9A">
        <w:rPr>
          <w:snapToGrid w:val="0"/>
          <w:color w:val="000000"/>
          <w:spacing w:val="-2"/>
          <w:szCs w:val="0"/>
          <w:u w:color="000000"/>
        </w:rPr>
        <w:t xml:space="preserve"> (lower, upper warning limits) is 56 (-33, 146) µg L</w:t>
      </w:r>
      <w:r w:rsidRPr="00554E9A">
        <w:rPr>
          <w:snapToGrid w:val="0"/>
          <w:color w:val="000000"/>
          <w:spacing w:val="-2"/>
          <w:szCs w:val="0"/>
          <w:u w:color="000000"/>
          <w:vertAlign w:val="superscript"/>
        </w:rPr>
        <w:t>-1</w:t>
      </w:r>
      <w:r w:rsidRPr="00554E9A">
        <w:rPr>
          <w:snapToGrid w:val="0"/>
          <w:color w:val="000000"/>
          <w:spacing w:val="-2"/>
          <w:szCs w:val="0"/>
          <w:u w:color="000000"/>
        </w:rPr>
        <w:t xml:space="preserve"> U. Of the eight </w:t>
      </w:r>
      <w:r w:rsidRPr="00554E9A">
        <w:rPr>
          <w:spacing w:val="-2"/>
        </w:rPr>
        <w:t xml:space="preserve">reference toxicity tests for </w:t>
      </w:r>
      <w:r w:rsidRPr="00554E9A">
        <w:rPr>
          <w:i/>
          <w:spacing w:val="-2"/>
        </w:rPr>
        <w:t>M. macleayi</w:t>
      </w:r>
      <w:r w:rsidRPr="00554E9A">
        <w:rPr>
          <w:spacing w:val="-2"/>
        </w:rPr>
        <w:t>, six were valid. The two invalid tests experienced failures due to a lack of observed effects at the highest concentrations tested, which does not allow for an EC</w:t>
      </w:r>
      <w:r w:rsidRPr="00554E9A">
        <w:rPr>
          <w:spacing w:val="-2"/>
          <w:vertAlign w:val="subscript"/>
        </w:rPr>
        <w:t>50</w:t>
      </w:r>
      <w:r w:rsidRPr="00554E9A">
        <w:rPr>
          <w:spacing w:val="-2"/>
        </w:rPr>
        <w:t xml:space="preserve"> to be calculated. The first invalid test (1078I) produced an unusual result, whereby there was 100% survival of </w:t>
      </w:r>
      <w:r w:rsidRPr="00554E9A">
        <w:rPr>
          <w:i/>
          <w:snapToGrid w:val="0"/>
          <w:color w:val="000000"/>
          <w:spacing w:val="-2"/>
          <w:szCs w:val="0"/>
          <w:u w:color="000000"/>
        </w:rPr>
        <w:t>M. macleayi</w:t>
      </w:r>
      <w:r w:rsidRPr="00554E9A">
        <w:rPr>
          <w:snapToGrid w:val="0"/>
          <w:color w:val="000000"/>
          <w:spacing w:val="-2"/>
          <w:szCs w:val="0"/>
          <w:u w:color="000000"/>
        </w:rPr>
        <w:t xml:space="preserve"> exposed to the highest concentration tested </w:t>
      </w:r>
      <w:proofErr w:type="gramStart"/>
      <w:r w:rsidRPr="00554E9A">
        <w:rPr>
          <w:snapToGrid w:val="0"/>
          <w:color w:val="000000"/>
          <w:spacing w:val="-2"/>
          <w:szCs w:val="0"/>
          <w:u w:color="000000"/>
        </w:rPr>
        <w:t>of  ~</w:t>
      </w:r>
      <w:proofErr w:type="gramEnd"/>
      <w:r w:rsidRPr="00554E9A">
        <w:rPr>
          <w:snapToGrid w:val="0"/>
          <w:color w:val="000000"/>
          <w:spacing w:val="-2"/>
          <w:szCs w:val="0"/>
          <w:u w:color="000000"/>
        </w:rPr>
        <w:t>140 µg L</w:t>
      </w:r>
      <w:r w:rsidRPr="00554E9A">
        <w:rPr>
          <w:snapToGrid w:val="0"/>
          <w:color w:val="000000"/>
          <w:spacing w:val="-2"/>
          <w:szCs w:val="0"/>
          <w:u w:color="000000"/>
          <w:vertAlign w:val="superscript"/>
        </w:rPr>
        <w:t>-1</w:t>
      </w:r>
      <w:r w:rsidRPr="00554E9A">
        <w:rPr>
          <w:snapToGrid w:val="0"/>
          <w:color w:val="000000"/>
          <w:spacing w:val="-2"/>
          <w:szCs w:val="0"/>
          <w:u w:color="000000"/>
        </w:rPr>
        <w:t xml:space="preserve"> U.</w:t>
      </w:r>
      <w:r w:rsidRPr="00554E9A">
        <w:rPr>
          <w:spacing w:val="-2"/>
        </w:rPr>
        <w:t xml:space="preserve"> In response to this, </w:t>
      </w:r>
      <w:r w:rsidRPr="00554E9A">
        <w:rPr>
          <w:snapToGrid w:val="0"/>
          <w:color w:val="000000"/>
          <w:spacing w:val="-2"/>
          <w:szCs w:val="0"/>
          <w:u w:color="000000"/>
        </w:rPr>
        <w:t>U concentrations over a broader range were investigated (control, 4, 18, 75, 147 and 300 µg L</w:t>
      </w:r>
      <w:r w:rsidRPr="00554E9A">
        <w:rPr>
          <w:snapToGrid w:val="0"/>
          <w:color w:val="000000"/>
          <w:spacing w:val="-2"/>
          <w:szCs w:val="0"/>
          <w:u w:color="000000"/>
          <w:vertAlign w:val="superscript"/>
        </w:rPr>
        <w:t>-1</w:t>
      </w:r>
      <w:r w:rsidRPr="00554E9A">
        <w:rPr>
          <w:snapToGrid w:val="0"/>
          <w:color w:val="000000"/>
          <w:spacing w:val="-2"/>
          <w:szCs w:val="0"/>
          <w:u w:color="000000"/>
        </w:rPr>
        <w:t>) to determine an effect concentration. Mortality was observed at 18 µg L</w:t>
      </w:r>
      <w:r w:rsidRPr="00554E9A">
        <w:rPr>
          <w:snapToGrid w:val="0"/>
          <w:color w:val="000000"/>
          <w:spacing w:val="-2"/>
          <w:szCs w:val="0"/>
          <w:u w:color="000000"/>
          <w:vertAlign w:val="superscript"/>
        </w:rPr>
        <w:t>-1</w:t>
      </w:r>
      <w:r w:rsidRPr="00554E9A">
        <w:rPr>
          <w:snapToGrid w:val="0"/>
          <w:color w:val="000000"/>
          <w:spacing w:val="-2"/>
          <w:szCs w:val="0"/>
          <w:u w:color="000000"/>
        </w:rPr>
        <w:t xml:space="preserve"> U with 100% mortality to </w:t>
      </w:r>
      <w:r w:rsidRPr="00554E9A">
        <w:rPr>
          <w:i/>
          <w:snapToGrid w:val="0"/>
          <w:color w:val="000000"/>
          <w:spacing w:val="-2"/>
          <w:szCs w:val="0"/>
          <w:u w:color="000000"/>
        </w:rPr>
        <w:t xml:space="preserve">M. macleayi </w:t>
      </w:r>
      <w:r w:rsidRPr="00554E9A">
        <w:rPr>
          <w:snapToGrid w:val="0"/>
          <w:color w:val="000000"/>
          <w:spacing w:val="-2"/>
          <w:szCs w:val="0"/>
          <w:u w:color="000000"/>
        </w:rPr>
        <w:t>exposed to 75, 147 and 300 µg L</w:t>
      </w:r>
      <w:r w:rsidRPr="00554E9A">
        <w:rPr>
          <w:snapToGrid w:val="0"/>
          <w:color w:val="000000"/>
          <w:spacing w:val="-2"/>
          <w:szCs w:val="0"/>
          <w:u w:color="000000"/>
          <w:vertAlign w:val="superscript"/>
        </w:rPr>
        <w:t>-1</w:t>
      </w:r>
      <w:r w:rsidRPr="00554E9A">
        <w:rPr>
          <w:snapToGrid w:val="0"/>
          <w:color w:val="000000"/>
          <w:spacing w:val="-2"/>
          <w:szCs w:val="0"/>
          <w:u w:color="000000"/>
        </w:rPr>
        <w:t xml:space="preserve"> U, resulting in a EC</w:t>
      </w:r>
      <w:r w:rsidRPr="00554E9A">
        <w:rPr>
          <w:snapToGrid w:val="0"/>
          <w:color w:val="000000"/>
          <w:spacing w:val="-2"/>
          <w:position w:val="-5"/>
          <w:sz w:val="15"/>
          <w:szCs w:val="0"/>
          <w:u w:color="000000"/>
        </w:rPr>
        <w:t>50</w:t>
      </w:r>
      <w:r w:rsidRPr="00554E9A">
        <w:rPr>
          <w:snapToGrid w:val="0"/>
          <w:color w:val="000000"/>
          <w:spacing w:val="-2"/>
          <w:szCs w:val="0"/>
          <w:u w:color="000000"/>
        </w:rPr>
        <w:t xml:space="preserve"> of 14 µg L</w:t>
      </w:r>
      <w:r w:rsidRPr="00554E9A">
        <w:rPr>
          <w:snapToGrid w:val="0"/>
          <w:color w:val="000000"/>
          <w:spacing w:val="-2"/>
          <w:szCs w:val="0"/>
          <w:u w:color="000000"/>
          <w:vertAlign w:val="superscript"/>
        </w:rPr>
        <w:t>-1</w:t>
      </w:r>
      <w:r w:rsidRPr="00554E9A">
        <w:rPr>
          <w:snapToGrid w:val="0"/>
          <w:color w:val="000000"/>
          <w:spacing w:val="-2"/>
          <w:szCs w:val="0"/>
          <w:u w:color="000000"/>
        </w:rPr>
        <w:t xml:space="preserve"> U. This test was repeated resulting in significant mortality at 80, 160 and 320 µg L</w:t>
      </w:r>
      <w:r w:rsidRPr="00554E9A">
        <w:rPr>
          <w:snapToGrid w:val="0"/>
          <w:color w:val="000000"/>
          <w:spacing w:val="-2"/>
          <w:szCs w:val="0"/>
          <w:u w:color="000000"/>
          <w:vertAlign w:val="superscript"/>
        </w:rPr>
        <w:t>-1</w:t>
      </w:r>
      <w:r w:rsidRPr="00554E9A">
        <w:rPr>
          <w:snapToGrid w:val="0"/>
          <w:color w:val="000000"/>
          <w:spacing w:val="-2"/>
          <w:szCs w:val="0"/>
          <w:u w:color="000000"/>
        </w:rPr>
        <w:t xml:space="preserve"> U, and a LC</w:t>
      </w:r>
      <w:r w:rsidRPr="00554E9A">
        <w:rPr>
          <w:snapToGrid w:val="0"/>
          <w:color w:val="000000"/>
          <w:spacing w:val="-2"/>
          <w:position w:val="-5"/>
          <w:sz w:val="15"/>
          <w:szCs w:val="0"/>
          <w:u w:color="000000"/>
        </w:rPr>
        <w:t>50</w:t>
      </w:r>
      <w:r w:rsidRPr="00554E9A">
        <w:rPr>
          <w:snapToGrid w:val="0"/>
          <w:color w:val="000000"/>
          <w:spacing w:val="-2"/>
          <w:szCs w:val="0"/>
          <w:u w:color="000000"/>
        </w:rPr>
        <w:t xml:space="preserve"> of 55 µg L</w:t>
      </w:r>
      <w:r w:rsidRPr="00554E9A">
        <w:rPr>
          <w:snapToGrid w:val="0"/>
          <w:color w:val="000000"/>
          <w:spacing w:val="-2"/>
          <w:szCs w:val="0"/>
          <w:u w:color="000000"/>
          <w:vertAlign w:val="superscript"/>
        </w:rPr>
        <w:t>-1</w:t>
      </w:r>
      <w:r w:rsidRPr="00554E9A">
        <w:rPr>
          <w:snapToGrid w:val="0"/>
          <w:color w:val="000000"/>
          <w:spacing w:val="-2"/>
          <w:szCs w:val="0"/>
          <w:u w:color="000000"/>
        </w:rPr>
        <w:t xml:space="preserve"> U.</w:t>
      </w:r>
      <w:r w:rsidRPr="00554E9A">
        <w:rPr>
          <w:spacing w:val="-2"/>
        </w:rPr>
        <w:t xml:space="preserve">It was suspected that the fermented food provided to </w:t>
      </w:r>
      <w:r w:rsidRPr="00554E9A">
        <w:rPr>
          <w:i/>
          <w:spacing w:val="-2"/>
        </w:rPr>
        <w:t>M. macleayi</w:t>
      </w:r>
      <w:r w:rsidRPr="00554E9A">
        <w:rPr>
          <w:spacing w:val="-2"/>
        </w:rPr>
        <w:t xml:space="preserve"> during testing (fermented food with vitamins, FFV) was contributing to the variable response observed across cladoceran tests, as FFV is prepared approximately every 3 months and the fermentation process may lead to variable microbial communities, particulate sizes and organic carbon. </w:t>
      </w:r>
      <w:r w:rsidRPr="00554E9A">
        <w:rPr>
          <w:snapToGrid w:val="0"/>
          <w:color w:val="000000"/>
          <w:spacing w:val="-2"/>
          <w:szCs w:val="0"/>
          <w:u w:color="000000"/>
        </w:rPr>
        <w:t xml:space="preserve">Every effort is made to achieve similar FFV (ie ingredients, quantity, temperature, colour and smell). </w:t>
      </w:r>
      <w:r w:rsidRPr="00554E9A">
        <w:rPr>
          <w:spacing w:val="-2"/>
        </w:rPr>
        <w:t xml:space="preserve">A side by side comparison </w:t>
      </w:r>
      <w:r w:rsidRPr="00554E9A">
        <w:rPr>
          <w:snapToGrid w:val="0"/>
          <w:color w:val="000000"/>
          <w:spacing w:val="-2"/>
          <w:szCs w:val="0"/>
          <w:u w:color="000000"/>
        </w:rPr>
        <w:t xml:space="preserve">using regular unfiltered FFV and 0.1 µm filtered FFV, was conducted. This aimed to determine if the filtered or particulate fraction of FFV was more nutritionally important for </w:t>
      </w:r>
      <w:r w:rsidRPr="00554E9A">
        <w:rPr>
          <w:i/>
          <w:snapToGrid w:val="0"/>
          <w:color w:val="000000"/>
          <w:spacing w:val="-2"/>
          <w:szCs w:val="0"/>
          <w:u w:color="000000"/>
        </w:rPr>
        <w:t>M. macleayi</w:t>
      </w:r>
      <w:r w:rsidRPr="00554E9A">
        <w:rPr>
          <w:snapToGrid w:val="0"/>
          <w:color w:val="000000"/>
          <w:spacing w:val="-2"/>
          <w:szCs w:val="0"/>
          <w:u w:color="000000"/>
        </w:rPr>
        <w:t xml:space="preserve">, and whether U toxicity would be affected, noting that such factors might explain the variable toxicity results produced by this test. All other aspects of the test conditions were the same (ie diluent water, algal food density, light intensity and temperature). </w:t>
      </w:r>
    </w:p>
    <w:p w:rsidR="00D85FAC" w:rsidRPr="00811FCF" w:rsidRDefault="00D85FAC" w:rsidP="00D85FAC">
      <w:pPr>
        <w:rPr>
          <w:snapToGrid w:val="0"/>
          <w:color w:val="000000"/>
          <w:spacing w:val="-2"/>
          <w:szCs w:val="0"/>
          <w:u w:color="000000"/>
        </w:rPr>
      </w:pPr>
      <w:r w:rsidRPr="00811FCF">
        <w:rPr>
          <w:snapToGrid w:val="0"/>
          <w:color w:val="000000"/>
          <w:spacing w:val="-2"/>
          <w:szCs w:val="0"/>
          <w:u w:color="000000"/>
        </w:rPr>
        <w:t>There was 100% mortality in fleas exposed to 320 µg L</w:t>
      </w:r>
      <w:r w:rsidRPr="00811FCF">
        <w:rPr>
          <w:snapToGrid w:val="0"/>
          <w:color w:val="000000"/>
          <w:spacing w:val="-2"/>
          <w:szCs w:val="0"/>
          <w:u w:color="000000"/>
          <w:vertAlign w:val="superscript"/>
        </w:rPr>
        <w:t>-1</w:t>
      </w:r>
      <w:r w:rsidRPr="00811FCF">
        <w:rPr>
          <w:snapToGrid w:val="0"/>
          <w:color w:val="000000"/>
          <w:spacing w:val="-2"/>
          <w:szCs w:val="0"/>
          <w:u w:color="000000"/>
        </w:rPr>
        <w:t xml:space="preserve"> U with unfiltered FFV, while all the individuals survived following exposure to the same U concentrations with the filtered FFV (Figure 2a). The results suggested that U bound to particulate organic matter may be a significant source of U to </w:t>
      </w:r>
      <w:r w:rsidRPr="00811FCF">
        <w:rPr>
          <w:i/>
          <w:snapToGrid w:val="0"/>
          <w:color w:val="000000"/>
          <w:spacing w:val="-2"/>
          <w:szCs w:val="0"/>
          <w:u w:color="000000"/>
        </w:rPr>
        <w:t>M. macleayi</w:t>
      </w:r>
      <w:r w:rsidRPr="00811FCF">
        <w:rPr>
          <w:snapToGrid w:val="0"/>
          <w:color w:val="000000"/>
          <w:spacing w:val="-2"/>
          <w:szCs w:val="0"/>
          <w:u w:color="000000"/>
        </w:rPr>
        <w:t xml:space="preserve"> than dissolved U, at least under the conditions used here. </w:t>
      </w:r>
    </w:p>
    <w:p w:rsidR="00D85FAC" w:rsidRDefault="00D85FAC" w:rsidP="00D85FAC">
      <w:pPr>
        <w:rPr>
          <w:snapToGrid w:val="0"/>
          <w:color w:val="000000"/>
          <w:szCs w:val="0"/>
          <w:u w:color="000000"/>
        </w:rPr>
      </w:pPr>
      <w:r>
        <w:rPr>
          <w:snapToGrid w:val="0"/>
          <w:color w:val="000000"/>
          <w:szCs w:val="0"/>
          <w:u w:color="000000"/>
        </w:rPr>
        <w:t>Toxicity tests were also conducted using two different batches of FFV to determine if reproducibility could be achieved and to compare toxicity results between the two. One FFV was used in a previous test that produced an E</w:t>
      </w:r>
      <w:r w:rsidRPr="00724253">
        <w:rPr>
          <w:snapToGrid w:val="0"/>
          <w:color w:val="000000"/>
          <w:szCs w:val="0"/>
          <w:u w:color="000000"/>
        </w:rPr>
        <w:t>C</w:t>
      </w:r>
      <w:r w:rsidRPr="00724253">
        <w:rPr>
          <w:snapToGrid w:val="0"/>
          <w:color w:val="000000"/>
          <w:position w:val="-5"/>
          <w:sz w:val="15"/>
          <w:szCs w:val="0"/>
          <w:u w:color="000000"/>
        </w:rPr>
        <w:t>50</w:t>
      </w:r>
      <w:r>
        <w:rPr>
          <w:snapToGrid w:val="0"/>
          <w:color w:val="000000"/>
          <w:szCs w:val="0"/>
          <w:u w:color="000000"/>
        </w:rPr>
        <w:t xml:space="preserve"> of 225 </w:t>
      </w:r>
      <w:r w:rsidRPr="00724253">
        <w:rPr>
          <w:snapToGrid w:val="0"/>
          <w:color w:val="000000"/>
          <w:szCs w:val="0"/>
          <w:u w:color="000000"/>
        </w:rPr>
        <w:t>µg L</w:t>
      </w:r>
      <w:r w:rsidRPr="00724253">
        <w:rPr>
          <w:snapToGrid w:val="0"/>
          <w:color w:val="000000"/>
          <w:szCs w:val="0"/>
          <w:u w:color="000000"/>
          <w:vertAlign w:val="superscript"/>
        </w:rPr>
        <w:t>-1</w:t>
      </w:r>
      <w:r w:rsidRPr="00724253">
        <w:rPr>
          <w:snapToGrid w:val="0"/>
          <w:color w:val="000000"/>
          <w:szCs w:val="0"/>
          <w:u w:color="000000"/>
        </w:rPr>
        <w:t xml:space="preserve"> U</w:t>
      </w:r>
      <w:r>
        <w:rPr>
          <w:snapToGrid w:val="0"/>
          <w:color w:val="000000"/>
          <w:szCs w:val="0"/>
          <w:u w:color="000000"/>
        </w:rPr>
        <w:t xml:space="preserve"> with no significant mortality to individuals exposed to 150 </w:t>
      </w:r>
      <w:r w:rsidRPr="00724253">
        <w:rPr>
          <w:snapToGrid w:val="0"/>
          <w:color w:val="000000"/>
          <w:szCs w:val="0"/>
          <w:u w:color="000000"/>
        </w:rPr>
        <w:t>µg L</w:t>
      </w:r>
      <w:r w:rsidRPr="00724253">
        <w:rPr>
          <w:snapToGrid w:val="0"/>
          <w:color w:val="000000"/>
          <w:szCs w:val="0"/>
          <w:u w:color="000000"/>
          <w:vertAlign w:val="superscript"/>
        </w:rPr>
        <w:t>-1</w:t>
      </w:r>
      <w:r w:rsidRPr="00724253">
        <w:rPr>
          <w:snapToGrid w:val="0"/>
          <w:color w:val="000000"/>
          <w:szCs w:val="0"/>
          <w:u w:color="000000"/>
        </w:rPr>
        <w:t xml:space="preserve"> U</w:t>
      </w:r>
      <w:r>
        <w:rPr>
          <w:snapToGrid w:val="0"/>
          <w:color w:val="000000"/>
          <w:szCs w:val="0"/>
          <w:u w:color="000000"/>
        </w:rPr>
        <w:t xml:space="preserve">. A repeat test with the same batch </w:t>
      </w:r>
      <w:proofErr w:type="gramStart"/>
      <w:r>
        <w:rPr>
          <w:snapToGrid w:val="0"/>
          <w:color w:val="000000"/>
          <w:szCs w:val="0"/>
          <w:u w:color="000000"/>
        </w:rPr>
        <w:t>off  FFV</w:t>
      </w:r>
      <w:proofErr w:type="gramEnd"/>
      <w:r>
        <w:rPr>
          <w:snapToGrid w:val="0"/>
          <w:color w:val="000000"/>
          <w:szCs w:val="0"/>
          <w:u w:color="000000"/>
        </w:rPr>
        <w:t xml:space="preserve"> (preserved by freezing) resulted in no effect to </w:t>
      </w:r>
      <w:r w:rsidRPr="00724253">
        <w:rPr>
          <w:i/>
          <w:snapToGrid w:val="0"/>
          <w:color w:val="000000"/>
          <w:szCs w:val="0"/>
          <w:u w:color="000000"/>
        </w:rPr>
        <w:t>M. macleayi</w:t>
      </w:r>
      <w:r>
        <w:rPr>
          <w:i/>
          <w:snapToGrid w:val="0"/>
          <w:color w:val="000000"/>
          <w:szCs w:val="0"/>
          <w:u w:color="000000"/>
        </w:rPr>
        <w:t xml:space="preserve"> </w:t>
      </w:r>
      <w:r w:rsidRPr="00724253">
        <w:rPr>
          <w:snapToGrid w:val="0"/>
          <w:color w:val="000000"/>
          <w:szCs w:val="0"/>
          <w:u w:color="000000"/>
        </w:rPr>
        <w:t>exposed to</w:t>
      </w:r>
      <w:r>
        <w:rPr>
          <w:snapToGrid w:val="0"/>
          <w:color w:val="000000"/>
          <w:szCs w:val="0"/>
          <w:u w:color="000000"/>
        </w:rPr>
        <w:t xml:space="preserve"> 140 </w:t>
      </w:r>
      <w:r w:rsidRPr="00724253">
        <w:rPr>
          <w:snapToGrid w:val="0"/>
          <w:color w:val="000000"/>
          <w:szCs w:val="0"/>
          <w:u w:color="000000"/>
        </w:rPr>
        <w:t>µg L</w:t>
      </w:r>
      <w:r w:rsidRPr="00724253">
        <w:rPr>
          <w:snapToGrid w:val="0"/>
          <w:color w:val="000000"/>
          <w:szCs w:val="0"/>
          <w:u w:color="000000"/>
          <w:vertAlign w:val="superscript"/>
        </w:rPr>
        <w:t>-1</w:t>
      </w:r>
      <w:r w:rsidRPr="00724253">
        <w:rPr>
          <w:snapToGrid w:val="0"/>
          <w:color w:val="000000"/>
          <w:szCs w:val="0"/>
          <w:u w:color="000000"/>
        </w:rPr>
        <w:t xml:space="preserve"> U</w:t>
      </w:r>
      <w:r>
        <w:rPr>
          <w:snapToGrid w:val="0"/>
          <w:color w:val="000000"/>
          <w:szCs w:val="0"/>
          <w:u w:color="000000"/>
        </w:rPr>
        <w:t xml:space="preserve">. Moreover, there was no significant mortality of individuals exposed to 270 </w:t>
      </w:r>
      <w:r w:rsidRPr="00724253">
        <w:rPr>
          <w:snapToGrid w:val="0"/>
          <w:color w:val="000000"/>
          <w:szCs w:val="0"/>
          <w:u w:color="000000"/>
        </w:rPr>
        <w:t>µg L</w:t>
      </w:r>
      <w:r w:rsidRPr="00724253">
        <w:rPr>
          <w:snapToGrid w:val="0"/>
          <w:color w:val="000000"/>
          <w:szCs w:val="0"/>
          <w:u w:color="000000"/>
          <w:vertAlign w:val="superscript"/>
        </w:rPr>
        <w:t>-1</w:t>
      </w:r>
      <w:r w:rsidRPr="00724253">
        <w:rPr>
          <w:snapToGrid w:val="0"/>
          <w:color w:val="000000"/>
          <w:szCs w:val="0"/>
          <w:u w:color="000000"/>
        </w:rPr>
        <w:t xml:space="preserve"> U</w:t>
      </w:r>
      <w:r>
        <w:rPr>
          <w:snapToGrid w:val="0"/>
          <w:color w:val="000000"/>
          <w:szCs w:val="0"/>
          <w:u w:color="000000"/>
        </w:rPr>
        <w:t xml:space="preserve">. This test was run concurrently with a test using a new batch of FFV to determine if different batches of FFV had any influence on toxicity (all other test conditions were the same). The test with newer FFV had very different toxicity effects, with significant mortality to individuals exposed to 69, 140 and 270 </w:t>
      </w:r>
      <w:r w:rsidRPr="00724253">
        <w:rPr>
          <w:snapToGrid w:val="0"/>
          <w:color w:val="000000"/>
          <w:szCs w:val="0"/>
          <w:u w:color="000000"/>
        </w:rPr>
        <w:t>µg L</w:t>
      </w:r>
      <w:r w:rsidRPr="00724253">
        <w:rPr>
          <w:snapToGrid w:val="0"/>
          <w:color w:val="000000"/>
          <w:szCs w:val="0"/>
          <w:u w:color="000000"/>
          <w:vertAlign w:val="superscript"/>
        </w:rPr>
        <w:t>-1</w:t>
      </w:r>
      <w:r w:rsidRPr="00724253">
        <w:rPr>
          <w:snapToGrid w:val="0"/>
          <w:color w:val="000000"/>
          <w:szCs w:val="0"/>
          <w:u w:color="000000"/>
        </w:rPr>
        <w:t xml:space="preserve"> U</w:t>
      </w:r>
      <w:r>
        <w:rPr>
          <w:snapToGrid w:val="0"/>
          <w:color w:val="000000"/>
          <w:szCs w:val="0"/>
          <w:u w:color="000000"/>
        </w:rPr>
        <w:t xml:space="preserve"> (Figure 2b). These results suggested that the composition of FFV (organic carbon, microbial community, particulate size) varies enough between batches to potentially affect U toxicity and that preservation by freezing for long periods (&gt;3 months) may contribute to a reduction in toxicity. </w:t>
      </w:r>
    </w:p>
    <w:p w:rsidR="00D85FAC" w:rsidRDefault="00D85FAC" w:rsidP="00D85FAC">
      <w:pPr>
        <w:rPr>
          <w:snapToGrid w:val="0"/>
          <w:color w:val="000000"/>
          <w:szCs w:val="0"/>
          <w:u w:color="000000"/>
        </w:rPr>
      </w:pPr>
      <w:r>
        <w:rPr>
          <w:snapToGrid w:val="0"/>
          <w:color w:val="000000"/>
          <w:szCs w:val="0"/>
          <w:u w:color="000000"/>
        </w:rPr>
        <w:t xml:space="preserve">A reproductive test </w:t>
      </w:r>
      <w:proofErr w:type="gramStart"/>
      <w:r>
        <w:rPr>
          <w:snapToGrid w:val="0"/>
          <w:color w:val="000000"/>
          <w:szCs w:val="0"/>
          <w:u w:color="000000"/>
        </w:rPr>
        <w:t>(3 brood)</w:t>
      </w:r>
      <w:proofErr w:type="gramEnd"/>
      <w:r>
        <w:rPr>
          <w:snapToGrid w:val="0"/>
          <w:color w:val="000000"/>
          <w:szCs w:val="0"/>
          <w:u w:color="000000"/>
        </w:rPr>
        <w:t xml:space="preserve"> was conducted to compare unfiltered, 0.45</w:t>
      </w:r>
      <w:r w:rsidRPr="00724253">
        <w:rPr>
          <w:snapToGrid w:val="0"/>
          <w:color w:val="000000"/>
          <w:szCs w:val="0"/>
          <w:u w:color="000000"/>
        </w:rPr>
        <w:t>µ</w:t>
      </w:r>
      <w:r>
        <w:rPr>
          <w:snapToGrid w:val="0"/>
          <w:color w:val="000000"/>
          <w:szCs w:val="0"/>
          <w:u w:color="000000"/>
        </w:rPr>
        <w:t>m and 0.1</w:t>
      </w:r>
      <w:r w:rsidRPr="00724253">
        <w:rPr>
          <w:snapToGrid w:val="0"/>
          <w:color w:val="000000"/>
          <w:szCs w:val="0"/>
          <w:u w:color="000000"/>
        </w:rPr>
        <w:t>µ</w:t>
      </w:r>
      <w:r>
        <w:rPr>
          <w:snapToGrid w:val="0"/>
          <w:color w:val="000000"/>
          <w:szCs w:val="0"/>
          <w:u w:color="000000"/>
        </w:rPr>
        <w:t xml:space="preserve">m filtered FFV. </w:t>
      </w:r>
      <w:r>
        <w:t>This trial showed that fleas in both of the filtered treatments had significantly less neonates than fleas with the unfiltered FFV. The filtered treatments, however, were not significantly different from one another.</w:t>
      </w:r>
      <w:r w:rsidRPr="0071580B">
        <w:rPr>
          <w:snapToGrid w:val="0"/>
          <w:color w:val="000000"/>
          <w:szCs w:val="0"/>
          <w:u w:color="000000"/>
        </w:rPr>
        <w:t xml:space="preserve"> </w:t>
      </w:r>
    </w:p>
    <w:p w:rsidR="00D85FAC" w:rsidRDefault="00D85FAC" w:rsidP="00D85FAC">
      <w:r>
        <w:rPr>
          <w:snapToGrid w:val="0"/>
          <w:color w:val="000000"/>
          <w:szCs w:val="0"/>
          <w:u w:color="000000"/>
        </w:rPr>
        <w:t xml:space="preserve">These tests will be repeated in the near future (ie batch vs batch and filtered vs unfiltered FFV) to determine the reproducibility of the results. In addition, the chronic U toxicity effects of filtered versus unfiltered FFV on </w:t>
      </w:r>
      <w:r w:rsidRPr="00884B6C">
        <w:rPr>
          <w:i/>
          <w:snapToGrid w:val="0"/>
          <w:color w:val="000000"/>
          <w:szCs w:val="0"/>
          <w:u w:color="000000"/>
        </w:rPr>
        <w:t>M. macleayi</w:t>
      </w:r>
      <w:r>
        <w:rPr>
          <w:snapToGrid w:val="0"/>
          <w:color w:val="000000"/>
          <w:szCs w:val="0"/>
          <w:u w:color="000000"/>
        </w:rPr>
        <w:t xml:space="preserve"> will also be assessed. This work will also inform the project that plans to determine the effect of DOC on U toxicity to </w:t>
      </w:r>
      <w:r w:rsidRPr="00DF6CC9">
        <w:rPr>
          <w:i/>
          <w:snapToGrid w:val="0"/>
          <w:color w:val="000000"/>
          <w:szCs w:val="0"/>
          <w:u w:color="000000"/>
        </w:rPr>
        <w:t>M. macleayi.</w:t>
      </w:r>
    </w:p>
    <w:tbl>
      <w:tblPr>
        <w:tblW w:w="0" w:type="auto"/>
        <w:tblLook w:val="04A0"/>
      </w:tblPr>
      <w:tblGrid>
        <w:gridCol w:w="4261"/>
        <w:gridCol w:w="4261"/>
      </w:tblGrid>
      <w:tr w:rsidR="00D85FAC" w:rsidTr="00D85FAC">
        <w:tc>
          <w:tcPr>
            <w:tcW w:w="4261" w:type="dxa"/>
          </w:tcPr>
          <w:p w:rsidR="00D85FAC" w:rsidRDefault="00D85FAC" w:rsidP="00D85FAC">
            <w:pPr>
              <w:spacing w:after="0"/>
              <w:jc w:val="center"/>
            </w:pPr>
            <w:r>
              <w:object w:dxaOrig="6485" w:dyaOrig="5419">
                <v:shape id="_x0000_i1028" type="#_x0000_t75" style="width:186.05pt;height:135.45pt" o:ole="">
                  <v:imagedata r:id="rId60" o:title="" croptop="5344f" cropbottom="4540f" cropright="5539f"/>
                </v:shape>
                <o:OLEObject Type="Embed" ProgID="SigmaPlotGraphicObject.10" ShapeID="_x0000_i1028" DrawAspect="Content" ObjectID="_1394264734" r:id="rId61"/>
              </w:object>
            </w:r>
          </w:p>
          <w:p w:rsidR="00D85FAC" w:rsidRDefault="00D85FAC" w:rsidP="00D85FAC">
            <w:pPr>
              <w:jc w:val="left"/>
              <w:rPr>
                <w:snapToGrid w:val="0"/>
                <w:color w:val="000000"/>
                <w:szCs w:val="0"/>
                <w:u w:color="000000"/>
              </w:rPr>
            </w:pPr>
            <w:r>
              <w:t>(a)</w:t>
            </w:r>
          </w:p>
        </w:tc>
        <w:tc>
          <w:tcPr>
            <w:tcW w:w="4261" w:type="dxa"/>
          </w:tcPr>
          <w:p w:rsidR="00D85FAC" w:rsidRDefault="00D85FAC" w:rsidP="00D85FAC">
            <w:pPr>
              <w:spacing w:after="0"/>
              <w:jc w:val="center"/>
            </w:pPr>
            <w:r>
              <w:object w:dxaOrig="6485" w:dyaOrig="5419">
                <v:shape id="_x0000_i1029" type="#_x0000_t75" style="width:186.05pt;height:135.45pt" o:ole="">
                  <v:imagedata r:id="rId62" o:title="" cropbottom="4943f"/>
                </v:shape>
                <o:OLEObject Type="Embed" ProgID="SigmaPlotGraphicObject.10" ShapeID="_x0000_i1029" DrawAspect="Content" ObjectID="_1394264735" r:id="rId63"/>
              </w:object>
            </w:r>
          </w:p>
          <w:p w:rsidR="00D85FAC" w:rsidRDefault="00D85FAC" w:rsidP="00D85FAC">
            <w:pPr>
              <w:jc w:val="left"/>
              <w:rPr>
                <w:snapToGrid w:val="0"/>
                <w:color w:val="000000"/>
                <w:szCs w:val="0"/>
                <w:u w:color="000000"/>
              </w:rPr>
            </w:pPr>
            <w:r>
              <w:t>(b)</w:t>
            </w:r>
          </w:p>
        </w:tc>
      </w:tr>
    </w:tbl>
    <w:p w:rsidR="00D85FAC" w:rsidRPr="00775221" w:rsidRDefault="00D85FAC" w:rsidP="00D85FAC">
      <w:pPr>
        <w:pStyle w:val="figurecaption"/>
        <w:rPr>
          <w:snapToGrid w:val="0"/>
          <w:u w:color="000000"/>
        </w:rPr>
      </w:pPr>
      <w:r w:rsidRPr="00775221">
        <w:rPr>
          <w:b/>
          <w:snapToGrid w:val="0"/>
          <w:u w:color="000000"/>
        </w:rPr>
        <w:t xml:space="preserve">Figure </w:t>
      </w:r>
      <w:proofErr w:type="gramStart"/>
      <w:r w:rsidRPr="00775221">
        <w:rPr>
          <w:b/>
          <w:snapToGrid w:val="0"/>
          <w:u w:color="000000"/>
        </w:rPr>
        <w:t>2</w:t>
      </w:r>
      <w:r>
        <w:rPr>
          <w:snapToGrid w:val="0"/>
          <w:u w:color="000000"/>
        </w:rPr>
        <w:t xml:space="preserve">  Effect</w:t>
      </w:r>
      <w:proofErr w:type="gramEnd"/>
      <w:r>
        <w:rPr>
          <w:snapToGrid w:val="0"/>
          <w:u w:color="000000"/>
        </w:rPr>
        <w:t xml:space="preserve"> of (a) unfiltered and 0.1 </w:t>
      </w:r>
      <w:r>
        <w:rPr>
          <w:snapToGrid w:val="0"/>
          <w:u w:color="000000"/>
        </w:rPr>
        <w:sym w:font="Symbol" w:char="F06D"/>
      </w:r>
      <w:r>
        <w:rPr>
          <w:snapToGrid w:val="0"/>
          <w:u w:color="000000"/>
        </w:rPr>
        <w:t xml:space="preserve">m filtered FFV (food source) and (b) different batches of FFV on the toxicity of uranium to </w:t>
      </w:r>
      <w:r w:rsidRPr="00775221">
        <w:rPr>
          <w:i/>
          <w:snapToGrid w:val="0"/>
          <w:u w:color="000000"/>
        </w:rPr>
        <w:t>M</w:t>
      </w:r>
      <w:r>
        <w:rPr>
          <w:i/>
          <w:snapToGrid w:val="0"/>
          <w:u w:color="000000"/>
        </w:rPr>
        <w:t>.</w:t>
      </w:r>
      <w:r w:rsidRPr="00775221">
        <w:rPr>
          <w:i/>
          <w:snapToGrid w:val="0"/>
          <w:u w:color="000000"/>
        </w:rPr>
        <w:t xml:space="preserve"> macleayi</w:t>
      </w:r>
      <w:r>
        <w:rPr>
          <w:snapToGrid w:val="0"/>
          <w:u w:color="000000"/>
        </w:rPr>
        <w:t xml:space="preserve">. Data points represent means </w:t>
      </w:r>
      <w:r>
        <w:rPr>
          <w:rFonts w:cs="Arial"/>
          <w:snapToGrid w:val="0"/>
          <w:u w:color="000000"/>
        </w:rPr>
        <w:t>±</w:t>
      </w:r>
      <w:r>
        <w:rPr>
          <w:snapToGrid w:val="0"/>
          <w:u w:color="000000"/>
        </w:rPr>
        <w:t xml:space="preserve"> standard error.</w:t>
      </w:r>
    </w:p>
    <w:p w:rsidR="00D85FAC" w:rsidRPr="00811FCF" w:rsidRDefault="00D85FAC" w:rsidP="00D85FAC">
      <w:pPr>
        <w:pStyle w:val="Heading3"/>
        <w:rPr>
          <w:i/>
        </w:rPr>
      </w:pPr>
      <w:bookmarkStart w:id="120" w:name="_Toc282084554"/>
      <w:bookmarkStart w:id="121" w:name="_Toc313523439"/>
      <w:bookmarkStart w:id="122" w:name="_Toc316985282"/>
      <w:r w:rsidRPr="00811FCF">
        <w:rPr>
          <w:i/>
        </w:rPr>
        <w:t>Mogurnda mogurnda</w:t>
      </w:r>
      <w:bookmarkEnd w:id="120"/>
      <w:bookmarkEnd w:id="121"/>
      <w:bookmarkEnd w:id="122"/>
    </w:p>
    <w:p w:rsidR="00D85FAC" w:rsidRDefault="00D85FAC" w:rsidP="00D85FAC">
      <w:pPr>
        <w:rPr>
          <w:snapToGrid w:val="0"/>
          <w:color w:val="000000"/>
          <w:szCs w:val="0"/>
          <w:u w:color="000000"/>
        </w:rPr>
      </w:pPr>
      <w:r>
        <w:t xml:space="preserve">All five reference toxicity tests for </w:t>
      </w:r>
      <w:r>
        <w:rPr>
          <w:i/>
        </w:rPr>
        <w:t>M. mogurnda</w:t>
      </w:r>
      <w:r>
        <w:t xml:space="preserve"> were valid, with all EC</w:t>
      </w:r>
      <w:r>
        <w:rPr>
          <w:snapToGrid w:val="0"/>
          <w:color w:val="000000"/>
          <w:position w:val="-5"/>
          <w:sz w:val="15"/>
          <w:szCs w:val="0"/>
          <w:u w:color="000000"/>
        </w:rPr>
        <w:t>50</w:t>
      </w:r>
      <w:r>
        <w:rPr>
          <w:snapToGrid w:val="0"/>
          <w:color w:val="000000"/>
          <w:szCs w:val="0"/>
          <w:u w:color="000000"/>
        </w:rPr>
        <w:t xml:space="preserve"> values within the warning limits</w:t>
      </w:r>
      <w:r>
        <w:t>. There were no problems associated with this protocol. The running mean (n=20) EC</w:t>
      </w:r>
      <w:r w:rsidRPr="00726206">
        <w:rPr>
          <w:vertAlign w:val="subscript"/>
        </w:rPr>
        <w:t>50</w:t>
      </w:r>
      <w:r>
        <w:t xml:space="preserve"> was 1449</w:t>
      </w:r>
      <w:r w:rsidRPr="003D5C13">
        <w:rPr>
          <w:snapToGrid w:val="0"/>
          <w:color w:val="000000"/>
          <w:szCs w:val="0"/>
          <w:u w:color="000000"/>
        </w:rPr>
        <w:t xml:space="preserve"> </w:t>
      </w:r>
      <w:r>
        <w:rPr>
          <w:snapToGrid w:val="0"/>
          <w:color w:val="000000"/>
          <w:szCs w:val="0"/>
          <w:u w:color="000000"/>
        </w:rPr>
        <w:t>µg L</w:t>
      </w:r>
      <w:r w:rsidRPr="00461476">
        <w:rPr>
          <w:snapToGrid w:val="0"/>
          <w:color w:val="000000"/>
          <w:szCs w:val="0"/>
          <w:u w:color="000000"/>
          <w:vertAlign w:val="superscript"/>
        </w:rPr>
        <w:t>-1</w:t>
      </w:r>
      <w:r>
        <w:rPr>
          <w:snapToGrid w:val="0"/>
          <w:color w:val="000000"/>
          <w:szCs w:val="0"/>
          <w:u w:color="000000"/>
        </w:rPr>
        <w:t xml:space="preserve"> U</w:t>
      </w:r>
      <w:r>
        <w:t xml:space="preserve"> and all results within the upper and lower warning limits of 2169 and 969 </w:t>
      </w:r>
      <w:r>
        <w:rPr>
          <w:snapToGrid w:val="0"/>
          <w:color w:val="000000"/>
          <w:szCs w:val="0"/>
          <w:u w:color="000000"/>
        </w:rPr>
        <w:t>µg L</w:t>
      </w:r>
      <w:r w:rsidRPr="00461476">
        <w:rPr>
          <w:snapToGrid w:val="0"/>
          <w:color w:val="000000"/>
          <w:szCs w:val="0"/>
          <w:u w:color="000000"/>
          <w:vertAlign w:val="superscript"/>
        </w:rPr>
        <w:t>-1</w:t>
      </w:r>
      <w:r>
        <w:rPr>
          <w:snapToGrid w:val="0"/>
          <w:color w:val="000000"/>
          <w:szCs w:val="0"/>
          <w:u w:color="000000"/>
        </w:rPr>
        <w:t xml:space="preserve"> U, respectively.</w:t>
      </w:r>
    </w:p>
    <w:p w:rsidR="00D85FAC" w:rsidRDefault="00D85FAC" w:rsidP="00D85FAC">
      <w:pPr>
        <w:pStyle w:val="Heading3"/>
        <w:rPr>
          <w:i/>
        </w:rPr>
      </w:pPr>
      <w:bookmarkStart w:id="123" w:name="_Toc282084555"/>
      <w:bookmarkStart w:id="124" w:name="_Toc313523440"/>
      <w:bookmarkStart w:id="125" w:name="_Toc316985283"/>
      <w:r w:rsidRPr="00202064">
        <w:t xml:space="preserve">Reference toxicity test development for </w:t>
      </w:r>
      <w:r>
        <w:rPr>
          <w:i/>
        </w:rPr>
        <w:t>Lemna aequinoctialis</w:t>
      </w:r>
      <w:bookmarkEnd w:id="123"/>
      <w:bookmarkEnd w:id="124"/>
      <w:bookmarkEnd w:id="125"/>
    </w:p>
    <w:p w:rsidR="00D85FAC" w:rsidRDefault="00D85FAC" w:rsidP="00D85FAC">
      <w:r>
        <w:t xml:space="preserve">The reference toxicant test method for </w:t>
      </w:r>
      <w:r w:rsidRPr="00A92C75">
        <w:rPr>
          <w:i/>
        </w:rPr>
        <w:t>L. aequinoctialis</w:t>
      </w:r>
      <w:r>
        <w:t xml:space="preserve"> has been finalised. Previous growth trials using 2.5% CAAC plant growth medium (the medium used to culture this species; see Riethmuller et al 2003) have shown that it supported good growth and generally met the growth criteria. However, due to the very high concentrations of nutrients and essential elements in the CAAC medium, very high reference toxicant (U) concentrations were required to elicit a toxic response. A test using 2.5% CAAC (control, 642, 1200, 2520, 5160, 11200 and 19600 </w:t>
      </w:r>
      <w:r>
        <w:rPr>
          <w:snapToGrid w:val="0"/>
          <w:color w:val="000000"/>
          <w:szCs w:val="0"/>
          <w:u w:color="000000"/>
        </w:rPr>
        <w:t>µg L</w:t>
      </w:r>
      <w:r w:rsidRPr="00461476">
        <w:rPr>
          <w:snapToGrid w:val="0"/>
          <w:color w:val="000000"/>
          <w:szCs w:val="0"/>
          <w:u w:color="000000"/>
          <w:vertAlign w:val="superscript"/>
        </w:rPr>
        <w:t>-1</w:t>
      </w:r>
      <w:r>
        <w:rPr>
          <w:snapToGrid w:val="0"/>
          <w:color w:val="000000"/>
          <w:szCs w:val="0"/>
          <w:u w:color="000000"/>
        </w:rPr>
        <w:t xml:space="preserve"> U) had no effect at any of these concentrations.</w:t>
      </w:r>
      <w:r>
        <w:t xml:space="preserve"> The key challenge has been optimising the test medium so as to enable adequate control growth whilst still enabling a response to be observed at </w:t>
      </w:r>
      <w:smartTag w:uri="urn:schemas-microsoft-com:office:smarttags" w:element="City">
        <w:smartTag w:uri="urn:schemas-microsoft-com:office:smarttags" w:element="place">
          <w:r>
            <w:t>ur</w:t>
          </w:r>
        </w:smartTag>
      </w:smartTag>
      <w:r>
        <w:t>anium concentrations that are not excessively high.</w:t>
      </w:r>
    </w:p>
    <w:p w:rsidR="00D85FAC" w:rsidRDefault="00D85FAC" w:rsidP="00D85FAC">
      <w:r>
        <w:t xml:space="preserve">Subsequently, six tests were conducted using 1% CAAC, with control growth in all tests above the protocol’s minimum acceptable growth rate </w:t>
      </w:r>
      <w:proofErr w:type="gramStart"/>
      <w:r>
        <w:t>of 0.35 day</w:t>
      </w:r>
      <w:r w:rsidRPr="00DF6CC9">
        <w:rPr>
          <w:vertAlign w:val="superscript"/>
        </w:rPr>
        <w:t>-1</w:t>
      </w:r>
      <w:r>
        <w:t xml:space="preserve"> (ie four-fold increase in frond numbers after 96 h)</w:t>
      </w:r>
      <w:proofErr w:type="gramEnd"/>
      <w:r>
        <w:t>. There were good concentration-response relationships using 1% CAAC over a 1500-25000</w:t>
      </w:r>
      <w:r w:rsidRPr="000076FC">
        <w:rPr>
          <w:snapToGrid w:val="0"/>
          <w:color w:val="000000"/>
          <w:szCs w:val="0"/>
          <w:u w:color="000000"/>
        </w:rPr>
        <w:t xml:space="preserve"> </w:t>
      </w:r>
      <w:r>
        <w:rPr>
          <w:snapToGrid w:val="0"/>
          <w:color w:val="000000"/>
          <w:szCs w:val="0"/>
          <w:u w:color="000000"/>
        </w:rPr>
        <w:t>µg L</w:t>
      </w:r>
      <w:r w:rsidRPr="00461476">
        <w:rPr>
          <w:snapToGrid w:val="0"/>
          <w:color w:val="000000"/>
          <w:szCs w:val="0"/>
          <w:u w:color="000000"/>
          <w:vertAlign w:val="superscript"/>
        </w:rPr>
        <w:t>-1</w:t>
      </w:r>
      <w:r>
        <w:rPr>
          <w:snapToGrid w:val="0"/>
          <w:color w:val="000000"/>
          <w:szCs w:val="0"/>
          <w:u w:color="000000"/>
        </w:rPr>
        <w:t xml:space="preserve"> U concentration range. </w:t>
      </w:r>
    </w:p>
    <w:p w:rsidR="00D85FAC" w:rsidRPr="00554E9A" w:rsidRDefault="00D85FAC" w:rsidP="00D85FAC">
      <w:pPr>
        <w:rPr>
          <w:snapToGrid w:val="0"/>
          <w:color w:val="000000"/>
          <w:spacing w:val="-2"/>
          <w:szCs w:val="0"/>
          <w:u w:color="000000"/>
        </w:rPr>
      </w:pPr>
      <w:r w:rsidRPr="00554E9A">
        <w:rPr>
          <w:spacing w:val="-2"/>
        </w:rPr>
        <w:t>A second test endpoint, based on frond surface area, was investigated in three tests. Surface area (mm</w:t>
      </w:r>
      <w:r w:rsidRPr="00554E9A">
        <w:rPr>
          <w:snapToGrid w:val="0"/>
          <w:color w:val="000000"/>
          <w:spacing w:val="-2"/>
          <w:position w:val="5"/>
          <w:sz w:val="15"/>
          <w:szCs w:val="0"/>
          <w:u w:color="000000"/>
        </w:rPr>
        <w:t>2</w:t>
      </w:r>
      <w:r w:rsidRPr="00554E9A">
        <w:rPr>
          <w:snapToGrid w:val="0"/>
          <w:color w:val="000000"/>
          <w:spacing w:val="-2"/>
          <w:szCs w:val="0"/>
          <w:u w:color="000000"/>
        </w:rPr>
        <w:t>), measured from photographs using the image analysis freeware package,</w:t>
      </w:r>
      <w:r w:rsidRPr="00554E9A">
        <w:rPr>
          <w:spacing w:val="-2"/>
        </w:rPr>
        <w:t xml:space="preserve"> ImageJ (1.4q, National Institue of Health, USA),</w:t>
      </w:r>
      <w:r w:rsidRPr="00554E9A">
        <w:rPr>
          <w:snapToGrid w:val="0"/>
          <w:color w:val="000000"/>
          <w:spacing w:val="-2"/>
          <w:szCs w:val="0"/>
          <w:u w:color="000000"/>
        </w:rPr>
        <w:t xml:space="preserve"> </w:t>
      </w:r>
      <w:proofErr w:type="gramStart"/>
      <w:r w:rsidRPr="00554E9A">
        <w:rPr>
          <w:snapToGrid w:val="0"/>
          <w:color w:val="000000"/>
          <w:spacing w:val="-2"/>
          <w:szCs w:val="0"/>
          <w:u w:color="000000"/>
        </w:rPr>
        <w:t>was</w:t>
      </w:r>
      <w:proofErr w:type="gramEnd"/>
      <w:r w:rsidRPr="00554E9A">
        <w:rPr>
          <w:snapToGrid w:val="0"/>
          <w:color w:val="000000"/>
          <w:spacing w:val="-2"/>
          <w:szCs w:val="0"/>
          <w:u w:color="000000"/>
        </w:rPr>
        <w:t xml:space="preserve"> based on the greenness of leaves using Hue (pure colour), saturation (intensity of colour) and brightness (amount of grey). When comparing the data (ie growth rate based on frond number versus growth rate based on surface area), surface area appears to be a more sensitive endpoint (Figure 3). This is because it measures </w:t>
      </w:r>
      <w:r>
        <w:rPr>
          <w:snapToGrid w:val="0"/>
          <w:color w:val="000000"/>
          <w:spacing w:val="-2"/>
          <w:szCs w:val="0"/>
          <w:u w:color="000000"/>
        </w:rPr>
        <w:t>‘</w:t>
      </w:r>
      <w:r w:rsidRPr="00554E9A">
        <w:rPr>
          <w:snapToGrid w:val="0"/>
          <w:color w:val="000000"/>
          <w:spacing w:val="-2"/>
          <w:szCs w:val="0"/>
          <w:u w:color="000000"/>
        </w:rPr>
        <w:t>greenness</w:t>
      </w:r>
      <w:r>
        <w:rPr>
          <w:snapToGrid w:val="0"/>
          <w:color w:val="000000"/>
          <w:spacing w:val="-2"/>
          <w:szCs w:val="0"/>
          <w:u w:color="000000"/>
        </w:rPr>
        <w:t>’</w:t>
      </w:r>
      <w:r w:rsidRPr="00554E9A">
        <w:rPr>
          <w:snapToGrid w:val="0"/>
          <w:color w:val="000000"/>
          <w:spacing w:val="-2"/>
          <w:szCs w:val="0"/>
          <w:u w:color="000000"/>
        </w:rPr>
        <w:t xml:space="preserve"> (compared to the control), whereas counts of frond numbers include all fronds whether they are healthy or pale/patchy (ie dead or near-dead), giving a slightly less sensitive result. These initial results suggest that surface area represents a suitable and measurable endpoint, although additional testing will be undertaken to confirm reproducibility. </w:t>
      </w:r>
    </w:p>
    <w:p w:rsidR="00D85FAC" w:rsidRDefault="00D85FAC" w:rsidP="00D85FAC">
      <w:pPr>
        <w:rPr>
          <w:snapToGrid w:val="0"/>
          <w:color w:val="000000"/>
          <w:szCs w:val="0"/>
          <w:u w:color="000000"/>
        </w:rPr>
      </w:pPr>
      <w:r>
        <w:rPr>
          <w:snapToGrid w:val="0"/>
          <w:color w:val="000000"/>
          <w:szCs w:val="0"/>
          <w:u w:color="000000"/>
        </w:rPr>
        <w:t xml:space="preserve">A </w:t>
      </w:r>
      <w:r>
        <w:t>reference toxicity control chart has been generated and, a</w:t>
      </w:r>
      <w:r>
        <w:rPr>
          <w:snapToGrid w:val="0"/>
          <w:color w:val="000000"/>
          <w:szCs w:val="0"/>
          <w:u w:color="000000"/>
        </w:rPr>
        <w:t>t this stage, control chart data are based on frond number growth rate.  The current running mean (n=7) EC</w:t>
      </w:r>
      <w:r w:rsidRPr="00E62E99">
        <w:rPr>
          <w:snapToGrid w:val="0"/>
          <w:color w:val="000000"/>
          <w:szCs w:val="0"/>
          <w:u w:color="000000"/>
          <w:vertAlign w:val="subscript"/>
        </w:rPr>
        <w:t>50</w:t>
      </w:r>
      <w:r>
        <w:rPr>
          <w:snapToGrid w:val="0"/>
          <w:color w:val="000000"/>
          <w:szCs w:val="0"/>
          <w:u w:color="000000"/>
        </w:rPr>
        <w:t xml:space="preserve"> is 10840 µg L</w:t>
      </w:r>
      <w:r w:rsidRPr="00461476">
        <w:rPr>
          <w:snapToGrid w:val="0"/>
          <w:color w:val="000000"/>
          <w:szCs w:val="0"/>
          <w:u w:color="000000"/>
          <w:vertAlign w:val="superscript"/>
        </w:rPr>
        <w:t>-1</w:t>
      </w:r>
      <w:r>
        <w:rPr>
          <w:snapToGrid w:val="0"/>
          <w:color w:val="000000"/>
          <w:szCs w:val="0"/>
          <w:u w:color="000000"/>
        </w:rPr>
        <w:t xml:space="preserve"> U</w:t>
      </w:r>
      <w:r>
        <w:t xml:space="preserve"> and all results within the upper and lower warning limits of 14380 and 7290 </w:t>
      </w:r>
      <w:r>
        <w:rPr>
          <w:snapToGrid w:val="0"/>
          <w:color w:val="000000"/>
          <w:szCs w:val="0"/>
          <w:u w:color="000000"/>
        </w:rPr>
        <w:t>µg L</w:t>
      </w:r>
      <w:r w:rsidRPr="00461476">
        <w:rPr>
          <w:snapToGrid w:val="0"/>
          <w:color w:val="000000"/>
          <w:szCs w:val="0"/>
          <w:u w:color="000000"/>
          <w:vertAlign w:val="superscript"/>
        </w:rPr>
        <w:t>-1</w:t>
      </w:r>
      <w:r>
        <w:rPr>
          <w:snapToGrid w:val="0"/>
          <w:color w:val="000000"/>
          <w:szCs w:val="0"/>
          <w:u w:color="000000"/>
        </w:rPr>
        <w:t xml:space="preserve"> U, respectively (Figure 4).</w:t>
      </w:r>
    </w:p>
    <w:tbl>
      <w:tblPr>
        <w:tblW w:w="0" w:type="auto"/>
        <w:tblInd w:w="108" w:type="dxa"/>
        <w:tblLook w:val="04A0"/>
      </w:tblPr>
      <w:tblGrid>
        <w:gridCol w:w="5812"/>
        <w:gridCol w:w="2608"/>
      </w:tblGrid>
      <w:tr w:rsidR="00D85FAC" w:rsidTr="00D85FAC">
        <w:tc>
          <w:tcPr>
            <w:tcW w:w="5812" w:type="dxa"/>
          </w:tcPr>
          <w:p w:rsidR="00D85FAC" w:rsidRDefault="00D85FAC" w:rsidP="00D85FAC">
            <w:pPr>
              <w:spacing w:line="276" w:lineRule="auto"/>
              <w:ind w:right="521"/>
              <w:jc w:val="center"/>
            </w:pPr>
            <w:r>
              <w:object w:dxaOrig="6380" w:dyaOrig="5110">
                <v:shape id="_x0000_i1030" type="#_x0000_t75" style="width:230.95pt;height:170.4pt" o:ole="">
                  <v:imagedata r:id="rId64" o:title="" croptop="5342f"/>
                </v:shape>
                <o:OLEObject Type="Embed" ProgID="SigmaPlotGraphicObject.10" ShapeID="_x0000_i1030" DrawAspect="Content" ObjectID="_1394264736" r:id="rId65"/>
              </w:object>
            </w:r>
          </w:p>
        </w:tc>
        <w:tc>
          <w:tcPr>
            <w:tcW w:w="0" w:type="auto"/>
            <w:vAlign w:val="center"/>
          </w:tcPr>
          <w:p w:rsidR="00D85FAC" w:rsidRDefault="00D85FAC" w:rsidP="00D85FAC">
            <w:pPr>
              <w:pStyle w:val="figurecaption"/>
              <w:spacing w:before="200" w:after="0" w:line="276" w:lineRule="auto"/>
              <w:jc w:val="left"/>
              <w:rPr>
                <w:bCs/>
                <w:i/>
              </w:rPr>
            </w:pPr>
            <w:r>
              <w:rPr>
                <w:b/>
                <w:bCs/>
              </w:rPr>
              <w:t xml:space="preserve">Figure 3  </w:t>
            </w:r>
            <w:r w:rsidRPr="00D23161">
              <w:rPr>
                <w:bCs/>
              </w:rPr>
              <w:t xml:space="preserve">Comparison of </w:t>
            </w:r>
            <w:r>
              <w:rPr>
                <w:bCs/>
              </w:rPr>
              <w:t xml:space="preserve">growth rate based on frond number and </w:t>
            </w:r>
            <w:r w:rsidRPr="00D23161">
              <w:rPr>
                <w:bCs/>
              </w:rPr>
              <w:t xml:space="preserve">surface area </w:t>
            </w:r>
            <w:r>
              <w:rPr>
                <w:bCs/>
              </w:rPr>
              <w:t>as endpoints to assess the toxicity of U to</w:t>
            </w:r>
            <w:r w:rsidRPr="00D23161">
              <w:rPr>
                <w:bCs/>
              </w:rPr>
              <w:t xml:space="preserve"> </w:t>
            </w:r>
            <w:r>
              <w:rPr>
                <w:bCs/>
                <w:i/>
              </w:rPr>
              <w:t>L.</w:t>
            </w:r>
            <w:r w:rsidRPr="00D23161">
              <w:rPr>
                <w:bCs/>
                <w:i/>
              </w:rPr>
              <w:t xml:space="preserve"> a</w:t>
            </w:r>
            <w:r>
              <w:rPr>
                <w:bCs/>
                <w:i/>
              </w:rPr>
              <w:t>e</w:t>
            </w:r>
            <w:r w:rsidRPr="00D23161">
              <w:rPr>
                <w:bCs/>
                <w:i/>
              </w:rPr>
              <w:t>quinoctialis</w:t>
            </w:r>
          </w:p>
          <w:p w:rsidR="00D85FAC" w:rsidRDefault="00D85FAC" w:rsidP="00D85FAC">
            <w:pPr>
              <w:spacing w:line="276" w:lineRule="auto"/>
              <w:ind w:right="521"/>
              <w:jc w:val="left"/>
            </w:pPr>
          </w:p>
        </w:tc>
      </w:tr>
    </w:tbl>
    <w:p w:rsidR="00D85FAC" w:rsidRPr="009E242F" w:rsidRDefault="00D85FAC" w:rsidP="00D85FAC">
      <w:pPr>
        <w:spacing w:line="276" w:lineRule="auto"/>
        <w:ind w:left="567" w:right="521"/>
        <w:jc w:val="center"/>
      </w:pPr>
      <w:r w:rsidRPr="00E62E99">
        <w:rPr>
          <w:noProof/>
          <w:lang w:eastAsia="en-AU"/>
        </w:rPr>
        <w:drawing>
          <wp:inline distT="0" distB="0" distL="0" distR="0">
            <wp:extent cx="4248150" cy="2105025"/>
            <wp:effectExtent l="0" t="0" r="0"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85FAC" w:rsidRDefault="00D85FAC" w:rsidP="00D85FAC">
      <w:pPr>
        <w:pStyle w:val="figurecaption"/>
      </w:pPr>
      <w:r>
        <w:rPr>
          <w:b/>
          <w:bCs/>
        </w:rPr>
        <w:t xml:space="preserve">Figure </w:t>
      </w:r>
      <w:proofErr w:type="gramStart"/>
      <w:r>
        <w:rPr>
          <w:b/>
          <w:bCs/>
        </w:rPr>
        <w:t xml:space="preserve">4  </w:t>
      </w:r>
      <w:r>
        <w:t>Reference</w:t>
      </w:r>
      <w:proofErr w:type="gramEnd"/>
      <w:r>
        <w:t xml:space="preserve"> toxicant control chart for</w:t>
      </w:r>
      <w:r w:rsidRPr="00D23161">
        <w:rPr>
          <w:bCs/>
        </w:rPr>
        <w:t xml:space="preserve"> </w:t>
      </w:r>
      <w:r>
        <w:rPr>
          <w:bCs/>
          <w:i/>
        </w:rPr>
        <w:t xml:space="preserve">L. </w:t>
      </w:r>
      <w:r w:rsidRPr="00D23161">
        <w:rPr>
          <w:bCs/>
          <w:i/>
        </w:rPr>
        <w:t>a</w:t>
      </w:r>
      <w:r>
        <w:rPr>
          <w:bCs/>
          <w:i/>
        </w:rPr>
        <w:t>e</w:t>
      </w:r>
      <w:r w:rsidRPr="00D23161">
        <w:rPr>
          <w:bCs/>
          <w:i/>
        </w:rPr>
        <w:t>quinoctialis</w:t>
      </w:r>
      <w:r>
        <w:t>. Data points represent EC</w:t>
      </w:r>
      <w:r>
        <w:rPr>
          <w:snapToGrid w:val="0"/>
          <w:color w:val="000000"/>
          <w:position w:val="-4"/>
          <w:sz w:val="12"/>
          <w:szCs w:val="0"/>
          <w:u w:color="000000"/>
        </w:rPr>
        <w:t>50</w:t>
      </w:r>
      <w:r>
        <w:t xml:space="preserve"> (</w:t>
      </w:r>
      <w:r>
        <w:rPr>
          <w:snapToGrid w:val="0"/>
          <w:color w:val="000000"/>
          <w:szCs w:val="0"/>
          <w:u w:color="000000"/>
        </w:rPr>
        <w:t>µ</w:t>
      </w:r>
      <w:r>
        <w:t>g L</w:t>
      </w:r>
      <w:r w:rsidRPr="00461476">
        <w:rPr>
          <w:vertAlign w:val="superscript"/>
        </w:rPr>
        <w:t>-1</w:t>
      </w:r>
      <w:r>
        <w:t xml:space="preserve"> U) toxicity estimates and their 95% confidence limits (CLs). Reference lines represent the following: broken lines – upper and lower 99% confidence limits (</w:t>
      </w:r>
      <w:r>
        <w:sym w:font="Symbol" w:char="F0B1"/>
      </w:r>
      <w:r>
        <w:t xml:space="preserve"> 3 standard deviations) of the whole data set; dotted lines – upper and lower warning limits (</w:t>
      </w:r>
      <w:r>
        <w:sym w:font="Symbol" w:char="F0B1"/>
      </w:r>
      <w:r>
        <w:t xml:space="preserve"> 2 standard deviations); unbroken line – running mean</w:t>
      </w:r>
    </w:p>
    <w:p w:rsidR="00D85FAC" w:rsidRDefault="00D85FAC" w:rsidP="00D85FAC">
      <w:pPr>
        <w:pStyle w:val="Heading2"/>
      </w:pPr>
      <w:bookmarkStart w:id="126" w:name="_Toc313523441"/>
      <w:bookmarkStart w:id="127" w:name="_Toc316985284"/>
      <w:r>
        <w:t>Planned testing in 2011–12</w:t>
      </w:r>
      <w:bookmarkEnd w:id="126"/>
      <w:bookmarkEnd w:id="127"/>
    </w:p>
    <w:p w:rsidR="00D85FAC" w:rsidRDefault="00D85FAC" w:rsidP="00D85FAC">
      <w:r w:rsidRPr="00724253">
        <w:t xml:space="preserve">The reference toxicity testing programs for </w:t>
      </w:r>
      <w:r w:rsidRPr="00724253">
        <w:rPr>
          <w:iCs/>
        </w:rPr>
        <w:t>all five species</w:t>
      </w:r>
      <w:r>
        <w:t xml:space="preserve"> will continue in 2011–12</w:t>
      </w:r>
      <w:r w:rsidRPr="00724253">
        <w:t xml:space="preserve">, with the aim of completing at least four tests per species. For </w:t>
      </w:r>
      <w:r w:rsidRPr="00724253">
        <w:rPr>
          <w:i/>
        </w:rPr>
        <w:t>M. macleayi</w:t>
      </w:r>
      <w:r w:rsidRPr="00724253">
        <w:t xml:space="preserve">, additional tests will focus on the role of FFV in influencing reproductive output as well as chronic U toxicity. </w:t>
      </w:r>
      <w:r>
        <w:t>Testing with 1% CAAC will continue</w:t>
      </w:r>
      <w:r w:rsidRPr="00724253">
        <w:t xml:space="preserve"> for </w:t>
      </w:r>
      <w:r w:rsidRPr="00724253">
        <w:rPr>
          <w:i/>
        </w:rPr>
        <w:t>L.aequinoctialis</w:t>
      </w:r>
      <w:r>
        <w:rPr>
          <w:i/>
        </w:rPr>
        <w:t xml:space="preserve">. </w:t>
      </w:r>
      <w:r>
        <w:t>F</w:t>
      </w:r>
      <w:r w:rsidRPr="00724253">
        <w:t xml:space="preserve">rond surface area measurement </w:t>
      </w:r>
      <w:r>
        <w:t xml:space="preserve">and Standard Operating Protocols for this </w:t>
      </w:r>
      <w:proofErr w:type="gramStart"/>
      <w:r>
        <w:t xml:space="preserve">test </w:t>
      </w:r>
      <w:r w:rsidRPr="00724253">
        <w:t xml:space="preserve"> will</w:t>
      </w:r>
      <w:proofErr w:type="gramEnd"/>
      <w:r w:rsidRPr="00724253">
        <w:t xml:space="preserve"> be documented in an Internal Report.</w:t>
      </w:r>
    </w:p>
    <w:p w:rsidR="00D85FAC" w:rsidRDefault="00D85FAC" w:rsidP="00D85FAC">
      <w:pPr>
        <w:pStyle w:val="Heading2"/>
      </w:pPr>
      <w:bookmarkStart w:id="128" w:name="_Toc313523442"/>
      <w:bookmarkStart w:id="129" w:name="_Toc316985285"/>
      <w:r>
        <w:t>References</w:t>
      </w:r>
      <w:bookmarkEnd w:id="128"/>
      <w:bookmarkEnd w:id="129"/>
    </w:p>
    <w:p w:rsidR="00D85FAC" w:rsidRDefault="00D85FAC" w:rsidP="00D85FAC">
      <w:pPr>
        <w:pStyle w:val="referencelist1"/>
      </w:pPr>
      <w:proofErr w:type="gramStart"/>
      <w:r>
        <w:t>Environment Canada 1990.</w:t>
      </w:r>
      <w:proofErr w:type="gramEnd"/>
      <w:r>
        <w:t xml:space="preserve"> </w:t>
      </w:r>
      <w:proofErr w:type="gramStart"/>
      <w:r>
        <w:t>Guidance document on control of toxicity test precision using reference toxicants.</w:t>
      </w:r>
      <w:proofErr w:type="gramEnd"/>
      <w:r>
        <w:t xml:space="preserve"> Environmental Protection Series (EPS) Report 1/RM/12, Method Development and Application Section, Environmental Technology Centre, Environment </w:t>
      </w:r>
      <w:smartTag w:uri="urn:schemas-microsoft-com:office:smarttags" w:element="country-region">
        <w:r>
          <w:t>Canada</w:t>
        </w:r>
      </w:smartTag>
      <w:r>
        <w:t xml:space="preserve">, </w:t>
      </w:r>
      <w:smartTag w:uri="urn:schemas-microsoft-com:office:smarttags" w:element="place">
        <w:smartTag w:uri="urn:schemas-microsoft-com:office:smarttags" w:element="City">
          <w:smartTag w:uri="urn:schemas-microsoft-com:office:smarttags" w:element="State">
            <w:r>
              <w:t>Ontario</w:t>
            </w:r>
          </w:smartTag>
        </w:smartTag>
        <w:r>
          <w:t xml:space="preserve">, </w:t>
        </w:r>
        <w:smartTag w:uri="urn:schemas-microsoft-com:office:smarttags" w:element="country-region">
          <w:r>
            <w:t>Canada</w:t>
          </w:r>
        </w:smartTag>
      </w:smartTag>
      <w:r>
        <w:t>.</w:t>
      </w:r>
    </w:p>
    <w:p w:rsidR="00D85FAC" w:rsidRDefault="00D85FAC" w:rsidP="00D85FAC">
      <w:pPr>
        <w:pStyle w:val="referencelist1"/>
      </w:pPr>
      <w:r w:rsidRPr="004570F3">
        <w:rPr>
          <w:lang w:val="sv-SE"/>
        </w:rPr>
        <w:t xml:space="preserve">Riethmuller N, Camilleri C, Franklin N, Hogan AC, King A, Koch A, Markich SJ, Turley C &amp; van Dam R 2003. </w:t>
      </w:r>
      <w:proofErr w:type="gramStart"/>
      <w:r>
        <w:rPr>
          <w:i/>
          <w:iCs/>
        </w:rPr>
        <w:t>Ecotoxicological testing protocols for Australian tropical freshwater ecosystems</w:t>
      </w:r>
      <w:r>
        <w:t>.</w:t>
      </w:r>
      <w:proofErr w:type="gramEnd"/>
      <w:r>
        <w:t xml:space="preserve"> Supervising Scientist Report 173, Supervising Scientist, Darwin NT.</w:t>
      </w:r>
    </w:p>
    <w:p w:rsidR="00D85FAC" w:rsidRDefault="00D85FAC" w:rsidP="00D85FAC">
      <w:pPr>
        <w:pStyle w:val="referencelist1"/>
      </w:pPr>
      <w:proofErr w:type="gramStart"/>
      <w:r>
        <w:t>van</w:t>
      </w:r>
      <w:proofErr w:type="gramEnd"/>
      <w:r>
        <w:t xml:space="preserve"> Dam R 2004. </w:t>
      </w:r>
      <w:r>
        <w:rPr>
          <w:i/>
          <w:iCs/>
        </w:rPr>
        <w:t xml:space="preserve">A review of the </w:t>
      </w:r>
      <w:r>
        <w:rPr>
          <w:b/>
          <w:i/>
          <w:iCs/>
          <w:sz w:val="26"/>
        </w:rPr>
        <w:t>eriss</w:t>
      </w:r>
      <w:r>
        <w:rPr>
          <w:i/>
          <w:iCs/>
        </w:rPr>
        <w:t xml:space="preserve"> Ecotoxicology Program</w:t>
      </w:r>
      <w:r>
        <w:t>. Supervising Scientist Report 182, Supervising Scientist, Darwin NT.</w:t>
      </w:r>
    </w:p>
    <w:p w:rsidR="00D85FAC" w:rsidRDefault="00D85FAC" w:rsidP="00D85FAC">
      <w:pPr>
        <w:pStyle w:val="Heading4"/>
        <w:sectPr w:rsidR="00D85FAC" w:rsidSect="00D85FAC">
          <w:headerReference w:type="even" r:id="rId67"/>
          <w:headerReference w:type="default" r:id="rId68"/>
          <w:footerReference w:type="even" r:id="rId69"/>
          <w:footerReference w:type="default" r:id="rId70"/>
          <w:headerReference w:type="first" r:id="rId71"/>
          <w:footerReference w:type="first" r:id="rId72"/>
          <w:footnotePr>
            <w:numRestart w:val="eachSect"/>
          </w:footnotePr>
          <w:pgSz w:w="11906" w:h="16838" w:code="9"/>
          <w:pgMar w:top="1440" w:right="1797" w:bottom="1440" w:left="1797" w:header="851" w:footer="833" w:gutter="0"/>
          <w:cols w:space="360"/>
          <w:noEndnote/>
          <w:docGrid w:linePitch="299"/>
        </w:sectPr>
      </w:pPr>
      <w:bookmarkStart w:id="130" w:name="_Toc309215791"/>
    </w:p>
    <w:p w:rsidR="00D85FAC" w:rsidRDefault="00D85FAC" w:rsidP="00D85FAC">
      <w:pPr>
        <w:pStyle w:val="Heading1"/>
      </w:pPr>
      <w:bookmarkStart w:id="131" w:name="_Toc319670713"/>
      <w:r w:rsidRPr="002E372D">
        <w:lastRenderedPageBreak/>
        <w:t>The toxicity of uranium (U) to sediment biota of Magela Creek backflow billabong environments</w:t>
      </w:r>
      <w:bookmarkEnd w:id="130"/>
      <w:bookmarkEnd w:id="131"/>
    </w:p>
    <w:p w:rsidR="00D85FAC" w:rsidRPr="008E44C5" w:rsidRDefault="00D85FAC" w:rsidP="00D85FAC">
      <w:pPr>
        <w:pStyle w:val="authors"/>
        <w:spacing w:after="800"/>
      </w:pPr>
      <w:bookmarkStart w:id="132" w:name="_Toc316987216"/>
      <w:bookmarkStart w:id="133" w:name="_Toc319670714"/>
      <w:r>
        <w:t xml:space="preserve">AJ Harford, RA van Dam, CL Humprey, </w:t>
      </w:r>
      <w:r w:rsidRPr="00876FAC">
        <w:t>D</w:t>
      </w:r>
      <w:r>
        <w:t>R</w:t>
      </w:r>
      <w:r w:rsidRPr="00876FAC">
        <w:t xml:space="preserve"> Jones, S Simpson,</w:t>
      </w:r>
      <w:r>
        <w:rPr>
          <w:rStyle w:val="FootnoteReference"/>
        </w:rPr>
        <w:footnoteReference w:id="6"/>
      </w:r>
      <w:r w:rsidRPr="00876FAC">
        <w:t xml:space="preserve"> A</w:t>
      </w:r>
      <w:r>
        <w:t>A </w:t>
      </w:r>
      <w:r w:rsidRPr="00876FAC">
        <w:t>Chariton</w:t>
      </w:r>
      <w:proofErr w:type="gramStart"/>
      <w:r>
        <w:t>,</w:t>
      </w:r>
      <w:r w:rsidRPr="00876FAC">
        <w:rPr>
          <w:snapToGrid w:val="0"/>
          <w:color w:val="000000"/>
          <w:position w:val="6"/>
          <w:sz w:val="16"/>
          <w:szCs w:val="0"/>
          <w:u w:color="000000"/>
        </w:rPr>
        <w:t>1</w:t>
      </w:r>
      <w:proofErr w:type="gramEnd"/>
      <w:r w:rsidRPr="00876FAC">
        <w:t xml:space="preserve"> </w:t>
      </w:r>
      <w:r>
        <w:t>KS Gibb</w:t>
      </w:r>
      <w:r>
        <w:rPr>
          <w:rStyle w:val="FootnoteReference"/>
        </w:rPr>
        <w:footnoteReference w:id="7"/>
      </w:r>
      <w:r w:rsidRPr="00876FAC">
        <w:t xml:space="preserve"> &amp;</w:t>
      </w:r>
      <w:r>
        <w:t xml:space="preserve"> </w:t>
      </w:r>
      <w:r w:rsidRPr="00876FAC">
        <w:t>J</w:t>
      </w:r>
      <w:r>
        <w:t>L</w:t>
      </w:r>
      <w:r w:rsidRPr="00876FAC">
        <w:t xml:space="preserve"> Stauber</w:t>
      </w:r>
      <w:r w:rsidRPr="00876FAC">
        <w:rPr>
          <w:snapToGrid w:val="0"/>
          <w:color w:val="000000"/>
          <w:position w:val="6"/>
          <w:sz w:val="16"/>
          <w:szCs w:val="0"/>
          <w:u w:color="000000"/>
        </w:rPr>
        <w:t>1</w:t>
      </w:r>
      <w:bookmarkEnd w:id="132"/>
      <w:bookmarkEnd w:id="133"/>
    </w:p>
    <w:p w:rsidR="00D85FAC" w:rsidRPr="002E372D" w:rsidRDefault="00D85FAC" w:rsidP="00D85FAC">
      <w:pPr>
        <w:pStyle w:val="Heading2"/>
        <w:rPr>
          <w:lang w:eastAsia="en-AU"/>
        </w:rPr>
      </w:pPr>
      <w:bookmarkStart w:id="134" w:name="_Toc313523444"/>
      <w:bookmarkStart w:id="135" w:name="_Toc316985287"/>
      <w:r w:rsidRPr="002E372D">
        <w:rPr>
          <w:lang w:eastAsia="en-AU"/>
        </w:rPr>
        <w:t>Background</w:t>
      </w:r>
      <w:bookmarkEnd w:id="134"/>
      <w:bookmarkEnd w:id="135"/>
    </w:p>
    <w:p w:rsidR="00D85FAC" w:rsidRPr="002E372D" w:rsidRDefault="00D85FAC" w:rsidP="00D85FAC">
      <w:r w:rsidRPr="002E372D">
        <w:t>There is currently a</w:t>
      </w:r>
      <w:r>
        <w:t xml:space="preserve">n </w:t>
      </w:r>
      <w:proofErr w:type="gramStart"/>
      <w:r>
        <w:t xml:space="preserve">international </w:t>
      </w:r>
      <w:r w:rsidRPr="002E372D">
        <w:t xml:space="preserve"> paucity</w:t>
      </w:r>
      <w:proofErr w:type="gramEnd"/>
      <w:r w:rsidRPr="002E372D">
        <w:t xml:space="preserve"> of </w:t>
      </w:r>
      <w:r>
        <w:t xml:space="preserve">quality </w:t>
      </w:r>
      <w:r w:rsidRPr="002E372D">
        <w:t xml:space="preserve">data concerning the </w:t>
      </w:r>
      <w:r>
        <w:t>toxicity</w:t>
      </w:r>
      <w:r w:rsidRPr="002E372D">
        <w:t xml:space="preserve"> of uranium (U) </w:t>
      </w:r>
      <w:r>
        <w:t xml:space="preserve">in </w:t>
      </w:r>
      <w:r w:rsidRPr="002E372D">
        <w:t xml:space="preserve"> sediments </w:t>
      </w:r>
      <w:r>
        <w:t>to</w:t>
      </w:r>
      <w:r w:rsidRPr="002E372D">
        <w:t xml:space="preserve"> benthic biota. </w:t>
      </w:r>
      <w:r>
        <w:t xml:space="preserve">Consequently, there are no reliable toxicity trigger values for U in sediment. This is a significant issue for both the operational (sediment quality management triggers) and closure (sediment quality closure criteria) aspects of the environmental management of U mines. In the local </w:t>
      </w:r>
      <w:proofErr w:type="gramStart"/>
      <w:r>
        <w:t xml:space="preserve">context </w:t>
      </w:r>
      <w:r w:rsidRPr="002E372D">
        <w:t xml:space="preserve"> quality</w:t>
      </w:r>
      <w:proofErr w:type="gramEnd"/>
      <w:r w:rsidRPr="002E372D">
        <w:t xml:space="preserve"> sediment U toxicity data are </w:t>
      </w:r>
      <w:r>
        <w:t xml:space="preserve">specifically </w:t>
      </w:r>
      <w:r w:rsidRPr="002E372D">
        <w:t xml:space="preserve">required to determine if observed differences in populations of benthic biota in billabongs adjacent to the Ranger </w:t>
      </w:r>
      <w:r>
        <w:t>u</w:t>
      </w:r>
      <w:r w:rsidRPr="002E372D">
        <w:t xml:space="preserve">ranium </w:t>
      </w:r>
      <w:r>
        <w:t>m</w:t>
      </w:r>
      <w:r w:rsidRPr="002E372D">
        <w:t xml:space="preserve">ine are due to U in sediments or to other mining or non-mining related factors. For mine closure, sediment quality criteria </w:t>
      </w:r>
      <w:r>
        <w:t>are needed</w:t>
      </w:r>
      <w:r w:rsidRPr="002E372D">
        <w:t xml:space="preserve"> for downstream receptor wetlands, as well as for on-site sentinel wetlands which will serve to capture and </w:t>
      </w:r>
      <w:r>
        <w:t>‘</w:t>
      </w:r>
      <w:r w:rsidRPr="002E372D">
        <w:t>polish</w:t>
      </w:r>
      <w:r>
        <w:t>’</w:t>
      </w:r>
      <w:r w:rsidRPr="002E372D">
        <w:t xml:space="preserve"> seepage and runoff waters from the rehabilitated mine site. Thus, a</w:t>
      </w:r>
      <w:r>
        <w:t xml:space="preserve"> major</w:t>
      </w:r>
      <w:r w:rsidRPr="002E372D">
        <w:t xml:space="preserve"> </w:t>
      </w:r>
      <w:r w:rsidRPr="007F36F5">
        <w:rPr>
          <w:b/>
          <w:i/>
          <w:sz w:val="26"/>
          <w:szCs w:val="24"/>
        </w:rPr>
        <w:t>eriss</w:t>
      </w:r>
      <w:r w:rsidRPr="002E372D">
        <w:t xml:space="preserve"> research project is underway, in collaboration with </w:t>
      </w:r>
      <w:r>
        <w:t xml:space="preserve">the </w:t>
      </w:r>
      <w:r w:rsidRPr="002E372D">
        <w:t xml:space="preserve">CSIRO Centre for Environmental Contaminants Research (CECR) and Charles Darwin University (CDU), to address the knowledge gaps concerning this issue and </w:t>
      </w:r>
      <w:r>
        <w:t xml:space="preserve">to </w:t>
      </w:r>
      <w:r w:rsidRPr="002E372D">
        <w:t>determine a site-specific sediment quality guideline for U in billabongs and creeks</w:t>
      </w:r>
      <w:r>
        <w:t xml:space="preserve"> in the ARR</w:t>
      </w:r>
      <w:r w:rsidRPr="002E372D">
        <w:t xml:space="preserve">. Further background and context for this project has been given in van Dam </w:t>
      </w:r>
      <w:r>
        <w:t>et al</w:t>
      </w:r>
      <w:r w:rsidRPr="002E372D">
        <w:t xml:space="preserve"> (2010) and Harford </w:t>
      </w:r>
      <w:r>
        <w:t>et al</w:t>
      </w:r>
      <w:r w:rsidRPr="002E372D">
        <w:t xml:space="preserve"> (2011).</w:t>
      </w:r>
    </w:p>
    <w:p w:rsidR="00D85FAC" w:rsidRPr="002E372D" w:rsidRDefault="00D85FAC" w:rsidP="00D85FAC">
      <w:proofErr w:type="gramStart"/>
      <w:r>
        <w:t>The</w:t>
      </w:r>
      <w:r w:rsidRPr="002E372D">
        <w:t xml:space="preserve"> field sediment U toxicity study commenced in Gulungul Billabong</w:t>
      </w:r>
      <w:r>
        <w:t xml:space="preserve"> in 2009.</w:t>
      </w:r>
      <w:proofErr w:type="gramEnd"/>
      <w:r>
        <w:t xml:space="preserve"> </w:t>
      </w:r>
      <w:r w:rsidRPr="002E372D">
        <w:t>Gulungul Billabong</w:t>
      </w:r>
      <w:r>
        <w:t xml:space="preserve"> </w:t>
      </w:r>
      <w:r w:rsidRPr="002E372D">
        <w:t xml:space="preserve">is a largely undisturbed </w:t>
      </w:r>
      <w:r>
        <w:t>waterbody</w:t>
      </w:r>
      <w:r w:rsidRPr="002E372D">
        <w:t xml:space="preserve"> </w:t>
      </w:r>
      <w:r>
        <w:t>located just upstream of</w:t>
      </w:r>
      <w:r w:rsidRPr="002E372D">
        <w:t xml:space="preserve"> the confluence of Gulungul and Magela Creeks. </w:t>
      </w:r>
      <w:r>
        <w:t>It was planned that at least one pilot experiment would be undertaken to provide essential background information for the design of a subsequent full scale experiment.  The</w:t>
      </w:r>
      <w:r w:rsidRPr="002E372D">
        <w:t xml:space="preserve"> initial chemical and biological characterisation of the study site was undertaken in April 2009 and t</w:t>
      </w:r>
      <w:r w:rsidRPr="002E372D">
        <w:rPr>
          <w:iCs/>
          <w:szCs w:val="22"/>
        </w:rPr>
        <w:t xml:space="preserve">he results summarised in van Dam </w:t>
      </w:r>
      <w:r>
        <w:rPr>
          <w:iCs/>
          <w:szCs w:val="22"/>
        </w:rPr>
        <w:t>et al</w:t>
      </w:r>
      <w:r w:rsidRPr="002E372D">
        <w:rPr>
          <w:iCs/>
          <w:szCs w:val="22"/>
        </w:rPr>
        <w:t xml:space="preserve"> (2010).</w:t>
      </w:r>
      <w:r w:rsidRPr="002E372D">
        <w:t xml:space="preserve"> During the 2009-2010 wet </w:t>
      </w:r>
      <w:proofErr w:type="gramStart"/>
      <w:r w:rsidRPr="002E372D">
        <w:t>season</w:t>
      </w:r>
      <w:proofErr w:type="gramEnd"/>
      <w:r w:rsidRPr="002E372D">
        <w:t>, a pilot-scale experiment (Pilot 1) was undertaken. Th</w:t>
      </w:r>
      <w:r>
        <w:t>is</w:t>
      </w:r>
      <w:r w:rsidRPr="002E372D">
        <w:t xml:space="preserve"> study aimed to determine the </w:t>
      </w:r>
      <w:r>
        <w:t xml:space="preserve">most </w:t>
      </w:r>
      <w:r w:rsidRPr="002E372D">
        <w:t xml:space="preserve">appropriate </w:t>
      </w:r>
      <w:r>
        <w:t xml:space="preserve">sediment spiking and deployment </w:t>
      </w:r>
      <w:r w:rsidRPr="002E372D">
        <w:t xml:space="preserve">methods, U concentration range and replication required for a full scale experiment. </w:t>
      </w:r>
      <w:r>
        <w:t>It</w:t>
      </w:r>
      <w:r w:rsidRPr="002E372D">
        <w:t xml:space="preserve"> involved a 3 month U spiking and equilibration procedure, which was </w:t>
      </w:r>
      <w:r>
        <w:t xml:space="preserve">done </w:t>
      </w:r>
      <w:r w:rsidRPr="002E372D">
        <w:t xml:space="preserve">to </w:t>
      </w:r>
      <w:r>
        <w:t xml:space="preserve">both </w:t>
      </w:r>
      <w:r w:rsidRPr="002E372D">
        <w:t>ensure complete binding of the U and</w:t>
      </w:r>
      <w:r>
        <w:t xml:space="preserve"> to</w:t>
      </w:r>
      <w:r w:rsidRPr="002E372D">
        <w:t xml:space="preserve"> minimise </w:t>
      </w:r>
      <w:r>
        <w:t xml:space="preserve">the possibility of </w:t>
      </w:r>
      <w:r w:rsidRPr="002E372D">
        <w:t>elevated pore-water concentrations</w:t>
      </w:r>
      <w:r>
        <w:t xml:space="preserve"> of U confounding the interpretation of the in field deployment results</w:t>
      </w:r>
      <w:r w:rsidRPr="002E372D">
        <w:t>.  The U-spiked sediments were deployed in</w:t>
      </w:r>
      <w:r>
        <w:t xml:space="preserve"> the field</w:t>
      </w:r>
      <w:r w:rsidRPr="005D53D7">
        <w:t xml:space="preserve"> </w:t>
      </w:r>
      <w:r w:rsidRPr="002E372D">
        <w:t>over the duration of the wet season</w:t>
      </w:r>
      <w:r>
        <w:t xml:space="preserve"> in</w:t>
      </w:r>
      <w:r w:rsidRPr="002E372D">
        <w:t xml:space="preserve"> retrievable containers</w:t>
      </w:r>
      <w:r>
        <w:t>. A</w:t>
      </w:r>
      <w:r w:rsidRPr="002E372D">
        <w:t>t the end of the exposure period, the extent of colonisation of macroinvertebrate, microinvertebrate and microbial communities was measured in the control and test replicates. Details of the methods</w:t>
      </w:r>
      <w:r>
        <w:t xml:space="preserve"> are</w:t>
      </w:r>
      <w:r w:rsidRPr="002E372D">
        <w:t xml:space="preserve"> given in Harford </w:t>
      </w:r>
      <w:r>
        <w:t>et al</w:t>
      </w:r>
      <w:r w:rsidRPr="002E372D">
        <w:t xml:space="preserve"> (2011).</w:t>
      </w:r>
    </w:p>
    <w:p w:rsidR="00D85FAC" w:rsidRPr="002E372D" w:rsidRDefault="00D85FAC" w:rsidP="00D85FAC">
      <w:r w:rsidRPr="002E372D">
        <w:t xml:space="preserve">Chemical analysis of spiked sediments from Pilot 1 showed that </w:t>
      </w:r>
      <w:r>
        <w:t xml:space="preserve">the initial </w:t>
      </w:r>
      <w:r w:rsidRPr="002E372D">
        <w:t xml:space="preserve">binding </w:t>
      </w:r>
      <w:r>
        <w:t xml:space="preserve">of U </w:t>
      </w:r>
      <w:r w:rsidRPr="002E372D">
        <w:t xml:space="preserve">to the sediment was rapid and complete. There also was very little loss of U over the course of the </w:t>
      </w:r>
      <w:r w:rsidRPr="002E372D">
        <w:lastRenderedPageBreak/>
        <w:t>w</w:t>
      </w:r>
      <w:r>
        <w:t xml:space="preserve">et </w:t>
      </w:r>
      <w:r w:rsidRPr="002E372D">
        <w:t xml:space="preserve">season and the U was evenly distributed through the depth of the test containers. However, </w:t>
      </w:r>
      <w:r>
        <w:t xml:space="preserve">the </w:t>
      </w:r>
      <w:r w:rsidRPr="002E372D">
        <w:t>biological</w:t>
      </w:r>
      <w:r>
        <w:t xml:space="preserve"> recolonisation component of the  was </w:t>
      </w:r>
      <w:r w:rsidRPr="002E372D">
        <w:t xml:space="preserve">potentially confounded by the inadvertent creation of highly compacted </w:t>
      </w:r>
      <w:r>
        <w:t>‘</w:t>
      </w:r>
      <w:r w:rsidRPr="002E372D">
        <w:t>mud bricks</w:t>
      </w:r>
      <w:r>
        <w:t>’</w:t>
      </w:r>
      <w:r w:rsidRPr="002E372D">
        <w:t xml:space="preserve"> that were not representative of the </w:t>
      </w:r>
      <w:r>
        <w:t xml:space="preserve">condition of the </w:t>
      </w:r>
      <w:r w:rsidRPr="002E372D">
        <w:t xml:space="preserve">natural sediment, and </w:t>
      </w:r>
      <w:r>
        <w:t xml:space="preserve">which </w:t>
      </w:r>
      <w:r w:rsidRPr="002E372D">
        <w:t xml:space="preserve">appeared to be </w:t>
      </w:r>
      <w:r>
        <w:t xml:space="preserve">physically </w:t>
      </w:r>
      <w:r w:rsidRPr="002E372D">
        <w:t xml:space="preserve">non-conducive to </w:t>
      </w:r>
      <w:r>
        <w:t xml:space="preserve">colonisation by </w:t>
      </w:r>
      <w:r w:rsidRPr="002E372D">
        <w:t xml:space="preserve">macroinvertebrate and possibly other fauna. </w:t>
      </w:r>
      <w:r>
        <w:t xml:space="preserve">There was </w:t>
      </w:r>
      <w:r w:rsidRPr="002E372D">
        <w:t xml:space="preserve">generally low abundance and species richness </w:t>
      </w:r>
      <w:r>
        <w:t xml:space="preserve">of macroinvertebrates in both the control and U-spiked sediments. </w:t>
      </w:r>
      <w:r w:rsidRPr="002E372D">
        <w:t xml:space="preserve">In contrast, preliminary (multivariate analysis) data for the microbial communities showed an apparent effect at 4000 mg U/kg, but not at 400 mg U/kg, compared to the control. The microzoobenthos samples were not assessed as originally planned, due to the difficulties in sorting very small and often cryptic organisms from the fine sediment. Instead, microzoobenthos samples were later analysed (by CSIRO CECR) using a similar ecogenomic approach as used </w:t>
      </w:r>
      <w:r>
        <w:t xml:space="preserve">at CDU </w:t>
      </w:r>
      <w:r w:rsidRPr="002E372D">
        <w:t xml:space="preserve">for the microbes. </w:t>
      </w:r>
    </w:p>
    <w:p w:rsidR="00D85FAC" w:rsidRPr="002E372D" w:rsidRDefault="00D85FAC" w:rsidP="00D85FAC">
      <w:r w:rsidRPr="002E372D">
        <w:t xml:space="preserve">The Pilot 1 study results showed that </w:t>
      </w:r>
      <w:r>
        <w:t xml:space="preserve">although </w:t>
      </w:r>
      <w:r w:rsidRPr="002E372D">
        <w:t xml:space="preserve">biological effects of sediment-bound U may be </w:t>
      </w:r>
      <w:r>
        <w:t>apparent at least at the highest U concentrations (4000 mg/kg)</w:t>
      </w:r>
      <w:r w:rsidRPr="002E372D">
        <w:t xml:space="preserve"> the sediment spiking method needed to be further refined to minimise </w:t>
      </w:r>
      <w:r>
        <w:t xml:space="preserve">the </w:t>
      </w:r>
      <w:proofErr w:type="gramStart"/>
      <w:r>
        <w:t xml:space="preserve">confounding  </w:t>
      </w:r>
      <w:r w:rsidRPr="002E372D">
        <w:t>physical</w:t>
      </w:r>
      <w:proofErr w:type="gramEnd"/>
      <w:r w:rsidRPr="002E372D">
        <w:t xml:space="preserve"> disruption of the sediment structure. Thus a second pilot study (Pilot 2) was </w:t>
      </w:r>
      <w:r>
        <w:t xml:space="preserve">undertaken on the 10/11 wet </w:t>
      </w:r>
      <w:proofErr w:type="gramStart"/>
      <w:r>
        <w:t xml:space="preserve">season </w:t>
      </w:r>
      <w:r w:rsidRPr="002E372D">
        <w:t xml:space="preserve"> to</w:t>
      </w:r>
      <w:proofErr w:type="gramEnd"/>
      <w:r w:rsidRPr="002E372D">
        <w:t xml:space="preserve"> investigate the effect</w:t>
      </w:r>
      <w:r>
        <w:t>s</w:t>
      </w:r>
      <w:r w:rsidRPr="002E372D">
        <w:t xml:space="preserve"> of minimising (i) the amount of sediment manipulation, in particular, the sieving and the extent of mixing, and (ii) aerial exposure prior to wet season inundation</w:t>
      </w:r>
      <w:r>
        <w:t>. As for the first pilot</w:t>
      </w:r>
      <w:r w:rsidRPr="002E372D">
        <w:t xml:space="preserve">, detailed chemical analyses were conducted to ensure that there was an acceptably homogeneous distribution of U throughout the sediment </w:t>
      </w:r>
      <w:r>
        <w:t>profile in the deployed spiked sediment</w:t>
      </w:r>
      <w:r w:rsidRPr="002E372D">
        <w:t>.</w:t>
      </w:r>
    </w:p>
    <w:p w:rsidR="00D85FAC" w:rsidRPr="002E372D" w:rsidRDefault="00D85FAC" w:rsidP="00D85FAC">
      <w:pPr>
        <w:pStyle w:val="Heading2"/>
        <w:rPr>
          <w:lang w:eastAsia="en-AU"/>
        </w:rPr>
      </w:pPr>
      <w:bookmarkStart w:id="136" w:name="_Toc313523445"/>
      <w:bookmarkStart w:id="137" w:name="_Toc316985288"/>
      <w:r w:rsidRPr="002E372D">
        <w:rPr>
          <w:lang w:eastAsia="en-AU"/>
        </w:rPr>
        <w:t>Methods</w:t>
      </w:r>
      <w:bookmarkEnd w:id="136"/>
      <w:bookmarkEnd w:id="137"/>
    </w:p>
    <w:p w:rsidR="00D85FAC" w:rsidRDefault="00D85FAC" w:rsidP="00D85FAC">
      <w:r w:rsidRPr="002E372D">
        <w:t>The Pilot 2 study was undertaken during the 2010</w:t>
      </w:r>
      <w:r w:rsidRPr="002E372D">
        <w:rPr>
          <w:szCs w:val="22"/>
        </w:rPr>
        <w:t>–</w:t>
      </w:r>
      <w:r w:rsidRPr="002E372D">
        <w:t xml:space="preserve">11 wet-season, and focused on evaluating an alternative method for sediment spiking, </w:t>
      </w:r>
      <w:r>
        <w:t xml:space="preserve">the objective of </w:t>
      </w:r>
      <w:r w:rsidRPr="002E372D">
        <w:t xml:space="preserve">which </w:t>
      </w:r>
      <w:r>
        <w:t xml:space="preserve">was to </w:t>
      </w:r>
      <w:r w:rsidRPr="002E372D">
        <w:t xml:space="preserve">minimise </w:t>
      </w:r>
      <w:r>
        <w:t xml:space="preserve">both </w:t>
      </w:r>
      <w:r w:rsidRPr="002E372D">
        <w:t>disturbance of the physical characteristics of the sediment and the duration of the storage period prior to deployment. The method involved</w:t>
      </w:r>
      <w:r>
        <w:t xml:space="preserve"> the </w:t>
      </w:r>
      <w:r w:rsidRPr="002E372D">
        <w:t xml:space="preserve">gentle pouring of a solution of uranyl sulfate over the </w:t>
      </w:r>
      <w:r>
        <w:t xml:space="preserve">surface of the </w:t>
      </w:r>
      <w:r w:rsidRPr="002E372D">
        <w:t xml:space="preserve">sediment, allowing the solution to infiltrate through the </w:t>
      </w:r>
      <w:r>
        <w:t xml:space="preserve">largely undisturbed </w:t>
      </w:r>
      <w:r w:rsidRPr="002E372D">
        <w:t xml:space="preserve">sediment </w:t>
      </w:r>
      <w:r>
        <w:t xml:space="preserve">profile </w:t>
      </w:r>
      <w:r w:rsidRPr="002E372D">
        <w:t xml:space="preserve">and </w:t>
      </w:r>
      <w:r>
        <w:t xml:space="preserve">finally to </w:t>
      </w:r>
      <w:r w:rsidRPr="002E372D">
        <w:t xml:space="preserve">drain through the mesh base of the container into a collecting vessel. The solution, along with any </w:t>
      </w:r>
      <w:r>
        <w:t xml:space="preserve">incidentally elutriated </w:t>
      </w:r>
      <w:r w:rsidRPr="002E372D">
        <w:t xml:space="preserve">sediment, was then re-poured over the sediment </w:t>
      </w:r>
      <w:r>
        <w:t xml:space="preserve">surface, </w:t>
      </w:r>
      <w:r w:rsidRPr="002E372D">
        <w:t xml:space="preserve">after the </w:t>
      </w:r>
      <w:r>
        <w:t xml:space="preserve">bulk material </w:t>
      </w:r>
      <w:r w:rsidRPr="002E372D">
        <w:t xml:space="preserve">had been gently mixed to facilitate the even distribution of U through the </w:t>
      </w:r>
      <w:r>
        <w:t>profile</w:t>
      </w:r>
      <w:r w:rsidRPr="002E372D">
        <w:t xml:space="preserve">. </w:t>
      </w:r>
      <w:r>
        <w:t>Initial c</w:t>
      </w:r>
      <w:r w:rsidRPr="002E372D">
        <w:t xml:space="preserve">hemical analyses confirmed that the majority of the U (90%) was removed from the </w:t>
      </w:r>
      <w:r>
        <w:t xml:space="preserve">original </w:t>
      </w:r>
      <w:r w:rsidRPr="002E372D">
        <w:t xml:space="preserve">U </w:t>
      </w:r>
      <w:r>
        <w:t xml:space="preserve">spiking </w:t>
      </w:r>
      <w:r w:rsidRPr="002E372D">
        <w:t xml:space="preserve">solution after </w:t>
      </w:r>
      <w:r>
        <w:t xml:space="preserve">only </w:t>
      </w:r>
      <w:r w:rsidRPr="002E372D">
        <w:t xml:space="preserve">two pourings </w:t>
      </w:r>
      <w:r>
        <w:t xml:space="preserve">(ie two recyle steps) </w:t>
      </w:r>
      <w:r w:rsidRPr="002E372D">
        <w:t xml:space="preserve">of the </w:t>
      </w:r>
      <w:r>
        <w:t xml:space="preserve">collected permeate </w:t>
      </w:r>
      <w:r w:rsidRPr="002E372D">
        <w:t>through the sediment. An additional benefit of th</w:t>
      </w:r>
      <w:r>
        <w:t>is</w:t>
      </w:r>
      <w:r w:rsidRPr="002E372D">
        <w:t xml:space="preserve"> method was that the sulfate introduced with the U (as uranyl sulfate) could be flushed out of the sediment </w:t>
      </w:r>
      <w:r>
        <w:t xml:space="preserve">bed </w:t>
      </w:r>
      <w:r w:rsidRPr="002E372D">
        <w:t xml:space="preserve">by washing </w:t>
      </w:r>
      <w:r>
        <w:t xml:space="preserve">it </w:t>
      </w:r>
      <w:r w:rsidRPr="002E372D">
        <w:t xml:space="preserve">with deionised water, which removed the sulfate but not the U bound to the sediment. </w:t>
      </w:r>
      <w:r>
        <w:t xml:space="preserve">This contrasts with pilot 1 where the sulfate was not washed out and remained as a potentially confounding factor.  </w:t>
      </w:r>
    </w:p>
    <w:p w:rsidR="00D85FAC" w:rsidRPr="002E372D" w:rsidRDefault="00D85FAC" w:rsidP="00D85FAC">
      <w:r>
        <w:t xml:space="preserve">The </w:t>
      </w:r>
      <w:r w:rsidRPr="002E372D">
        <w:t xml:space="preserve">method </w:t>
      </w:r>
      <w:r>
        <w:t xml:space="preserve">described above </w:t>
      </w:r>
      <w:r w:rsidRPr="002E372D">
        <w:t>was used to produce a control and three U treatments (0, 500, 1000 and 2000 mg kg</w:t>
      </w:r>
      <w:r w:rsidRPr="002E372D">
        <w:rPr>
          <w:snapToGrid w:val="0"/>
          <w:color w:val="000000"/>
          <w:position w:val="5"/>
          <w:sz w:val="13"/>
          <w:szCs w:val="0"/>
          <w:u w:color="000000"/>
        </w:rPr>
        <w:t>-1</w:t>
      </w:r>
      <w:r w:rsidRPr="002E372D">
        <w:rPr>
          <w:snapToGrid w:val="0"/>
          <w:color w:val="000000"/>
          <w:szCs w:val="0"/>
          <w:u w:color="000000"/>
        </w:rPr>
        <w:t xml:space="preserve">).  </w:t>
      </w:r>
      <w:r w:rsidRPr="002E372D">
        <w:t>Prior to deployment</w:t>
      </w:r>
      <w:r>
        <w:t>,</w:t>
      </w:r>
      <w:r w:rsidRPr="002E372D">
        <w:t xml:space="preserve"> sub-samples of the sediments were taken for chemical and ecogenomic analysis</w:t>
      </w:r>
      <w:r>
        <w:t xml:space="preserve"> to define the starting chemical and biological condition</w:t>
      </w:r>
      <w:r w:rsidRPr="002E372D">
        <w:t>. An extra (6</w:t>
      </w:r>
      <w:r w:rsidRPr="002E372D">
        <w:rPr>
          <w:vertAlign w:val="superscript"/>
        </w:rPr>
        <w:t>th</w:t>
      </w:r>
      <w:r w:rsidRPr="002E372D">
        <w:t>) replicate</w:t>
      </w:r>
      <w:r>
        <w:t xml:space="preserve"> for each treatment</w:t>
      </w:r>
      <w:r w:rsidRPr="002E372D">
        <w:t xml:space="preserve"> was used to conduct comprehensive chemical analysis of the vertical and horizontal distribution of the U in the treatments.</w:t>
      </w:r>
      <w:r w:rsidRPr="002E372D">
        <w:rPr>
          <w:snapToGrid w:val="0"/>
          <w:color w:val="000000"/>
          <w:szCs w:val="0"/>
          <w:u w:color="000000"/>
        </w:rPr>
        <w:t xml:space="preserve"> A site-control was also included as per Pilot 1</w:t>
      </w:r>
      <w:r w:rsidRPr="002E372D">
        <w:t>.</w:t>
      </w:r>
    </w:p>
    <w:p w:rsidR="00D85FAC" w:rsidRPr="002E372D" w:rsidRDefault="00D85FAC" w:rsidP="00D85FAC">
      <w:pPr>
        <w:pStyle w:val="referencelist1"/>
        <w:ind w:left="0" w:firstLine="0"/>
      </w:pPr>
      <w:r w:rsidRPr="002E372D">
        <w:t xml:space="preserve">The sediments (five replicates </w:t>
      </w:r>
      <w:r>
        <w:t>of</w:t>
      </w:r>
      <w:r w:rsidRPr="002E372D">
        <w:t xml:space="preserve"> each </w:t>
      </w:r>
      <w:r>
        <w:t xml:space="preserve">concentration </w:t>
      </w:r>
      <w:r w:rsidRPr="002E372D">
        <w:t xml:space="preserve">treatment) were deployed on 25 November 2010 and retrieved on 11 April 2011 after being submerged </w:t>
      </w:r>
      <w:r>
        <w:t xml:space="preserve">in the billabong </w:t>
      </w:r>
      <w:r w:rsidRPr="002E372D">
        <w:t xml:space="preserve">for 5 months. Conditions at the study site were significantly different to the preceding year due to </w:t>
      </w:r>
      <w:r w:rsidRPr="002E372D">
        <w:lastRenderedPageBreak/>
        <w:t>early rain and very high</w:t>
      </w:r>
      <w:r>
        <w:t xml:space="preserve"> </w:t>
      </w:r>
      <w:proofErr w:type="gramStart"/>
      <w:r>
        <w:t xml:space="preserve">total </w:t>
      </w:r>
      <w:r w:rsidRPr="002E372D">
        <w:t xml:space="preserve"> rainfall</w:t>
      </w:r>
      <w:proofErr w:type="gramEnd"/>
      <w:r w:rsidRPr="002E372D">
        <w:t xml:space="preserve"> for the season. The sediments were deployed when the site was wet</w:t>
      </w:r>
      <w:r>
        <w:t xml:space="preserve"> (in contrast to the preceding year, and thus obviating the baked mud brick condition),</w:t>
      </w:r>
      <w:r w:rsidRPr="002E372D">
        <w:t xml:space="preserve"> and the </w:t>
      </w:r>
      <w:r>
        <w:t>water overlying the site was ~1 </w:t>
      </w:r>
      <w:r w:rsidRPr="002E372D">
        <w:t xml:space="preserve">m deeper when the sediments were retrieved compared with Pilot 1. </w:t>
      </w:r>
    </w:p>
    <w:p w:rsidR="00D85FAC" w:rsidRPr="002E372D" w:rsidRDefault="00D85FAC" w:rsidP="00D85FAC">
      <w:pPr>
        <w:pStyle w:val="referencelist1"/>
        <w:ind w:left="0" w:firstLine="0"/>
      </w:pPr>
      <w:r w:rsidRPr="002E372D">
        <w:t xml:space="preserve">Following retrieval of the sediment, four cores of sediment (30–50 mm depth </w:t>
      </w:r>
      <w:r w:rsidRPr="002E372D">
        <w:sym w:font="Symbol" w:char="F0B4"/>
      </w:r>
      <w:r>
        <w:t xml:space="preserve"> 15 </w:t>
      </w:r>
      <w:r w:rsidRPr="002E372D">
        <w:t>mm diameter, three for ecogenomics and one for chemical analysis) were obtained from each container for detailed chemical, microbial and microinvertebrate analysis. The remaining sediment in each container was then elutriated through a 500 </w:t>
      </w:r>
      <w:r w:rsidRPr="002E372D">
        <w:rPr>
          <w:lang w:eastAsia="en-AU"/>
        </w:rPr>
        <w:sym w:font="Symbol" w:char="F06D"/>
      </w:r>
      <w:r w:rsidRPr="002E372D">
        <w:rPr>
          <w:lang w:eastAsia="en-AU"/>
        </w:rPr>
        <w:t>m mesh</w:t>
      </w:r>
      <w:r w:rsidRPr="002E372D">
        <w:t xml:space="preserve"> sieve and </w:t>
      </w:r>
      <w:r>
        <w:t xml:space="preserve">the material remaiming </w:t>
      </w:r>
      <w:proofErr w:type="gramStart"/>
      <w:r>
        <w:t>on  the</w:t>
      </w:r>
      <w:proofErr w:type="gramEnd"/>
      <w:r>
        <w:t xml:space="preserve"> mesh </w:t>
      </w:r>
      <w:r w:rsidRPr="002E372D">
        <w:t>retained for macroinvertebrate characterisation.</w:t>
      </w:r>
    </w:p>
    <w:p w:rsidR="00D85FAC" w:rsidRPr="002E372D" w:rsidRDefault="00D85FAC" w:rsidP="00D85FAC">
      <w:pPr>
        <w:pStyle w:val="Heading2"/>
      </w:pPr>
      <w:bookmarkStart w:id="138" w:name="_Toc313523446"/>
      <w:bookmarkStart w:id="139" w:name="_Toc316985289"/>
      <w:r w:rsidRPr="002E372D">
        <w:t>Results</w:t>
      </w:r>
      <w:bookmarkEnd w:id="138"/>
      <w:bookmarkEnd w:id="139"/>
    </w:p>
    <w:p w:rsidR="00D85FAC" w:rsidRPr="00785B08" w:rsidRDefault="00D85FAC" w:rsidP="00D85FAC">
      <w:pPr>
        <w:pStyle w:val="Heading3"/>
        <w:rPr>
          <w:lang w:eastAsia="en-AU"/>
        </w:rPr>
      </w:pPr>
      <w:bookmarkStart w:id="140" w:name="_Toc313523447"/>
      <w:bookmarkStart w:id="141" w:name="_Toc316985290"/>
      <w:r w:rsidRPr="00785B08">
        <w:rPr>
          <w:lang w:eastAsia="en-AU"/>
        </w:rPr>
        <w:t>Chemistry</w:t>
      </w:r>
      <w:bookmarkEnd w:id="140"/>
      <w:bookmarkEnd w:id="141"/>
    </w:p>
    <w:p w:rsidR="00D85FAC" w:rsidRPr="002E372D" w:rsidRDefault="00D85FAC" w:rsidP="00D85FAC">
      <w:pPr>
        <w:rPr>
          <w:lang w:eastAsia="en-AU"/>
        </w:rPr>
      </w:pPr>
      <w:r w:rsidRPr="002E372D">
        <w:rPr>
          <w:lang w:eastAsia="en-AU"/>
        </w:rPr>
        <w:t xml:space="preserve">Chemical analysis of the pre-deployed spiked sediment cores indicated that the U was evenly distributed (horizontally and vertically) throughout the test containers, </w:t>
      </w:r>
      <w:r>
        <w:rPr>
          <w:lang w:eastAsia="en-AU"/>
        </w:rPr>
        <w:t>ie</w:t>
      </w:r>
      <w:r w:rsidRPr="002E372D">
        <w:rPr>
          <w:lang w:eastAsia="en-AU"/>
        </w:rPr>
        <w:t xml:space="preserve"> </w:t>
      </w:r>
      <w:r>
        <w:rPr>
          <w:lang w:eastAsia="en-AU"/>
        </w:rPr>
        <w:t>87–92</w:t>
      </w:r>
      <w:r w:rsidRPr="002E372D">
        <w:rPr>
          <w:lang w:eastAsia="en-AU"/>
        </w:rPr>
        <w:t xml:space="preserve">% of the nominal concentration. However, one </w:t>
      </w:r>
      <w:r>
        <w:rPr>
          <w:lang w:eastAsia="en-AU"/>
        </w:rPr>
        <w:t>sub-</w:t>
      </w:r>
      <w:r w:rsidRPr="002E372D">
        <w:rPr>
          <w:lang w:eastAsia="en-AU"/>
        </w:rPr>
        <w:t xml:space="preserve">sample </w:t>
      </w:r>
      <w:r>
        <w:rPr>
          <w:lang w:eastAsia="en-AU"/>
        </w:rPr>
        <w:t>from</w:t>
      </w:r>
      <w:r w:rsidRPr="002E372D">
        <w:rPr>
          <w:lang w:eastAsia="en-AU"/>
        </w:rPr>
        <w:t xml:space="preserve"> the 1000 mg kg</w:t>
      </w:r>
      <w:r w:rsidRPr="002E372D">
        <w:rPr>
          <w:vertAlign w:val="superscript"/>
          <w:lang w:eastAsia="en-AU"/>
        </w:rPr>
        <w:t xml:space="preserve">-1 </w:t>
      </w:r>
      <w:r w:rsidRPr="002E372D">
        <w:rPr>
          <w:lang w:eastAsia="en-AU"/>
        </w:rPr>
        <w:t>treatment</w:t>
      </w:r>
      <w:r w:rsidRPr="002E372D">
        <w:rPr>
          <w:vertAlign w:val="superscript"/>
          <w:lang w:eastAsia="en-AU"/>
        </w:rPr>
        <w:t xml:space="preserve"> </w:t>
      </w:r>
      <w:r>
        <w:rPr>
          <w:lang w:eastAsia="en-AU"/>
        </w:rPr>
        <w:t>contained</w:t>
      </w:r>
      <w:r w:rsidRPr="002E372D">
        <w:rPr>
          <w:lang w:eastAsia="en-AU"/>
        </w:rPr>
        <w:t xml:space="preserve"> U at </w:t>
      </w:r>
      <w:r>
        <w:rPr>
          <w:lang w:eastAsia="en-AU"/>
        </w:rPr>
        <w:t xml:space="preserve">only </w:t>
      </w:r>
      <w:r w:rsidRPr="002E372D">
        <w:rPr>
          <w:lang w:eastAsia="en-AU"/>
        </w:rPr>
        <w:t>53% of the nominal</w:t>
      </w:r>
      <w:r>
        <w:rPr>
          <w:lang w:eastAsia="en-AU"/>
        </w:rPr>
        <w:t xml:space="preserve"> concentration</w:t>
      </w:r>
      <w:r w:rsidRPr="002E372D">
        <w:rPr>
          <w:lang w:eastAsia="en-AU"/>
        </w:rPr>
        <w:t xml:space="preserve">, which may suggest </w:t>
      </w:r>
      <w:r>
        <w:rPr>
          <w:lang w:eastAsia="en-AU"/>
        </w:rPr>
        <w:t>some</w:t>
      </w:r>
      <w:r w:rsidRPr="002E372D">
        <w:rPr>
          <w:lang w:eastAsia="en-AU"/>
        </w:rPr>
        <w:t xml:space="preserve"> patchiness within the containers.  The ratio </w:t>
      </w:r>
      <w:r>
        <w:rPr>
          <w:lang w:eastAsia="en-AU"/>
        </w:rPr>
        <w:t xml:space="preserve">of dilute (1M HCl) </w:t>
      </w:r>
      <w:r w:rsidRPr="002E372D">
        <w:rPr>
          <w:lang w:eastAsia="en-AU"/>
        </w:rPr>
        <w:t>Acid Extractable Metal (AEM) to Total Recoverable Metals (TRM) was close to one</w:t>
      </w:r>
      <w:r>
        <w:rPr>
          <w:lang w:eastAsia="en-AU"/>
        </w:rPr>
        <w:t xml:space="preserve"> </w:t>
      </w:r>
      <w:r w:rsidRPr="002E372D">
        <w:rPr>
          <w:lang w:eastAsia="en-AU"/>
        </w:rPr>
        <w:t>(T</w:t>
      </w:r>
      <w:r>
        <w:rPr>
          <w:lang w:eastAsia="en-AU"/>
        </w:rPr>
        <w:t>able</w:t>
      </w:r>
      <w:r w:rsidRPr="002E372D">
        <w:rPr>
          <w:lang w:eastAsia="en-AU"/>
        </w:rPr>
        <w:t xml:space="preserve"> </w:t>
      </w:r>
      <w:r>
        <w:rPr>
          <w:lang w:eastAsia="en-AU"/>
        </w:rPr>
        <w:t>1</w:t>
      </w:r>
      <w:r w:rsidRPr="002E372D">
        <w:rPr>
          <w:lang w:eastAsia="en-AU"/>
        </w:rPr>
        <w:t xml:space="preserve">), which was similar to the previous year.  This demonstrated that the longer spiking method of Pilot 1 </w:t>
      </w:r>
      <w:proofErr w:type="gramStart"/>
      <w:r>
        <w:rPr>
          <w:lang w:eastAsia="en-AU"/>
        </w:rPr>
        <w:t xml:space="preserve">had </w:t>
      </w:r>
      <w:r w:rsidRPr="002E372D">
        <w:rPr>
          <w:lang w:eastAsia="en-AU"/>
        </w:rPr>
        <w:t xml:space="preserve"> not</w:t>
      </w:r>
      <w:proofErr w:type="gramEnd"/>
      <w:r w:rsidRPr="002E372D">
        <w:rPr>
          <w:lang w:eastAsia="en-AU"/>
        </w:rPr>
        <w:t xml:space="preserve"> increase</w:t>
      </w:r>
      <w:r>
        <w:rPr>
          <w:lang w:eastAsia="en-AU"/>
        </w:rPr>
        <w:t>d</w:t>
      </w:r>
      <w:r w:rsidRPr="002E372D">
        <w:rPr>
          <w:lang w:eastAsia="en-AU"/>
        </w:rPr>
        <w:t xml:space="preserve"> the amount of U that was tightly</w:t>
      </w:r>
      <w:r>
        <w:rPr>
          <w:lang w:eastAsia="en-AU"/>
        </w:rPr>
        <w:t xml:space="preserve"> bound to the sediment particle and</w:t>
      </w:r>
      <w:r w:rsidRPr="002E372D">
        <w:rPr>
          <w:lang w:eastAsia="en-AU"/>
        </w:rPr>
        <w:t xml:space="preserve"> that it was </w:t>
      </w:r>
      <w:r>
        <w:rPr>
          <w:lang w:eastAsia="en-AU"/>
        </w:rPr>
        <w:t>potentially</w:t>
      </w:r>
      <w:r w:rsidRPr="002E372D">
        <w:rPr>
          <w:lang w:eastAsia="en-AU"/>
        </w:rPr>
        <w:t xml:space="preserve"> bioavailable. Uranium pore water concentrations in the spiked sediments were </w:t>
      </w:r>
      <w:r>
        <w:rPr>
          <w:lang w:eastAsia="en-AU"/>
        </w:rPr>
        <w:t>only ver low</w:t>
      </w:r>
      <w:r w:rsidRPr="002E372D">
        <w:rPr>
          <w:lang w:eastAsia="en-AU"/>
        </w:rPr>
        <w:t xml:space="preserve"> for </w:t>
      </w:r>
      <w:r>
        <w:rPr>
          <w:lang w:eastAsia="en-AU"/>
        </w:rPr>
        <w:t>all the</w:t>
      </w:r>
      <w:r w:rsidRPr="002E372D">
        <w:rPr>
          <w:lang w:eastAsia="en-AU"/>
        </w:rPr>
        <w:t xml:space="preserve"> t</w:t>
      </w:r>
      <w:r>
        <w:rPr>
          <w:lang w:eastAsia="en-AU"/>
        </w:rPr>
        <w:t>reatments (Table 1)</w:t>
      </w:r>
      <w:r w:rsidRPr="002E372D">
        <w:rPr>
          <w:lang w:eastAsia="en-AU"/>
        </w:rPr>
        <w:t>.</w:t>
      </w:r>
    </w:p>
    <w:p w:rsidR="00D85FAC" w:rsidRDefault="00D85FAC" w:rsidP="00D85FAC">
      <w:pPr>
        <w:pStyle w:val="tablecaption"/>
        <w:rPr>
          <w:lang w:eastAsia="en-AU"/>
        </w:rPr>
      </w:pPr>
      <w:r w:rsidRPr="00BA130A">
        <w:rPr>
          <w:b/>
          <w:lang w:eastAsia="en-AU"/>
        </w:rPr>
        <w:t xml:space="preserve">Table </w:t>
      </w:r>
      <w:proofErr w:type="gramStart"/>
      <w:r w:rsidRPr="00BA130A">
        <w:rPr>
          <w:b/>
          <w:lang w:eastAsia="en-AU"/>
        </w:rPr>
        <w:t xml:space="preserve">1 </w:t>
      </w:r>
      <w:r w:rsidRPr="00BA130A">
        <w:rPr>
          <w:lang w:eastAsia="en-AU"/>
        </w:rPr>
        <w:t xml:space="preserve"> Chemical</w:t>
      </w:r>
      <w:proofErr w:type="gramEnd"/>
      <w:r w:rsidRPr="00BA130A">
        <w:rPr>
          <w:lang w:eastAsia="en-AU"/>
        </w:rPr>
        <w:t xml:space="preserve"> analysis of spiked sediments prior to and following deployment</w:t>
      </w:r>
    </w:p>
    <w:tbl>
      <w:tblPr>
        <w:tblW w:w="8755" w:type="dxa"/>
        <w:tblLayout w:type="fixed"/>
        <w:tblLook w:val="04A0"/>
      </w:tblPr>
      <w:tblGrid>
        <w:gridCol w:w="959"/>
        <w:gridCol w:w="709"/>
        <w:gridCol w:w="992"/>
        <w:gridCol w:w="850"/>
        <w:gridCol w:w="709"/>
        <w:gridCol w:w="851"/>
        <w:gridCol w:w="283"/>
        <w:gridCol w:w="992"/>
        <w:gridCol w:w="851"/>
        <w:gridCol w:w="567"/>
        <w:gridCol w:w="992"/>
      </w:tblGrid>
      <w:tr w:rsidR="00D85FAC" w:rsidRPr="0040739D" w:rsidTr="00D85FAC">
        <w:tc>
          <w:tcPr>
            <w:tcW w:w="959" w:type="dxa"/>
            <w:vMerge w:val="restart"/>
            <w:tcBorders>
              <w:top w:val="single" w:sz="4" w:space="0" w:color="000000"/>
            </w:tcBorders>
            <w:vAlign w:val="center"/>
          </w:tcPr>
          <w:p w:rsidR="00D85FAC" w:rsidRPr="00C01097" w:rsidRDefault="00D85FAC" w:rsidP="00D85FAC">
            <w:pPr>
              <w:pStyle w:val="table1"/>
              <w:jc w:val="center"/>
              <w:rPr>
                <w:spacing w:val="-2"/>
                <w:sz w:val="14"/>
                <w:szCs w:val="14"/>
              </w:rPr>
            </w:pPr>
            <w:r w:rsidRPr="00C01097">
              <w:rPr>
                <w:b/>
                <w:spacing w:val="-2"/>
                <w:sz w:val="14"/>
                <w:szCs w:val="14"/>
              </w:rPr>
              <w:t>Treatment</w:t>
            </w:r>
          </w:p>
        </w:tc>
        <w:tc>
          <w:tcPr>
            <w:tcW w:w="709" w:type="dxa"/>
            <w:vMerge w:val="restart"/>
            <w:tcBorders>
              <w:top w:val="single" w:sz="4" w:space="0" w:color="000000"/>
            </w:tcBorders>
            <w:vAlign w:val="center"/>
          </w:tcPr>
          <w:p w:rsidR="00D85FAC" w:rsidRPr="006C7F7B" w:rsidRDefault="00D85FAC" w:rsidP="00D85FAC">
            <w:pPr>
              <w:pStyle w:val="table1"/>
              <w:jc w:val="center"/>
              <w:rPr>
                <w:b/>
                <w:spacing w:val="-2"/>
                <w:sz w:val="12"/>
                <w:szCs w:val="12"/>
              </w:rPr>
            </w:pPr>
            <w:r w:rsidRPr="006C7F7B">
              <w:rPr>
                <w:b/>
                <w:spacing w:val="-2"/>
                <w:sz w:val="12"/>
                <w:szCs w:val="12"/>
              </w:rPr>
              <w:t xml:space="preserve">Nominal </w:t>
            </w:r>
            <w:r w:rsidRPr="006C7F7B">
              <w:rPr>
                <w:b/>
                <w:spacing w:val="-2"/>
                <w:sz w:val="12"/>
                <w:szCs w:val="12"/>
              </w:rPr>
              <w:br/>
              <w:t xml:space="preserve">U </w:t>
            </w:r>
            <w:r w:rsidRPr="006C7F7B">
              <w:rPr>
                <w:b/>
                <w:spacing w:val="-2"/>
                <w:sz w:val="12"/>
                <w:szCs w:val="12"/>
              </w:rPr>
              <w:br/>
              <w:t>(mg kg</w:t>
            </w:r>
            <w:r w:rsidRPr="006C7F7B">
              <w:rPr>
                <w:b/>
                <w:spacing w:val="-2"/>
                <w:sz w:val="12"/>
                <w:szCs w:val="12"/>
                <w:vertAlign w:val="superscript"/>
              </w:rPr>
              <w:t>-1</w:t>
            </w:r>
            <w:r w:rsidRPr="006C7F7B">
              <w:rPr>
                <w:b/>
                <w:spacing w:val="-2"/>
                <w:sz w:val="12"/>
                <w:szCs w:val="12"/>
              </w:rPr>
              <w:t>)</w:t>
            </w:r>
          </w:p>
        </w:tc>
        <w:tc>
          <w:tcPr>
            <w:tcW w:w="3402" w:type="dxa"/>
            <w:gridSpan w:val="4"/>
            <w:tcBorders>
              <w:top w:val="single" w:sz="4" w:space="0" w:color="000000"/>
            </w:tcBorders>
          </w:tcPr>
          <w:p w:rsidR="00D85FAC" w:rsidRPr="00C01097" w:rsidRDefault="00D85FAC" w:rsidP="00D85FAC">
            <w:pPr>
              <w:pStyle w:val="table1"/>
              <w:jc w:val="center"/>
              <w:rPr>
                <w:b/>
                <w:spacing w:val="-2"/>
                <w:sz w:val="14"/>
                <w:szCs w:val="14"/>
              </w:rPr>
            </w:pPr>
            <w:r w:rsidRPr="00C01097">
              <w:rPr>
                <w:b/>
                <w:spacing w:val="-2"/>
                <w:sz w:val="14"/>
                <w:szCs w:val="14"/>
              </w:rPr>
              <w:t>Pre-deployment</w:t>
            </w:r>
          </w:p>
        </w:tc>
        <w:tc>
          <w:tcPr>
            <w:tcW w:w="283" w:type="dxa"/>
            <w:tcBorders>
              <w:top w:val="single" w:sz="4" w:space="0" w:color="000000"/>
            </w:tcBorders>
          </w:tcPr>
          <w:p w:rsidR="00D85FAC" w:rsidRPr="00C01097" w:rsidRDefault="00D85FAC" w:rsidP="00D85FAC">
            <w:pPr>
              <w:pStyle w:val="table1"/>
              <w:jc w:val="center"/>
              <w:rPr>
                <w:b/>
                <w:spacing w:val="-2"/>
                <w:sz w:val="14"/>
                <w:szCs w:val="14"/>
              </w:rPr>
            </w:pPr>
          </w:p>
        </w:tc>
        <w:tc>
          <w:tcPr>
            <w:tcW w:w="3402" w:type="dxa"/>
            <w:gridSpan w:val="4"/>
            <w:tcBorders>
              <w:top w:val="single" w:sz="4" w:space="0" w:color="000000"/>
            </w:tcBorders>
          </w:tcPr>
          <w:p w:rsidR="00D85FAC" w:rsidRPr="00C01097" w:rsidRDefault="00D85FAC" w:rsidP="00D85FAC">
            <w:pPr>
              <w:pStyle w:val="table1"/>
              <w:jc w:val="center"/>
              <w:rPr>
                <w:b/>
                <w:spacing w:val="-2"/>
                <w:sz w:val="14"/>
                <w:szCs w:val="14"/>
              </w:rPr>
            </w:pPr>
            <w:r w:rsidRPr="00C01097">
              <w:rPr>
                <w:b/>
                <w:spacing w:val="-2"/>
                <w:sz w:val="14"/>
                <w:szCs w:val="14"/>
              </w:rPr>
              <w:t>Post-deployment</w:t>
            </w:r>
          </w:p>
        </w:tc>
      </w:tr>
      <w:tr w:rsidR="00D85FAC" w:rsidRPr="0040739D" w:rsidTr="00D85FAC">
        <w:tc>
          <w:tcPr>
            <w:tcW w:w="959" w:type="dxa"/>
            <w:vMerge/>
            <w:tcBorders>
              <w:bottom w:val="single" w:sz="4" w:space="0" w:color="000000"/>
            </w:tcBorders>
          </w:tcPr>
          <w:p w:rsidR="00D85FAC" w:rsidRPr="00C01097" w:rsidRDefault="00D85FAC" w:rsidP="00D85FAC">
            <w:pPr>
              <w:pStyle w:val="table1"/>
              <w:jc w:val="center"/>
              <w:rPr>
                <w:b/>
                <w:spacing w:val="-2"/>
                <w:sz w:val="14"/>
                <w:szCs w:val="14"/>
              </w:rPr>
            </w:pPr>
          </w:p>
        </w:tc>
        <w:tc>
          <w:tcPr>
            <w:tcW w:w="709" w:type="dxa"/>
            <w:vMerge/>
            <w:tcBorders>
              <w:bottom w:val="single" w:sz="4" w:space="0" w:color="000000"/>
            </w:tcBorders>
            <w:vAlign w:val="bottom"/>
          </w:tcPr>
          <w:p w:rsidR="00D85FAC" w:rsidRPr="0040739D" w:rsidRDefault="00D85FAC" w:rsidP="00D85FAC">
            <w:pPr>
              <w:pStyle w:val="table1"/>
              <w:jc w:val="center"/>
              <w:rPr>
                <w:b/>
                <w:spacing w:val="-2"/>
                <w:sz w:val="15"/>
                <w:szCs w:val="15"/>
              </w:rPr>
            </w:pPr>
          </w:p>
        </w:tc>
        <w:tc>
          <w:tcPr>
            <w:tcW w:w="992" w:type="dxa"/>
            <w:tcBorders>
              <w:top w:val="single" w:sz="4" w:space="0" w:color="000000"/>
              <w:bottom w:val="single" w:sz="4" w:space="0" w:color="000000"/>
            </w:tcBorders>
            <w:vAlign w:val="bottom"/>
          </w:tcPr>
          <w:p w:rsidR="00D85FAC" w:rsidRPr="00A27937" w:rsidRDefault="00D85FAC" w:rsidP="00D85FAC">
            <w:pPr>
              <w:pStyle w:val="table1"/>
              <w:jc w:val="center"/>
              <w:rPr>
                <w:b/>
                <w:spacing w:val="-2"/>
                <w:sz w:val="13"/>
                <w:szCs w:val="13"/>
              </w:rPr>
            </w:pPr>
            <w:r w:rsidRPr="00A27937">
              <w:rPr>
                <w:b/>
                <w:spacing w:val="-2"/>
                <w:sz w:val="13"/>
                <w:szCs w:val="13"/>
              </w:rPr>
              <w:t>TRM</w:t>
            </w:r>
            <w:r>
              <w:rPr>
                <w:b/>
                <w:spacing w:val="-2"/>
                <w:sz w:val="13"/>
                <w:szCs w:val="13"/>
                <w:vertAlign w:val="superscript"/>
              </w:rPr>
              <w:t>a</w:t>
            </w:r>
            <w:r w:rsidRPr="00A27937">
              <w:rPr>
                <w:b/>
                <w:spacing w:val="-2"/>
                <w:sz w:val="13"/>
                <w:szCs w:val="13"/>
              </w:rPr>
              <w:t xml:space="preserve"> </w:t>
            </w:r>
            <w:r w:rsidRPr="00A27937">
              <w:rPr>
                <w:b/>
                <w:spacing w:val="-2"/>
                <w:sz w:val="13"/>
                <w:szCs w:val="13"/>
              </w:rPr>
              <w:br/>
              <w:t xml:space="preserve">U </w:t>
            </w:r>
            <w:r w:rsidRPr="00A27937">
              <w:rPr>
                <w:b/>
                <w:spacing w:val="-2"/>
                <w:sz w:val="13"/>
                <w:szCs w:val="13"/>
              </w:rPr>
              <w:br/>
              <w:t>(mg kg</w:t>
            </w:r>
            <w:r w:rsidRPr="00A27937">
              <w:rPr>
                <w:b/>
                <w:spacing w:val="-2"/>
                <w:sz w:val="13"/>
                <w:szCs w:val="13"/>
                <w:vertAlign w:val="superscript"/>
              </w:rPr>
              <w:noBreakHyphen/>
              <w:t>1</w:t>
            </w:r>
            <w:r w:rsidRPr="00A27937">
              <w:rPr>
                <w:b/>
                <w:spacing w:val="-2"/>
                <w:sz w:val="13"/>
                <w:szCs w:val="13"/>
              </w:rPr>
              <w:t>)</w:t>
            </w:r>
          </w:p>
        </w:tc>
        <w:tc>
          <w:tcPr>
            <w:tcW w:w="850" w:type="dxa"/>
            <w:tcBorders>
              <w:top w:val="single" w:sz="4" w:space="0" w:color="000000"/>
              <w:bottom w:val="single" w:sz="4" w:space="0" w:color="000000"/>
            </w:tcBorders>
            <w:vAlign w:val="bottom"/>
          </w:tcPr>
          <w:p w:rsidR="00D85FAC" w:rsidRPr="00A27937" w:rsidRDefault="00D85FAC" w:rsidP="00D85FAC">
            <w:pPr>
              <w:pStyle w:val="table1"/>
              <w:jc w:val="center"/>
              <w:rPr>
                <w:b/>
                <w:spacing w:val="-2"/>
                <w:sz w:val="13"/>
                <w:szCs w:val="13"/>
              </w:rPr>
            </w:pPr>
            <w:r w:rsidRPr="00B33643">
              <w:rPr>
                <w:b/>
                <w:spacing w:val="-2"/>
                <w:sz w:val="12"/>
                <w:szCs w:val="12"/>
              </w:rPr>
              <w:t>AEM</w:t>
            </w:r>
            <w:r w:rsidRPr="00B33643">
              <w:rPr>
                <w:b/>
                <w:spacing w:val="-2"/>
                <w:sz w:val="12"/>
                <w:szCs w:val="12"/>
                <w:vertAlign w:val="superscript"/>
              </w:rPr>
              <w:t>b</w:t>
            </w:r>
            <w:r w:rsidRPr="00B33643">
              <w:rPr>
                <w:b/>
                <w:spacing w:val="-2"/>
                <w:sz w:val="12"/>
                <w:szCs w:val="12"/>
              </w:rPr>
              <w:t xml:space="preserve">:TRM </w:t>
            </w:r>
            <w:r w:rsidRPr="00B33643">
              <w:rPr>
                <w:b/>
                <w:spacing w:val="-2"/>
                <w:sz w:val="12"/>
                <w:szCs w:val="12"/>
              </w:rPr>
              <w:br/>
            </w:r>
            <w:r w:rsidRPr="00A27937">
              <w:rPr>
                <w:b/>
                <w:spacing w:val="-2"/>
                <w:sz w:val="13"/>
                <w:szCs w:val="13"/>
              </w:rPr>
              <w:t>ratio</w:t>
            </w:r>
          </w:p>
        </w:tc>
        <w:tc>
          <w:tcPr>
            <w:tcW w:w="709" w:type="dxa"/>
            <w:tcBorders>
              <w:top w:val="single" w:sz="4" w:space="0" w:color="000000"/>
              <w:bottom w:val="single" w:sz="4" w:space="0" w:color="000000"/>
            </w:tcBorders>
            <w:vAlign w:val="bottom"/>
          </w:tcPr>
          <w:p w:rsidR="00D85FAC" w:rsidRPr="00163688" w:rsidRDefault="00D85FAC" w:rsidP="00D85FAC">
            <w:pPr>
              <w:pStyle w:val="table1"/>
              <w:jc w:val="center"/>
              <w:rPr>
                <w:b/>
                <w:spacing w:val="-2"/>
                <w:sz w:val="12"/>
                <w:szCs w:val="12"/>
              </w:rPr>
            </w:pPr>
            <w:r w:rsidRPr="00163688">
              <w:rPr>
                <w:b/>
                <w:spacing w:val="-2"/>
                <w:sz w:val="12"/>
                <w:szCs w:val="12"/>
              </w:rPr>
              <w:t>% of Nominal</w:t>
            </w:r>
          </w:p>
        </w:tc>
        <w:tc>
          <w:tcPr>
            <w:tcW w:w="851" w:type="dxa"/>
            <w:tcBorders>
              <w:top w:val="single" w:sz="4" w:space="0" w:color="000000"/>
              <w:bottom w:val="single" w:sz="4" w:space="0" w:color="000000"/>
            </w:tcBorders>
            <w:vAlign w:val="bottom"/>
          </w:tcPr>
          <w:p w:rsidR="00D85FAC" w:rsidRPr="00A27937" w:rsidRDefault="00D85FAC" w:rsidP="00D85FAC">
            <w:pPr>
              <w:pStyle w:val="table1"/>
              <w:jc w:val="center"/>
              <w:rPr>
                <w:b/>
                <w:spacing w:val="-2"/>
                <w:sz w:val="13"/>
                <w:szCs w:val="13"/>
              </w:rPr>
            </w:pPr>
            <w:r w:rsidRPr="00A27937">
              <w:rPr>
                <w:b/>
                <w:spacing w:val="-2"/>
                <w:sz w:val="13"/>
                <w:szCs w:val="13"/>
              </w:rPr>
              <w:t xml:space="preserve">Porewater U </w:t>
            </w:r>
            <w:r w:rsidRPr="00A27937">
              <w:rPr>
                <w:b/>
                <w:spacing w:val="-2"/>
                <w:sz w:val="13"/>
                <w:szCs w:val="13"/>
              </w:rPr>
              <w:br/>
              <w:t>(µg L</w:t>
            </w:r>
            <w:r w:rsidRPr="00A27937">
              <w:rPr>
                <w:b/>
                <w:spacing w:val="-2"/>
                <w:sz w:val="13"/>
                <w:szCs w:val="13"/>
                <w:vertAlign w:val="superscript"/>
              </w:rPr>
              <w:t>-1</w:t>
            </w:r>
            <w:r w:rsidRPr="00A27937">
              <w:rPr>
                <w:b/>
                <w:spacing w:val="-2"/>
                <w:sz w:val="13"/>
                <w:szCs w:val="13"/>
              </w:rPr>
              <w:t>)</w:t>
            </w:r>
            <w:r>
              <w:rPr>
                <w:b/>
                <w:spacing w:val="-2"/>
                <w:sz w:val="13"/>
                <w:szCs w:val="13"/>
                <w:vertAlign w:val="superscript"/>
              </w:rPr>
              <w:t xml:space="preserve"> c</w:t>
            </w:r>
          </w:p>
        </w:tc>
        <w:tc>
          <w:tcPr>
            <w:tcW w:w="283" w:type="dxa"/>
            <w:tcBorders>
              <w:bottom w:val="single" w:sz="4" w:space="0" w:color="000000"/>
            </w:tcBorders>
          </w:tcPr>
          <w:p w:rsidR="00D85FAC" w:rsidRPr="00A27937" w:rsidRDefault="00D85FAC" w:rsidP="00D85FAC">
            <w:pPr>
              <w:pStyle w:val="table1"/>
              <w:jc w:val="center"/>
              <w:rPr>
                <w:b/>
                <w:spacing w:val="-2"/>
                <w:sz w:val="13"/>
                <w:szCs w:val="13"/>
              </w:rPr>
            </w:pPr>
          </w:p>
        </w:tc>
        <w:tc>
          <w:tcPr>
            <w:tcW w:w="992" w:type="dxa"/>
            <w:tcBorders>
              <w:top w:val="single" w:sz="4" w:space="0" w:color="000000"/>
              <w:bottom w:val="single" w:sz="4" w:space="0" w:color="000000"/>
            </w:tcBorders>
          </w:tcPr>
          <w:p w:rsidR="00D85FAC" w:rsidRPr="00A27937" w:rsidRDefault="00D85FAC" w:rsidP="00D85FAC">
            <w:pPr>
              <w:pStyle w:val="table1"/>
              <w:jc w:val="center"/>
              <w:rPr>
                <w:b/>
                <w:spacing w:val="-2"/>
                <w:sz w:val="13"/>
                <w:szCs w:val="13"/>
              </w:rPr>
            </w:pPr>
            <w:r w:rsidRPr="00A27937">
              <w:rPr>
                <w:b/>
                <w:spacing w:val="-2"/>
                <w:sz w:val="13"/>
                <w:szCs w:val="13"/>
              </w:rPr>
              <w:t xml:space="preserve">TRM </w:t>
            </w:r>
            <w:r w:rsidRPr="00A27937">
              <w:rPr>
                <w:b/>
                <w:spacing w:val="-2"/>
                <w:sz w:val="13"/>
                <w:szCs w:val="13"/>
              </w:rPr>
              <w:br/>
              <w:t>U</w:t>
            </w:r>
            <w:r w:rsidRPr="00A27937">
              <w:rPr>
                <w:b/>
                <w:spacing w:val="-2"/>
                <w:sz w:val="13"/>
                <w:szCs w:val="13"/>
              </w:rPr>
              <w:br/>
              <w:t>(mg kg</w:t>
            </w:r>
            <w:r w:rsidRPr="00A27937">
              <w:rPr>
                <w:b/>
                <w:spacing w:val="-2"/>
                <w:sz w:val="13"/>
                <w:szCs w:val="13"/>
                <w:vertAlign w:val="superscript"/>
              </w:rPr>
              <w:t>-1</w:t>
            </w:r>
            <w:r w:rsidRPr="00A27937">
              <w:rPr>
                <w:b/>
                <w:spacing w:val="-2"/>
                <w:sz w:val="13"/>
                <w:szCs w:val="13"/>
              </w:rPr>
              <w:t>)</w:t>
            </w:r>
            <w:r>
              <w:rPr>
                <w:b/>
                <w:spacing w:val="-2"/>
                <w:sz w:val="13"/>
                <w:szCs w:val="13"/>
                <w:vertAlign w:val="superscript"/>
              </w:rPr>
              <w:t xml:space="preserve"> d</w:t>
            </w:r>
          </w:p>
        </w:tc>
        <w:tc>
          <w:tcPr>
            <w:tcW w:w="851" w:type="dxa"/>
            <w:tcBorders>
              <w:top w:val="single" w:sz="4" w:space="0" w:color="000000"/>
              <w:bottom w:val="single" w:sz="4" w:space="0" w:color="000000"/>
            </w:tcBorders>
            <w:tcMar>
              <w:left w:w="0" w:type="dxa"/>
              <w:right w:w="0" w:type="dxa"/>
            </w:tcMar>
            <w:vAlign w:val="bottom"/>
          </w:tcPr>
          <w:p w:rsidR="00D85FAC" w:rsidRPr="00B33643" w:rsidRDefault="00D85FAC" w:rsidP="00D85FAC">
            <w:pPr>
              <w:pStyle w:val="table1"/>
              <w:jc w:val="center"/>
              <w:rPr>
                <w:rFonts w:ascii="Arial Bold" w:hAnsi="Arial Bold"/>
                <w:b/>
                <w:spacing w:val="-4"/>
                <w:sz w:val="12"/>
                <w:szCs w:val="12"/>
              </w:rPr>
            </w:pPr>
            <w:r w:rsidRPr="00BA130A">
              <w:rPr>
                <w:rFonts w:ascii="Arial Bold" w:hAnsi="Arial Bold"/>
                <w:b/>
                <w:spacing w:val="-2"/>
                <w:sz w:val="12"/>
                <w:szCs w:val="12"/>
              </w:rPr>
              <w:t>AEM:TRM</w:t>
            </w:r>
            <w:r w:rsidRPr="00BA130A">
              <w:rPr>
                <w:rFonts w:ascii="Arial Bold" w:hAnsi="Arial Bold"/>
                <w:b/>
                <w:spacing w:val="-2"/>
                <w:sz w:val="12"/>
                <w:szCs w:val="12"/>
              </w:rPr>
              <w:br/>
              <w:t>ratio</w:t>
            </w:r>
          </w:p>
        </w:tc>
        <w:tc>
          <w:tcPr>
            <w:tcW w:w="567" w:type="dxa"/>
            <w:tcBorders>
              <w:top w:val="single" w:sz="4" w:space="0" w:color="000000"/>
              <w:bottom w:val="single" w:sz="4" w:space="0" w:color="000000"/>
            </w:tcBorders>
            <w:vAlign w:val="bottom"/>
          </w:tcPr>
          <w:p w:rsidR="00D85FAC" w:rsidRPr="00A27937" w:rsidRDefault="00D85FAC" w:rsidP="00D85FAC">
            <w:pPr>
              <w:pStyle w:val="table1"/>
              <w:jc w:val="center"/>
              <w:rPr>
                <w:b/>
                <w:spacing w:val="-2"/>
                <w:sz w:val="13"/>
                <w:szCs w:val="13"/>
              </w:rPr>
            </w:pPr>
            <w:r w:rsidRPr="00A27937">
              <w:rPr>
                <w:b/>
                <w:spacing w:val="-2"/>
                <w:sz w:val="13"/>
                <w:szCs w:val="13"/>
              </w:rPr>
              <w:t>% loss</w:t>
            </w:r>
          </w:p>
        </w:tc>
        <w:tc>
          <w:tcPr>
            <w:tcW w:w="992" w:type="dxa"/>
            <w:tcBorders>
              <w:top w:val="single" w:sz="4" w:space="0" w:color="000000"/>
              <w:bottom w:val="single" w:sz="4" w:space="0" w:color="000000"/>
            </w:tcBorders>
            <w:vAlign w:val="bottom"/>
          </w:tcPr>
          <w:p w:rsidR="00D85FAC" w:rsidRPr="00A27937" w:rsidRDefault="00D85FAC" w:rsidP="00D85FAC">
            <w:pPr>
              <w:pStyle w:val="table1"/>
              <w:jc w:val="center"/>
              <w:rPr>
                <w:b/>
                <w:spacing w:val="-2"/>
                <w:sz w:val="13"/>
                <w:szCs w:val="13"/>
              </w:rPr>
            </w:pPr>
            <w:r w:rsidRPr="00A27937">
              <w:rPr>
                <w:b/>
                <w:spacing w:val="-2"/>
                <w:sz w:val="13"/>
                <w:szCs w:val="13"/>
              </w:rPr>
              <w:t xml:space="preserve">Porewater </w:t>
            </w:r>
            <w:r>
              <w:rPr>
                <w:b/>
                <w:spacing w:val="-2"/>
                <w:sz w:val="13"/>
                <w:szCs w:val="13"/>
              </w:rPr>
              <w:br/>
            </w:r>
            <w:r w:rsidRPr="00A27937">
              <w:rPr>
                <w:b/>
                <w:spacing w:val="-2"/>
                <w:sz w:val="13"/>
                <w:szCs w:val="13"/>
              </w:rPr>
              <w:t xml:space="preserve">U </w:t>
            </w:r>
            <w:r w:rsidRPr="00A27937">
              <w:rPr>
                <w:b/>
                <w:spacing w:val="-2"/>
                <w:sz w:val="13"/>
                <w:szCs w:val="13"/>
              </w:rPr>
              <w:br/>
              <w:t>(µg L</w:t>
            </w:r>
            <w:r w:rsidRPr="00A27937">
              <w:rPr>
                <w:b/>
                <w:spacing w:val="-2"/>
                <w:sz w:val="13"/>
                <w:szCs w:val="13"/>
                <w:vertAlign w:val="superscript"/>
              </w:rPr>
              <w:t>-1</w:t>
            </w:r>
            <w:r w:rsidRPr="00A27937">
              <w:rPr>
                <w:b/>
                <w:spacing w:val="-2"/>
                <w:sz w:val="13"/>
                <w:szCs w:val="13"/>
              </w:rPr>
              <w:t>)</w:t>
            </w:r>
          </w:p>
        </w:tc>
      </w:tr>
      <w:tr w:rsidR="00D85FAC" w:rsidTr="00D85FAC">
        <w:tc>
          <w:tcPr>
            <w:tcW w:w="959" w:type="dxa"/>
            <w:tcBorders>
              <w:top w:val="single" w:sz="4" w:space="0" w:color="000000"/>
            </w:tcBorders>
            <w:vAlign w:val="center"/>
          </w:tcPr>
          <w:p w:rsidR="00D85FAC" w:rsidRPr="00C01097" w:rsidRDefault="00D85FAC" w:rsidP="00D85FAC">
            <w:pPr>
              <w:pStyle w:val="table1"/>
              <w:rPr>
                <w:b/>
                <w:sz w:val="14"/>
                <w:szCs w:val="14"/>
              </w:rPr>
            </w:pPr>
            <w:r w:rsidRPr="00C01097">
              <w:rPr>
                <w:b/>
                <w:sz w:val="14"/>
                <w:szCs w:val="14"/>
              </w:rPr>
              <w:t>Gulungul Control (GC)</w:t>
            </w:r>
          </w:p>
        </w:tc>
        <w:tc>
          <w:tcPr>
            <w:tcW w:w="709" w:type="dxa"/>
            <w:tcBorders>
              <w:top w:val="single" w:sz="4" w:space="0" w:color="000000"/>
            </w:tcBorders>
            <w:vAlign w:val="center"/>
          </w:tcPr>
          <w:p w:rsidR="00D85FAC" w:rsidRPr="00C226BA" w:rsidRDefault="00D85FAC" w:rsidP="00D85FAC">
            <w:pPr>
              <w:pStyle w:val="table1"/>
              <w:jc w:val="center"/>
            </w:pPr>
            <w:r w:rsidRPr="00C226BA">
              <w:t>0</w:t>
            </w:r>
          </w:p>
        </w:tc>
        <w:tc>
          <w:tcPr>
            <w:tcW w:w="992" w:type="dxa"/>
            <w:tcBorders>
              <w:top w:val="single" w:sz="4" w:space="0" w:color="000000"/>
            </w:tcBorders>
            <w:vAlign w:val="center"/>
          </w:tcPr>
          <w:p w:rsidR="00D85FAC" w:rsidRPr="00C226BA" w:rsidRDefault="00D85FAC" w:rsidP="00D85FAC">
            <w:pPr>
              <w:pStyle w:val="table1"/>
              <w:jc w:val="center"/>
            </w:pPr>
            <w:r w:rsidRPr="00C226BA">
              <w:t>6 ± 0.7</w:t>
            </w:r>
          </w:p>
        </w:tc>
        <w:tc>
          <w:tcPr>
            <w:tcW w:w="850" w:type="dxa"/>
            <w:tcBorders>
              <w:top w:val="single" w:sz="4" w:space="0" w:color="000000"/>
            </w:tcBorders>
            <w:vAlign w:val="center"/>
          </w:tcPr>
          <w:p w:rsidR="00D85FAC" w:rsidRPr="00C226BA" w:rsidRDefault="00D85FAC" w:rsidP="00D85FAC">
            <w:pPr>
              <w:pStyle w:val="table1"/>
              <w:jc w:val="center"/>
            </w:pPr>
            <w:r w:rsidRPr="00C226BA">
              <w:t>N.A.</w:t>
            </w:r>
            <w:r w:rsidRPr="00B33643">
              <w:rPr>
                <w:snapToGrid w:val="0"/>
                <w:color w:val="000000"/>
                <w:position w:val="4"/>
                <w:sz w:val="11"/>
                <w:szCs w:val="0"/>
                <w:u w:color="000000"/>
              </w:rPr>
              <w:t>e</w:t>
            </w:r>
          </w:p>
        </w:tc>
        <w:tc>
          <w:tcPr>
            <w:tcW w:w="709" w:type="dxa"/>
            <w:tcBorders>
              <w:top w:val="single" w:sz="4" w:space="0" w:color="000000"/>
            </w:tcBorders>
            <w:vAlign w:val="center"/>
          </w:tcPr>
          <w:p w:rsidR="00D85FAC" w:rsidRPr="00C226BA" w:rsidRDefault="00D85FAC" w:rsidP="00D85FAC">
            <w:pPr>
              <w:pStyle w:val="table1"/>
              <w:jc w:val="center"/>
            </w:pPr>
            <w:r w:rsidRPr="00C226BA">
              <w:t>N.A.</w:t>
            </w:r>
          </w:p>
        </w:tc>
        <w:tc>
          <w:tcPr>
            <w:tcW w:w="851" w:type="dxa"/>
            <w:tcBorders>
              <w:top w:val="single" w:sz="4" w:space="0" w:color="000000"/>
            </w:tcBorders>
            <w:vAlign w:val="center"/>
          </w:tcPr>
          <w:p w:rsidR="00D85FAC" w:rsidRPr="00C226BA" w:rsidRDefault="00D85FAC" w:rsidP="00D85FAC">
            <w:pPr>
              <w:pStyle w:val="table1"/>
              <w:jc w:val="center"/>
            </w:pPr>
            <w:r w:rsidRPr="00C226BA">
              <w:t>N.A.</w:t>
            </w:r>
          </w:p>
        </w:tc>
        <w:tc>
          <w:tcPr>
            <w:tcW w:w="283" w:type="dxa"/>
            <w:tcBorders>
              <w:top w:val="single" w:sz="4" w:space="0" w:color="000000"/>
            </w:tcBorders>
            <w:vAlign w:val="center"/>
          </w:tcPr>
          <w:p w:rsidR="00D85FAC" w:rsidRPr="00C226BA" w:rsidRDefault="00D85FAC" w:rsidP="00D85FAC">
            <w:pPr>
              <w:pStyle w:val="table1"/>
              <w:jc w:val="center"/>
            </w:pPr>
          </w:p>
        </w:tc>
        <w:tc>
          <w:tcPr>
            <w:tcW w:w="992" w:type="dxa"/>
            <w:tcBorders>
              <w:top w:val="single" w:sz="4" w:space="0" w:color="000000"/>
            </w:tcBorders>
            <w:vAlign w:val="center"/>
          </w:tcPr>
          <w:p w:rsidR="00D85FAC" w:rsidRPr="00C226BA" w:rsidRDefault="00D85FAC" w:rsidP="00D85FAC">
            <w:pPr>
              <w:pStyle w:val="table1"/>
              <w:jc w:val="center"/>
            </w:pPr>
            <w:r w:rsidRPr="00C226BA">
              <w:t>4 ± 0.2</w:t>
            </w:r>
          </w:p>
        </w:tc>
        <w:tc>
          <w:tcPr>
            <w:tcW w:w="851" w:type="dxa"/>
            <w:tcBorders>
              <w:top w:val="single" w:sz="4" w:space="0" w:color="000000"/>
            </w:tcBorders>
            <w:vAlign w:val="center"/>
          </w:tcPr>
          <w:p w:rsidR="00D85FAC" w:rsidRPr="00C226BA" w:rsidRDefault="00D85FAC" w:rsidP="00D85FAC">
            <w:pPr>
              <w:pStyle w:val="table1"/>
              <w:jc w:val="center"/>
            </w:pPr>
            <w:r w:rsidRPr="00C226BA">
              <w:t>N.A.</w:t>
            </w:r>
          </w:p>
        </w:tc>
        <w:tc>
          <w:tcPr>
            <w:tcW w:w="567" w:type="dxa"/>
            <w:tcBorders>
              <w:top w:val="single" w:sz="4" w:space="0" w:color="000000"/>
            </w:tcBorders>
            <w:vAlign w:val="center"/>
          </w:tcPr>
          <w:p w:rsidR="00D85FAC" w:rsidRPr="00C226BA" w:rsidRDefault="00D85FAC" w:rsidP="00D85FAC">
            <w:pPr>
              <w:pStyle w:val="table1"/>
              <w:jc w:val="center"/>
            </w:pPr>
            <w:r>
              <w:t>N.A.</w:t>
            </w:r>
          </w:p>
        </w:tc>
        <w:tc>
          <w:tcPr>
            <w:tcW w:w="992" w:type="dxa"/>
            <w:tcBorders>
              <w:top w:val="single" w:sz="4" w:space="0" w:color="000000"/>
            </w:tcBorders>
            <w:vAlign w:val="center"/>
          </w:tcPr>
          <w:p w:rsidR="00D85FAC" w:rsidRPr="00C226BA" w:rsidRDefault="00D85FAC" w:rsidP="00D85FAC">
            <w:pPr>
              <w:pStyle w:val="table1"/>
              <w:jc w:val="center"/>
            </w:pPr>
            <w:r w:rsidRPr="00C226BA">
              <w:t>N.A.</w:t>
            </w:r>
          </w:p>
        </w:tc>
      </w:tr>
      <w:tr w:rsidR="00D85FAC" w:rsidTr="00D85FAC">
        <w:tc>
          <w:tcPr>
            <w:tcW w:w="959" w:type="dxa"/>
            <w:vAlign w:val="center"/>
          </w:tcPr>
          <w:p w:rsidR="00D85FAC" w:rsidRPr="00C01097" w:rsidRDefault="00D85FAC" w:rsidP="00D85FAC">
            <w:pPr>
              <w:pStyle w:val="table1"/>
              <w:rPr>
                <w:b/>
                <w:sz w:val="14"/>
                <w:szCs w:val="14"/>
              </w:rPr>
            </w:pPr>
            <w:r w:rsidRPr="00C01097">
              <w:rPr>
                <w:b/>
                <w:sz w:val="14"/>
                <w:szCs w:val="14"/>
              </w:rPr>
              <w:t>Control (C)</w:t>
            </w:r>
          </w:p>
        </w:tc>
        <w:tc>
          <w:tcPr>
            <w:tcW w:w="709" w:type="dxa"/>
            <w:vAlign w:val="center"/>
          </w:tcPr>
          <w:p w:rsidR="00D85FAC" w:rsidRPr="00C226BA" w:rsidRDefault="00D85FAC" w:rsidP="00D85FAC">
            <w:pPr>
              <w:pStyle w:val="table1"/>
              <w:jc w:val="center"/>
            </w:pPr>
            <w:r w:rsidRPr="00C226BA">
              <w:t>0</w:t>
            </w:r>
          </w:p>
        </w:tc>
        <w:tc>
          <w:tcPr>
            <w:tcW w:w="992" w:type="dxa"/>
            <w:vAlign w:val="center"/>
          </w:tcPr>
          <w:p w:rsidR="00D85FAC" w:rsidRPr="00C226BA" w:rsidRDefault="00D85FAC" w:rsidP="00D85FAC">
            <w:pPr>
              <w:pStyle w:val="table1"/>
              <w:jc w:val="center"/>
            </w:pPr>
            <w:r w:rsidRPr="00C226BA">
              <w:t>8 ± 0.2</w:t>
            </w:r>
          </w:p>
        </w:tc>
        <w:tc>
          <w:tcPr>
            <w:tcW w:w="850" w:type="dxa"/>
            <w:vAlign w:val="center"/>
          </w:tcPr>
          <w:p w:rsidR="00D85FAC" w:rsidRPr="00C226BA" w:rsidRDefault="00D85FAC" w:rsidP="00D85FAC">
            <w:pPr>
              <w:pStyle w:val="table1"/>
              <w:jc w:val="center"/>
            </w:pPr>
            <w:r w:rsidRPr="00C226BA">
              <w:t>N.A.</w:t>
            </w:r>
          </w:p>
        </w:tc>
        <w:tc>
          <w:tcPr>
            <w:tcW w:w="709" w:type="dxa"/>
            <w:vAlign w:val="center"/>
          </w:tcPr>
          <w:p w:rsidR="00D85FAC" w:rsidRPr="00C226BA" w:rsidRDefault="00D85FAC" w:rsidP="00D85FAC">
            <w:pPr>
              <w:pStyle w:val="table1"/>
              <w:jc w:val="center"/>
            </w:pPr>
            <w:r w:rsidRPr="00C226BA">
              <w:t>N.A.</w:t>
            </w:r>
          </w:p>
        </w:tc>
        <w:tc>
          <w:tcPr>
            <w:tcW w:w="851" w:type="dxa"/>
            <w:vAlign w:val="center"/>
          </w:tcPr>
          <w:p w:rsidR="00D85FAC" w:rsidRPr="00C226BA" w:rsidRDefault="00D85FAC" w:rsidP="00D85FAC">
            <w:pPr>
              <w:pStyle w:val="table1"/>
              <w:jc w:val="center"/>
            </w:pPr>
            <w:r w:rsidRPr="00C226BA">
              <w:t>N.A.</w:t>
            </w:r>
          </w:p>
        </w:tc>
        <w:tc>
          <w:tcPr>
            <w:tcW w:w="283" w:type="dxa"/>
            <w:vAlign w:val="center"/>
          </w:tcPr>
          <w:p w:rsidR="00D85FAC" w:rsidRPr="00C226BA" w:rsidRDefault="00D85FAC" w:rsidP="00D85FAC">
            <w:pPr>
              <w:pStyle w:val="table1"/>
              <w:jc w:val="center"/>
            </w:pPr>
          </w:p>
        </w:tc>
        <w:tc>
          <w:tcPr>
            <w:tcW w:w="992" w:type="dxa"/>
            <w:vAlign w:val="center"/>
          </w:tcPr>
          <w:p w:rsidR="00D85FAC" w:rsidRPr="00C226BA" w:rsidRDefault="00D85FAC" w:rsidP="00D85FAC">
            <w:pPr>
              <w:pStyle w:val="table1"/>
              <w:jc w:val="center"/>
            </w:pPr>
            <w:r w:rsidRPr="00C226BA">
              <w:t>7 ± 0.6</w:t>
            </w:r>
          </w:p>
        </w:tc>
        <w:tc>
          <w:tcPr>
            <w:tcW w:w="851" w:type="dxa"/>
            <w:vAlign w:val="center"/>
          </w:tcPr>
          <w:p w:rsidR="00D85FAC" w:rsidRPr="00C226BA" w:rsidRDefault="00D85FAC" w:rsidP="00D85FAC">
            <w:pPr>
              <w:pStyle w:val="table1"/>
              <w:jc w:val="center"/>
            </w:pPr>
            <w:r w:rsidRPr="00C226BA">
              <w:t>N.A.</w:t>
            </w:r>
          </w:p>
        </w:tc>
        <w:tc>
          <w:tcPr>
            <w:tcW w:w="567" w:type="dxa"/>
            <w:vAlign w:val="center"/>
          </w:tcPr>
          <w:p w:rsidR="00D85FAC" w:rsidRPr="00C226BA" w:rsidRDefault="00D85FAC" w:rsidP="00D85FAC">
            <w:pPr>
              <w:pStyle w:val="table1"/>
              <w:jc w:val="center"/>
            </w:pPr>
            <w:r>
              <w:t>N.A.</w:t>
            </w:r>
          </w:p>
        </w:tc>
        <w:tc>
          <w:tcPr>
            <w:tcW w:w="992" w:type="dxa"/>
            <w:vAlign w:val="center"/>
          </w:tcPr>
          <w:p w:rsidR="00D85FAC" w:rsidRPr="00C226BA" w:rsidRDefault="00D85FAC" w:rsidP="00D85FAC">
            <w:pPr>
              <w:pStyle w:val="table1"/>
              <w:jc w:val="center"/>
            </w:pPr>
            <w:r w:rsidRPr="00C226BA">
              <w:t>N.A.</w:t>
            </w:r>
          </w:p>
        </w:tc>
      </w:tr>
      <w:tr w:rsidR="00D85FAC" w:rsidTr="00D85FAC">
        <w:tc>
          <w:tcPr>
            <w:tcW w:w="959" w:type="dxa"/>
            <w:vAlign w:val="center"/>
          </w:tcPr>
          <w:p w:rsidR="00D85FAC" w:rsidRPr="00C01097" w:rsidRDefault="00D85FAC" w:rsidP="00D85FAC">
            <w:pPr>
              <w:pStyle w:val="table1"/>
              <w:rPr>
                <w:b/>
                <w:sz w:val="14"/>
                <w:szCs w:val="14"/>
              </w:rPr>
            </w:pPr>
            <w:r w:rsidRPr="00C01097">
              <w:rPr>
                <w:b/>
                <w:sz w:val="14"/>
                <w:szCs w:val="14"/>
              </w:rPr>
              <w:t>Low uranium (UL)</w:t>
            </w:r>
          </w:p>
        </w:tc>
        <w:tc>
          <w:tcPr>
            <w:tcW w:w="709" w:type="dxa"/>
            <w:vAlign w:val="center"/>
          </w:tcPr>
          <w:p w:rsidR="00D85FAC" w:rsidRPr="00C226BA" w:rsidRDefault="00D85FAC" w:rsidP="00D85FAC">
            <w:pPr>
              <w:pStyle w:val="table1"/>
              <w:jc w:val="center"/>
            </w:pPr>
            <w:r w:rsidRPr="00C226BA">
              <w:t>500</w:t>
            </w:r>
          </w:p>
        </w:tc>
        <w:tc>
          <w:tcPr>
            <w:tcW w:w="992" w:type="dxa"/>
            <w:vAlign w:val="center"/>
          </w:tcPr>
          <w:p w:rsidR="00D85FAC" w:rsidRPr="00C226BA" w:rsidRDefault="00D85FAC" w:rsidP="00D85FAC">
            <w:pPr>
              <w:pStyle w:val="table1"/>
              <w:jc w:val="center"/>
            </w:pPr>
            <w:r w:rsidRPr="00C226BA">
              <w:t>461 ± 18</w:t>
            </w:r>
          </w:p>
        </w:tc>
        <w:tc>
          <w:tcPr>
            <w:tcW w:w="850" w:type="dxa"/>
            <w:vAlign w:val="center"/>
          </w:tcPr>
          <w:p w:rsidR="00D85FAC" w:rsidRPr="00C226BA" w:rsidRDefault="00D85FAC" w:rsidP="00D85FAC">
            <w:pPr>
              <w:pStyle w:val="table1"/>
              <w:jc w:val="center"/>
            </w:pPr>
            <w:r w:rsidRPr="00C226BA">
              <w:t>0.91</w:t>
            </w:r>
          </w:p>
        </w:tc>
        <w:tc>
          <w:tcPr>
            <w:tcW w:w="709" w:type="dxa"/>
            <w:vAlign w:val="center"/>
          </w:tcPr>
          <w:p w:rsidR="00D85FAC" w:rsidRPr="00C226BA" w:rsidRDefault="00D85FAC" w:rsidP="00D85FAC">
            <w:pPr>
              <w:pStyle w:val="table1"/>
              <w:jc w:val="center"/>
            </w:pPr>
            <w:r w:rsidRPr="00C226BA">
              <w:t>92.3</w:t>
            </w:r>
          </w:p>
        </w:tc>
        <w:tc>
          <w:tcPr>
            <w:tcW w:w="851" w:type="dxa"/>
            <w:vAlign w:val="center"/>
          </w:tcPr>
          <w:p w:rsidR="00D85FAC" w:rsidRPr="00C226BA" w:rsidRDefault="00D85FAC" w:rsidP="00D85FAC">
            <w:pPr>
              <w:pStyle w:val="table1"/>
              <w:jc w:val="center"/>
            </w:pPr>
            <w:r>
              <w:t>51</w:t>
            </w:r>
          </w:p>
        </w:tc>
        <w:tc>
          <w:tcPr>
            <w:tcW w:w="283" w:type="dxa"/>
            <w:vAlign w:val="center"/>
          </w:tcPr>
          <w:p w:rsidR="00D85FAC" w:rsidRPr="00C226BA" w:rsidRDefault="00D85FAC" w:rsidP="00D85FAC">
            <w:pPr>
              <w:pStyle w:val="table1"/>
              <w:jc w:val="center"/>
            </w:pPr>
          </w:p>
        </w:tc>
        <w:tc>
          <w:tcPr>
            <w:tcW w:w="992" w:type="dxa"/>
            <w:vAlign w:val="center"/>
          </w:tcPr>
          <w:p w:rsidR="00D85FAC" w:rsidRPr="00C226BA" w:rsidRDefault="00D85FAC" w:rsidP="00D85FAC">
            <w:pPr>
              <w:pStyle w:val="table1"/>
              <w:jc w:val="center"/>
            </w:pPr>
            <w:r w:rsidRPr="00C226BA">
              <w:t>372 ± 22</w:t>
            </w:r>
          </w:p>
        </w:tc>
        <w:tc>
          <w:tcPr>
            <w:tcW w:w="851" w:type="dxa"/>
            <w:vAlign w:val="center"/>
          </w:tcPr>
          <w:p w:rsidR="00D85FAC" w:rsidRPr="00C226BA" w:rsidRDefault="00D85FAC" w:rsidP="00D85FAC">
            <w:pPr>
              <w:pStyle w:val="table1"/>
              <w:jc w:val="center"/>
            </w:pPr>
            <w:r w:rsidRPr="00C226BA">
              <w:t>1.0</w:t>
            </w:r>
          </w:p>
        </w:tc>
        <w:tc>
          <w:tcPr>
            <w:tcW w:w="567" w:type="dxa"/>
            <w:vAlign w:val="center"/>
          </w:tcPr>
          <w:p w:rsidR="00D85FAC" w:rsidRPr="00C226BA" w:rsidRDefault="00D85FAC" w:rsidP="00D85FAC">
            <w:pPr>
              <w:pStyle w:val="table1"/>
              <w:jc w:val="center"/>
            </w:pPr>
            <w:r w:rsidRPr="00C226BA">
              <w:t>19</w:t>
            </w:r>
          </w:p>
        </w:tc>
        <w:tc>
          <w:tcPr>
            <w:tcW w:w="992" w:type="dxa"/>
            <w:vAlign w:val="center"/>
          </w:tcPr>
          <w:p w:rsidR="00D85FAC" w:rsidRPr="00C226BA" w:rsidRDefault="00D85FAC" w:rsidP="00D85FAC">
            <w:pPr>
              <w:pStyle w:val="table1"/>
              <w:jc w:val="center"/>
            </w:pPr>
            <w:r>
              <w:t>35</w:t>
            </w:r>
          </w:p>
        </w:tc>
      </w:tr>
      <w:tr w:rsidR="00D85FAC" w:rsidTr="00D85FAC">
        <w:tc>
          <w:tcPr>
            <w:tcW w:w="959" w:type="dxa"/>
            <w:vAlign w:val="center"/>
          </w:tcPr>
          <w:p w:rsidR="00D85FAC" w:rsidRPr="00C01097" w:rsidRDefault="00D85FAC" w:rsidP="00D85FAC">
            <w:pPr>
              <w:pStyle w:val="table1"/>
              <w:rPr>
                <w:b/>
                <w:sz w:val="14"/>
                <w:szCs w:val="14"/>
              </w:rPr>
            </w:pPr>
            <w:r w:rsidRPr="00C01097">
              <w:rPr>
                <w:b/>
                <w:sz w:val="14"/>
                <w:szCs w:val="14"/>
              </w:rPr>
              <w:t>Medium uranium (UM)</w:t>
            </w:r>
          </w:p>
        </w:tc>
        <w:tc>
          <w:tcPr>
            <w:tcW w:w="709" w:type="dxa"/>
            <w:vAlign w:val="center"/>
          </w:tcPr>
          <w:p w:rsidR="00D85FAC" w:rsidRPr="00C226BA" w:rsidRDefault="00D85FAC" w:rsidP="00D85FAC">
            <w:pPr>
              <w:pStyle w:val="table1"/>
              <w:jc w:val="center"/>
            </w:pPr>
            <w:r w:rsidRPr="00C226BA">
              <w:t>1000</w:t>
            </w:r>
          </w:p>
        </w:tc>
        <w:tc>
          <w:tcPr>
            <w:tcW w:w="992" w:type="dxa"/>
            <w:vAlign w:val="center"/>
          </w:tcPr>
          <w:p w:rsidR="00D85FAC" w:rsidRPr="00C226BA" w:rsidRDefault="00D85FAC" w:rsidP="00D85FAC">
            <w:pPr>
              <w:pStyle w:val="table1"/>
              <w:jc w:val="center"/>
            </w:pPr>
            <w:r w:rsidRPr="00C226BA">
              <w:t>875 ±18</w:t>
            </w:r>
          </w:p>
        </w:tc>
        <w:tc>
          <w:tcPr>
            <w:tcW w:w="850" w:type="dxa"/>
            <w:vAlign w:val="center"/>
          </w:tcPr>
          <w:p w:rsidR="00D85FAC" w:rsidRPr="00C226BA" w:rsidRDefault="00D85FAC" w:rsidP="00D85FAC">
            <w:pPr>
              <w:pStyle w:val="table1"/>
              <w:jc w:val="center"/>
            </w:pPr>
            <w:r w:rsidRPr="00C226BA">
              <w:t>0.98</w:t>
            </w:r>
          </w:p>
        </w:tc>
        <w:tc>
          <w:tcPr>
            <w:tcW w:w="709" w:type="dxa"/>
            <w:vAlign w:val="center"/>
          </w:tcPr>
          <w:p w:rsidR="00D85FAC" w:rsidRPr="00C226BA" w:rsidRDefault="00D85FAC" w:rsidP="00D85FAC">
            <w:pPr>
              <w:pStyle w:val="table1"/>
              <w:jc w:val="center"/>
            </w:pPr>
            <w:r w:rsidRPr="00C226BA">
              <w:t>87.5</w:t>
            </w:r>
          </w:p>
        </w:tc>
        <w:tc>
          <w:tcPr>
            <w:tcW w:w="851" w:type="dxa"/>
            <w:vAlign w:val="center"/>
          </w:tcPr>
          <w:p w:rsidR="00D85FAC" w:rsidRPr="00C226BA" w:rsidRDefault="00D85FAC" w:rsidP="00D85FAC">
            <w:pPr>
              <w:pStyle w:val="table1"/>
              <w:jc w:val="center"/>
            </w:pPr>
            <w:r>
              <w:t>99</w:t>
            </w:r>
          </w:p>
        </w:tc>
        <w:tc>
          <w:tcPr>
            <w:tcW w:w="283" w:type="dxa"/>
            <w:vAlign w:val="center"/>
          </w:tcPr>
          <w:p w:rsidR="00D85FAC" w:rsidRPr="00C226BA" w:rsidRDefault="00D85FAC" w:rsidP="00D85FAC">
            <w:pPr>
              <w:pStyle w:val="table1"/>
              <w:jc w:val="center"/>
            </w:pPr>
          </w:p>
        </w:tc>
        <w:tc>
          <w:tcPr>
            <w:tcW w:w="992" w:type="dxa"/>
            <w:vAlign w:val="center"/>
          </w:tcPr>
          <w:p w:rsidR="00D85FAC" w:rsidRPr="00C226BA" w:rsidRDefault="00D85FAC" w:rsidP="00D85FAC">
            <w:pPr>
              <w:pStyle w:val="table1"/>
              <w:jc w:val="center"/>
            </w:pPr>
            <w:r w:rsidRPr="00C226BA">
              <w:t>802 ± 23</w:t>
            </w:r>
          </w:p>
        </w:tc>
        <w:tc>
          <w:tcPr>
            <w:tcW w:w="851" w:type="dxa"/>
            <w:vAlign w:val="center"/>
          </w:tcPr>
          <w:p w:rsidR="00D85FAC" w:rsidRPr="00C226BA" w:rsidRDefault="00D85FAC" w:rsidP="00D85FAC">
            <w:pPr>
              <w:pStyle w:val="table1"/>
              <w:jc w:val="center"/>
            </w:pPr>
            <w:r w:rsidRPr="00C226BA">
              <w:t>0.95</w:t>
            </w:r>
          </w:p>
        </w:tc>
        <w:tc>
          <w:tcPr>
            <w:tcW w:w="567" w:type="dxa"/>
            <w:vAlign w:val="center"/>
          </w:tcPr>
          <w:p w:rsidR="00D85FAC" w:rsidRPr="00C226BA" w:rsidRDefault="00D85FAC" w:rsidP="00D85FAC">
            <w:pPr>
              <w:pStyle w:val="table1"/>
              <w:jc w:val="center"/>
            </w:pPr>
            <w:r w:rsidRPr="00C226BA">
              <w:t>8</w:t>
            </w:r>
          </w:p>
        </w:tc>
        <w:tc>
          <w:tcPr>
            <w:tcW w:w="992" w:type="dxa"/>
            <w:vAlign w:val="center"/>
          </w:tcPr>
          <w:p w:rsidR="00D85FAC" w:rsidRPr="00C226BA" w:rsidRDefault="00D85FAC" w:rsidP="00D85FAC">
            <w:pPr>
              <w:pStyle w:val="table1"/>
              <w:jc w:val="center"/>
            </w:pPr>
            <w:r>
              <w:t>72</w:t>
            </w:r>
          </w:p>
        </w:tc>
      </w:tr>
      <w:tr w:rsidR="00D85FAC" w:rsidTr="00D85FAC">
        <w:tc>
          <w:tcPr>
            <w:tcW w:w="959" w:type="dxa"/>
            <w:tcBorders>
              <w:bottom w:val="single" w:sz="4" w:space="0" w:color="000000"/>
            </w:tcBorders>
            <w:vAlign w:val="center"/>
          </w:tcPr>
          <w:p w:rsidR="00D85FAC" w:rsidRPr="00C01097" w:rsidRDefault="00D85FAC" w:rsidP="00D85FAC">
            <w:pPr>
              <w:pStyle w:val="table1"/>
              <w:rPr>
                <w:b/>
                <w:sz w:val="14"/>
                <w:szCs w:val="14"/>
              </w:rPr>
            </w:pPr>
            <w:r w:rsidRPr="00C01097">
              <w:rPr>
                <w:b/>
                <w:sz w:val="14"/>
                <w:szCs w:val="14"/>
              </w:rPr>
              <w:t>High uranium (UH)</w:t>
            </w:r>
          </w:p>
        </w:tc>
        <w:tc>
          <w:tcPr>
            <w:tcW w:w="709" w:type="dxa"/>
            <w:tcBorders>
              <w:bottom w:val="single" w:sz="4" w:space="0" w:color="000000"/>
            </w:tcBorders>
            <w:vAlign w:val="center"/>
          </w:tcPr>
          <w:p w:rsidR="00D85FAC" w:rsidRPr="00C226BA" w:rsidRDefault="00D85FAC" w:rsidP="00D85FAC">
            <w:pPr>
              <w:pStyle w:val="table1"/>
              <w:jc w:val="center"/>
            </w:pPr>
            <w:r w:rsidRPr="00C226BA">
              <w:t>2000</w:t>
            </w:r>
          </w:p>
        </w:tc>
        <w:tc>
          <w:tcPr>
            <w:tcW w:w="992" w:type="dxa"/>
            <w:tcBorders>
              <w:bottom w:val="single" w:sz="4" w:space="0" w:color="000000"/>
            </w:tcBorders>
            <w:vAlign w:val="center"/>
          </w:tcPr>
          <w:p w:rsidR="00D85FAC" w:rsidRPr="00C226BA" w:rsidRDefault="00D85FAC" w:rsidP="00D85FAC">
            <w:pPr>
              <w:pStyle w:val="table1"/>
              <w:jc w:val="center"/>
            </w:pPr>
            <w:r w:rsidRPr="00C226BA">
              <w:t>1740 ± 54</w:t>
            </w:r>
          </w:p>
        </w:tc>
        <w:tc>
          <w:tcPr>
            <w:tcW w:w="850" w:type="dxa"/>
            <w:tcBorders>
              <w:bottom w:val="single" w:sz="4" w:space="0" w:color="000000"/>
            </w:tcBorders>
            <w:vAlign w:val="center"/>
          </w:tcPr>
          <w:p w:rsidR="00D85FAC" w:rsidRPr="00C226BA" w:rsidRDefault="00D85FAC" w:rsidP="00D85FAC">
            <w:pPr>
              <w:pStyle w:val="table1"/>
              <w:jc w:val="center"/>
            </w:pPr>
            <w:r w:rsidRPr="00C226BA">
              <w:t>1.01</w:t>
            </w:r>
          </w:p>
        </w:tc>
        <w:tc>
          <w:tcPr>
            <w:tcW w:w="709" w:type="dxa"/>
            <w:tcBorders>
              <w:bottom w:val="single" w:sz="4" w:space="0" w:color="000000"/>
            </w:tcBorders>
            <w:vAlign w:val="center"/>
          </w:tcPr>
          <w:p w:rsidR="00D85FAC" w:rsidRPr="00C226BA" w:rsidRDefault="00D85FAC" w:rsidP="00D85FAC">
            <w:pPr>
              <w:pStyle w:val="table1"/>
              <w:jc w:val="center"/>
            </w:pPr>
            <w:r w:rsidRPr="00C226BA">
              <w:t>87.0</w:t>
            </w:r>
          </w:p>
        </w:tc>
        <w:tc>
          <w:tcPr>
            <w:tcW w:w="851" w:type="dxa"/>
            <w:tcBorders>
              <w:bottom w:val="single" w:sz="4" w:space="0" w:color="000000"/>
            </w:tcBorders>
            <w:vAlign w:val="center"/>
          </w:tcPr>
          <w:p w:rsidR="00D85FAC" w:rsidRPr="00C226BA" w:rsidRDefault="00D85FAC" w:rsidP="00D85FAC">
            <w:pPr>
              <w:pStyle w:val="table1"/>
              <w:jc w:val="center"/>
            </w:pPr>
            <w:r>
              <w:t>118</w:t>
            </w:r>
          </w:p>
        </w:tc>
        <w:tc>
          <w:tcPr>
            <w:tcW w:w="283" w:type="dxa"/>
            <w:tcBorders>
              <w:bottom w:val="single" w:sz="4" w:space="0" w:color="000000"/>
            </w:tcBorders>
            <w:vAlign w:val="center"/>
          </w:tcPr>
          <w:p w:rsidR="00D85FAC" w:rsidRPr="00C226BA" w:rsidRDefault="00D85FAC" w:rsidP="00D85FAC">
            <w:pPr>
              <w:pStyle w:val="table1"/>
              <w:jc w:val="center"/>
            </w:pPr>
          </w:p>
        </w:tc>
        <w:tc>
          <w:tcPr>
            <w:tcW w:w="992" w:type="dxa"/>
            <w:tcBorders>
              <w:bottom w:val="single" w:sz="4" w:space="0" w:color="000000"/>
            </w:tcBorders>
            <w:vAlign w:val="center"/>
          </w:tcPr>
          <w:p w:rsidR="00D85FAC" w:rsidRPr="00C226BA" w:rsidRDefault="00D85FAC" w:rsidP="00D85FAC">
            <w:pPr>
              <w:pStyle w:val="table1"/>
              <w:jc w:val="center"/>
            </w:pPr>
            <w:r w:rsidRPr="00DA50A7">
              <w:rPr>
                <w:spacing w:val="-2"/>
              </w:rPr>
              <w:t>1533 ± 24</w:t>
            </w:r>
          </w:p>
        </w:tc>
        <w:tc>
          <w:tcPr>
            <w:tcW w:w="851" w:type="dxa"/>
            <w:tcBorders>
              <w:bottom w:val="single" w:sz="4" w:space="0" w:color="000000"/>
            </w:tcBorders>
            <w:vAlign w:val="center"/>
          </w:tcPr>
          <w:p w:rsidR="00D85FAC" w:rsidRPr="00C226BA" w:rsidRDefault="00D85FAC" w:rsidP="00D85FAC">
            <w:pPr>
              <w:pStyle w:val="table1"/>
              <w:jc w:val="center"/>
            </w:pPr>
            <w:r w:rsidRPr="00C226BA">
              <w:t>0.9</w:t>
            </w:r>
            <w:r>
              <w:t>1</w:t>
            </w:r>
          </w:p>
        </w:tc>
        <w:tc>
          <w:tcPr>
            <w:tcW w:w="567" w:type="dxa"/>
            <w:tcBorders>
              <w:bottom w:val="single" w:sz="4" w:space="0" w:color="000000"/>
            </w:tcBorders>
            <w:vAlign w:val="center"/>
          </w:tcPr>
          <w:p w:rsidR="00D85FAC" w:rsidRPr="00C226BA" w:rsidRDefault="00D85FAC" w:rsidP="00D85FAC">
            <w:pPr>
              <w:pStyle w:val="table1"/>
              <w:jc w:val="center"/>
            </w:pPr>
            <w:r w:rsidRPr="00C226BA">
              <w:t>12</w:t>
            </w:r>
          </w:p>
        </w:tc>
        <w:tc>
          <w:tcPr>
            <w:tcW w:w="992" w:type="dxa"/>
            <w:tcBorders>
              <w:bottom w:val="single" w:sz="4" w:space="0" w:color="000000"/>
            </w:tcBorders>
            <w:vAlign w:val="center"/>
          </w:tcPr>
          <w:p w:rsidR="00D85FAC" w:rsidRPr="00C226BA" w:rsidRDefault="00D85FAC" w:rsidP="00D85FAC">
            <w:pPr>
              <w:pStyle w:val="table1"/>
              <w:jc w:val="center"/>
            </w:pPr>
            <w:r>
              <w:t>148</w:t>
            </w:r>
          </w:p>
        </w:tc>
      </w:tr>
    </w:tbl>
    <w:p w:rsidR="00D85FAC" w:rsidRPr="00461BF4" w:rsidRDefault="00D85FAC" w:rsidP="00D85FAC">
      <w:pPr>
        <w:pStyle w:val="tablenote"/>
        <w:ind w:left="0" w:firstLine="0"/>
      </w:pPr>
      <w:proofErr w:type="gramStart"/>
      <w:r w:rsidRPr="00BA130A">
        <w:rPr>
          <w:snapToGrid w:val="0"/>
          <w:color w:val="000000"/>
          <w:position w:val="3"/>
          <w:sz w:val="9"/>
          <w:szCs w:val="0"/>
          <w:u w:color="000000"/>
        </w:rPr>
        <w:t>a</w:t>
      </w:r>
      <w:proofErr w:type="gramEnd"/>
      <w:r w:rsidRPr="00BA130A">
        <w:t xml:space="preserve"> TRM = Total Recoverable Metals. Data represents mean ± se of n = 5; </w:t>
      </w:r>
      <w:r w:rsidRPr="00BA130A">
        <w:rPr>
          <w:snapToGrid w:val="0"/>
          <w:color w:val="000000"/>
          <w:position w:val="3"/>
          <w:sz w:val="9"/>
          <w:szCs w:val="0"/>
          <w:u w:color="000000"/>
        </w:rPr>
        <w:t>b</w:t>
      </w:r>
      <w:r w:rsidRPr="00BA130A">
        <w:t xml:space="preserve"> AEM = Acid Extractable Metals (1M hydrochloric acid); </w:t>
      </w:r>
      <w:r w:rsidRPr="00BA130A">
        <w:rPr>
          <w:snapToGrid w:val="0"/>
          <w:color w:val="000000"/>
          <w:position w:val="3"/>
          <w:sz w:val="9"/>
          <w:szCs w:val="0"/>
          <w:u w:color="000000"/>
        </w:rPr>
        <w:t>c</w:t>
      </w:r>
      <w:r w:rsidRPr="00BA130A">
        <w:t xml:space="preserve"> Data represents mean of n = 2; </w:t>
      </w:r>
      <w:r w:rsidRPr="00BA130A">
        <w:rPr>
          <w:snapToGrid w:val="0"/>
          <w:color w:val="000000"/>
          <w:position w:val="3"/>
          <w:sz w:val="9"/>
          <w:szCs w:val="0"/>
          <w:u w:color="000000"/>
        </w:rPr>
        <w:t>d</w:t>
      </w:r>
      <w:r w:rsidRPr="00BA130A">
        <w:t xml:space="preserve"> Data represents mean ± se of n = 6; </w:t>
      </w:r>
      <w:r w:rsidRPr="00BA130A">
        <w:rPr>
          <w:snapToGrid w:val="0"/>
          <w:color w:val="000000"/>
          <w:position w:val="3"/>
          <w:sz w:val="9"/>
          <w:szCs w:val="0"/>
          <w:u w:color="000000"/>
        </w:rPr>
        <w:t>e</w:t>
      </w:r>
      <w:r w:rsidRPr="00BA130A">
        <w:t xml:space="preserve"> N.A. = Not applicable.</w:t>
      </w:r>
    </w:p>
    <w:p w:rsidR="00D85FAC" w:rsidRDefault="00D85FAC" w:rsidP="00D85FAC">
      <w:pPr>
        <w:rPr>
          <w:szCs w:val="22"/>
          <w:lang w:eastAsia="en-AU"/>
        </w:rPr>
      </w:pPr>
      <w:bookmarkStart w:id="142" w:name="_Toc313523448"/>
      <w:r>
        <w:rPr>
          <w:lang w:eastAsia="en-AU"/>
        </w:rPr>
        <w:t>Comparison of the ch</w:t>
      </w:r>
      <w:r w:rsidRPr="002E372D">
        <w:rPr>
          <w:lang w:eastAsia="en-AU"/>
        </w:rPr>
        <w:t>emical analyses of the sediments following retrieval of the sediments</w:t>
      </w:r>
      <w:r>
        <w:rPr>
          <w:lang w:eastAsia="en-AU"/>
        </w:rPr>
        <w:t>, with the pre-deployment values</w:t>
      </w:r>
      <w:r w:rsidRPr="002E372D">
        <w:rPr>
          <w:lang w:eastAsia="en-AU"/>
        </w:rPr>
        <w:t xml:space="preserve"> showed that </w:t>
      </w:r>
      <w:r>
        <w:rPr>
          <w:lang w:eastAsia="en-AU"/>
        </w:rPr>
        <w:t xml:space="preserve">the </w:t>
      </w:r>
      <w:r w:rsidRPr="002E372D">
        <w:rPr>
          <w:lang w:eastAsia="en-AU"/>
        </w:rPr>
        <w:t xml:space="preserve">chemical composition of the sediments </w:t>
      </w:r>
      <w:r>
        <w:rPr>
          <w:lang w:eastAsia="en-AU"/>
        </w:rPr>
        <w:t xml:space="preserve">had </w:t>
      </w:r>
      <w:r w:rsidRPr="002E372D">
        <w:rPr>
          <w:lang w:eastAsia="en-AU"/>
        </w:rPr>
        <w:t>changed little over t</w:t>
      </w:r>
      <w:r>
        <w:rPr>
          <w:lang w:eastAsia="en-AU"/>
        </w:rPr>
        <w:t xml:space="preserve">he duration of the wet-season. </w:t>
      </w:r>
      <w:r w:rsidRPr="002E372D">
        <w:rPr>
          <w:lang w:eastAsia="en-AU"/>
        </w:rPr>
        <w:t>The measured U concentrations were 11, 0 and 7% less than the pre</w:t>
      </w:r>
      <w:r>
        <w:rPr>
          <w:lang w:eastAsia="en-AU"/>
        </w:rPr>
        <w:t>-</w:t>
      </w:r>
      <w:r w:rsidRPr="002E372D">
        <w:rPr>
          <w:lang w:eastAsia="en-AU"/>
        </w:rPr>
        <w:t>deployment samples for the 500, 1000 and 2000 mg kg</w:t>
      </w:r>
      <w:r w:rsidRPr="002E372D">
        <w:rPr>
          <w:vertAlign w:val="superscript"/>
          <w:lang w:eastAsia="en-AU"/>
        </w:rPr>
        <w:t>-1</w:t>
      </w:r>
      <w:r>
        <w:rPr>
          <w:lang w:eastAsia="en-AU"/>
        </w:rPr>
        <w:t xml:space="preserve"> treatments, respectively.</w:t>
      </w:r>
    </w:p>
    <w:p w:rsidR="00D85FAC" w:rsidRPr="00785B08" w:rsidRDefault="00D85FAC" w:rsidP="00D85FAC">
      <w:pPr>
        <w:pStyle w:val="Heading3"/>
        <w:rPr>
          <w:lang w:eastAsia="en-AU"/>
        </w:rPr>
      </w:pPr>
      <w:bookmarkStart w:id="143" w:name="_Toc316985291"/>
      <w:r w:rsidRPr="00785B08">
        <w:rPr>
          <w:lang w:eastAsia="en-AU"/>
        </w:rPr>
        <w:lastRenderedPageBreak/>
        <w:t>Macroinvertebrates</w:t>
      </w:r>
      <w:bookmarkEnd w:id="142"/>
      <w:bookmarkEnd w:id="143"/>
    </w:p>
    <w:p w:rsidR="00D85FAC" w:rsidRPr="000F66F0" w:rsidRDefault="00D85FAC" w:rsidP="00D85FAC">
      <w:pPr>
        <w:pStyle w:val="Heading4"/>
        <w:rPr>
          <w:lang w:eastAsia="en-AU"/>
        </w:rPr>
      </w:pPr>
      <w:r>
        <w:rPr>
          <w:lang w:eastAsia="en-AU"/>
        </w:rPr>
        <w:t>Diversity and abundances of benthic macroinvertebrates in billabong sediments</w:t>
      </w:r>
    </w:p>
    <w:p w:rsidR="00D85FAC" w:rsidRDefault="00D85FAC" w:rsidP="00D85FAC">
      <w:pPr>
        <w:pStyle w:val="referencelist1"/>
        <w:ind w:left="0" w:firstLine="0"/>
        <w:rPr>
          <w:szCs w:val="22"/>
          <w:lang w:eastAsia="en-AU"/>
        </w:rPr>
      </w:pPr>
      <w:r>
        <w:t xml:space="preserve">There is a potential problem with any biological assessment method if indicator abundance and diversity occurring naturally in the habitat or experimental colonising environment are sufficiently low that these responses are unlikely to provide adequate discrimination amongst treatments. From the </w:t>
      </w:r>
      <w:r>
        <w:rPr>
          <w:szCs w:val="22"/>
          <w:lang w:eastAsia="en-AU"/>
        </w:rPr>
        <w:t>2009–10 Pilot 1 study (Harford et al 2011), l</w:t>
      </w:r>
      <w:r>
        <w:t xml:space="preserve">ow benthic macroinvertebrate abundances and diversity were observed amongst the experimental treatments and this initiated a broader comparison of macroinvertebrate community structure in sediments and other habitats in Gulungul Billabong and Creek to assess the usefulness of this assemblage for future experimental study. </w:t>
      </w:r>
      <w:r>
        <w:rPr>
          <w:szCs w:val="22"/>
          <w:lang w:eastAsia="en-AU"/>
        </w:rPr>
        <w:t>Macroinvertebrate data that have been collected for different habitat types of Gulungul Creek and Billabong since 1996 were compiled, and abundance and diversity (taxa number) compared amongst habitats. All samples for the comparison had been collected in the period April to June (corresponding to the time window for sediment retrieval) in any given year. Macroinvertebrate data from three habitats were compared: (i) littoral billabong macrophytes – essentially surface-water-dwelling organisms; (ii) macrophyte and sand habitat, occurring in flowing waters along the edges of the creek upstream of Gulungul Billabong – a mix of sediment- and surface-water-dwelling organisms; and (iii) sediment habitat comprising the fine grained sediments found in the littoral zones of the billabong – essentially sediment-dwelling organisms. Abundance and taxa (mostly family-level) number data for habitats (ii) and (iii), where samples were collected from quadrats, were standardised to an area of 0.06 m</w:t>
      </w:r>
      <w:r w:rsidRPr="002E586A">
        <w:rPr>
          <w:snapToGrid w:val="0"/>
          <w:color w:val="000000"/>
          <w:position w:val="5"/>
          <w:sz w:val="15"/>
          <w:szCs w:val="0"/>
          <w:u w:color="000000"/>
          <w:lang w:eastAsia="en-AU"/>
        </w:rPr>
        <w:t>2</w:t>
      </w:r>
      <w:r>
        <w:rPr>
          <w:snapToGrid w:val="0"/>
          <w:color w:val="000000"/>
          <w:position w:val="5"/>
          <w:sz w:val="15"/>
          <w:szCs w:val="0"/>
          <w:u w:color="000000"/>
          <w:lang w:eastAsia="en-AU"/>
        </w:rPr>
        <w:t xml:space="preserve"> </w:t>
      </w:r>
      <w:r w:rsidRPr="009D74B7">
        <w:t xml:space="preserve">corresponding to the surface area of each </w:t>
      </w:r>
      <w:r>
        <w:t xml:space="preserve">experimental </w:t>
      </w:r>
      <w:r w:rsidRPr="009D74B7">
        <w:t>sediment container.</w:t>
      </w:r>
      <w:r>
        <w:rPr>
          <w:szCs w:val="22"/>
          <w:lang w:eastAsia="en-AU"/>
        </w:rPr>
        <w:t xml:space="preserve"> Samples taken from macrophyte habitat represent sweep samples not readily standardised to area and for this habitat, the data represent averages from the five replicate sweep samples collected from Gulungul Billabong on any particular occasion. While abundances from macrophyte habitat are not directly comparable to the other habitats represented, taxa number estimates are regarded as comparable. Results are plotted in Figure 1.</w:t>
      </w:r>
    </w:p>
    <w:p w:rsidR="00D85FAC" w:rsidRPr="00B15713" w:rsidRDefault="00D85FAC" w:rsidP="00D85FAC">
      <w:pPr>
        <w:rPr>
          <w:lang w:eastAsia="en-AU"/>
        </w:rPr>
      </w:pPr>
      <w:r>
        <w:rPr>
          <w:lang w:eastAsia="en-AU"/>
        </w:rPr>
        <w:t xml:space="preserve">Benthic macroinvertebrates from Gulungul Billabong sediment occur in similar abundances to those occurring in other habitats in the creek system (Figure 1, top). However, taxa number is greatly reduced over that found in other habitats, indicative of the narrow and specialised niche available for colonising organisms (small grain size, relatively compacted, low oxygen availability). While similar abundances of animals are found in the billabong sediments compared to other habitats, the laboratory processing and retrieval of these animals from the preserved fine-grained residues is tedious and difficult as a result of </w:t>
      </w:r>
      <w:proofErr w:type="gramStart"/>
      <w:r>
        <w:rPr>
          <w:lang w:eastAsia="en-AU"/>
        </w:rPr>
        <w:t>the  turbid</w:t>
      </w:r>
      <w:proofErr w:type="gramEnd"/>
      <w:r>
        <w:rPr>
          <w:lang w:eastAsia="en-AU"/>
        </w:rPr>
        <w:t xml:space="preserve"> slurries that arise when samples are examined over a microscope. An assessment of the suitability of macroinvertebrates for use as an indicator of biological impact in the sediments of the billabong is made below.</w:t>
      </w:r>
    </w:p>
    <w:p w:rsidR="00D85FAC" w:rsidRDefault="00D85FAC" w:rsidP="00D85FAC">
      <w:pPr>
        <w:pStyle w:val="Heading4"/>
        <w:rPr>
          <w:noProof/>
          <w:lang w:eastAsia="en-AU"/>
        </w:rPr>
      </w:pPr>
      <w:r>
        <w:rPr>
          <w:lang w:eastAsia="en-AU"/>
        </w:rPr>
        <w:t xml:space="preserve">Diversity and abundances of benthic macroinvertebrates exposed to </w:t>
      </w:r>
      <w:r>
        <w:rPr>
          <w:noProof/>
          <w:lang w:eastAsia="en-AU"/>
        </w:rPr>
        <w:t>a gradient of U concentrations in the Pilot 2 study</w:t>
      </w:r>
    </w:p>
    <w:p w:rsidR="00D85FAC" w:rsidRDefault="00D85FAC" w:rsidP="00D85FAC">
      <w:pPr>
        <w:rPr>
          <w:noProof/>
          <w:lang w:eastAsia="en-AU"/>
        </w:rPr>
      </w:pPr>
      <w:r>
        <w:rPr>
          <w:noProof/>
          <w:lang w:eastAsia="en-AU"/>
        </w:rPr>
        <w:t>To date, benthic macroinvertebrates (&gt;500 µm in size) have been processed from the control and ‘high-uranium’ treatments from the Pilot 2 study (five replicate samples per treatment). Taxa number and abundances for each replicate are shown in Figure 2.</w:t>
      </w:r>
    </w:p>
    <w:p w:rsidR="00D85FAC" w:rsidRDefault="00D85FAC" w:rsidP="00D85FAC">
      <w:pPr>
        <w:pStyle w:val="referencelist1"/>
        <w:ind w:left="0" w:firstLine="0"/>
        <w:rPr>
          <w:szCs w:val="22"/>
          <w:lang w:eastAsia="en-AU"/>
        </w:rPr>
      </w:pPr>
    </w:p>
    <w:p w:rsidR="00D85FAC" w:rsidRDefault="00D85FAC" w:rsidP="00D85FAC">
      <w:pPr>
        <w:pStyle w:val="referencelist1"/>
        <w:ind w:left="0" w:firstLine="0"/>
        <w:jc w:val="center"/>
        <w:rPr>
          <w:noProof/>
          <w:szCs w:val="22"/>
          <w:lang w:eastAsia="en-AU"/>
        </w:rPr>
      </w:pPr>
      <w:r>
        <w:rPr>
          <w:noProof/>
          <w:szCs w:val="22"/>
          <w:lang w:eastAsia="en-AU"/>
        </w:rPr>
        <w:lastRenderedPageBreak/>
        <w:drawing>
          <wp:inline distT="0" distB="0" distL="0" distR="0">
            <wp:extent cx="3541150" cy="4882896"/>
            <wp:effectExtent l="19050" t="0" r="2150" b="0"/>
            <wp:docPr id="42" name="Picture 1" descr="F:\habitat 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bitat comparison.JPG"/>
                    <pic:cNvPicPr>
                      <a:picLocks noChangeAspect="1" noChangeArrowheads="1"/>
                    </pic:cNvPicPr>
                  </pic:nvPicPr>
                  <pic:blipFill>
                    <a:blip r:embed="rId73" cstate="screen"/>
                    <a:srcRect/>
                    <a:stretch>
                      <a:fillRect/>
                    </a:stretch>
                  </pic:blipFill>
                  <pic:spPr bwMode="auto">
                    <a:xfrm>
                      <a:off x="0" y="0"/>
                      <a:ext cx="3538225" cy="4878862"/>
                    </a:xfrm>
                    <a:prstGeom prst="rect">
                      <a:avLst/>
                    </a:prstGeom>
                    <a:noFill/>
                    <a:ln w="9525">
                      <a:noFill/>
                      <a:miter lim="800000"/>
                      <a:headEnd/>
                      <a:tailEnd/>
                    </a:ln>
                  </pic:spPr>
                </pic:pic>
              </a:graphicData>
            </a:graphic>
          </wp:inline>
        </w:drawing>
      </w:r>
    </w:p>
    <w:p w:rsidR="00D85FAC" w:rsidRDefault="00D85FAC" w:rsidP="00D85FAC">
      <w:pPr>
        <w:pStyle w:val="figurecaption"/>
        <w:rPr>
          <w:noProof/>
          <w:lang w:eastAsia="en-AU"/>
        </w:rPr>
      </w:pPr>
      <w:r w:rsidRPr="00D95FE3">
        <w:rPr>
          <w:b/>
          <w:noProof/>
          <w:lang w:eastAsia="en-AU"/>
        </w:rPr>
        <w:t>Figure 1</w:t>
      </w:r>
      <w:r>
        <w:rPr>
          <w:noProof/>
          <w:lang w:eastAsia="en-AU"/>
        </w:rPr>
        <w:t xml:space="preserve">  Taxa number and abundance of aquatic macroinvertebrates from different habitat of Gulungul Creek and Gulungul Billabong</w:t>
      </w:r>
    </w:p>
    <w:p w:rsidR="00D85FAC" w:rsidRDefault="00D85FAC" w:rsidP="00D85FAC">
      <w:pPr>
        <w:pStyle w:val="referencelist1"/>
        <w:ind w:left="0" w:firstLine="0"/>
        <w:jc w:val="center"/>
        <w:rPr>
          <w:szCs w:val="22"/>
        </w:rPr>
      </w:pPr>
      <w:r>
        <w:rPr>
          <w:noProof/>
          <w:szCs w:val="22"/>
          <w:lang w:eastAsia="en-AU"/>
        </w:rPr>
        <w:drawing>
          <wp:inline distT="0" distB="0" distL="0" distR="0">
            <wp:extent cx="2576703" cy="2919695"/>
            <wp:effectExtent l="1905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screen"/>
                    <a:srcRect/>
                    <a:stretch>
                      <a:fillRect/>
                    </a:stretch>
                  </pic:blipFill>
                  <pic:spPr bwMode="auto">
                    <a:xfrm>
                      <a:off x="0" y="0"/>
                      <a:ext cx="2574390" cy="2917074"/>
                    </a:xfrm>
                    <a:prstGeom prst="rect">
                      <a:avLst/>
                    </a:prstGeom>
                    <a:noFill/>
                    <a:ln w="9525">
                      <a:noFill/>
                      <a:miter lim="800000"/>
                      <a:headEnd/>
                      <a:tailEnd/>
                    </a:ln>
                  </pic:spPr>
                </pic:pic>
              </a:graphicData>
            </a:graphic>
          </wp:inline>
        </w:drawing>
      </w:r>
    </w:p>
    <w:p w:rsidR="00D85FAC" w:rsidRDefault="00D85FAC" w:rsidP="00D85FAC">
      <w:pPr>
        <w:pStyle w:val="figurecaption"/>
        <w:spacing w:after="0"/>
        <w:rPr>
          <w:noProof/>
          <w:lang w:eastAsia="en-AU"/>
        </w:rPr>
      </w:pPr>
      <w:r w:rsidRPr="00D95FE3">
        <w:rPr>
          <w:b/>
          <w:noProof/>
          <w:lang w:eastAsia="en-AU"/>
        </w:rPr>
        <w:t xml:space="preserve">Figure </w:t>
      </w:r>
      <w:r>
        <w:rPr>
          <w:b/>
          <w:noProof/>
          <w:lang w:eastAsia="en-AU"/>
        </w:rPr>
        <w:t>2</w:t>
      </w:r>
      <w:r>
        <w:rPr>
          <w:noProof/>
          <w:lang w:eastAsia="en-AU"/>
        </w:rPr>
        <w:t xml:space="preserve">  Taxa number and abundance of benthic macroinvertebrates collected from the control (C, 0 mg/kg)) and ‘high-uranium’ (UH, 2000 </w:t>
      </w:r>
      <w:r>
        <w:rPr>
          <w:rFonts w:cs="Arial"/>
          <w:noProof/>
          <w:lang w:eastAsia="en-AU"/>
        </w:rPr>
        <w:t>mg kg</w:t>
      </w:r>
      <w:r w:rsidRPr="002F649B">
        <w:rPr>
          <w:noProof/>
          <w:snapToGrid w:val="0"/>
          <w:color w:val="000000"/>
          <w:position w:val="4"/>
          <w:sz w:val="12"/>
          <w:szCs w:val="0"/>
          <w:u w:color="000000"/>
          <w:lang w:eastAsia="en-AU"/>
        </w:rPr>
        <w:t>-1</w:t>
      </w:r>
      <w:r>
        <w:rPr>
          <w:noProof/>
          <w:snapToGrid w:val="0"/>
          <w:color w:val="000000"/>
          <w:position w:val="4"/>
          <w:sz w:val="12"/>
          <w:szCs w:val="0"/>
          <w:u w:color="000000"/>
          <w:lang w:eastAsia="en-AU"/>
        </w:rPr>
        <w:t xml:space="preserve"> </w:t>
      </w:r>
      <w:r>
        <w:rPr>
          <w:noProof/>
          <w:lang w:eastAsia="en-AU"/>
        </w:rPr>
        <w:t>U) treatments</w:t>
      </w:r>
    </w:p>
    <w:p w:rsidR="00D85FAC" w:rsidRDefault="00D85FAC" w:rsidP="00D85FAC">
      <w:pPr>
        <w:pStyle w:val="referencelist1"/>
        <w:ind w:left="0" w:firstLine="0"/>
        <w:rPr>
          <w:szCs w:val="22"/>
          <w:lang w:eastAsia="en-AU"/>
        </w:rPr>
      </w:pPr>
      <w:r>
        <w:rPr>
          <w:szCs w:val="22"/>
          <w:lang w:eastAsia="en-AU"/>
        </w:rPr>
        <w:lastRenderedPageBreak/>
        <w:t xml:space="preserve">Student </w:t>
      </w:r>
      <w:r w:rsidRPr="00A33ED1">
        <w:rPr>
          <w:i/>
          <w:szCs w:val="22"/>
          <w:lang w:eastAsia="en-AU"/>
        </w:rPr>
        <w:t>t</w:t>
      </w:r>
      <w:r>
        <w:rPr>
          <w:szCs w:val="22"/>
          <w:lang w:eastAsia="en-AU"/>
        </w:rPr>
        <w:t xml:space="preserve">-tests found no significant difference in total abundances between </w:t>
      </w:r>
      <w:r>
        <w:rPr>
          <w:noProof/>
          <w:lang w:eastAsia="en-AU"/>
        </w:rPr>
        <w:t>control and high-uranium treatments (P = 0.07) but significantly lower taxa number in the high-uranium treatment compared with the control group (P = 0.02).</w:t>
      </w:r>
    </w:p>
    <w:p w:rsidR="00D85FAC" w:rsidRDefault="00D85FAC" w:rsidP="00D85FAC">
      <w:pPr>
        <w:rPr>
          <w:lang w:val="en-US"/>
        </w:rPr>
      </w:pPr>
      <w:r w:rsidRPr="003A565E">
        <w:rPr>
          <w:lang w:val="en-US"/>
        </w:rPr>
        <w:t>Multivariate analyses us</w:t>
      </w:r>
      <w:r>
        <w:rPr>
          <w:lang w:val="en-US"/>
        </w:rPr>
        <w:t>ing</w:t>
      </w:r>
      <w:r w:rsidRPr="003A565E">
        <w:rPr>
          <w:lang w:val="en-US"/>
        </w:rPr>
        <w:t xml:space="preserve"> </w:t>
      </w:r>
      <w:r w:rsidRPr="003A565E">
        <w:t xml:space="preserve">PRIMER </w:t>
      </w:r>
      <w:r>
        <w:t xml:space="preserve">and add-on </w:t>
      </w:r>
      <w:r w:rsidRPr="003A565E">
        <w:t xml:space="preserve">software (Clarke </w:t>
      </w:r>
      <w:r>
        <w:t>&amp;</w:t>
      </w:r>
      <w:r w:rsidRPr="003A565E">
        <w:t xml:space="preserve"> Gorley 2006)</w:t>
      </w:r>
      <w:r>
        <w:t xml:space="preserve"> </w:t>
      </w:r>
      <w:r w:rsidRPr="003A565E">
        <w:rPr>
          <w:lang w:val="en-US"/>
        </w:rPr>
        <w:t xml:space="preserve">were </w:t>
      </w:r>
      <w:r>
        <w:rPr>
          <w:lang w:val="en-US"/>
        </w:rPr>
        <w:t>applied</w:t>
      </w:r>
      <w:r w:rsidRPr="003A565E">
        <w:rPr>
          <w:lang w:val="en-US"/>
        </w:rPr>
        <w:t xml:space="preserve"> </w:t>
      </w:r>
      <w:r>
        <w:rPr>
          <w:lang w:val="en-US"/>
        </w:rPr>
        <w:t>to</w:t>
      </w:r>
      <w:r w:rsidRPr="003A565E">
        <w:rPr>
          <w:lang w:val="en-US"/>
        </w:rPr>
        <w:t xml:space="preserve"> the macroinvertebrate data, including (i) Multi-dimensional scaling (MDS) ordination, (ii) SIMPER (taxa contributing to differences in ordination groupings) and (iii) </w:t>
      </w:r>
      <w:r w:rsidRPr="003A565E">
        <w:t>PERMANOVA (PERmutational Multivariate ANalysis Of Variance</w:t>
      </w:r>
      <w:r w:rsidRPr="003A565E">
        <w:rPr>
          <w:lang w:val="en-US"/>
        </w:rPr>
        <w:t xml:space="preserve"> hypothesis testing of the treatment groups). The</w:t>
      </w:r>
      <w:r>
        <w:rPr>
          <w:lang w:val="en-US"/>
        </w:rPr>
        <w:t xml:space="preserve"> MDS ordination is shown in Figure 3. Replicate samples for the two treatments show some interspersion (or lack of complete separation) and reflecting this,</w:t>
      </w:r>
      <w:r w:rsidRPr="003A565E">
        <w:t xml:space="preserve"> </w:t>
      </w:r>
      <w:r w:rsidRPr="003A565E">
        <w:rPr>
          <w:lang w:val="en-US"/>
        </w:rPr>
        <w:t>PERMANOVA hypothesis testing showed</w:t>
      </w:r>
      <w:r>
        <w:rPr>
          <w:lang w:val="en-US"/>
        </w:rPr>
        <w:t xml:space="preserve"> no significant</w:t>
      </w:r>
      <w:r w:rsidRPr="003A565E">
        <w:rPr>
          <w:lang w:val="en-US"/>
        </w:rPr>
        <w:t xml:space="preserve"> difference (P</w:t>
      </w:r>
      <w:r>
        <w:rPr>
          <w:lang w:val="en-US"/>
        </w:rPr>
        <w:t> = 0.14) between the community structures. Any separation between the replicates of the two treatments was associated with higher abundances of caenid mayflies, oribatid mites, chironomid (blood worm) larvae and copepods in the control treatment and higher</w:t>
      </w:r>
      <w:r w:rsidRPr="00FC0C9C">
        <w:rPr>
          <w:lang w:val="en-US"/>
        </w:rPr>
        <w:t xml:space="preserve"> </w:t>
      </w:r>
      <w:r>
        <w:rPr>
          <w:lang w:val="en-US"/>
        </w:rPr>
        <w:t>abundances of oligochaete worms and Acarina mites in the high-uranium treatment.</w:t>
      </w:r>
    </w:p>
    <w:p w:rsidR="00D85FAC" w:rsidRDefault="00D85FAC" w:rsidP="00D85FAC">
      <w:pPr>
        <w:pStyle w:val="referencelist1"/>
        <w:spacing w:after="0"/>
        <w:ind w:left="0" w:firstLine="0"/>
        <w:rPr>
          <w:szCs w:val="22"/>
          <w:lang w:eastAsia="en-AU"/>
        </w:rPr>
      </w:pPr>
    </w:p>
    <w:p w:rsidR="00D85FAC" w:rsidRDefault="00D85FAC" w:rsidP="00D85FAC">
      <w:pPr>
        <w:pStyle w:val="referencelist1"/>
        <w:ind w:left="0" w:firstLine="0"/>
        <w:jc w:val="center"/>
        <w:rPr>
          <w:szCs w:val="22"/>
          <w:lang w:eastAsia="en-AU"/>
        </w:rPr>
      </w:pPr>
      <w:r>
        <w:rPr>
          <w:noProof/>
          <w:szCs w:val="22"/>
          <w:lang w:eastAsia="en-AU"/>
        </w:rPr>
        <w:drawing>
          <wp:inline distT="0" distB="0" distL="0" distR="0">
            <wp:extent cx="4771103" cy="2744837"/>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screen"/>
                    <a:srcRect/>
                    <a:stretch>
                      <a:fillRect/>
                    </a:stretch>
                  </pic:blipFill>
                  <pic:spPr bwMode="auto">
                    <a:xfrm>
                      <a:off x="0" y="0"/>
                      <a:ext cx="4771901" cy="2745296"/>
                    </a:xfrm>
                    <a:prstGeom prst="rect">
                      <a:avLst/>
                    </a:prstGeom>
                    <a:noFill/>
                    <a:ln w="9525">
                      <a:noFill/>
                      <a:miter lim="800000"/>
                      <a:headEnd/>
                      <a:tailEnd/>
                    </a:ln>
                  </pic:spPr>
                </pic:pic>
              </a:graphicData>
            </a:graphic>
          </wp:inline>
        </w:drawing>
      </w:r>
    </w:p>
    <w:p w:rsidR="00D85FAC" w:rsidRDefault="00D85FAC" w:rsidP="00D85FAC">
      <w:pPr>
        <w:pStyle w:val="figurecaption"/>
        <w:rPr>
          <w:noProof/>
          <w:lang w:eastAsia="en-AU"/>
        </w:rPr>
      </w:pPr>
      <w:r w:rsidRPr="00D95FE3">
        <w:rPr>
          <w:b/>
          <w:noProof/>
          <w:lang w:eastAsia="en-AU"/>
        </w:rPr>
        <w:t>Figure</w:t>
      </w:r>
      <w:r>
        <w:rPr>
          <w:b/>
          <w:noProof/>
          <w:lang w:eastAsia="en-AU"/>
        </w:rPr>
        <w:t xml:space="preserve"> 3</w:t>
      </w:r>
      <w:r>
        <w:rPr>
          <w:noProof/>
          <w:lang w:eastAsia="en-AU"/>
        </w:rPr>
        <w:t xml:space="preserve">  MDS ordination of macroinvertebrate community structure data arising from the 2011 Pilot 2 study, for control and ‘high-uranium’ (0 and 2000 </w:t>
      </w:r>
      <w:r>
        <w:rPr>
          <w:rFonts w:cs="Arial"/>
          <w:noProof/>
          <w:lang w:eastAsia="en-AU"/>
        </w:rPr>
        <w:t>mg</w:t>
      </w:r>
      <w:r>
        <w:rPr>
          <w:noProof/>
          <w:lang w:eastAsia="en-AU"/>
        </w:rPr>
        <w:t xml:space="preserve"> kg</w:t>
      </w:r>
      <w:r>
        <w:rPr>
          <w:noProof/>
          <w:snapToGrid w:val="0"/>
          <w:color w:val="000000"/>
          <w:position w:val="4"/>
          <w:sz w:val="12"/>
          <w:szCs w:val="0"/>
          <w:u w:color="000000"/>
          <w:lang w:eastAsia="en-AU"/>
        </w:rPr>
        <w:t>-1</w:t>
      </w:r>
      <w:r>
        <w:rPr>
          <w:noProof/>
          <w:lang w:eastAsia="en-AU"/>
        </w:rPr>
        <w:t xml:space="preserve"> U) treatments</w:t>
      </w:r>
    </w:p>
    <w:p w:rsidR="00D85FAC" w:rsidRDefault="00D85FAC" w:rsidP="00D85FAC">
      <w:pPr>
        <w:pStyle w:val="referencelist1"/>
        <w:ind w:left="0" w:firstLine="0"/>
        <w:rPr>
          <w:szCs w:val="22"/>
          <w:lang w:eastAsia="en-AU"/>
        </w:rPr>
      </w:pPr>
      <w:r>
        <w:rPr>
          <w:szCs w:val="22"/>
          <w:lang w:eastAsia="en-AU"/>
        </w:rPr>
        <w:t xml:space="preserve">The collective results from the 2011 Pilot study indicate macroinvertebrate assemblages are likely to be responsive to the high uranium exposure. Power analyses would be required to estimate the replication required to detect with confidence, significant differences between treatments in future experiments. To this end, the natural low diversity of the macroinvertebrate fauna occurring in these sediments is unlikely to be an impediment to successful assessment of this assemblage group. Further processing of samples from the low-uranium treatment from 2011 will also be undertaken to aid in this assessment and planning for future experimentation. </w:t>
      </w:r>
    </w:p>
    <w:p w:rsidR="00D85FAC" w:rsidRPr="00785B08" w:rsidRDefault="00D85FAC" w:rsidP="00D85FAC">
      <w:pPr>
        <w:pStyle w:val="Heading4"/>
        <w:rPr>
          <w:lang w:eastAsia="en-AU"/>
        </w:rPr>
      </w:pPr>
      <w:r w:rsidRPr="00785B08">
        <w:rPr>
          <w:lang w:eastAsia="en-AU"/>
        </w:rPr>
        <w:t>Microzoobenthos</w:t>
      </w:r>
    </w:p>
    <w:p w:rsidR="00D85FAC" w:rsidRPr="002E372D" w:rsidRDefault="00D85FAC" w:rsidP="00D85FAC">
      <w:pPr>
        <w:pStyle w:val="referencelist1"/>
        <w:ind w:left="0" w:firstLine="0"/>
        <w:rPr>
          <w:szCs w:val="22"/>
          <w:lang w:eastAsia="en-AU"/>
        </w:rPr>
      </w:pPr>
      <w:r>
        <w:rPr>
          <w:szCs w:val="22"/>
          <w:lang w:eastAsia="en-AU"/>
        </w:rPr>
        <w:t xml:space="preserve">Delays in the sequencing and post-sequencing (bioinformatic) processing of the microzoobenthos samples meant that the data were not available at the time of writing this report. A major delay in the bioinformatics processing of the samples was due to a higher than expected diversity in the samples, which led to weeks of processing being needed. Extensive bioinformatics processing of the dataset is needed to ensure the ecogenomic dataset is free from sequencing errors. </w:t>
      </w:r>
    </w:p>
    <w:p w:rsidR="00D85FAC" w:rsidRPr="00C46C0C" w:rsidRDefault="00D85FAC" w:rsidP="00D85FAC">
      <w:pPr>
        <w:pStyle w:val="Heading4"/>
        <w:rPr>
          <w:lang w:eastAsia="en-AU"/>
        </w:rPr>
      </w:pPr>
      <w:r w:rsidRPr="00785B08">
        <w:rPr>
          <w:lang w:eastAsia="en-AU"/>
        </w:rPr>
        <w:lastRenderedPageBreak/>
        <w:t>Bacteria</w:t>
      </w:r>
    </w:p>
    <w:p w:rsidR="00D85FAC" w:rsidRDefault="00D85FAC" w:rsidP="00D85FAC">
      <w:pPr>
        <w:pStyle w:val="referencelist1"/>
        <w:ind w:left="0" w:firstLine="0"/>
        <w:rPr>
          <w:szCs w:val="22"/>
          <w:lang w:eastAsia="en-AU"/>
        </w:rPr>
      </w:pPr>
      <w:r>
        <w:rPr>
          <w:szCs w:val="22"/>
          <w:lang w:eastAsia="en-AU"/>
        </w:rPr>
        <w:t>Bacterial community diversity was measured for each treatment (Figure 4) and one-way ANOVA analysis showed that there was no significant impact of the treatments on the number of unique OTUs, ie taxa richness.</w:t>
      </w:r>
    </w:p>
    <w:p w:rsidR="00D85FAC" w:rsidRDefault="00D85FAC" w:rsidP="00D85FAC">
      <w:pPr>
        <w:pStyle w:val="referencelist1"/>
        <w:spacing w:after="0"/>
        <w:ind w:left="0" w:firstLine="0"/>
        <w:rPr>
          <w:szCs w:val="22"/>
          <w:lang w:eastAsia="en-AU"/>
        </w:rPr>
      </w:pPr>
    </w:p>
    <w:p w:rsidR="00D85FAC" w:rsidRDefault="00D85FAC" w:rsidP="00D85FAC">
      <w:pPr>
        <w:pStyle w:val="referencelist1"/>
        <w:ind w:left="0" w:firstLine="0"/>
        <w:jc w:val="center"/>
        <w:rPr>
          <w:szCs w:val="22"/>
        </w:rPr>
      </w:pPr>
      <w:r>
        <w:rPr>
          <w:noProof/>
          <w:szCs w:val="22"/>
          <w:lang w:eastAsia="en-AU"/>
        </w:rPr>
        <w:drawing>
          <wp:inline distT="0" distB="0" distL="0" distR="0">
            <wp:extent cx="3746090" cy="2278990"/>
            <wp:effectExtent l="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screen"/>
                    <a:srcRect t="2035" b="4942"/>
                    <a:stretch>
                      <a:fillRect/>
                    </a:stretch>
                  </pic:blipFill>
                  <pic:spPr bwMode="auto">
                    <a:xfrm>
                      <a:off x="0" y="0"/>
                      <a:ext cx="3746090" cy="2278990"/>
                    </a:xfrm>
                    <a:prstGeom prst="rect">
                      <a:avLst/>
                    </a:prstGeom>
                    <a:noFill/>
                    <a:ln w="9525">
                      <a:noFill/>
                      <a:miter lim="800000"/>
                      <a:headEnd/>
                      <a:tailEnd/>
                    </a:ln>
                  </pic:spPr>
                </pic:pic>
              </a:graphicData>
            </a:graphic>
          </wp:inline>
        </w:drawing>
      </w:r>
    </w:p>
    <w:p w:rsidR="00D85FAC" w:rsidRPr="00785B08" w:rsidRDefault="00D85FAC" w:rsidP="00D85FAC">
      <w:pPr>
        <w:pStyle w:val="figurecaption"/>
        <w:rPr>
          <w:b/>
          <w:lang w:eastAsia="en-AU"/>
        </w:rPr>
      </w:pPr>
      <w:r w:rsidRPr="00204EB4">
        <w:rPr>
          <w:b/>
        </w:rPr>
        <w:t xml:space="preserve">Figure </w:t>
      </w:r>
      <w:proofErr w:type="gramStart"/>
      <w:r>
        <w:rPr>
          <w:b/>
        </w:rPr>
        <w:t xml:space="preserve">4 </w:t>
      </w:r>
      <w:r>
        <w:t xml:space="preserve"> Bacteria</w:t>
      </w:r>
      <w:proofErr w:type="gramEnd"/>
      <w:r>
        <w:t xml:space="preserve"> taxa richness in the treatments from Pilot 2</w:t>
      </w:r>
    </w:p>
    <w:p w:rsidR="00D85FAC" w:rsidRDefault="00D85FAC" w:rsidP="00D85FAC">
      <w:pPr>
        <w:pStyle w:val="referencelist1"/>
        <w:ind w:left="0" w:firstLine="0"/>
        <w:rPr>
          <w:szCs w:val="22"/>
          <w:lang w:eastAsia="en-AU"/>
        </w:rPr>
      </w:pPr>
      <w:r>
        <w:rPr>
          <w:szCs w:val="22"/>
          <w:lang w:eastAsia="en-AU"/>
        </w:rPr>
        <w:t xml:space="preserve">However, an MDS ordination of bacteria community structure showed two very distinct clusters (Figure 5a). The first cluster (Figure 5b) contained all the samples from the Gulungul (site) control, low and medium U treatments, eight of the fifteen control samples and five of the fifteen high U samples. A second cluster (Figure 5c) contained all the pre-deployment samples, the remaining ten high U treatments and seven control samples. PERMANOVA with pairwise comparisons showed that the most similar treatments were the control and high U treatments (P = 0.038). All other treatments were very dissimilar (P = 0.001). This analysis however did not include environmental parameters which may explain the association between the zero (control) and high uranium treatments. The bacterial data derived from this 16S rRNA tag sequencing approach gave 34 000 sequence reads across all samples. This represents a rich resource of bacterial community diversity that will require much further critical analysis before robust conclusions can be reached. For example, reads that occur infrequently could be removed and the remaining taxa could be identified to compare community composition between sites. These taxa could also be allocated functional roles and compared. This further refinement along with integration of environmental parameters such as temperature, DO, pH nutrients, elemental analysis could provide greater insight into the nature of the responses to the U treatments. </w:t>
      </w:r>
    </w:p>
    <w:p w:rsidR="00D85FAC" w:rsidRPr="00A7477E" w:rsidRDefault="00D85FAC" w:rsidP="00D85FAC">
      <w:pPr>
        <w:pStyle w:val="Heading2"/>
      </w:pPr>
      <w:bookmarkStart w:id="144" w:name="_Toc313523449"/>
      <w:bookmarkStart w:id="145" w:name="_Toc316985292"/>
      <w:r w:rsidRPr="00A7477E">
        <w:t>Steps for completion</w:t>
      </w:r>
      <w:bookmarkEnd w:id="144"/>
      <w:bookmarkEnd w:id="145"/>
    </w:p>
    <w:p w:rsidR="00D85FAC" w:rsidRPr="002E372D" w:rsidRDefault="00D85FAC" w:rsidP="00D85FAC">
      <w:pPr>
        <w:pStyle w:val="referencelist1"/>
        <w:ind w:left="0" w:firstLine="0"/>
        <w:rPr>
          <w:szCs w:val="22"/>
          <w:lang w:eastAsia="en-AU"/>
        </w:rPr>
      </w:pPr>
      <w:r>
        <w:rPr>
          <w:szCs w:val="22"/>
          <w:lang w:eastAsia="en-AU"/>
        </w:rPr>
        <w:t>The main experiment planned for the coming (2011–12) wet-season has been postponed until the 2012–13 wet season. This will provide to time to fully analyse, integrate and publish the enormous amount of ecogenomic and other information collected from the two Pilot studies, and to properly inform the design of the main experiment.  Some of the key activities required in the next year include: 1) counting of the low and medium U treatment macroinvertebrate samples; 2) determining the most suitable method for processing and analysing the ecogenomics datasets; 3) statistical integration of the all the datasets; and 4) testing of other DNA profiling techniques, eg DGGE and N-cycling microarrays.</w:t>
      </w:r>
    </w:p>
    <w:p w:rsidR="00D85FAC" w:rsidRDefault="00D85FAC" w:rsidP="00D85FAC">
      <w:pPr>
        <w:pStyle w:val="referencelist1"/>
        <w:spacing w:after="0"/>
        <w:ind w:left="0" w:firstLine="0"/>
        <w:rPr>
          <w:szCs w:val="22"/>
          <w:lang w:eastAsia="en-AU"/>
        </w:rPr>
      </w:pPr>
    </w:p>
    <w:tbl>
      <w:tblPr>
        <w:tblW w:w="8820" w:type="dxa"/>
        <w:jc w:val="center"/>
        <w:tblInd w:w="360" w:type="dxa"/>
        <w:tblLayout w:type="fixed"/>
        <w:tblLook w:val="04A0"/>
      </w:tblPr>
      <w:tblGrid>
        <w:gridCol w:w="4284"/>
        <w:gridCol w:w="4536"/>
      </w:tblGrid>
      <w:tr w:rsidR="00D85FAC" w:rsidRPr="00A06904" w:rsidTr="00D85FAC">
        <w:trPr>
          <w:jc w:val="center"/>
        </w:trPr>
        <w:tc>
          <w:tcPr>
            <w:tcW w:w="8820" w:type="dxa"/>
            <w:gridSpan w:val="2"/>
          </w:tcPr>
          <w:p w:rsidR="00D85FAC" w:rsidRPr="00A06904" w:rsidRDefault="00D85FAC" w:rsidP="00D85FAC">
            <w:pPr>
              <w:pStyle w:val="referencelist1"/>
              <w:ind w:left="0" w:firstLine="0"/>
              <w:jc w:val="center"/>
              <w:rPr>
                <w:b/>
                <w:szCs w:val="22"/>
                <w:lang w:eastAsia="en-AU"/>
              </w:rPr>
            </w:pPr>
            <w:r>
              <w:rPr>
                <w:b/>
                <w:szCs w:val="22"/>
                <w:lang w:eastAsia="en-AU"/>
              </w:rPr>
              <w:lastRenderedPageBreak/>
              <w:t xml:space="preserve">a) </w:t>
            </w:r>
            <w:r w:rsidRPr="00A06904">
              <w:rPr>
                <w:b/>
                <w:szCs w:val="22"/>
                <w:lang w:eastAsia="en-AU"/>
              </w:rPr>
              <w:t>All data shown</w:t>
            </w:r>
          </w:p>
        </w:tc>
      </w:tr>
      <w:tr w:rsidR="00D85FAC" w:rsidRPr="00A06904" w:rsidTr="00D85FAC">
        <w:trPr>
          <w:jc w:val="center"/>
        </w:trPr>
        <w:tc>
          <w:tcPr>
            <w:tcW w:w="8820" w:type="dxa"/>
            <w:gridSpan w:val="2"/>
          </w:tcPr>
          <w:p w:rsidR="00D85FAC" w:rsidRPr="00A06904" w:rsidRDefault="00081B24" w:rsidP="00D85FAC">
            <w:pPr>
              <w:pStyle w:val="referencelist1"/>
              <w:ind w:left="0" w:firstLine="0"/>
              <w:jc w:val="center"/>
              <w:rPr>
                <w:szCs w:val="22"/>
                <w:lang w:eastAsia="en-AU"/>
              </w:rPr>
            </w:pPr>
            <w:r>
              <w:rPr>
                <w:noProof/>
                <w:szCs w:val="22"/>
                <w:lang w:eastAsia="en-AU"/>
              </w:rPr>
              <w:pict>
                <v:shapetype id="_x0000_t202" coordsize="21600,21600" o:spt="202" path="m,l,21600r21600,l21600,xe">
                  <v:stroke joinstyle="miter"/>
                  <v:path gradientshapeok="t" o:connecttype="rect"/>
                </v:shapetype>
                <v:shape id="_x0000_s1037" type="#_x0000_t202" style="position:absolute;left:0;text-align:left;margin-left:219.7pt;margin-top:28.7pt;width:66.35pt;height:25.5pt;z-index:251655680;mso-position-horizontal-relative:text;mso-position-vertical-relative:text;mso-width-relative:margin;mso-height-relative:margin" strokecolor="white">
                  <v:textbox style="mso-next-textbox:#_x0000_s1037">
                    <w:txbxContent>
                      <w:p w:rsidR="00081B24" w:rsidRDefault="00081B24"/>
                    </w:txbxContent>
                  </v:textbox>
                </v:shape>
              </w:pict>
            </w:r>
            <w:r w:rsidRPr="00081B24">
              <w:rPr>
                <w:noProof/>
                <w:szCs w:val="22"/>
                <w:lang w:val="en-US" w:eastAsia="zh-TW"/>
              </w:rPr>
              <w:pict>
                <v:shape id="_x0000_s1036" type="#_x0000_t202" style="position:absolute;left:0;text-align:left;margin-left:142.2pt;margin-top:28.7pt;width:66.35pt;height:21.75pt;z-index:251656704;mso-position-horizontal-relative:text;mso-position-vertical-relative:text;mso-width-relative:margin;mso-height-relative:margin" strokecolor="white">
                  <v:textbox style="mso-next-textbox:#_x0000_s1036">
                    <w:txbxContent>
                      <w:p w:rsidR="00D85FAC" w:rsidRPr="00A06904" w:rsidRDefault="00D85FAC" w:rsidP="00D85FAC">
                        <w:pPr>
                          <w:spacing w:after="0" w:line="240" w:lineRule="auto"/>
                          <w:rPr>
                            <w:rFonts w:ascii="Arial" w:hAnsi="Arial" w:cs="Arial"/>
                            <w:sz w:val="16"/>
                            <w:szCs w:val="16"/>
                          </w:rPr>
                        </w:pPr>
                        <w:r w:rsidRPr="00A06904">
                          <w:rPr>
                            <w:rFonts w:ascii="Arial" w:hAnsi="Arial" w:cs="Arial"/>
                            <w:sz w:val="16"/>
                            <w:szCs w:val="16"/>
                          </w:rPr>
                          <w:t>Cluster 1</w:t>
                        </w:r>
                      </w:p>
                    </w:txbxContent>
                  </v:textbox>
                </v:shape>
              </w:pict>
            </w:r>
            <w:r>
              <w:rPr>
                <w:noProof/>
                <w:szCs w:val="22"/>
                <w:lang w:eastAsia="en-AU"/>
              </w:rPr>
              <w:pict>
                <v:shapetype id="_x0000_t32" coordsize="21600,21600" o:spt="32" o:oned="t" path="m,l21600,21600e" filled="f">
                  <v:path arrowok="t" fillok="f" o:connecttype="none"/>
                  <o:lock v:ext="edit" shapetype="t"/>
                </v:shapetype>
                <v:shape id="_x0000_s1034" type="#_x0000_t32" style="position:absolute;left:0;text-align:left;margin-left:127.65pt;margin-top:45.85pt;width:25.7pt;height:24.95pt;flip:x;z-index:251657728;mso-position-horizontal-relative:text;mso-position-vertical-relative:text" o:connectortype="straight">
                  <v:stroke endarrow="block"/>
                </v:shape>
              </w:pict>
            </w:r>
            <w:r>
              <w:rPr>
                <w:noProof/>
                <w:szCs w:val="22"/>
                <w:lang w:eastAsia="en-AU"/>
              </w:rPr>
              <w:pict>
                <v:shape id="_x0000_s1035" type="#_x0000_t32" style="position:absolute;left:0;text-align:left;margin-left:246.25pt;margin-top:54.2pt;width:18.85pt;height:19.75pt;z-index:251658752;mso-position-horizontal-relative:text;mso-position-vertical-relative:text" o:connectortype="straight">
                  <v:stroke endarrow="block"/>
                </v:shape>
              </w:pict>
            </w:r>
            <w:r>
              <w:rPr>
                <w:noProof/>
                <w:szCs w:val="22"/>
                <w:lang w:eastAsia="en-AU"/>
              </w:rPr>
              <w:pict>
                <v:oval id="_x0000_s1033" style="position:absolute;left:0;text-align:left;margin-left:265.1pt;margin-top:62.4pt;width:31.75pt;height:36pt;z-index:251659776;mso-position-horizontal-relative:text;mso-position-vertical-relative:text" filled="f"/>
              </w:pict>
            </w:r>
            <w:r>
              <w:rPr>
                <w:noProof/>
                <w:szCs w:val="22"/>
                <w:lang w:eastAsia="en-AU"/>
              </w:rPr>
              <w:pict>
                <v:oval id="_x0000_s1032" style="position:absolute;left:0;text-align:left;margin-left:108pt;margin-top:66.5pt;width:19.7pt;height:26.55pt;z-index:251660800;mso-position-horizontal-relative:text;mso-position-vertical-relative:text" filled="f"/>
              </w:pict>
            </w:r>
            <w:r w:rsidR="00D85FAC">
              <w:rPr>
                <w:noProof/>
                <w:szCs w:val="22"/>
                <w:lang w:eastAsia="en-AU"/>
              </w:rPr>
              <w:drawing>
                <wp:inline distT="0" distB="0" distL="0" distR="0">
                  <wp:extent cx="3040380" cy="1950085"/>
                  <wp:effectExtent l="0" t="0" r="762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screen"/>
                          <a:srcRect r="31"/>
                          <a:stretch>
                            <a:fillRect/>
                          </a:stretch>
                        </pic:blipFill>
                        <pic:spPr bwMode="auto">
                          <a:xfrm>
                            <a:off x="0" y="0"/>
                            <a:ext cx="3040380" cy="1950085"/>
                          </a:xfrm>
                          <a:prstGeom prst="rect">
                            <a:avLst/>
                          </a:prstGeom>
                          <a:noFill/>
                          <a:ln w="9525">
                            <a:noFill/>
                            <a:miter lim="800000"/>
                            <a:headEnd/>
                            <a:tailEnd/>
                          </a:ln>
                        </pic:spPr>
                      </pic:pic>
                    </a:graphicData>
                  </a:graphic>
                </wp:inline>
              </w:drawing>
            </w:r>
          </w:p>
        </w:tc>
      </w:tr>
      <w:tr w:rsidR="00D85FAC" w:rsidRPr="00C5054F" w:rsidTr="00D85FAC">
        <w:trPr>
          <w:jc w:val="center"/>
        </w:trPr>
        <w:tc>
          <w:tcPr>
            <w:tcW w:w="4284" w:type="dxa"/>
          </w:tcPr>
          <w:p w:rsidR="00D85FAC" w:rsidRPr="00C5054F" w:rsidRDefault="00D85FAC" w:rsidP="00D85FAC">
            <w:pPr>
              <w:pStyle w:val="referencelist1"/>
              <w:ind w:left="0" w:firstLine="0"/>
              <w:jc w:val="center"/>
              <w:rPr>
                <w:b/>
                <w:noProof/>
                <w:szCs w:val="22"/>
                <w:lang w:eastAsia="en-AU"/>
              </w:rPr>
            </w:pPr>
            <w:r>
              <w:rPr>
                <w:b/>
                <w:noProof/>
                <w:szCs w:val="22"/>
                <w:lang w:eastAsia="en-AU"/>
              </w:rPr>
              <w:t>b</w:t>
            </w:r>
            <w:r w:rsidRPr="00C5054F">
              <w:rPr>
                <w:b/>
                <w:noProof/>
                <w:szCs w:val="22"/>
                <w:lang w:eastAsia="en-AU"/>
              </w:rPr>
              <w:t>)</w:t>
            </w:r>
            <w:r>
              <w:rPr>
                <w:b/>
                <w:noProof/>
                <w:szCs w:val="22"/>
                <w:lang w:eastAsia="en-AU"/>
              </w:rPr>
              <w:t xml:space="preserve"> Cluster 1</w:t>
            </w:r>
          </w:p>
        </w:tc>
        <w:tc>
          <w:tcPr>
            <w:tcW w:w="4536" w:type="dxa"/>
          </w:tcPr>
          <w:p w:rsidR="00D85FAC" w:rsidRPr="00C5054F" w:rsidRDefault="00D85FAC" w:rsidP="00D85FAC">
            <w:pPr>
              <w:pStyle w:val="referencelist1"/>
              <w:ind w:left="0" w:firstLine="0"/>
              <w:jc w:val="center"/>
              <w:rPr>
                <w:b/>
                <w:noProof/>
                <w:lang w:eastAsia="en-AU"/>
              </w:rPr>
            </w:pPr>
            <w:r>
              <w:rPr>
                <w:b/>
                <w:noProof/>
                <w:lang w:eastAsia="en-AU"/>
              </w:rPr>
              <w:t>c</w:t>
            </w:r>
            <w:r w:rsidRPr="00C5054F">
              <w:rPr>
                <w:b/>
                <w:noProof/>
                <w:lang w:eastAsia="en-AU"/>
              </w:rPr>
              <w:t xml:space="preserve">) </w:t>
            </w:r>
            <w:r>
              <w:rPr>
                <w:b/>
                <w:noProof/>
                <w:lang w:eastAsia="en-AU"/>
              </w:rPr>
              <w:t>Cluster 2</w:t>
            </w:r>
          </w:p>
        </w:tc>
      </w:tr>
      <w:tr w:rsidR="00D85FAC" w:rsidRPr="00C5054F" w:rsidTr="00D85FAC">
        <w:trPr>
          <w:jc w:val="center"/>
        </w:trPr>
        <w:tc>
          <w:tcPr>
            <w:tcW w:w="4284" w:type="dxa"/>
          </w:tcPr>
          <w:p w:rsidR="00D85FAC" w:rsidRPr="00C5054F" w:rsidRDefault="00D85FAC" w:rsidP="00D85FAC">
            <w:pPr>
              <w:pStyle w:val="referencelist1"/>
              <w:ind w:left="0" w:firstLine="0"/>
              <w:rPr>
                <w:szCs w:val="22"/>
                <w:lang w:eastAsia="en-AU"/>
              </w:rPr>
            </w:pPr>
            <w:r>
              <w:rPr>
                <w:noProof/>
                <w:lang w:eastAsia="en-AU"/>
              </w:rPr>
              <w:drawing>
                <wp:inline distT="0" distB="0" distL="0" distR="0">
                  <wp:extent cx="2578100" cy="192786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screen"/>
                          <a:srcRect r="14075"/>
                          <a:stretch>
                            <a:fillRect/>
                          </a:stretch>
                        </pic:blipFill>
                        <pic:spPr bwMode="auto">
                          <a:xfrm>
                            <a:off x="0" y="0"/>
                            <a:ext cx="2578100" cy="1927860"/>
                          </a:xfrm>
                          <a:prstGeom prst="rect">
                            <a:avLst/>
                          </a:prstGeom>
                          <a:noFill/>
                          <a:ln w="9525">
                            <a:noFill/>
                            <a:miter lim="800000"/>
                            <a:headEnd/>
                            <a:tailEnd/>
                          </a:ln>
                        </pic:spPr>
                      </pic:pic>
                    </a:graphicData>
                  </a:graphic>
                </wp:inline>
              </w:drawing>
            </w:r>
          </w:p>
        </w:tc>
        <w:tc>
          <w:tcPr>
            <w:tcW w:w="4536" w:type="dxa"/>
          </w:tcPr>
          <w:p w:rsidR="00D85FAC" w:rsidRPr="00C5054F" w:rsidRDefault="00D85FAC" w:rsidP="00D85FAC">
            <w:pPr>
              <w:pStyle w:val="referencelist1"/>
              <w:ind w:left="0" w:firstLine="0"/>
              <w:rPr>
                <w:szCs w:val="22"/>
                <w:lang w:eastAsia="en-AU"/>
              </w:rPr>
            </w:pPr>
            <w:r>
              <w:rPr>
                <w:noProof/>
                <w:lang w:eastAsia="en-AU"/>
              </w:rPr>
              <w:drawing>
                <wp:inline distT="0" distB="0" distL="0" distR="0">
                  <wp:extent cx="2599690" cy="1938655"/>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screen"/>
                          <a:srcRect r="14018"/>
                          <a:stretch>
                            <a:fillRect/>
                          </a:stretch>
                        </pic:blipFill>
                        <pic:spPr bwMode="auto">
                          <a:xfrm>
                            <a:off x="0" y="0"/>
                            <a:ext cx="2599690" cy="1938655"/>
                          </a:xfrm>
                          <a:prstGeom prst="rect">
                            <a:avLst/>
                          </a:prstGeom>
                          <a:noFill/>
                          <a:ln w="9525">
                            <a:noFill/>
                            <a:miter lim="800000"/>
                            <a:headEnd/>
                            <a:tailEnd/>
                          </a:ln>
                        </pic:spPr>
                      </pic:pic>
                    </a:graphicData>
                  </a:graphic>
                </wp:inline>
              </w:drawing>
            </w:r>
          </w:p>
        </w:tc>
      </w:tr>
    </w:tbl>
    <w:p w:rsidR="00D85FAC" w:rsidRPr="002A7958" w:rsidRDefault="00D85FAC" w:rsidP="00D85FAC">
      <w:pPr>
        <w:pStyle w:val="figurecaption"/>
        <w:rPr>
          <w:szCs w:val="22"/>
          <w:lang w:eastAsia="en-AU"/>
        </w:rPr>
      </w:pPr>
      <w:r w:rsidRPr="002A7958">
        <w:rPr>
          <w:b/>
          <w:noProof/>
          <w:lang w:eastAsia="en-AU"/>
        </w:rPr>
        <w:t xml:space="preserve">Figure </w:t>
      </w:r>
      <w:r>
        <w:rPr>
          <w:b/>
          <w:noProof/>
          <w:lang w:eastAsia="en-AU"/>
        </w:rPr>
        <w:t>5</w:t>
      </w:r>
      <w:r>
        <w:rPr>
          <w:noProof/>
          <w:lang w:eastAsia="en-AU"/>
        </w:rPr>
        <w:t xml:space="preserve">  MDS ordination of bacteria community structure data arising from the Pilot 2 study. A) All data shown B) Magnified cluster 1 C) Magnified cluster 2.  C = control, GC = Gulungul (site) control, UL = Low (500 mg kg</w:t>
      </w:r>
      <w:r w:rsidRPr="002A7958">
        <w:rPr>
          <w:noProof/>
          <w:vertAlign w:val="superscript"/>
          <w:lang w:eastAsia="en-AU"/>
        </w:rPr>
        <w:t>-1</w:t>
      </w:r>
      <w:r>
        <w:rPr>
          <w:noProof/>
          <w:lang w:eastAsia="en-AU"/>
        </w:rPr>
        <w:t>) U, UM = Medium (1000 mg kg</w:t>
      </w:r>
      <w:r w:rsidRPr="002A7958">
        <w:rPr>
          <w:noProof/>
          <w:vertAlign w:val="superscript"/>
          <w:lang w:eastAsia="en-AU"/>
        </w:rPr>
        <w:t>-1</w:t>
      </w:r>
      <w:r>
        <w:rPr>
          <w:noProof/>
          <w:lang w:eastAsia="en-AU"/>
        </w:rPr>
        <w:t>), UH = High (2000 mg kg</w:t>
      </w:r>
      <w:r w:rsidRPr="002A7958">
        <w:rPr>
          <w:noProof/>
          <w:vertAlign w:val="superscript"/>
          <w:lang w:eastAsia="en-AU"/>
        </w:rPr>
        <w:t>-1</w:t>
      </w:r>
      <w:r>
        <w:rPr>
          <w:noProof/>
          <w:lang w:eastAsia="en-AU"/>
        </w:rPr>
        <w:t>) U and PD = represent pre-deployment samples.</w:t>
      </w:r>
    </w:p>
    <w:p w:rsidR="00D85FAC" w:rsidRPr="002E372D" w:rsidRDefault="00D85FAC" w:rsidP="00D85FAC">
      <w:pPr>
        <w:pStyle w:val="Heading2"/>
        <w:rPr>
          <w:lang w:eastAsia="en-AU"/>
        </w:rPr>
      </w:pPr>
      <w:bookmarkStart w:id="146" w:name="_Toc308710352"/>
      <w:bookmarkStart w:id="147" w:name="_Toc313523450"/>
      <w:bookmarkStart w:id="148" w:name="_Toc316985293"/>
      <w:r w:rsidRPr="002E372D">
        <w:rPr>
          <w:lang w:eastAsia="en-AU"/>
        </w:rPr>
        <w:t>References</w:t>
      </w:r>
      <w:bookmarkEnd w:id="146"/>
      <w:bookmarkEnd w:id="147"/>
      <w:bookmarkEnd w:id="148"/>
    </w:p>
    <w:p w:rsidR="00D85FAC" w:rsidRPr="002E372D" w:rsidRDefault="00D85FAC" w:rsidP="00D85FAC">
      <w:pPr>
        <w:pStyle w:val="referencelist1"/>
        <w:rPr>
          <w:szCs w:val="22"/>
          <w:lang w:eastAsia="en-AU"/>
        </w:rPr>
      </w:pPr>
      <w:proofErr w:type="gramStart"/>
      <w:r w:rsidRPr="002E372D">
        <w:t>van</w:t>
      </w:r>
      <w:proofErr w:type="gramEnd"/>
      <w:r w:rsidRPr="002E372D">
        <w:t xml:space="preserve"> Dam R, Humphrey C, Harford A, Simpson S, Gibb K &amp; Stauber J 2010. </w:t>
      </w:r>
      <w:proofErr w:type="gramStart"/>
      <w:r w:rsidRPr="002E372D">
        <w:t>The toxicity of uranium to sediment biota of Magela Creek backflow billabong environments.</w:t>
      </w:r>
      <w:proofErr w:type="gramEnd"/>
      <w:r w:rsidRPr="002E372D">
        <w:rPr>
          <w:szCs w:val="22"/>
          <w:lang w:eastAsia="en-AU"/>
        </w:rPr>
        <w:t xml:space="preserve"> In </w:t>
      </w:r>
      <w:r w:rsidRPr="002E372D">
        <w:rPr>
          <w:b/>
          <w:bCs/>
          <w:i/>
          <w:iCs/>
          <w:sz w:val="26"/>
          <w:szCs w:val="26"/>
          <w:lang w:eastAsia="en-AU"/>
        </w:rPr>
        <w:t>eriss</w:t>
      </w:r>
      <w:r w:rsidRPr="002E372D">
        <w:rPr>
          <w:szCs w:val="22"/>
          <w:lang w:eastAsia="en-AU"/>
        </w:rPr>
        <w:t xml:space="preserve"> </w:t>
      </w:r>
      <w:r w:rsidRPr="002E372D">
        <w:rPr>
          <w:i/>
          <w:iCs/>
          <w:szCs w:val="22"/>
          <w:lang w:eastAsia="en-AU"/>
        </w:rPr>
        <w:t>research summary 2008–2009</w:t>
      </w:r>
      <w:r w:rsidRPr="002E372D">
        <w:rPr>
          <w:szCs w:val="22"/>
          <w:lang w:eastAsia="en-AU"/>
        </w:rPr>
        <w:t>, eds Jones DR &amp; Webb A, Supervising Scientist Report 201, Supervising Scientist, Darwin NT, 27</w:t>
      </w:r>
      <w:r>
        <w:rPr>
          <w:szCs w:val="22"/>
          <w:lang w:eastAsia="en-AU"/>
        </w:rPr>
        <w:t>–</w:t>
      </w:r>
      <w:r w:rsidRPr="002E372D">
        <w:rPr>
          <w:szCs w:val="22"/>
          <w:lang w:eastAsia="en-AU"/>
        </w:rPr>
        <w:t>31.</w:t>
      </w:r>
    </w:p>
    <w:p w:rsidR="00D85FAC" w:rsidRDefault="00D85FAC" w:rsidP="00D85FAC">
      <w:pPr>
        <w:pStyle w:val="referencelist1"/>
        <w:rPr>
          <w:szCs w:val="22"/>
          <w:lang w:eastAsia="en-AU"/>
        </w:rPr>
      </w:pPr>
      <w:r w:rsidRPr="002E372D">
        <w:t xml:space="preserve">Harford A, van Dam R, Humphrey C, Jones D, Simpson S, Stauber J, Gibb K &amp; C Streten-Joyce, 2011. </w:t>
      </w:r>
      <w:proofErr w:type="gramStart"/>
      <w:r w:rsidRPr="002E372D">
        <w:t>The toxicity of uranium to sediment biota of Magela Creek backflow billabong environments.</w:t>
      </w:r>
      <w:proofErr w:type="gramEnd"/>
      <w:r w:rsidRPr="002E372D">
        <w:rPr>
          <w:szCs w:val="22"/>
          <w:lang w:eastAsia="en-AU"/>
        </w:rPr>
        <w:t xml:space="preserve"> In </w:t>
      </w:r>
      <w:r w:rsidRPr="002E372D">
        <w:rPr>
          <w:b/>
          <w:bCs/>
          <w:i/>
          <w:iCs/>
          <w:sz w:val="26"/>
          <w:szCs w:val="26"/>
          <w:lang w:eastAsia="en-AU"/>
        </w:rPr>
        <w:t>eriss</w:t>
      </w:r>
      <w:r w:rsidRPr="002E372D">
        <w:rPr>
          <w:szCs w:val="22"/>
          <w:lang w:eastAsia="en-AU"/>
        </w:rPr>
        <w:t xml:space="preserve"> </w:t>
      </w:r>
      <w:r w:rsidRPr="002E372D">
        <w:rPr>
          <w:i/>
          <w:iCs/>
          <w:szCs w:val="22"/>
          <w:lang w:eastAsia="en-AU"/>
        </w:rPr>
        <w:t>research summary 2009–2010</w:t>
      </w:r>
      <w:r w:rsidRPr="002E372D">
        <w:rPr>
          <w:szCs w:val="22"/>
          <w:lang w:eastAsia="en-AU"/>
        </w:rPr>
        <w:t>, eds Jones DR &amp; Webb A, Supervising Scientist Report 202, Supervising Scientist, Darwin NT, 32</w:t>
      </w:r>
      <w:r>
        <w:rPr>
          <w:szCs w:val="22"/>
          <w:lang w:eastAsia="en-AU"/>
        </w:rPr>
        <w:t>–</w:t>
      </w:r>
      <w:r w:rsidRPr="002E372D">
        <w:rPr>
          <w:szCs w:val="22"/>
          <w:lang w:eastAsia="en-AU"/>
        </w:rPr>
        <w:t>36.</w:t>
      </w:r>
    </w:p>
    <w:p w:rsidR="00D85FAC" w:rsidRPr="002E372D" w:rsidRDefault="00D85FAC" w:rsidP="00D85FAC">
      <w:pPr>
        <w:pStyle w:val="referencelist1"/>
        <w:rPr>
          <w:szCs w:val="22"/>
          <w:lang w:eastAsia="en-AU"/>
        </w:rPr>
      </w:pPr>
    </w:p>
    <w:p w:rsidR="00D85FAC" w:rsidRDefault="00D85FAC" w:rsidP="00D85FAC">
      <w:pPr>
        <w:pStyle w:val="Heading4"/>
        <w:sectPr w:rsidR="00D85FAC" w:rsidSect="00D85FAC">
          <w:headerReference w:type="default" r:id="rId80"/>
          <w:headerReference w:type="first" r:id="rId81"/>
          <w:footnotePr>
            <w:numRestart w:val="eachSect"/>
          </w:footnotePr>
          <w:pgSz w:w="11906" w:h="16838" w:code="9"/>
          <w:pgMar w:top="1440" w:right="1797" w:bottom="1440" w:left="1797" w:header="851" w:footer="833" w:gutter="0"/>
          <w:cols w:space="360"/>
          <w:noEndnote/>
          <w:titlePg/>
          <w:docGrid w:linePitch="299"/>
        </w:sectPr>
      </w:pPr>
      <w:bookmarkStart w:id="149" w:name="_Toc309215792"/>
    </w:p>
    <w:p w:rsidR="00D85FAC" w:rsidRPr="00DD1258" w:rsidRDefault="00D85FAC" w:rsidP="00D85FAC">
      <w:pPr>
        <w:pStyle w:val="Heading1"/>
      </w:pPr>
      <w:bookmarkStart w:id="150" w:name="_Toc319670715"/>
      <w:r w:rsidRPr="00DD1258">
        <w:lastRenderedPageBreak/>
        <w:t>Towards revising the Limit for uranium in Magela Creek: standardisation of toxicity data and incorporation of the effect of dissolved organic carbon</w:t>
      </w:r>
      <w:bookmarkEnd w:id="149"/>
      <w:bookmarkEnd w:id="150"/>
    </w:p>
    <w:p w:rsidR="00D85FAC" w:rsidRDefault="00D85FAC" w:rsidP="00D85FAC">
      <w:pPr>
        <w:pStyle w:val="authors"/>
      </w:pPr>
      <w:bookmarkStart w:id="151" w:name="_Toc316987218"/>
      <w:bookmarkStart w:id="152" w:name="_Toc319670716"/>
      <w:bookmarkStart w:id="153" w:name="_Toc313523452"/>
      <w:r>
        <w:t>RA van Dam</w:t>
      </w:r>
      <w:r w:rsidRPr="00DF456C">
        <w:t>, AJ Harford, M</w:t>
      </w:r>
      <w:r>
        <w:t>A Trenfield</w:t>
      </w:r>
      <w:r w:rsidRPr="00DF456C">
        <w:t xml:space="preserve">, AC Hogan, </w:t>
      </w:r>
      <w:r>
        <w:br/>
      </w:r>
      <w:r w:rsidRPr="00DF456C">
        <w:t>SJ Markich</w:t>
      </w:r>
      <w:r>
        <w:rPr>
          <w:rStyle w:val="FootnoteReference"/>
        </w:rPr>
        <w:footnoteReference w:id="8"/>
      </w:r>
      <w:r w:rsidRPr="00DF456C">
        <w:t xml:space="preserve"> </w:t>
      </w:r>
      <w:r>
        <w:t>&amp;</w:t>
      </w:r>
      <w:r w:rsidRPr="00DF456C">
        <w:t xml:space="preserve"> JL</w:t>
      </w:r>
      <w:r>
        <w:t xml:space="preserve"> Stauber</w:t>
      </w:r>
      <w:r>
        <w:rPr>
          <w:rStyle w:val="FootnoteReference"/>
        </w:rPr>
        <w:footnoteReference w:id="9"/>
      </w:r>
      <w:bookmarkEnd w:id="151"/>
      <w:bookmarkEnd w:id="152"/>
    </w:p>
    <w:p w:rsidR="00D85FAC" w:rsidRDefault="00D85FAC" w:rsidP="00D85FAC">
      <w:pPr>
        <w:pStyle w:val="Heading2"/>
      </w:pPr>
      <w:bookmarkStart w:id="154" w:name="_Toc316985295"/>
      <w:r>
        <w:t>Introduction</w:t>
      </w:r>
      <w:bookmarkEnd w:id="153"/>
      <w:bookmarkEnd w:id="154"/>
      <w:r>
        <w:t xml:space="preserve"> </w:t>
      </w:r>
    </w:p>
    <w:p w:rsidR="00D85FAC" w:rsidRDefault="00D85FAC" w:rsidP="00D85FAC">
      <w:pPr>
        <w:spacing w:line="280" w:lineRule="exact"/>
      </w:pPr>
      <w:r>
        <w:t xml:space="preserve">The current Limit for uranium (U) in Magela Creek </w:t>
      </w:r>
      <w:proofErr w:type="gramStart"/>
      <w:r>
        <w:t>of 6 µg/L</w:t>
      </w:r>
      <w:proofErr w:type="gramEnd"/>
      <w:r>
        <w:t xml:space="preserve"> was derived at least eight years ago using data for five species local to the Alligator Rivers Region (ARR) (Hogan et al 2003). However, in addition to the data used to derive the Limit, there have been an additional seven chronic toxicity studies published in the peer-reviewed literature that report U concentration-response relationships based on ecologically relevant endpoints for species local to the ARR. In total, peer-reviewed U chronic toxicity data are now available for seven ARR species representing seven genera from six taxonomic groups (microalgae, macrophytes, molluscs, microcrustaceans, cnidarians and fish). The substantial additional data acquired since 2003 suggest that it is time to re-derive the U Limit. However, there has been little consistency in the reporting of no/low effect toxicity measures for U, with five types of measures (NOECs, BEC10s, MDECs, low IC</w:t>
      </w:r>
      <w:r>
        <w:rPr>
          <w:snapToGrid w:val="0"/>
          <w:color w:val="000000"/>
          <w:position w:val="-5"/>
          <w:sz w:val="15"/>
          <w:szCs w:val="0"/>
          <w:u w:color="000000"/>
        </w:rPr>
        <w:t>x</w:t>
      </w:r>
      <w:r>
        <w:t>s and IC50s</w:t>
      </w:r>
      <w:r>
        <w:rPr>
          <w:rStyle w:val="FootnoteReference"/>
        </w:rPr>
        <w:footnoteReference w:id="10"/>
      </w:r>
      <w:r>
        <w:t xml:space="preserve">) being reported. Although soon-to-be-implemented rules in Australia and New Zealand for the derivation of water quality trigger values will allow the use of multiple types of toxicity measures (as a means of increasing sample size), the use of a single agreed toxicity measure is, nonetheless, ideal. </w:t>
      </w:r>
    </w:p>
    <w:p w:rsidR="00D85FAC" w:rsidRDefault="00D85FAC" w:rsidP="00D85FAC">
      <w:pPr>
        <w:autoSpaceDE w:val="0"/>
        <w:autoSpaceDN w:val="0"/>
        <w:adjustRightInd w:val="0"/>
      </w:pPr>
      <w:r>
        <w:t>A feature of the existing U toxicity dataset is that considerable data exist for some species on the influence of key physico-chemical variables, including dissolved organic carbon (DOC), water hardness, pH and alkalinity, on U toxicity. These data provide the opportunity to search for key predictors of U toxicity and, potentially, to incorporate such predictors into the derivation of the U Limit (and other U water quality trigger values).</w:t>
      </w:r>
    </w:p>
    <w:p w:rsidR="00D85FAC" w:rsidRDefault="00D85FAC" w:rsidP="00D85FAC">
      <w:pPr>
        <w:autoSpaceDE w:val="0"/>
        <w:autoSpaceDN w:val="0"/>
        <w:adjustRightInd w:val="0"/>
      </w:pPr>
      <w:r>
        <w:t>Thus, the additional U toxicity data and associated information on toxicity modifying factors provides the basis for a comprehensive revision of the U Limit. The first step in this process involved substantial manipulation and re-analysis of existing data, namely:</w:t>
      </w:r>
    </w:p>
    <w:p w:rsidR="00D85FAC" w:rsidRDefault="00D85FAC" w:rsidP="00D85FAC">
      <w:pPr>
        <w:pStyle w:val="Normallist1"/>
      </w:pPr>
      <w:proofErr w:type="gramStart"/>
      <w:r>
        <w:t>i</w:t>
      </w:r>
      <w:proofErr w:type="gramEnd"/>
      <w:r>
        <w:tab/>
        <w:t>Re-analysis of existing toxicity datasets for four freshwater species (</w:t>
      </w:r>
      <w:r w:rsidRPr="008C2D95">
        <w:rPr>
          <w:i/>
        </w:rPr>
        <w:t>Chlorella</w:t>
      </w:r>
      <w:r>
        <w:t xml:space="preserve"> sp 1 and 2</w:t>
      </w:r>
      <w:r>
        <w:rPr>
          <w:rStyle w:val="FootnoteReference"/>
        </w:rPr>
        <w:footnoteReference w:id="11"/>
      </w:r>
      <w:r>
        <w:t xml:space="preserve">, </w:t>
      </w:r>
      <w:r w:rsidRPr="008C2D95">
        <w:rPr>
          <w:i/>
        </w:rPr>
        <w:t>Hydra viridissima</w:t>
      </w:r>
      <w:r>
        <w:t xml:space="preserve"> and </w:t>
      </w:r>
      <w:r w:rsidRPr="008C2D95">
        <w:rPr>
          <w:i/>
        </w:rPr>
        <w:t>Moinodaphnia mac</w:t>
      </w:r>
      <w:r>
        <w:rPr>
          <w:i/>
        </w:rPr>
        <w:t>le</w:t>
      </w:r>
      <w:r w:rsidRPr="008C2D95">
        <w:rPr>
          <w:i/>
        </w:rPr>
        <w:t>ayi</w:t>
      </w:r>
      <w:r>
        <w:t>) using a consistent method in order to derive consistent measures of low/acceptable toxicity, in this case, the IC10;</w:t>
      </w:r>
    </w:p>
    <w:p w:rsidR="00D85FAC" w:rsidRDefault="00D85FAC" w:rsidP="00D85FAC">
      <w:pPr>
        <w:pStyle w:val="Normallist1"/>
      </w:pPr>
      <w:proofErr w:type="gramStart"/>
      <w:r>
        <w:lastRenderedPageBreak/>
        <w:t>ii</w:t>
      </w:r>
      <w:proofErr w:type="gramEnd"/>
      <w:r>
        <w:tab/>
        <w:t xml:space="preserve">Interrogation of U toxicity and corresponding water quality datasets for the </w:t>
      </w:r>
      <w:r w:rsidRPr="008C2D95">
        <w:rPr>
          <w:i/>
        </w:rPr>
        <w:t>Chlorella</w:t>
      </w:r>
      <w:r>
        <w:t xml:space="preserve"> spp and </w:t>
      </w:r>
      <w:r w:rsidRPr="008C2D95">
        <w:rPr>
          <w:i/>
        </w:rPr>
        <w:t>H. viridissima</w:t>
      </w:r>
      <w:r>
        <w:t xml:space="preserve"> to search for significant relationships between U toxicity and key physico-chemical variables; </w:t>
      </w:r>
    </w:p>
    <w:p w:rsidR="00D85FAC" w:rsidRDefault="00D85FAC" w:rsidP="00D85FAC">
      <w:pPr>
        <w:pStyle w:val="Normallist1"/>
      </w:pPr>
      <w:proofErr w:type="gramStart"/>
      <w:r>
        <w:t>iii</w:t>
      </w:r>
      <w:proofErr w:type="gramEnd"/>
      <w:r>
        <w:tab/>
        <w:t>based on the findings from (ii), above, development of algorithms that will enable the modification of individual species’ toxicity values and a revised U Limit in response to the concentration of dissolved organic carbon, a key modifier of U toxicity.</w:t>
      </w:r>
    </w:p>
    <w:p w:rsidR="00D85FAC" w:rsidRDefault="00D85FAC" w:rsidP="00D85FAC">
      <w:pPr>
        <w:pStyle w:val="Heading2"/>
      </w:pPr>
      <w:bookmarkStart w:id="155" w:name="_Toc313523453"/>
      <w:bookmarkStart w:id="156" w:name="_Toc316985296"/>
      <w:r>
        <w:t>Methods</w:t>
      </w:r>
      <w:bookmarkEnd w:id="155"/>
      <w:bookmarkEnd w:id="156"/>
    </w:p>
    <w:p w:rsidR="00D85FAC" w:rsidRPr="00FE3D95" w:rsidRDefault="00D85FAC" w:rsidP="00D85FAC">
      <w:pPr>
        <w:pStyle w:val="Heading3"/>
      </w:pPr>
      <w:bookmarkStart w:id="157" w:name="_Toc313523454"/>
      <w:bookmarkStart w:id="158" w:name="_Toc316985297"/>
      <w:r w:rsidRPr="00FE3D95">
        <w:t>Data collation</w:t>
      </w:r>
      <w:bookmarkEnd w:id="157"/>
      <w:bookmarkEnd w:id="158"/>
    </w:p>
    <w:p w:rsidR="00D85FAC" w:rsidRPr="00FE3D95" w:rsidRDefault="00D85FAC" w:rsidP="00D85FAC">
      <w:r>
        <w:t>Uranium</w:t>
      </w:r>
      <w:r w:rsidRPr="00FE3D95">
        <w:t xml:space="preserve"> chronic toxicity data from the following studies </w:t>
      </w:r>
      <w:r>
        <w:t>were re-analysed:</w:t>
      </w:r>
      <w:r w:rsidRPr="00FE3D95">
        <w:t xml:space="preserve"> (i) </w:t>
      </w:r>
      <w:r w:rsidRPr="00FE3D95">
        <w:rPr>
          <w:i/>
        </w:rPr>
        <w:t>Chlorella</w:t>
      </w:r>
      <w:r w:rsidRPr="00FE3D95">
        <w:t xml:space="preserve"> sp</w:t>
      </w:r>
      <w:r>
        <w:t xml:space="preserve"> 1 – </w:t>
      </w:r>
      <w:r w:rsidRPr="00FE3D95">
        <w:t xml:space="preserve">Franklin </w:t>
      </w:r>
      <w:r>
        <w:t>et al</w:t>
      </w:r>
      <w:r w:rsidRPr="00FE3D95">
        <w:t xml:space="preserve"> </w:t>
      </w:r>
      <w:r>
        <w:rPr>
          <w:lang w:val="nl-NL"/>
        </w:rPr>
        <w:t>(2000)</w:t>
      </w:r>
      <w:r w:rsidRPr="00FE3D95">
        <w:rPr>
          <w:lang w:val="nl-NL"/>
        </w:rPr>
        <w:t xml:space="preserve">, Hogan </w:t>
      </w:r>
      <w:r>
        <w:rPr>
          <w:lang w:val="nl-NL"/>
        </w:rPr>
        <w:t>et al</w:t>
      </w:r>
      <w:r w:rsidRPr="00FE3D95">
        <w:rPr>
          <w:lang w:val="nl-NL"/>
        </w:rPr>
        <w:t xml:space="preserve"> </w:t>
      </w:r>
      <w:r>
        <w:rPr>
          <w:lang w:val="nl-NL"/>
        </w:rPr>
        <w:t>(2005)</w:t>
      </w:r>
      <w:r w:rsidRPr="00FE3D95">
        <w:rPr>
          <w:lang w:val="nl-NL"/>
        </w:rPr>
        <w:t xml:space="preserve"> and Trenfield </w:t>
      </w:r>
      <w:r>
        <w:rPr>
          <w:lang w:val="nl-NL"/>
        </w:rPr>
        <w:t>et al</w:t>
      </w:r>
      <w:r w:rsidRPr="00FE3D95">
        <w:rPr>
          <w:lang w:val="nl-NL"/>
        </w:rPr>
        <w:t xml:space="preserve"> </w:t>
      </w:r>
      <w:r>
        <w:rPr>
          <w:lang w:val="nl-NL"/>
        </w:rPr>
        <w:t>(2011)</w:t>
      </w:r>
      <w:r w:rsidRPr="00FE3D95">
        <w:rPr>
          <w:lang w:val="nl-NL"/>
        </w:rPr>
        <w:t xml:space="preserve">; (ii) </w:t>
      </w:r>
      <w:r w:rsidRPr="00FE3D95">
        <w:rPr>
          <w:i/>
          <w:lang w:val="nl-NL"/>
        </w:rPr>
        <w:t>Chlorella</w:t>
      </w:r>
      <w:r w:rsidRPr="00FE3D95">
        <w:rPr>
          <w:lang w:val="nl-NL"/>
        </w:rPr>
        <w:t xml:space="preserve"> sp 2 – Charles </w:t>
      </w:r>
      <w:r>
        <w:rPr>
          <w:lang w:val="nl-NL"/>
        </w:rPr>
        <w:t>et al</w:t>
      </w:r>
      <w:r w:rsidRPr="00FE3D95">
        <w:rPr>
          <w:lang w:val="nl-NL"/>
        </w:rPr>
        <w:t xml:space="preserve"> </w:t>
      </w:r>
      <w:r>
        <w:rPr>
          <w:lang w:val="nl-NL"/>
        </w:rPr>
        <w:t>(2002)</w:t>
      </w:r>
      <w:r w:rsidRPr="00FE3D95">
        <w:rPr>
          <w:lang w:val="nl-NL"/>
        </w:rPr>
        <w:t xml:space="preserve">; (iii) </w:t>
      </w:r>
      <w:r w:rsidRPr="00FE3D95">
        <w:rPr>
          <w:i/>
          <w:lang w:val="nl-NL"/>
        </w:rPr>
        <w:t>H. viridissima</w:t>
      </w:r>
      <w:r w:rsidRPr="00FE3D95">
        <w:rPr>
          <w:lang w:val="nl-NL"/>
        </w:rPr>
        <w:t xml:space="preserve"> – Hyne </w:t>
      </w:r>
      <w:r>
        <w:rPr>
          <w:lang w:val="nl-NL"/>
        </w:rPr>
        <w:t>et al</w:t>
      </w:r>
      <w:r w:rsidRPr="00FE3D95">
        <w:rPr>
          <w:lang w:val="nl-NL"/>
        </w:rPr>
        <w:t xml:space="preserve"> </w:t>
      </w:r>
      <w:r>
        <w:rPr>
          <w:lang w:val="nl-NL"/>
        </w:rPr>
        <w:t>(1992)</w:t>
      </w:r>
      <w:r w:rsidRPr="00FE3D95">
        <w:rPr>
          <w:lang w:val="nl-NL"/>
        </w:rPr>
        <w:t xml:space="preserve">, Markich and Camilleri </w:t>
      </w:r>
      <w:r>
        <w:rPr>
          <w:lang w:val="nl-NL"/>
        </w:rPr>
        <w:t>(1997)</w:t>
      </w:r>
      <w:r w:rsidRPr="00FE3D95">
        <w:rPr>
          <w:lang w:val="nl-NL"/>
        </w:rPr>
        <w:t xml:space="preserve">, Riethmuller </w:t>
      </w:r>
      <w:r>
        <w:rPr>
          <w:lang w:val="nl-NL"/>
        </w:rPr>
        <w:t>et al</w:t>
      </w:r>
      <w:r w:rsidRPr="00FE3D95">
        <w:rPr>
          <w:lang w:val="nl-NL"/>
        </w:rPr>
        <w:t xml:space="preserve"> </w:t>
      </w:r>
      <w:r>
        <w:t xml:space="preserve">(2000) </w:t>
      </w:r>
      <w:r w:rsidRPr="00FE3D95">
        <w:t xml:space="preserve">and Trenfield </w:t>
      </w:r>
      <w:r>
        <w:t>et al</w:t>
      </w:r>
      <w:r w:rsidRPr="00FE3D95">
        <w:t xml:space="preserve"> </w:t>
      </w:r>
      <w:r>
        <w:t>(2011)</w:t>
      </w:r>
      <w:r w:rsidRPr="00FE3D95">
        <w:t xml:space="preserve">; and (iv) </w:t>
      </w:r>
      <w:r w:rsidRPr="00FE3D95">
        <w:rPr>
          <w:i/>
        </w:rPr>
        <w:t>M. macleayi</w:t>
      </w:r>
      <w:r w:rsidRPr="00FE3D95">
        <w:t xml:space="preserve"> – Hyne </w:t>
      </w:r>
      <w:r>
        <w:t>et al</w:t>
      </w:r>
      <w:r w:rsidRPr="00FE3D95">
        <w:t xml:space="preserve"> </w:t>
      </w:r>
      <w:r>
        <w:t>(1993)</w:t>
      </w:r>
      <w:r w:rsidRPr="00FE3D95">
        <w:t xml:space="preserve">, Semaan </w:t>
      </w:r>
      <w:r>
        <w:t>et al</w:t>
      </w:r>
      <w:r w:rsidRPr="00FE3D95">
        <w:t xml:space="preserve"> </w:t>
      </w:r>
      <w:r>
        <w:t>(2001)</w:t>
      </w:r>
      <w:r w:rsidRPr="00FE3D95">
        <w:t xml:space="preserve"> and four unpublished tests from 1992 (</w:t>
      </w:r>
      <w:r>
        <w:rPr>
          <w:b/>
          <w:i/>
          <w:sz w:val="26"/>
        </w:rPr>
        <w:t>eriss</w:t>
      </w:r>
      <w:r w:rsidRPr="00FE3D95">
        <w:t>, unpublished data). For all the tests, available data for pH, water hardness, alkalinity (or electrical conductivity, where hardness and alkalinity data were not reported), DOC and temperature were also collated and reported</w:t>
      </w:r>
      <w:r>
        <w:t xml:space="preserve"> together</w:t>
      </w:r>
      <w:r w:rsidRPr="00FE3D95">
        <w:t xml:space="preserve"> with the re-analysed toxicity data.</w:t>
      </w:r>
    </w:p>
    <w:p w:rsidR="00D85FAC" w:rsidRPr="00FE3D95" w:rsidRDefault="00D85FAC" w:rsidP="00D85FAC">
      <w:pPr>
        <w:pStyle w:val="Heading3"/>
      </w:pPr>
      <w:bookmarkStart w:id="159" w:name="_Toc313523455"/>
      <w:bookmarkStart w:id="160" w:name="_Toc316985298"/>
      <w:r w:rsidRPr="00FE3D95">
        <w:t>Data analysis</w:t>
      </w:r>
      <w:bookmarkEnd w:id="159"/>
      <w:bookmarkEnd w:id="160"/>
    </w:p>
    <w:p w:rsidR="00D85FAC" w:rsidRPr="00FE3D95" w:rsidRDefault="00D85FAC" w:rsidP="00D85FAC">
      <w:r w:rsidRPr="00FE3D95">
        <w:t>For each dataset, non-linear regression was undertaken to derive a concentration-response relationship with associated 95% confidence limits (CLs)</w:t>
      </w:r>
      <w:r>
        <w:t>. The</w:t>
      </w:r>
      <w:r w:rsidRPr="00FE3D95">
        <w:t xml:space="preserve"> IC10 and IC50 concentrations for U were </w:t>
      </w:r>
      <w:r>
        <w:t xml:space="preserve">then </w:t>
      </w:r>
      <w:r w:rsidRPr="00FE3D95">
        <w:t>calculated using the</w:t>
      </w:r>
      <w:r>
        <w:t xml:space="preserve"> fitted relationship.</w:t>
      </w:r>
      <w:r w:rsidRPr="00FE3D95">
        <w:t xml:space="preserve"> </w:t>
      </w:r>
    </w:p>
    <w:p w:rsidR="00D85FAC" w:rsidRPr="00FE3D95" w:rsidRDefault="00D85FAC" w:rsidP="00D85FAC">
      <w:r w:rsidRPr="00FE3D95">
        <w:t xml:space="preserve">Standard stepwise multiple linear regressions were undertaken on the combined </w:t>
      </w:r>
      <w:r>
        <w:t xml:space="preserve">toxicity and physico-chemical </w:t>
      </w:r>
      <w:r w:rsidRPr="00FE3D95">
        <w:t xml:space="preserve">data for both </w:t>
      </w:r>
      <w:r w:rsidRPr="00FE3D95">
        <w:rPr>
          <w:i/>
        </w:rPr>
        <w:t>Chlorella</w:t>
      </w:r>
      <w:r w:rsidRPr="00FE3D95">
        <w:t xml:space="preserve"> species (</w:t>
      </w:r>
      <w:r w:rsidRPr="00FE3D95">
        <w:rPr>
          <w:i/>
        </w:rPr>
        <w:t>n</w:t>
      </w:r>
      <w:r w:rsidRPr="00FE3D95">
        <w:t xml:space="preserve"> = 20) and for </w:t>
      </w:r>
      <w:r w:rsidRPr="00FE3D95">
        <w:rPr>
          <w:i/>
        </w:rPr>
        <w:t>H. viridissima</w:t>
      </w:r>
      <w:r w:rsidRPr="00FE3D95">
        <w:t xml:space="preserve"> (</w:t>
      </w:r>
      <w:r w:rsidRPr="00FE3D95">
        <w:rPr>
          <w:i/>
        </w:rPr>
        <w:t>n</w:t>
      </w:r>
      <w:r w:rsidRPr="00FE3D95">
        <w:t xml:space="preserve"> = 16) to determine which of the key physico-chemical variables were the best predictors of U toxicity, as expressed by the IC10 and IC50 values</w:t>
      </w:r>
      <w:r>
        <w:rPr>
          <w:rStyle w:val="FootnoteReference"/>
        </w:rPr>
        <w:footnoteReference w:id="12"/>
      </w:r>
      <w:r w:rsidRPr="00FE3D95">
        <w:t xml:space="preserve">. The following independent variables were included in the stepwise regressions: </w:t>
      </w:r>
      <w:r w:rsidRPr="00FE3D95">
        <w:rPr>
          <w:i/>
        </w:rPr>
        <w:t>Chlorella</w:t>
      </w:r>
      <w:r w:rsidRPr="00FE3D95">
        <w:t xml:space="preserve"> spp – pH, hardness and DOC; and </w:t>
      </w:r>
      <w:r w:rsidRPr="00FE3D95">
        <w:rPr>
          <w:i/>
        </w:rPr>
        <w:t>H.</w:t>
      </w:r>
      <w:r>
        <w:rPr>
          <w:i/>
        </w:rPr>
        <w:t> </w:t>
      </w:r>
      <w:r w:rsidRPr="00FE3D95">
        <w:rPr>
          <w:i/>
        </w:rPr>
        <w:t>viridissima</w:t>
      </w:r>
      <w:r w:rsidRPr="00FE3D95">
        <w:t xml:space="preserve"> – hardness, alkalinity and DOC. Variables (</w:t>
      </w:r>
      <w:r>
        <w:t>eg</w:t>
      </w:r>
      <w:r w:rsidRPr="00FE3D95">
        <w:t xml:space="preserve"> pH, </w:t>
      </w:r>
      <w:r>
        <w:t xml:space="preserve">water </w:t>
      </w:r>
      <w:r w:rsidRPr="00FE3D95">
        <w:t>temperature) that were omitted from the regressions were done so on the basis that their ranges were considered too small to provide adequate resolution in terms of</w:t>
      </w:r>
      <w:r>
        <w:t xml:space="preserve"> their influence on U toxicity.</w:t>
      </w:r>
    </w:p>
    <w:p w:rsidR="00D85FAC" w:rsidRPr="00FE3D95" w:rsidRDefault="00D85FAC" w:rsidP="00D85FAC">
      <w:r w:rsidRPr="00FE3D95">
        <w:t xml:space="preserve">Depending on the results of the stepwise regressions, further analyses were </w:t>
      </w:r>
      <w:r>
        <w:t xml:space="preserve">to be </w:t>
      </w:r>
      <w:r w:rsidRPr="00FE3D95">
        <w:t>undertaken to determine an algorithm that will enable the modification of U hazard estimates / water quality guidelines based on the significant physico-chemical variable/s</w:t>
      </w:r>
      <w:r>
        <w:t>.</w:t>
      </w:r>
    </w:p>
    <w:p w:rsidR="00D85FAC" w:rsidRDefault="00D85FAC" w:rsidP="00D85FAC">
      <w:pPr>
        <w:pStyle w:val="Heading2"/>
      </w:pPr>
      <w:bookmarkStart w:id="161" w:name="_Toc313523456"/>
      <w:bookmarkStart w:id="162" w:name="_Toc316985299"/>
      <w:r>
        <w:t>Progress to date</w:t>
      </w:r>
      <w:bookmarkEnd w:id="161"/>
      <w:bookmarkEnd w:id="162"/>
    </w:p>
    <w:p w:rsidR="00D85FAC" w:rsidRDefault="00D85FAC" w:rsidP="00D85FAC">
      <w:proofErr w:type="gramStart"/>
      <w:r>
        <w:t xml:space="preserve">Forty six existing U concentration-response relationships were re-analysed – 20 for </w:t>
      </w:r>
      <w:r w:rsidRPr="00004725">
        <w:rPr>
          <w:i/>
        </w:rPr>
        <w:t>Chlorella</w:t>
      </w:r>
      <w:r>
        <w:t xml:space="preserve"> spp, 16 for </w:t>
      </w:r>
      <w:r w:rsidRPr="00004725">
        <w:rPr>
          <w:i/>
        </w:rPr>
        <w:t>H. viridissima</w:t>
      </w:r>
      <w:r>
        <w:t xml:space="preserve"> and 10 for </w:t>
      </w:r>
      <w:r w:rsidRPr="00004725">
        <w:rPr>
          <w:i/>
        </w:rPr>
        <w:t>M. macleayi</w:t>
      </w:r>
      <w:r>
        <w:t>.</w:t>
      </w:r>
      <w:proofErr w:type="gramEnd"/>
      <w:r>
        <w:t xml:space="preserve"> As an example of the output, Table 1 represents the original physico-chemical and toxicity measures, as well as the re-analysed toxicity measures and associated regression model statistics, for the </w:t>
      </w:r>
      <w:r w:rsidRPr="002F1F94">
        <w:rPr>
          <w:i/>
        </w:rPr>
        <w:t>Chlorella</w:t>
      </w:r>
      <w:r>
        <w:t xml:space="preserve"> spp datasets. Linear regression of the re-calculated IC10 values against the original toxicity estimates (NOECs or BEC10s) showed that the IC10 values were more similar to the NOEC values than the BEC10 values, and were less conservative than the BEC10 values (regression details not shown here). </w:t>
      </w:r>
    </w:p>
    <w:p w:rsidR="00D85FAC" w:rsidRDefault="00D85FAC" w:rsidP="00D85FAC">
      <w:r>
        <w:lastRenderedPageBreak/>
        <w:t>The 95% CLs for the IC10 values were often quite wide and, in a number of cases, the lower 95% CL was not calculable (Table 1). This uncertainty can be primarily attributed to relatively high variability observed between concentrations in the vicinity of the low effect estimates. Additionally, a few of the original experiments were not specifically designed for the purpose of concentration-response modelling and, hence, included too few concentrations to enable a robust estimate of low effect concentrations.</w:t>
      </w:r>
    </w:p>
    <w:p w:rsidR="00D85FAC" w:rsidRDefault="00D85FAC" w:rsidP="00D85FAC">
      <w:r>
        <w:t xml:space="preserve">Of the mix of water quality variables examined, DOC was consistently the best predictor variable for the IC10 and IC50 datasets for the algae and hydra (ie DOC versus IC10: </w:t>
      </w:r>
      <w:r w:rsidRPr="00360116">
        <w:rPr>
          <w:i/>
        </w:rPr>
        <w:t>Chlorella</w:t>
      </w:r>
      <w:r>
        <w:t xml:space="preserve"> spp – </w:t>
      </w:r>
      <w:r w:rsidRPr="00CD3324">
        <w:rPr>
          <w:i/>
        </w:rPr>
        <w:t>r</w:t>
      </w:r>
      <w:r w:rsidRPr="00CD3324">
        <w:rPr>
          <w:i/>
          <w:vertAlign w:val="superscript"/>
        </w:rPr>
        <w:t>2</w:t>
      </w:r>
      <w:r>
        <w:t xml:space="preserve"> = 0.68, </w:t>
      </w:r>
      <w:r w:rsidRPr="00360116">
        <w:rPr>
          <w:i/>
        </w:rPr>
        <w:t>P</w:t>
      </w:r>
      <w:r>
        <w:t xml:space="preserve"> &lt;0.001; </w:t>
      </w:r>
      <w:r w:rsidRPr="00360116">
        <w:rPr>
          <w:i/>
        </w:rPr>
        <w:t>H. viridissima</w:t>
      </w:r>
      <w:r>
        <w:t xml:space="preserve"> – </w:t>
      </w:r>
      <w:r w:rsidRPr="00CD3324">
        <w:rPr>
          <w:i/>
        </w:rPr>
        <w:t>r</w:t>
      </w:r>
      <w:r w:rsidRPr="00CD3324">
        <w:rPr>
          <w:i/>
          <w:vertAlign w:val="superscript"/>
        </w:rPr>
        <w:t>2</w:t>
      </w:r>
      <w:r>
        <w:t xml:space="preserve"> = 0.48, </w:t>
      </w:r>
      <w:r w:rsidRPr="00360116">
        <w:rPr>
          <w:i/>
        </w:rPr>
        <w:t>P</w:t>
      </w:r>
      <w:r>
        <w:t xml:space="preserve"> = 0.004; DOC versus IC50: </w:t>
      </w:r>
      <w:r w:rsidRPr="00360116">
        <w:rPr>
          <w:i/>
        </w:rPr>
        <w:t>Chlorella</w:t>
      </w:r>
      <w:r>
        <w:t xml:space="preserve"> spp – </w:t>
      </w:r>
      <w:r w:rsidRPr="00CD3324">
        <w:rPr>
          <w:i/>
        </w:rPr>
        <w:t>r</w:t>
      </w:r>
      <w:r w:rsidRPr="00CD3324">
        <w:rPr>
          <w:i/>
          <w:vertAlign w:val="superscript"/>
        </w:rPr>
        <w:t>2</w:t>
      </w:r>
      <w:r>
        <w:t xml:space="preserve"> = 0.74, </w:t>
      </w:r>
      <w:r w:rsidRPr="00360116">
        <w:rPr>
          <w:i/>
        </w:rPr>
        <w:t>P</w:t>
      </w:r>
      <w:r>
        <w:t xml:space="preserve"> &lt;0.001; </w:t>
      </w:r>
      <w:r w:rsidRPr="00360116">
        <w:rPr>
          <w:i/>
        </w:rPr>
        <w:t>H. viridissima</w:t>
      </w:r>
      <w:r>
        <w:t xml:space="preserve"> – </w:t>
      </w:r>
      <w:r w:rsidRPr="00CD3324">
        <w:rPr>
          <w:i/>
        </w:rPr>
        <w:t>r</w:t>
      </w:r>
      <w:r w:rsidRPr="00CD3324">
        <w:rPr>
          <w:i/>
          <w:vertAlign w:val="superscript"/>
        </w:rPr>
        <w:t>2</w:t>
      </w:r>
      <w:r>
        <w:t xml:space="preserve"> = 0.59, </w:t>
      </w:r>
      <w:r w:rsidRPr="00360116">
        <w:rPr>
          <w:i/>
        </w:rPr>
        <w:t>P</w:t>
      </w:r>
      <w:r>
        <w:t xml:space="preserve"> &lt;0.001). For the IC50 datasets only, water hardness was also a significant predictor variable, with models incorporating both DOC and water hardness explaining approximately an additional 10% of the variation in the IC50 values (ie DOC and hardness versus IC50: </w:t>
      </w:r>
      <w:r w:rsidRPr="00360116">
        <w:rPr>
          <w:i/>
        </w:rPr>
        <w:t>Chlorella</w:t>
      </w:r>
      <w:r>
        <w:t xml:space="preserve"> spp – </w:t>
      </w:r>
      <w:r w:rsidRPr="00A20F25">
        <w:rPr>
          <w:i/>
        </w:rPr>
        <w:t>r</w:t>
      </w:r>
      <w:r w:rsidRPr="00A20F25">
        <w:rPr>
          <w:i/>
          <w:vertAlign w:val="superscript"/>
        </w:rPr>
        <w:t>2</w:t>
      </w:r>
      <w:r>
        <w:t xml:space="preserve"> = 0.82; </w:t>
      </w:r>
      <w:r w:rsidRPr="00360116">
        <w:rPr>
          <w:i/>
        </w:rPr>
        <w:t>H. viridissima</w:t>
      </w:r>
      <w:r>
        <w:t xml:space="preserve"> – </w:t>
      </w:r>
      <w:r w:rsidRPr="00A20F25">
        <w:rPr>
          <w:i/>
        </w:rPr>
        <w:t>r</w:t>
      </w:r>
      <w:r w:rsidRPr="00A20F25">
        <w:rPr>
          <w:i/>
          <w:vertAlign w:val="superscript"/>
        </w:rPr>
        <w:t>2</w:t>
      </w:r>
      <w:r>
        <w:t xml:space="preserve"> = 0.72). Alkalinity and pH were not significant predictor variables although are known to play a role in U speciation and, potentially, toxicity (Markich 2002). More studies, particularly focusing on pH, are needed.</w:t>
      </w:r>
    </w:p>
    <w:p w:rsidR="00D85FAC" w:rsidRPr="001C55D9" w:rsidRDefault="00D85FAC" w:rsidP="00D85FAC">
      <w:r>
        <w:t xml:space="preserve">Given the strength of the association between DOC and U toxicity, focus was placed on the derivation of an algorithm to adjust U hazard estimates as a function of aquatic DOC concentrations. To do this, linear regressions were performed on DOC versus IC50/LC50 datasets for all four species for which the influence of DOC on U toxicity has been assessed (ie </w:t>
      </w:r>
      <w:r w:rsidRPr="00424294">
        <w:rPr>
          <w:i/>
        </w:rPr>
        <w:t>Chlorella</w:t>
      </w:r>
      <w:r>
        <w:t xml:space="preserve"> sp 1, </w:t>
      </w:r>
      <w:r w:rsidRPr="00424294">
        <w:rPr>
          <w:i/>
        </w:rPr>
        <w:t xml:space="preserve">H. </w:t>
      </w:r>
      <w:r>
        <w:rPr>
          <w:i/>
        </w:rPr>
        <w:t>v</w:t>
      </w:r>
      <w:r w:rsidRPr="00424294">
        <w:rPr>
          <w:i/>
        </w:rPr>
        <w:t>iridissim</w:t>
      </w:r>
      <w:r>
        <w:rPr>
          <w:i/>
        </w:rPr>
        <w:t>a</w:t>
      </w:r>
      <w:r>
        <w:t xml:space="preserve">, </w:t>
      </w:r>
      <w:r w:rsidRPr="00424294">
        <w:rPr>
          <w:i/>
        </w:rPr>
        <w:t>Velesunio angasi</w:t>
      </w:r>
      <w:r>
        <w:t xml:space="preserve"> and </w:t>
      </w:r>
      <w:r w:rsidRPr="00424294">
        <w:rPr>
          <w:i/>
        </w:rPr>
        <w:t>Mogurnda mogurnda</w:t>
      </w:r>
      <w:r>
        <w:t xml:space="preserve">). Uranium IC50/LC50 data were first normalised by expressing them as the proportional reduction in IC50/LC50 from the background (&lt;0.1 mg/L) DOC level IC50/LC50. </w:t>
      </w:r>
      <w:r w:rsidRPr="001C55D9">
        <w:t>The regression slopes were similar, between 0.1 and 0.3, for most of the species</w:t>
      </w:r>
      <w:r>
        <w:t xml:space="preserve"> (Table 2)</w:t>
      </w:r>
      <w:r w:rsidRPr="001C55D9">
        <w:t xml:space="preserve">. The exception was for </w:t>
      </w:r>
      <w:r w:rsidRPr="001C55D9">
        <w:rPr>
          <w:i/>
        </w:rPr>
        <w:t>Chlorella</w:t>
      </w:r>
      <w:r w:rsidRPr="001C55D9">
        <w:t xml:space="preserve"> sp 1, as assessed by Trenfield </w:t>
      </w:r>
      <w:r>
        <w:t>et al</w:t>
      </w:r>
      <w:r w:rsidRPr="001C55D9">
        <w:t xml:space="preserve"> </w:t>
      </w:r>
      <w:r>
        <w:t>(2011),</w:t>
      </w:r>
      <w:r w:rsidRPr="001C55D9">
        <w:t xml:space="preserve"> where the slopes were markedly higher (0.69 and 1.3), </w:t>
      </w:r>
      <w:r>
        <w:t>indica</w:t>
      </w:r>
      <w:r w:rsidRPr="001C55D9">
        <w:t xml:space="preserve">ting a stronger effect of DOC on U toxicity to this species in this study. The pooled (geometric) mean slope for all the species was 0.22. </w:t>
      </w:r>
    </w:p>
    <w:p w:rsidR="00D85FAC" w:rsidRDefault="00D85FAC" w:rsidP="00D85FAC">
      <w:r w:rsidRPr="001C55D9">
        <w:t xml:space="preserve">A slope for the DOC versus U toxicity relationship was also calculated using the pooled dataset for all four species (Table </w:t>
      </w:r>
      <w:r>
        <w:t>2</w:t>
      </w:r>
      <w:r w:rsidRPr="001C55D9">
        <w:t xml:space="preserve">). However, the </w:t>
      </w:r>
      <w:r>
        <w:t xml:space="preserve">relationship was relatively poor </w:t>
      </w:r>
      <w:r w:rsidRPr="001C55D9">
        <w:t>(</w:t>
      </w:r>
      <w:r w:rsidRPr="001C55D9">
        <w:rPr>
          <w:i/>
        </w:rPr>
        <w:t>r</w:t>
      </w:r>
      <w:r w:rsidRPr="001C55D9">
        <w:rPr>
          <w:i/>
          <w:vertAlign w:val="superscript"/>
        </w:rPr>
        <w:t>2</w:t>
      </w:r>
      <w:r w:rsidRPr="003B59F1">
        <w:rPr>
          <w:i/>
        </w:rPr>
        <w:t xml:space="preserve"> =</w:t>
      </w:r>
      <w:r w:rsidRPr="00E150F2">
        <w:t xml:space="preserve"> </w:t>
      </w:r>
      <w:r w:rsidRPr="001C55D9">
        <w:t xml:space="preserve">0.45), and the resultant slope of 0.4, when compared </w:t>
      </w:r>
      <w:r>
        <w:t>with</w:t>
      </w:r>
      <w:r w:rsidRPr="001C55D9">
        <w:t xml:space="preserve"> the individual species</w:t>
      </w:r>
      <w:r>
        <w:t>’</w:t>
      </w:r>
      <w:r w:rsidRPr="001C55D9">
        <w:t xml:space="preserve"> slopes, clearly represented an overestimate of the protective effects of DOC on U toxicity for at least three of the four species. Consequently, the regression was repeated for a censored pooled dataset that excluded the </w:t>
      </w:r>
      <w:r w:rsidRPr="001C55D9">
        <w:rPr>
          <w:i/>
        </w:rPr>
        <w:t>Chlorella</w:t>
      </w:r>
      <w:r w:rsidRPr="001C55D9">
        <w:t xml:space="preserve"> sp 1 data from Trenfield </w:t>
      </w:r>
      <w:r>
        <w:t>et al (2011)</w:t>
      </w:r>
      <w:r w:rsidRPr="001C55D9">
        <w:t xml:space="preserve">, which had </w:t>
      </w:r>
      <w:r>
        <w:t xml:space="preserve">the </w:t>
      </w:r>
      <w:r w:rsidRPr="001C55D9">
        <w:t>unusually high slopes. The resultant regression model (</w:t>
      </w:r>
      <w:r>
        <w:t>Table 2</w:t>
      </w:r>
      <w:r w:rsidRPr="001C55D9">
        <w:t>) represented a much stronger fit (</w:t>
      </w:r>
      <w:r w:rsidRPr="001C55D9">
        <w:rPr>
          <w:i/>
        </w:rPr>
        <w:t>r</w:t>
      </w:r>
      <w:r w:rsidRPr="00FC65B3">
        <w:rPr>
          <w:i/>
          <w:vertAlign w:val="superscript"/>
        </w:rPr>
        <w:t>2</w:t>
      </w:r>
      <w:r w:rsidRPr="001C55D9">
        <w:t xml:space="preserve"> = 0.75), and the slope of 0.24 was very similar to the pooled (geometric) mean slope. Therefore, a final slope of 0.23 was derived, representing the mean of the pooled (geometric) mean slope of the individual species (0.22) and the censored pooled dataset slope (0.24).</w:t>
      </w:r>
    </w:p>
    <w:p w:rsidR="00D85FAC" w:rsidRDefault="00D85FAC" w:rsidP="00D85FAC"/>
    <w:p w:rsidR="00D85FAC" w:rsidRDefault="00D85FAC" w:rsidP="00D85FAC"/>
    <w:p w:rsidR="00D85FAC" w:rsidRDefault="00D85FAC" w:rsidP="00D85FAC">
      <w:pPr>
        <w:sectPr w:rsidR="00D85FAC" w:rsidSect="00D85FAC">
          <w:headerReference w:type="default" r:id="rId82"/>
          <w:footnotePr>
            <w:numRestart w:val="eachSect"/>
          </w:footnotePr>
          <w:pgSz w:w="11906" w:h="16838" w:code="9"/>
          <w:pgMar w:top="1440" w:right="1797" w:bottom="1440" w:left="1797" w:header="851" w:footer="833" w:gutter="0"/>
          <w:cols w:space="360"/>
          <w:noEndnote/>
          <w:titlePg/>
        </w:sectPr>
      </w:pPr>
    </w:p>
    <w:p w:rsidR="00D85FAC" w:rsidRPr="00103F1A" w:rsidRDefault="00D85FAC" w:rsidP="00D85FAC">
      <w:pPr>
        <w:pStyle w:val="tablecaption"/>
        <w:spacing w:before="0"/>
      </w:pPr>
      <w:r w:rsidRPr="00103F1A">
        <w:rPr>
          <w:b/>
        </w:rPr>
        <w:lastRenderedPageBreak/>
        <w:t xml:space="preserve">Table </w:t>
      </w:r>
      <w:proofErr w:type="gramStart"/>
      <w:r>
        <w:rPr>
          <w:b/>
        </w:rPr>
        <w:t>1</w:t>
      </w:r>
      <w:r w:rsidRPr="00103F1A">
        <w:t xml:space="preserve"> </w:t>
      </w:r>
      <w:r>
        <w:t xml:space="preserve"> Physico</w:t>
      </w:r>
      <w:proofErr w:type="gramEnd"/>
      <w:r>
        <w:t>-chemical and original and re-calculated uranium toxicity data</w:t>
      </w:r>
      <w:r w:rsidRPr="00103F1A">
        <w:t xml:space="preserve"> for </w:t>
      </w:r>
      <w:r w:rsidRPr="00103F1A">
        <w:rPr>
          <w:i/>
        </w:rPr>
        <w:t>Chlorella</w:t>
      </w:r>
      <w:r w:rsidRPr="00103F1A">
        <w:t xml:space="preserve"> sp</w:t>
      </w:r>
      <w:r>
        <w:t xml:space="preserve"> 1 and 2 (based on 72-h cell division rate)</w:t>
      </w:r>
    </w:p>
    <w:tbl>
      <w:tblPr>
        <w:tblW w:w="14459" w:type="dxa"/>
        <w:tblInd w:w="108" w:type="dxa"/>
        <w:tblBorders>
          <w:top w:val="single" w:sz="4" w:space="0" w:color="auto"/>
          <w:bottom w:val="single" w:sz="4" w:space="0" w:color="auto"/>
        </w:tblBorders>
        <w:tblLayout w:type="fixed"/>
        <w:tblLook w:val="0000"/>
      </w:tblPr>
      <w:tblGrid>
        <w:gridCol w:w="2126"/>
        <w:gridCol w:w="567"/>
        <w:gridCol w:w="1134"/>
        <w:gridCol w:w="1134"/>
        <w:gridCol w:w="1418"/>
        <w:gridCol w:w="735"/>
        <w:gridCol w:w="1391"/>
        <w:gridCol w:w="851"/>
        <w:gridCol w:w="1417"/>
        <w:gridCol w:w="1276"/>
        <w:gridCol w:w="2410"/>
      </w:tblGrid>
      <w:tr w:rsidR="00D85FAC" w:rsidRPr="00971F3F" w:rsidTr="00D85FAC">
        <w:tc>
          <w:tcPr>
            <w:tcW w:w="2126" w:type="dxa"/>
            <w:vMerge w:val="restart"/>
            <w:tcBorders>
              <w:top w:val="single" w:sz="4" w:space="0" w:color="auto"/>
            </w:tcBorders>
          </w:tcPr>
          <w:p w:rsidR="00D85FAC" w:rsidRPr="00971F3F" w:rsidRDefault="00D85FAC" w:rsidP="00D85FAC">
            <w:pPr>
              <w:pStyle w:val="table1"/>
              <w:spacing w:after="40"/>
              <w:rPr>
                <w:b/>
              </w:rPr>
            </w:pPr>
            <w:r w:rsidRPr="00971F3F">
              <w:rPr>
                <w:b/>
              </w:rPr>
              <w:t>Original study</w:t>
            </w:r>
          </w:p>
        </w:tc>
        <w:tc>
          <w:tcPr>
            <w:tcW w:w="567" w:type="dxa"/>
            <w:vMerge w:val="restart"/>
            <w:tcBorders>
              <w:top w:val="single" w:sz="4" w:space="0" w:color="auto"/>
            </w:tcBorders>
          </w:tcPr>
          <w:p w:rsidR="00D85FAC" w:rsidRPr="00971F3F" w:rsidRDefault="00D85FAC" w:rsidP="00D85FAC">
            <w:pPr>
              <w:pStyle w:val="table1"/>
              <w:spacing w:after="40"/>
              <w:jc w:val="center"/>
              <w:rPr>
                <w:b/>
              </w:rPr>
            </w:pPr>
            <w:r w:rsidRPr="00971F3F">
              <w:rPr>
                <w:b/>
              </w:rPr>
              <w:t>pH</w:t>
            </w:r>
          </w:p>
        </w:tc>
        <w:tc>
          <w:tcPr>
            <w:tcW w:w="1134" w:type="dxa"/>
            <w:vMerge w:val="restart"/>
            <w:tcBorders>
              <w:top w:val="single" w:sz="4" w:space="0" w:color="auto"/>
            </w:tcBorders>
          </w:tcPr>
          <w:p w:rsidR="00D85FAC" w:rsidRPr="00971F3F" w:rsidRDefault="00D85FAC" w:rsidP="00D85FAC">
            <w:pPr>
              <w:pStyle w:val="table1"/>
              <w:spacing w:after="40"/>
              <w:jc w:val="center"/>
              <w:rPr>
                <w:b/>
              </w:rPr>
            </w:pPr>
            <w:r w:rsidRPr="00971F3F">
              <w:rPr>
                <w:b/>
              </w:rPr>
              <w:t>Hardness (mg/L as CaCO</w:t>
            </w:r>
            <w:r w:rsidRPr="00971F3F">
              <w:rPr>
                <w:b/>
                <w:u w:color="000000"/>
              </w:rPr>
              <w:t>3</w:t>
            </w:r>
            <w:r w:rsidRPr="00971F3F">
              <w:rPr>
                <w:b/>
              </w:rPr>
              <w:t>)</w:t>
            </w:r>
          </w:p>
        </w:tc>
        <w:tc>
          <w:tcPr>
            <w:tcW w:w="1134" w:type="dxa"/>
            <w:vMerge w:val="restart"/>
            <w:tcBorders>
              <w:top w:val="single" w:sz="4" w:space="0" w:color="auto"/>
            </w:tcBorders>
          </w:tcPr>
          <w:p w:rsidR="00D85FAC" w:rsidRPr="00971F3F" w:rsidRDefault="00D85FAC" w:rsidP="00D85FAC">
            <w:pPr>
              <w:pStyle w:val="table1"/>
              <w:spacing w:after="40"/>
              <w:jc w:val="center"/>
              <w:rPr>
                <w:b/>
              </w:rPr>
            </w:pPr>
            <w:r w:rsidRPr="00971F3F">
              <w:rPr>
                <w:b/>
              </w:rPr>
              <w:t>Alkalinity (mg/L as CaCO</w:t>
            </w:r>
            <w:r w:rsidRPr="00971F3F">
              <w:rPr>
                <w:b/>
                <w:u w:color="000000"/>
              </w:rPr>
              <w:t>3</w:t>
            </w:r>
            <w:r w:rsidRPr="00971F3F">
              <w:rPr>
                <w:b/>
              </w:rPr>
              <w:t>)</w:t>
            </w:r>
          </w:p>
        </w:tc>
        <w:tc>
          <w:tcPr>
            <w:tcW w:w="1418" w:type="dxa"/>
            <w:vMerge w:val="restart"/>
            <w:tcBorders>
              <w:top w:val="single" w:sz="4" w:space="0" w:color="auto"/>
            </w:tcBorders>
          </w:tcPr>
          <w:p w:rsidR="00D85FAC" w:rsidRPr="00971F3F" w:rsidRDefault="00D85FAC" w:rsidP="00D85FAC">
            <w:pPr>
              <w:pStyle w:val="table1"/>
              <w:spacing w:after="40"/>
              <w:jc w:val="center"/>
              <w:rPr>
                <w:b/>
              </w:rPr>
            </w:pPr>
            <w:r w:rsidRPr="00971F3F">
              <w:rPr>
                <w:b/>
              </w:rPr>
              <w:t>Dissolved organic carbon (mg/L)</w:t>
            </w:r>
          </w:p>
        </w:tc>
        <w:tc>
          <w:tcPr>
            <w:tcW w:w="735" w:type="dxa"/>
            <w:vMerge w:val="restart"/>
            <w:tcBorders>
              <w:top w:val="single" w:sz="4" w:space="0" w:color="auto"/>
            </w:tcBorders>
          </w:tcPr>
          <w:p w:rsidR="00D85FAC" w:rsidRPr="00971F3F" w:rsidRDefault="00D85FAC" w:rsidP="00D85FAC">
            <w:pPr>
              <w:pStyle w:val="table1"/>
              <w:spacing w:after="40"/>
              <w:jc w:val="center"/>
              <w:rPr>
                <w:b/>
              </w:rPr>
            </w:pPr>
            <w:r w:rsidRPr="00971F3F">
              <w:rPr>
                <w:b/>
              </w:rPr>
              <w:t>Temp. (</w:t>
            </w:r>
            <w:r w:rsidRPr="00971F3F">
              <w:rPr>
                <w:b/>
              </w:rPr>
              <w:sym w:font="Symbol" w:char="F0B0"/>
            </w:r>
            <w:r w:rsidRPr="00971F3F">
              <w:rPr>
                <w:b/>
              </w:rPr>
              <w:t>C)</w:t>
            </w:r>
          </w:p>
        </w:tc>
        <w:tc>
          <w:tcPr>
            <w:tcW w:w="2242" w:type="dxa"/>
            <w:gridSpan w:val="2"/>
            <w:tcBorders>
              <w:top w:val="single" w:sz="4" w:space="0" w:color="auto"/>
              <w:bottom w:val="single" w:sz="4" w:space="0" w:color="auto"/>
              <w:right w:val="single" w:sz="24" w:space="0" w:color="FFFFFF"/>
            </w:tcBorders>
          </w:tcPr>
          <w:p w:rsidR="00D85FAC" w:rsidRPr="00971F3F" w:rsidRDefault="00D85FAC" w:rsidP="00D85FAC">
            <w:pPr>
              <w:pStyle w:val="table1"/>
              <w:spacing w:after="40"/>
              <w:jc w:val="center"/>
              <w:rPr>
                <w:b/>
              </w:rPr>
            </w:pPr>
            <w:r w:rsidRPr="00971F3F">
              <w:rPr>
                <w:b/>
              </w:rPr>
              <w:t xml:space="preserve">Original toxicity measures </w:t>
            </w:r>
            <w:r w:rsidRPr="00971F3F">
              <w:rPr>
                <w:b/>
              </w:rPr>
              <w:br/>
              <w:t>(</w:t>
            </w:r>
            <w:r w:rsidRPr="00971F3F">
              <w:rPr>
                <w:b/>
              </w:rPr>
              <w:sym w:font="Symbol" w:char="F06D"/>
            </w:r>
            <w:r w:rsidRPr="00971F3F">
              <w:rPr>
                <w:b/>
              </w:rPr>
              <w:t>g U/L)</w:t>
            </w:r>
          </w:p>
        </w:tc>
        <w:tc>
          <w:tcPr>
            <w:tcW w:w="2693" w:type="dxa"/>
            <w:gridSpan w:val="2"/>
            <w:tcBorders>
              <w:top w:val="single" w:sz="4" w:space="0" w:color="auto"/>
              <w:left w:val="single" w:sz="24" w:space="0" w:color="FFFFFF"/>
              <w:bottom w:val="single" w:sz="4" w:space="0" w:color="auto"/>
            </w:tcBorders>
          </w:tcPr>
          <w:p w:rsidR="00D85FAC" w:rsidRPr="00971F3F" w:rsidRDefault="00D85FAC" w:rsidP="00D85FAC">
            <w:pPr>
              <w:pStyle w:val="table1"/>
              <w:spacing w:after="40"/>
              <w:jc w:val="center"/>
              <w:rPr>
                <w:b/>
              </w:rPr>
            </w:pPr>
            <w:r w:rsidRPr="00971F3F">
              <w:rPr>
                <w:b/>
              </w:rPr>
              <w:t xml:space="preserve">Re-calculated toxicity measures </w:t>
            </w:r>
            <w:r w:rsidRPr="00971F3F">
              <w:rPr>
                <w:b/>
              </w:rPr>
              <w:br/>
              <w:t>(95% CLs) (</w:t>
            </w:r>
            <w:r w:rsidRPr="00971F3F">
              <w:rPr>
                <w:b/>
              </w:rPr>
              <w:sym w:font="Symbol" w:char="F06D"/>
            </w:r>
            <w:r w:rsidRPr="00971F3F">
              <w:rPr>
                <w:b/>
              </w:rPr>
              <w:t>g U/L)</w:t>
            </w:r>
          </w:p>
        </w:tc>
        <w:tc>
          <w:tcPr>
            <w:tcW w:w="2410" w:type="dxa"/>
            <w:vMerge w:val="restart"/>
            <w:tcBorders>
              <w:top w:val="single" w:sz="4" w:space="0" w:color="auto"/>
            </w:tcBorders>
          </w:tcPr>
          <w:p w:rsidR="00D85FAC" w:rsidRPr="00971F3F" w:rsidRDefault="00D85FAC" w:rsidP="00D85FAC">
            <w:pPr>
              <w:pStyle w:val="table1"/>
              <w:spacing w:after="40"/>
              <w:rPr>
                <w:b/>
              </w:rPr>
            </w:pPr>
            <w:r w:rsidRPr="00971F3F">
              <w:rPr>
                <w:b/>
              </w:rPr>
              <w:t>Model type</w:t>
            </w:r>
            <w:r w:rsidRPr="001E3271">
              <w:rPr>
                <w:b/>
                <w:szCs w:val="0"/>
                <w:u w:color="000000"/>
                <w:vertAlign w:val="superscript"/>
              </w:rPr>
              <w:t>1</w:t>
            </w:r>
            <w:r w:rsidRPr="00971F3F">
              <w:rPr>
                <w:b/>
              </w:rPr>
              <w:t xml:space="preserve"> (</w:t>
            </w:r>
            <w:r w:rsidRPr="003B59F1">
              <w:rPr>
                <w:b/>
                <w:i/>
              </w:rPr>
              <w:t>r</w:t>
            </w:r>
            <w:r w:rsidRPr="003B59F1">
              <w:rPr>
                <w:b/>
                <w:i/>
                <w:szCs w:val="0"/>
                <w:u w:color="000000"/>
                <w:vertAlign w:val="superscript"/>
              </w:rPr>
              <w:t>2</w:t>
            </w:r>
            <w:r w:rsidRPr="00971F3F">
              <w:rPr>
                <w:b/>
              </w:rPr>
              <w:t xml:space="preserve">, </w:t>
            </w:r>
            <w:r w:rsidRPr="003B59F1">
              <w:rPr>
                <w:b/>
                <w:i/>
              </w:rPr>
              <w:t>n</w:t>
            </w:r>
            <w:r w:rsidRPr="00971F3F">
              <w:rPr>
                <w:b/>
              </w:rPr>
              <w:t>, P)</w:t>
            </w:r>
          </w:p>
        </w:tc>
      </w:tr>
      <w:tr w:rsidR="00D85FAC" w:rsidRPr="00971F3F" w:rsidTr="00D85FAC">
        <w:tc>
          <w:tcPr>
            <w:tcW w:w="2126" w:type="dxa"/>
            <w:vMerge/>
            <w:tcBorders>
              <w:bottom w:val="single" w:sz="4" w:space="0" w:color="auto"/>
            </w:tcBorders>
          </w:tcPr>
          <w:p w:rsidR="00D85FAC" w:rsidRPr="00971F3F" w:rsidRDefault="00D85FAC" w:rsidP="00D85FAC">
            <w:pPr>
              <w:pStyle w:val="table1"/>
              <w:spacing w:after="40"/>
            </w:pPr>
          </w:p>
        </w:tc>
        <w:tc>
          <w:tcPr>
            <w:tcW w:w="567" w:type="dxa"/>
            <w:vMerge/>
            <w:tcBorders>
              <w:bottom w:val="single" w:sz="4" w:space="0" w:color="auto"/>
            </w:tcBorders>
          </w:tcPr>
          <w:p w:rsidR="00D85FAC" w:rsidRPr="00971F3F" w:rsidRDefault="00D85FAC" w:rsidP="00D85FAC">
            <w:pPr>
              <w:pStyle w:val="table1"/>
              <w:spacing w:after="40"/>
              <w:jc w:val="center"/>
            </w:pPr>
          </w:p>
        </w:tc>
        <w:tc>
          <w:tcPr>
            <w:tcW w:w="1134" w:type="dxa"/>
            <w:vMerge/>
            <w:tcBorders>
              <w:bottom w:val="single" w:sz="4" w:space="0" w:color="auto"/>
            </w:tcBorders>
          </w:tcPr>
          <w:p w:rsidR="00D85FAC" w:rsidRPr="00971F3F" w:rsidRDefault="00D85FAC" w:rsidP="00D85FAC">
            <w:pPr>
              <w:pStyle w:val="table1"/>
              <w:spacing w:after="40"/>
              <w:jc w:val="center"/>
            </w:pPr>
          </w:p>
        </w:tc>
        <w:tc>
          <w:tcPr>
            <w:tcW w:w="1134" w:type="dxa"/>
            <w:vMerge/>
            <w:tcBorders>
              <w:bottom w:val="single" w:sz="4" w:space="0" w:color="auto"/>
            </w:tcBorders>
          </w:tcPr>
          <w:p w:rsidR="00D85FAC" w:rsidRPr="00971F3F" w:rsidRDefault="00D85FAC" w:rsidP="00D85FAC">
            <w:pPr>
              <w:pStyle w:val="table1"/>
              <w:spacing w:after="40"/>
              <w:jc w:val="center"/>
            </w:pPr>
          </w:p>
        </w:tc>
        <w:tc>
          <w:tcPr>
            <w:tcW w:w="1418" w:type="dxa"/>
            <w:vMerge/>
            <w:tcBorders>
              <w:bottom w:val="single" w:sz="4" w:space="0" w:color="auto"/>
            </w:tcBorders>
          </w:tcPr>
          <w:p w:rsidR="00D85FAC" w:rsidRPr="00971F3F" w:rsidRDefault="00D85FAC" w:rsidP="00D85FAC">
            <w:pPr>
              <w:pStyle w:val="table1"/>
              <w:spacing w:after="40"/>
              <w:jc w:val="center"/>
            </w:pPr>
          </w:p>
        </w:tc>
        <w:tc>
          <w:tcPr>
            <w:tcW w:w="735" w:type="dxa"/>
            <w:vMerge/>
            <w:tcBorders>
              <w:bottom w:val="single" w:sz="4" w:space="0" w:color="auto"/>
              <w:right w:val="nil"/>
            </w:tcBorders>
          </w:tcPr>
          <w:p w:rsidR="00D85FAC" w:rsidRPr="00971F3F" w:rsidRDefault="00D85FAC" w:rsidP="00D85FAC">
            <w:pPr>
              <w:pStyle w:val="table1"/>
              <w:spacing w:after="40"/>
              <w:jc w:val="center"/>
            </w:pPr>
          </w:p>
        </w:tc>
        <w:tc>
          <w:tcPr>
            <w:tcW w:w="1391" w:type="dxa"/>
            <w:tcBorders>
              <w:top w:val="single" w:sz="4" w:space="0" w:color="auto"/>
              <w:left w:val="nil"/>
              <w:bottom w:val="single" w:sz="4" w:space="0" w:color="auto"/>
              <w:right w:val="nil"/>
            </w:tcBorders>
          </w:tcPr>
          <w:p w:rsidR="00D85FAC" w:rsidRPr="00971F3F" w:rsidRDefault="00D85FAC" w:rsidP="00D85FAC">
            <w:pPr>
              <w:pStyle w:val="table1"/>
              <w:spacing w:after="40"/>
              <w:jc w:val="center"/>
              <w:rPr>
                <w:b/>
              </w:rPr>
            </w:pPr>
            <w:r w:rsidRPr="00971F3F">
              <w:rPr>
                <w:b/>
              </w:rPr>
              <w:t>Nil/low effect</w:t>
            </w:r>
          </w:p>
        </w:tc>
        <w:tc>
          <w:tcPr>
            <w:tcW w:w="851" w:type="dxa"/>
            <w:tcBorders>
              <w:top w:val="single" w:sz="4" w:space="0" w:color="auto"/>
              <w:left w:val="nil"/>
              <w:bottom w:val="single" w:sz="4" w:space="0" w:color="auto"/>
              <w:right w:val="single" w:sz="24" w:space="0" w:color="FFFFFF"/>
            </w:tcBorders>
          </w:tcPr>
          <w:p w:rsidR="00D85FAC" w:rsidRPr="00971F3F" w:rsidRDefault="00D85FAC" w:rsidP="00D85FAC">
            <w:pPr>
              <w:pStyle w:val="table1"/>
              <w:spacing w:after="40"/>
              <w:jc w:val="center"/>
              <w:rPr>
                <w:b/>
              </w:rPr>
            </w:pPr>
            <w:r w:rsidRPr="00971F3F">
              <w:rPr>
                <w:b/>
              </w:rPr>
              <w:t>IC50</w:t>
            </w:r>
          </w:p>
        </w:tc>
        <w:tc>
          <w:tcPr>
            <w:tcW w:w="1417" w:type="dxa"/>
            <w:tcBorders>
              <w:top w:val="single" w:sz="4" w:space="0" w:color="auto"/>
              <w:left w:val="single" w:sz="24" w:space="0" w:color="FFFFFF"/>
              <w:bottom w:val="single" w:sz="4" w:space="0" w:color="auto"/>
              <w:right w:val="nil"/>
            </w:tcBorders>
          </w:tcPr>
          <w:p w:rsidR="00D85FAC" w:rsidRPr="00971F3F" w:rsidRDefault="00D85FAC" w:rsidP="00D85FAC">
            <w:pPr>
              <w:pStyle w:val="table1"/>
              <w:spacing w:after="40"/>
              <w:jc w:val="center"/>
              <w:rPr>
                <w:b/>
              </w:rPr>
            </w:pPr>
            <w:r w:rsidRPr="00971F3F">
              <w:rPr>
                <w:b/>
              </w:rPr>
              <w:t>IC10</w:t>
            </w:r>
          </w:p>
        </w:tc>
        <w:tc>
          <w:tcPr>
            <w:tcW w:w="1276" w:type="dxa"/>
            <w:tcBorders>
              <w:top w:val="single" w:sz="4" w:space="0" w:color="auto"/>
              <w:left w:val="nil"/>
              <w:bottom w:val="single" w:sz="4" w:space="0" w:color="auto"/>
              <w:right w:val="nil"/>
            </w:tcBorders>
          </w:tcPr>
          <w:p w:rsidR="00D85FAC" w:rsidRPr="00971F3F" w:rsidRDefault="00D85FAC" w:rsidP="00D85FAC">
            <w:pPr>
              <w:pStyle w:val="table1"/>
              <w:spacing w:after="40"/>
              <w:jc w:val="center"/>
              <w:rPr>
                <w:b/>
              </w:rPr>
            </w:pPr>
            <w:r w:rsidRPr="00971F3F">
              <w:rPr>
                <w:b/>
              </w:rPr>
              <w:t>IC50</w:t>
            </w:r>
          </w:p>
        </w:tc>
        <w:tc>
          <w:tcPr>
            <w:tcW w:w="2410" w:type="dxa"/>
            <w:vMerge/>
            <w:tcBorders>
              <w:left w:val="nil"/>
              <w:bottom w:val="single" w:sz="4" w:space="0" w:color="auto"/>
            </w:tcBorders>
          </w:tcPr>
          <w:p w:rsidR="00D85FAC" w:rsidRPr="00971F3F" w:rsidRDefault="00D85FAC" w:rsidP="00D85FAC">
            <w:pPr>
              <w:pStyle w:val="table1"/>
              <w:spacing w:after="40"/>
            </w:pPr>
          </w:p>
        </w:tc>
      </w:tr>
      <w:tr w:rsidR="00D85FAC" w:rsidRPr="00971F3F" w:rsidTr="00D85FAC">
        <w:tc>
          <w:tcPr>
            <w:tcW w:w="2126" w:type="dxa"/>
            <w:tcBorders>
              <w:top w:val="single" w:sz="4" w:space="0" w:color="auto"/>
              <w:left w:val="nil"/>
              <w:bottom w:val="nil"/>
            </w:tcBorders>
          </w:tcPr>
          <w:p w:rsidR="00D85FAC" w:rsidRPr="00971F3F" w:rsidRDefault="00D85FAC" w:rsidP="00D85FAC">
            <w:pPr>
              <w:pStyle w:val="table1"/>
              <w:spacing w:after="40"/>
            </w:pPr>
            <w:r w:rsidRPr="00971F3F">
              <w:rPr>
                <w:i/>
              </w:rPr>
              <w:t>Chlorella</w:t>
            </w:r>
            <w:r w:rsidRPr="00971F3F">
              <w:t xml:space="preserve"> sp 1</w:t>
            </w:r>
          </w:p>
        </w:tc>
        <w:tc>
          <w:tcPr>
            <w:tcW w:w="567" w:type="dxa"/>
            <w:tcBorders>
              <w:top w:val="single" w:sz="4" w:space="0" w:color="auto"/>
              <w:bottom w:val="nil"/>
            </w:tcBorders>
          </w:tcPr>
          <w:p w:rsidR="00D85FAC" w:rsidRPr="00971F3F" w:rsidRDefault="00D85FAC" w:rsidP="00D85FAC">
            <w:pPr>
              <w:pStyle w:val="table1"/>
              <w:spacing w:after="40"/>
              <w:jc w:val="center"/>
            </w:pPr>
          </w:p>
        </w:tc>
        <w:tc>
          <w:tcPr>
            <w:tcW w:w="1134" w:type="dxa"/>
            <w:tcBorders>
              <w:top w:val="single" w:sz="4" w:space="0" w:color="auto"/>
              <w:bottom w:val="nil"/>
            </w:tcBorders>
          </w:tcPr>
          <w:p w:rsidR="00D85FAC" w:rsidRPr="00971F3F" w:rsidRDefault="00D85FAC" w:rsidP="00D85FAC">
            <w:pPr>
              <w:pStyle w:val="table1"/>
              <w:spacing w:after="40"/>
              <w:jc w:val="center"/>
            </w:pPr>
          </w:p>
        </w:tc>
        <w:tc>
          <w:tcPr>
            <w:tcW w:w="1134" w:type="dxa"/>
            <w:tcBorders>
              <w:top w:val="single" w:sz="4" w:space="0" w:color="auto"/>
              <w:bottom w:val="nil"/>
            </w:tcBorders>
          </w:tcPr>
          <w:p w:rsidR="00D85FAC" w:rsidRPr="00971F3F" w:rsidRDefault="00D85FAC" w:rsidP="00D85FAC">
            <w:pPr>
              <w:pStyle w:val="table1"/>
              <w:spacing w:after="40"/>
              <w:jc w:val="center"/>
            </w:pPr>
          </w:p>
        </w:tc>
        <w:tc>
          <w:tcPr>
            <w:tcW w:w="1418" w:type="dxa"/>
            <w:tcBorders>
              <w:top w:val="single" w:sz="4" w:space="0" w:color="auto"/>
              <w:bottom w:val="nil"/>
            </w:tcBorders>
          </w:tcPr>
          <w:p w:rsidR="00D85FAC" w:rsidRPr="00971F3F" w:rsidRDefault="00D85FAC" w:rsidP="00D85FAC">
            <w:pPr>
              <w:pStyle w:val="table1"/>
              <w:spacing w:after="40"/>
              <w:jc w:val="center"/>
            </w:pPr>
          </w:p>
        </w:tc>
        <w:tc>
          <w:tcPr>
            <w:tcW w:w="735" w:type="dxa"/>
            <w:tcBorders>
              <w:top w:val="single" w:sz="4" w:space="0" w:color="auto"/>
              <w:bottom w:val="nil"/>
              <w:right w:val="nil"/>
            </w:tcBorders>
          </w:tcPr>
          <w:p w:rsidR="00D85FAC" w:rsidRPr="00971F3F" w:rsidRDefault="00D85FAC" w:rsidP="00D85FAC">
            <w:pPr>
              <w:pStyle w:val="table1"/>
              <w:spacing w:after="40"/>
              <w:jc w:val="center"/>
            </w:pPr>
          </w:p>
        </w:tc>
        <w:tc>
          <w:tcPr>
            <w:tcW w:w="1391" w:type="dxa"/>
            <w:tcBorders>
              <w:top w:val="single" w:sz="4" w:space="0" w:color="auto"/>
              <w:left w:val="nil"/>
              <w:bottom w:val="nil"/>
              <w:right w:val="nil"/>
            </w:tcBorders>
          </w:tcPr>
          <w:p w:rsidR="00D85FAC" w:rsidRPr="00971F3F" w:rsidRDefault="00D85FAC" w:rsidP="00D85FAC">
            <w:pPr>
              <w:pStyle w:val="table1"/>
              <w:spacing w:after="40"/>
              <w:jc w:val="center"/>
            </w:pPr>
          </w:p>
        </w:tc>
        <w:tc>
          <w:tcPr>
            <w:tcW w:w="851" w:type="dxa"/>
            <w:tcBorders>
              <w:top w:val="single" w:sz="4" w:space="0" w:color="auto"/>
              <w:left w:val="nil"/>
              <w:bottom w:val="nil"/>
              <w:right w:val="nil"/>
            </w:tcBorders>
          </w:tcPr>
          <w:p w:rsidR="00D85FAC" w:rsidRPr="00971F3F" w:rsidRDefault="00D85FAC" w:rsidP="00D85FAC">
            <w:pPr>
              <w:pStyle w:val="table1"/>
              <w:spacing w:after="40"/>
              <w:jc w:val="center"/>
            </w:pPr>
          </w:p>
        </w:tc>
        <w:tc>
          <w:tcPr>
            <w:tcW w:w="1417" w:type="dxa"/>
            <w:tcBorders>
              <w:top w:val="single" w:sz="4" w:space="0" w:color="auto"/>
              <w:left w:val="nil"/>
              <w:bottom w:val="nil"/>
              <w:right w:val="nil"/>
            </w:tcBorders>
          </w:tcPr>
          <w:p w:rsidR="00D85FAC" w:rsidRPr="00971F3F" w:rsidRDefault="00D85FAC" w:rsidP="00D85FAC">
            <w:pPr>
              <w:pStyle w:val="table1"/>
              <w:spacing w:after="40"/>
              <w:jc w:val="center"/>
            </w:pPr>
          </w:p>
        </w:tc>
        <w:tc>
          <w:tcPr>
            <w:tcW w:w="1276" w:type="dxa"/>
            <w:tcBorders>
              <w:top w:val="single" w:sz="4" w:space="0" w:color="auto"/>
              <w:left w:val="nil"/>
              <w:bottom w:val="nil"/>
              <w:right w:val="nil"/>
            </w:tcBorders>
          </w:tcPr>
          <w:p w:rsidR="00D85FAC" w:rsidRPr="00971F3F" w:rsidRDefault="00D85FAC" w:rsidP="00D85FAC">
            <w:pPr>
              <w:pStyle w:val="table1"/>
              <w:spacing w:after="40"/>
              <w:jc w:val="center"/>
            </w:pPr>
          </w:p>
        </w:tc>
        <w:tc>
          <w:tcPr>
            <w:tcW w:w="2410" w:type="dxa"/>
            <w:tcBorders>
              <w:top w:val="single" w:sz="4" w:space="0" w:color="auto"/>
              <w:left w:val="nil"/>
              <w:bottom w:val="nil"/>
            </w:tcBorders>
          </w:tcPr>
          <w:p w:rsidR="00D85FAC" w:rsidRPr="00971F3F" w:rsidRDefault="00D85FAC" w:rsidP="00D85FAC">
            <w:pPr>
              <w:pStyle w:val="table1"/>
              <w:spacing w:after="40"/>
            </w:pPr>
          </w:p>
        </w:tc>
      </w:tr>
      <w:tr w:rsidR="00D85FAC" w:rsidRPr="00971F3F" w:rsidTr="00D85FAC">
        <w:tc>
          <w:tcPr>
            <w:tcW w:w="2126" w:type="dxa"/>
            <w:tcBorders>
              <w:top w:val="nil"/>
              <w:left w:val="nil"/>
              <w:bottom w:val="nil"/>
            </w:tcBorders>
          </w:tcPr>
          <w:p w:rsidR="00D85FAC" w:rsidRPr="00971F3F" w:rsidRDefault="00D85FAC" w:rsidP="00D85FAC">
            <w:pPr>
              <w:pStyle w:val="table1"/>
              <w:tabs>
                <w:tab w:val="left" w:pos="177"/>
              </w:tabs>
              <w:spacing w:after="40"/>
            </w:pPr>
            <w:r>
              <w:tab/>
            </w:r>
            <w:r w:rsidRPr="00971F3F">
              <w:t xml:space="preserve">Franklin </w:t>
            </w:r>
            <w:r>
              <w:t>et al</w:t>
            </w:r>
            <w:r w:rsidRPr="00971F3F">
              <w:t xml:space="preserve"> </w:t>
            </w:r>
            <w:r>
              <w:t>(2000)</w:t>
            </w:r>
          </w:p>
        </w:tc>
        <w:tc>
          <w:tcPr>
            <w:tcW w:w="567" w:type="dxa"/>
            <w:tcBorders>
              <w:top w:val="nil"/>
              <w:bottom w:val="nil"/>
            </w:tcBorders>
          </w:tcPr>
          <w:p w:rsidR="00D85FAC" w:rsidRPr="00971F3F" w:rsidRDefault="00D85FAC" w:rsidP="00D85FAC">
            <w:pPr>
              <w:pStyle w:val="table1"/>
              <w:spacing w:after="40"/>
              <w:jc w:val="center"/>
            </w:pPr>
            <w:r w:rsidRPr="00971F3F">
              <w:t>5.7</w:t>
            </w:r>
          </w:p>
        </w:tc>
        <w:tc>
          <w:tcPr>
            <w:tcW w:w="1134" w:type="dxa"/>
            <w:tcBorders>
              <w:top w:val="nil"/>
              <w:bottom w:val="nil"/>
            </w:tcBorders>
          </w:tcPr>
          <w:p w:rsidR="00D85FAC" w:rsidRPr="00971F3F" w:rsidRDefault="00D85FAC" w:rsidP="00D85FAC">
            <w:pPr>
              <w:pStyle w:val="table1"/>
              <w:spacing w:after="40"/>
              <w:jc w:val="center"/>
            </w:pPr>
            <w:r w:rsidRPr="00971F3F">
              <w:t>3.9</w:t>
            </w:r>
          </w:p>
        </w:tc>
        <w:tc>
          <w:tcPr>
            <w:tcW w:w="1134" w:type="dxa"/>
            <w:tcBorders>
              <w:top w:val="nil"/>
              <w:bottom w:val="nil"/>
            </w:tcBorders>
          </w:tcPr>
          <w:p w:rsidR="00D85FAC" w:rsidRPr="00971F3F" w:rsidRDefault="00D85FAC" w:rsidP="00D85FAC">
            <w:pPr>
              <w:pStyle w:val="table1"/>
              <w:spacing w:after="40"/>
              <w:jc w:val="center"/>
            </w:pPr>
            <w:r w:rsidRPr="00971F3F">
              <w:t>2.6</w:t>
            </w:r>
            <w:r w:rsidRPr="001E3271">
              <w:rPr>
                <w:szCs w:val="0"/>
                <w:u w:color="000000"/>
                <w:vertAlign w:val="superscript"/>
              </w:rPr>
              <w:t>2</w:t>
            </w:r>
          </w:p>
        </w:tc>
        <w:tc>
          <w:tcPr>
            <w:tcW w:w="1418" w:type="dxa"/>
            <w:tcBorders>
              <w:top w:val="nil"/>
              <w:bottom w:val="nil"/>
            </w:tcBorders>
          </w:tcPr>
          <w:p w:rsidR="00D85FAC" w:rsidRPr="00971F3F" w:rsidRDefault="00D85FAC" w:rsidP="00D85FAC">
            <w:pPr>
              <w:pStyle w:val="table1"/>
              <w:spacing w:after="40"/>
              <w:jc w:val="center"/>
            </w:pPr>
            <w:r w:rsidRPr="00971F3F">
              <w:t>0</w:t>
            </w:r>
          </w:p>
        </w:tc>
        <w:tc>
          <w:tcPr>
            <w:tcW w:w="735" w:type="dxa"/>
            <w:tcBorders>
              <w:top w:val="nil"/>
              <w:bottom w:val="nil"/>
              <w:right w:val="nil"/>
            </w:tcBorders>
          </w:tcPr>
          <w:p w:rsidR="00D85FAC" w:rsidRPr="00971F3F" w:rsidRDefault="00D85FAC" w:rsidP="00D85FAC">
            <w:pPr>
              <w:pStyle w:val="table1"/>
              <w:spacing w:after="40"/>
              <w:jc w:val="center"/>
            </w:pPr>
            <w:r w:rsidRPr="00971F3F">
              <w:t>27</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21 (BEC10)</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78</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45 (35-55)</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87 (82-92)</w:t>
            </w:r>
          </w:p>
        </w:tc>
        <w:tc>
          <w:tcPr>
            <w:tcW w:w="2410" w:type="dxa"/>
            <w:tcBorders>
              <w:top w:val="nil"/>
              <w:left w:val="nil"/>
              <w:bottom w:val="nil"/>
            </w:tcBorders>
          </w:tcPr>
          <w:p w:rsidR="00D85FAC" w:rsidRPr="00971F3F" w:rsidRDefault="00D85FAC" w:rsidP="00D85FAC">
            <w:pPr>
              <w:pStyle w:val="table1"/>
              <w:spacing w:after="40"/>
            </w:pPr>
            <w:r w:rsidRPr="00971F3F">
              <w:t>3-p sig (0.976, 21, &lt;0.0001)</w:t>
            </w:r>
          </w:p>
        </w:tc>
      </w:tr>
      <w:tr w:rsidR="00D85FAC" w:rsidRPr="00971F3F" w:rsidTr="00D85FAC">
        <w:tc>
          <w:tcPr>
            <w:tcW w:w="2126" w:type="dxa"/>
            <w:tcBorders>
              <w:top w:val="nil"/>
              <w:left w:val="nil"/>
              <w:bottom w:val="single" w:sz="4" w:space="0" w:color="C0C0C0"/>
            </w:tcBorders>
          </w:tcPr>
          <w:p w:rsidR="00D85FAC" w:rsidRPr="00971F3F" w:rsidRDefault="00D85FAC" w:rsidP="00D85FAC">
            <w:pPr>
              <w:pStyle w:val="table1"/>
              <w:tabs>
                <w:tab w:val="left" w:pos="177"/>
              </w:tabs>
              <w:spacing w:after="40"/>
            </w:pPr>
          </w:p>
        </w:tc>
        <w:tc>
          <w:tcPr>
            <w:tcW w:w="567" w:type="dxa"/>
            <w:tcBorders>
              <w:top w:val="nil"/>
              <w:bottom w:val="single" w:sz="4" w:space="0" w:color="C0C0C0"/>
            </w:tcBorders>
          </w:tcPr>
          <w:p w:rsidR="00D85FAC" w:rsidRPr="00971F3F" w:rsidRDefault="00D85FAC" w:rsidP="00D85FAC">
            <w:pPr>
              <w:pStyle w:val="table1"/>
              <w:spacing w:after="40"/>
              <w:jc w:val="center"/>
            </w:pPr>
            <w:r w:rsidRPr="00971F3F">
              <w:t>6.5</w:t>
            </w:r>
          </w:p>
        </w:tc>
        <w:tc>
          <w:tcPr>
            <w:tcW w:w="1134" w:type="dxa"/>
            <w:tcBorders>
              <w:top w:val="nil"/>
              <w:bottom w:val="single" w:sz="4" w:space="0" w:color="C0C0C0"/>
            </w:tcBorders>
          </w:tcPr>
          <w:p w:rsidR="00D85FAC" w:rsidRPr="00971F3F" w:rsidRDefault="00D85FAC" w:rsidP="00D85FAC">
            <w:pPr>
              <w:pStyle w:val="table1"/>
              <w:spacing w:after="40"/>
              <w:jc w:val="center"/>
            </w:pPr>
            <w:r w:rsidRPr="00971F3F">
              <w:t>3.9</w:t>
            </w:r>
          </w:p>
        </w:tc>
        <w:tc>
          <w:tcPr>
            <w:tcW w:w="1134" w:type="dxa"/>
            <w:tcBorders>
              <w:top w:val="nil"/>
              <w:bottom w:val="single" w:sz="4" w:space="0" w:color="C0C0C0"/>
            </w:tcBorders>
          </w:tcPr>
          <w:p w:rsidR="00D85FAC" w:rsidRPr="00971F3F" w:rsidRDefault="00D85FAC" w:rsidP="00D85FAC">
            <w:pPr>
              <w:pStyle w:val="table1"/>
              <w:spacing w:after="40"/>
              <w:jc w:val="center"/>
            </w:pPr>
            <w:r w:rsidRPr="00971F3F">
              <w:t>2.6</w:t>
            </w:r>
            <w:r w:rsidRPr="001E3271">
              <w:rPr>
                <w:szCs w:val="0"/>
                <w:u w:color="000000"/>
                <w:vertAlign w:val="superscript"/>
              </w:rPr>
              <w:t>2</w:t>
            </w:r>
          </w:p>
        </w:tc>
        <w:tc>
          <w:tcPr>
            <w:tcW w:w="1418" w:type="dxa"/>
            <w:tcBorders>
              <w:top w:val="nil"/>
              <w:bottom w:val="single" w:sz="4" w:space="0" w:color="C0C0C0"/>
            </w:tcBorders>
          </w:tcPr>
          <w:p w:rsidR="00D85FAC" w:rsidRPr="00971F3F" w:rsidRDefault="00D85FAC" w:rsidP="00D85FAC">
            <w:pPr>
              <w:pStyle w:val="table1"/>
              <w:spacing w:after="40"/>
              <w:jc w:val="center"/>
            </w:pPr>
            <w:r w:rsidRPr="00971F3F">
              <w:t>0</w:t>
            </w:r>
          </w:p>
        </w:tc>
        <w:tc>
          <w:tcPr>
            <w:tcW w:w="735" w:type="dxa"/>
            <w:tcBorders>
              <w:top w:val="nil"/>
              <w:bottom w:val="single" w:sz="4" w:space="0" w:color="C0C0C0"/>
              <w:right w:val="nil"/>
            </w:tcBorders>
          </w:tcPr>
          <w:p w:rsidR="00D85FAC" w:rsidRPr="00971F3F" w:rsidRDefault="00D85FAC" w:rsidP="00D85FAC">
            <w:pPr>
              <w:pStyle w:val="table1"/>
              <w:spacing w:after="40"/>
              <w:jc w:val="center"/>
            </w:pPr>
            <w:r w:rsidRPr="00971F3F">
              <w:t>27</w:t>
            </w:r>
          </w:p>
        </w:tc>
        <w:tc>
          <w:tcPr>
            <w:tcW w:w="1391" w:type="dxa"/>
            <w:tcBorders>
              <w:top w:val="nil"/>
              <w:left w:val="nil"/>
              <w:bottom w:val="single" w:sz="4" w:space="0" w:color="C0C0C0"/>
              <w:right w:val="nil"/>
            </w:tcBorders>
          </w:tcPr>
          <w:p w:rsidR="00D85FAC" w:rsidRPr="00971F3F" w:rsidRDefault="00D85FAC" w:rsidP="00D85FAC">
            <w:pPr>
              <w:pStyle w:val="table1"/>
              <w:spacing w:after="40"/>
              <w:jc w:val="center"/>
            </w:pPr>
            <w:r w:rsidRPr="00971F3F">
              <w:t>11 (BEC10)</w:t>
            </w:r>
          </w:p>
        </w:tc>
        <w:tc>
          <w:tcPr>
            <w:tcW w:w="851" w:type="dxa"/>
            <w:tcBorders>
              <w:top w:val="nil"/>
              <w:left w:val="nil"/>
              <w:bottom w:val="single" w:sz="4" w:space="0" w:color="C0C0C0"/>
              <w:right w:val="nil"/>
            </w:tcBorders>
          </w:tcPr>
          <w:p w:rsidR="00D85FAC" w:rsidRPr="00971F3F" w:rsidRDefault="00D85FAC" w:rsidP="00D85FAC">
            <w:pPr>
              <w:pStyle w:val="table1"/>
              <w:spacing w:after="40"/>
              <w:jc w:val="center"/>
            </w:pPr>
            <w:r w:rsidRPr="00971F3F">
              <w:t>44</w:t>
            </w:r>
          </w:p>
        </w:tc>
        <w:tc>
          <w:tcPr>
            <w:tcW w:w="1417" w:type="dxa"/>
            <w:tcBorders>
              <w:top w:val="nil"/>
              <w:left w:val="nil"/>
              <w:bottom w:val="single" w:sz="4" w:space="0" w:color="C0C0C0"/>
              <w:right w:val="nil"/>
            </w:tcBorders>
          </w:tcPr>
          <w:p w:rsidR="00D85FAC" w:rsidRPr="00971F3F" w:rsidRDefault="00D85FAC" w:rsidP="00D85FAC">
            <w:pPr>
              <w:pStyle w:val="table1"/>
              <w:spacing w:after="40"/>
              <w:jc w:val="center"/>
            </w:pPr>
            <w:r w:rsidRPr="00971F3F">
              <w:t>15 (10-20)</w:t>
            </w:r>
          </w:p>
        </w:tc>
        <w:tc>
          <w:tcPr>
            <w:tcW w:w="1276" w:type="dxa"/>
            <w:tcBorders>
              <w:top w:val="nil"/>
              <w:left w:val="nil"/>
              <w:bottom w:val="single" w:sz="4" w:space="0" w:color="C0C0C0"/>
              <w:right w:val="nil"/>
            </w:tcBorders>
          </w:tcPr>
          <w:p w:rsidR="00D85FAC" w:rsidRPr="00971F3F" w:rsidRDefault="00D85FAC" w:rsidP="00D85FAC">
            <w:pPr>
              <w:pStyle w:val="table1"/>
              <w:spacing w:after="40"/>
              <w:jc w:val="center"/>
            </w:pPr>
            <w:r w:rsidRPr="00971F3F">
              <w:t>48 (41-55)</w:t>
            </w:r>
          </w:p>
        </w:tc>
        <w:tc>
          <w:tcPr>
            <w:tcW w:w="2410" w:type="dxa"/>
            <w:tcBorders>
              <w:top w:val="nil"/>
              <w:left w:val="nil"/>
              <w:bottom w:val="single" w:sz="4" w:space="0" w:color="C0C0C0"/>
            </w:tcBorders>
          </w:tcPr>
          <w:p w:rsidR="00D85FAC" w:rsidRPr="00971F3F" w:rsidRDefault="00D85FAC" w:rsidP="00D85FAC">
            <w:pPr>
              <w:pStyle w:val="table1"/>
              <w:spacing w:after="40"/>
            </w:pPr>
            <w:r w:rsidRPr="00971F3F">
              <w:t>3-p log (0.961, 25, &lt;0.0001)</w:t>
            </w:r>
            <w:r w:rsidRPr="003B59F1">
              <w:rPr>
                <w:szCs w:val="0"/>
                <w:u w:color="000000"/>
                <w:vertAlign w:val="superscript"/>
              </w:rPr>
              <w:t>3</w:t>
            </w:r>
          </w:p>
        </w:tc>
      </w:tr>
      <w:tr w:rsidR="00D85FAC" w:rsidRPr="00971F3F" w:rsidTr="00D85FAC">
        <w:tc>
          <w:tcPr>
            <w:tcW w:w="2126" w:type="dxa"/>
            <w:tcBorders>
              <w:top w:val="single" w:sz="4" w:space="0" w:color="C0C0C0"/>
              <w:bottom w:val="nil"/>
            </w:tcBorders>
          </w:tcPr>
          <w:p w:rsidR="00D85FAC" w:rsidRPr="00971F3F" w:rsidRDefault="00D85FAC" w:rsidP="00D85FAC">
            <w:pPr>
              <w:pStyle w:val="table1"/>
              <w:tabs>
                <w:tab w:val="left" w:pos="177"/>
              </w:tabs>
              <w:spacing w:after="40"/>
            </w:pPr>
            <w:r>
              <w:tab/>
            </w:r>
            <w:r w:rsidRPr="00971F3F">
              <w:t xml:space="preserve">Hogan </w:t>
            </w:r>
            <w:r>
              <w:t>et al</w:t>
            </w:r>
            <w:r w:rsidRPr="00971F3F">
              <w:t xml:space="preserve"> </w:t>
            </w:r>
            <w:r>
              <w:t>(2005)</w:t>
            </w:r>
          </w:p>
        </w:tc>
        <w:tc>
          <w:tcPr>
            <w:tcW w:w="567" w:type="dxa"/>
            <w:tcBorders>
              <w:top w:val="single" w:sz="4" w:space="0" w:color="C0C0C0"/>
              <w:bottom w:val="nil"/>
            </w:tcBorders>
          </w:tcPr>
          <w:p w:rsidR="00D85FAC" w:rsidRPr="00971F3F" w:rsidRDefault="00D85FAC" w:rsidP="00D85FAC">
            <w:pPr>
              <w:pStyle w:val="table1"/>
              <w:spacing w:after="40"/>
              <w:jc w:val="center"/>
            </w:pPr>
            <w:r w:rsidRPr="00971F3F">
              <w:t>6.5</w:t>
            </w:r>
          </w:p>
        </w:tc>
        <w:tc>
          <w:tcPr>
            <w:tcW w:w="1134" w:type="dxa"/>
            <w:tcBorders>
              <w:top w:val="single" w:sz="4" w:space="0" w:color="C0C0C0"/>
              <w:bottom w:val="nil"/>
            </w:tcBorders>
          </w:tcPr>
          <w:p w:rsidR="00D85FAC" w:rsidRPr="00971F3F" w:rsidRDefault="00D85FAC" w:rsidP="00D85FAC">
            <w:pPr>
              <w:pStyle w:val="table1"/>
              <w:spacing w:after="40"/>
              <w:jc w:val="center"/>
            </w:pPr>
            <w:r w:rsidRPr="00971F3F">
              <w:t>3.6</w:t>
            </w:r>
          </w:p>
        </w:tc>
        <w:tc>
          <w:tcPr>
            <w:tcW w:w="1134" w:type="dxa"/>
            <w:tcBorders>
              <w:top w:val="single" w:sz="4" w:space="0" w:color="C0C0C0"/>
              <w:bottom w:val="nil"/>
            </w:tcBorders>
          </w:tcPr>
          <w:p w:rsidR="00D85FAC" w:rsidRPr="00971F3F" w:rsidRDefault="00D85FAC" w:rsidP="00D85FAC">
            <w:pPr>
              <w:pStyle w:val="table1"/>
              <w:spacing w:after="40"/>
              <w:jc w:val="center"/>
            </w:pPr>
            <w:r w:rsidRPr="00971F3F">
              <w:t>2.6</w:t>
            </w:r>
            <w:r w:rsidRPr="001E3271">
              <w:rPr>
                <w:szCs w:val="0"/>
                <w:u w:color="000000"/>
                <w:vertAlign w:val="superscript"/>
              </w:rPr>
              <w:t>2</w:t>
            </w:r>
          </w:p>
        </w:tc>
        <w:tc>
          <w:tcPr>
            <w:tcW w:w="1418" w:type="dxa"/>
            <w:tcBorders>
              <w:top w:val="single" w:sz="4" w:space="0" w:color="C0C0C0"/>
              <w:bottom w:val="nil"/>
            </w:tcBorders>
          </w:tcPr>
          <w:p w:rsidR="00D85FAC" w:rsidRPr="00971F3F" w:rsidRDefault="00D85FAC" w:rsidP="00D85FAC">
            <w:pPr>
              <w:pStyle w:val="table1"/>
              <w:spacing w:after="40"/>
              <w:jc w:val="center"/>
            </w:pPr>
            <w:r w:rsidRPr="00971F3F">
              <w:t>0</w:t>
            </w:r>
          </w:p>
        </w:tc>
        <w:tc>
          <w:tcPr>
            <w:tcW w:w="735" w:type="dxa"/>
            <w:tcBorders>
              <w:top w:val="single" w:sz="4" w:space="0" w:color="C0C0C0"/>
              <w:bottom w:val="nil"/>
              <w:right w:val="nil"/>
            </w:tcBorders>
          </w:tcPr>
          <w:p w:rsidR="00D85FAC" w:rsidRPr="00971F3F" w:rsidRDefault="00D85FAC" w:rsidP="00D85FAC">
            <w:pPr>
              <w:pStyle w:val="table1"/>
              <w:spacing w:after="40"/>
              <w:jc w:val="center"/>
            </w:pPr>
            <w:r w:rsidRPr="00971F3F">
              <w:t>29</w:t>
            </w:r>
          </w:p>
        </w:tc>
        <w:tc>
          <w:tcPr>
            <w:tcW w:w="1391" w:type="dxa"/>
            <w:tcBorders>
              <w:top w:val="single" w:sz="4" w:space="0" w:color="C0C0C0"/>
              <w:left w:val="nil"/>
              <w:bottom w:val="nil"/>
              <w:right w:val="nil"/>
            </w:tcBorders>
          </w:tcPr>
          <w:p w:rsidR="00D85FAC" w:rsidRPr="00971F3F" w:rsidRDefault="00D85FAC" w:rsidP="00D85FAC">
            <w:pPr>
              <w:pStyle w:val="table1"/>
              <w:spacing w:after="40"/>
              <w:jc w:val="center"/>
            </w:pPr>
            <w:r w:rsidRPr="00971F3F">
              <w:t>38 (NOEC)</w:t>
            </w:r>
          </w:p>
        </w:tc>
        <w:tc>
          <w:tcPr>
            <w:tcW w:w="851" w:type="dxa"/>
            <w:tcBorders>
              <w:top w:val="single" w:sz="4" w:space="0" w:color="C0C0C0"/>
              <w:left w:val="nil"/>
              <w:bottom w:val="nil"/>
              <w:right w:val="nil"/>
            </w:tcBorders>
          </w:tcPr>
          <w:p w:rsidR="00D85FAC" w:rsidRPr="00971F3F" w:rsidRDefault="00D85FAC" w:rsidP="00D85FAC">
            <w:pPr>
              <w:pStyle w:val="table1"/>
              <w:spacing w:after="40"/>
              <w:jc w:val="center"/>
            </w:pPr>
            <w:r w:rsidRPr="00971F3F">
              <w:t>74</w:t>
            </w:r>
          </w:p>
        </w:tc>
        <w:tc>
          <w:tcPr>
            <w:tcW w:w="1417" w:type="dxa"/>
            <w:tcBorders>
              <w:top w:val="single" w:sz="4" w:space="0" w:color="C0C0C0"/>
              <w:left w:val="nil"/>
              <w:bottom w:val="nil"/>
              <w:right w:val="nil"/>
            </w:tcBorders>
          </w:tcPr>
          <w:p w:rsidR="00D85FAC" w:rsidRPr="00971F3F" w:rsidRDefault="00D85FAC" w:rsidP="00D85FAC">
            <w:pPr>
              <w:pStyle w:val="table1"/>
              <w:spacing w:after="40"/>
              <w:jc w:val="center"/>
            </w:pPr>
            <w:r w:rsidRPr="00971F3F">
              <w:t>52 (38-64)</w:t>
            </w:r>
          </w:p>
        </w:tc>
        <w:tc>
          <w:tcPr>
            <w:tcW w:w="1276" w:type="dxa"/>
            <w:tcBorders>
              <w:top w:val="single" w:sz="4" w:space="0" w:color="C0C0C0"/>
              <w:left w:val="nil"/>
              <w:bottom w:val="nil"/>
              <w:right w:val="nil"/>
            </w:tcBorders>
          </w:tcPr>
          <w:p w:rsidR="00D85FAC" w:rsidRPr="00971F3F" w:rsidRDefault="00D85FAC" w:rsidP="00D85FAC">
            <w:pPr>
              <w:pStyle w:val="table1"/>
              <w:spacing w:after="40"/>
              <w:jc w:val="center"/>
            </w:pPr>
            <w:r w:rsidRPr="00971F3F">
              <w:t>74 (65-91)</w:t>
            </w:r>
          </w:p>
        </w:tc>
        <w:tc>
          <w:tcPr>
            <w:tcW w:w="2410" w:type="dxa"/>
            <w:tcBorders>
              <w:top w:val="single" w:sz="4" w:space="0" w:color="C0C0C0"/>
              <w:left w:val="nil"/>
              <w:bottom w:val="nil"/>
            </w:tcBorders>
          </w:tcPr>
          <w:p w:rsidR="00D85FAC" w:rsidRPr="00971F3F" w:rsidRDefault="00D85FAC" w:rsidP="00D85FAC">
            <w:pPr>
              <w:pStyle w:val="table1"/>
              <w:spacing w:after="40"/>
            </w:pPr>
            <w:r w:rsidRPr="00971F3F">
              <w:t>3-p log (0.920, 24, &lt;0.0001)</w:t>
            </w:r>
          </w:p>
        </w:tc>
      </w:tr>
      <w:tr w:rsidR="00D85FAC" w:rsidRPr="00971F3F" w:rsidTr="00D85FAC">
        <w:tc>
          <w:tcPr>
            <w:tcW w:w="2126" w:type="dxa"/>
            <w:tcBorders>
              <w:top w:val="nil"/>
            </w:tcBorders>
          </w:tcPr>
          <w:p w:rsidR="00D85FAC" w:rsidRPr="00971F3F" w:rsidRDefault="00D85FAC" w:rsidP="00D85FAC">
            <w:pPr>
              <w:pStyle w:val="table1"/>
              <w:tabs>
                <w:tab w:val="left" w:pos="177"/>
              </w:tabs>
              <w:spacing w:after="40"/>
            </w:pPr>
          </w:p>
        </w:tc>
        <w:tc>
          <w:tcPr>
            <w:tcW w:w="567" w:type="dxa"/>
            <w:tcBorders>
              <w:top w:val="nil"/>
            </w:tcBorders>
          </w:tcPr>
          <w:p w:rsidR="00D85FAC" w:rsidRPr="00971F3F" w:rsidRDefault="00D85FAC" w:rsidP="00D85FAC">
            <w:pPr>
              <w:pStyle w:val="table1"/>
              <w:spacing w:after="40"/>
              <w:jc w:val="center"/>
            </w:pPr>
            <w:r w:rsidRPr="00971F3F">
              <w:t>6.7</w:t>
            </w:r>
            <w:r w:rsidRPr="001E3271">
              <w:rPr>
                <w:szCs w:val="0"/>
                <w:u w:color="000000"/>
                <w:vertAlign w:val="superscript"/>
              </w:rPr>
              <w:t>4</w:t>
            </w:r>
          </w:p>
        </w:tc>
        <w:tc>
          <w:tcPr>
            <w:tcW w:w="1134" w:type="dxa"/>
            <w:tcBorders>
              <w:top w:val="nil"/>
            </w:tcBorders>
          </w:tcPr>
          <w:p w:rsidR="00D85FAC" w:rsidRPr="00971F3F" w:rsidRDefault="00D85FAC" w:rsidP="00D85FAC">
            <w:pPr>
              <w:pStyle w:val="table1"/>
              <w:spacing w:after="40"/>
              <w:jc w:val="center"/>
            </w:pPr>
            <w:r w:rsidRPr="00971F3F">
              <w:t>4.1</w:t>
            </w:r>
          </w:p>
        </w:tc>
        <w:tc>
          <w:tcPr>
            <w:tcW w:w="1134" w:type="dxa"/>
            <w:tcBorders>
              <w:top w:val="nil"/>
            </w:tcBorders>
          </w:tcPr>
          <w:p w:rsidR="00D85FAC" w:rsidRPr="00971F3F" w:rsidRDefault="00D85FAC" w:rsidP="00D85FAC">
            <w:pPr>
              <w:pStyle w:val="table1"/>
              <w:spacing w:after="40"/>
              <w:jc w:val="center"/>
            </w:pPr>
            <w:r w:rsidRPr="00971F3F">
              <w:t>11</w:t>
            </w:r>
          </w:p>
        </w:tc>
        <w:tc>
          <w:tcPr>
            <w:tcW w:w="1418" w:type="dxa"/>
            <w:tcBorders>
              <w:top w:val="nil"/>
            </w:tcBorders>
          </w:tcPr>
          <w:p w:rsidR="00D85FAC" w:rsidRPr="00971F3F" w:rsidRDefault="00D85FAC" w:rsidP="00D85FAC">
            <w:pPr>
              <w:pStyle w:val="table1"/>
              <w:spacing w:after="40"/>
              <w:jc w:val="center"/>
            </w:pPr>
            <w:r w:rsidRPr="00971F3F">
              <w:t>4.1</w:t>
            </w:r>
          </w:p>
        </w:tc>
        <w:tc>
          <w:tcPr>
            <w:tcW w:w="735" w:type="dxa"/>
            <w:tcBorders>
              <w:top w:val="nil"/>
              <w:right w:val="nil"/>
            </w:tcBorders>
          </w:tcPr>
          <w:p w:rsidR="00D85FAC" w:rsidRPr="00971F3F" w:rsidRDefault="00D85FAC" w:rsidP="00D85FAC">
            <w:pPr>
              <w:pStyle w:val="table1"/>
              <w:spacing w:after="40"/>
              <w:jc w:val="center"/>
            </w:pPr>
            <w:r w:rsidRPr="00971F3F">
              <w:t>29</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150 (NOEC)</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177</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135 (120-148)</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176 (168-185)</w:t>
            </w:r>
          </w:p>
        </w:tc>
        <w:tc>
          <w:tcPr>
            <w:tcW w:w="2410" w:type="dxa"/>
            <w:tcBorders>
              <w:top w:val="nil"/>
              <w:left w:val="nil"/>
            </w:tcBorders>
          </w:tcPr>
          <w:p w:rsidR="00D85FAC" w:rsidRPr="00971F3F" w:rsidRDefault="00D85FAC" w:rsidP="00D85FAC">
            <w:pPr>
              <w:pStyle w:val="table1"/>
              <w:spacing w:after="40"/>
            </w:pPr>
            <w:r w:rsidRPr="00971F3F">
              <w:t>3-p log (0.926, 24, &lt;0.0001)</w:t>
            </w:r>
            <w:r w:rsidRPr="003B59F1">
              <w:rPr>
                <w:szCs w:val="0"/>
                <w:u w:color="000000"/>
                <w:vertAlign w:val="superscript"/>
              </w:rPr>
              <w:t>3</w:t>
            </w:r>
          </w:p>
        </w:tc>
      </w:tr>
      <w:tr w:rsidR="00D85FAC" w:rsidRPr="00971F3F" w:rsidTr="00D85FAC">
        <w:tc>
          <w:tcPr>
            <w:tcW w:w="2126" w:type="dxa"/>
          </w:tcPr>
          <w:p w:rsidR="00D85FAC" w:rsidRPr="00971F3F" w:rsidRDefault="00D85FAC" w:rsidP="00D85FAC">
            <w:pPr>
              <w:pStyle w:val="table1"/>
              <w:tabs>
                <w:tab w:val="left" w:pos="177"/>
              </w:tabs>
              <w:spacing w:after="40"/>
            </w:pPr>
          </w:p>
        </w:tc>
        <w:tc>
          <w:tcPr>
            <w:tcW w:w="567" w:type="dxa"/>
          </w:tcPr>
          <w:p w:rsidR="00D85FAC" w:rsidRPr="00971F3F" w:rsidRDefault="00D85FAC" w:rsidP="00D85FAC">
            <w:pPr>
              <w:pStyle w:val="table1"/>
              <w:spacing w:after="40"/>
              <w:jc w:val="center"/>
            </w:pPr>
            <w:r w:rsidRPr="00971F3F">
              <w:t>6.3</w:t>
            </w:r>
            <w:r w:rsidRPr="001E3271">
              <w:rPr>
                <w:szCs w:val="0"/>
                <w:u w:color="000000"/>
                <w:vertAlign w:val="superscript"/>
              </w:rPr>
              <w:t>4</w:t>
            </w:r>
          </w:p>
        </w:tc>
        <w:tc>
          <w:tcPr>
            <w:tcW w:w="1134" w:type="dxa"/>
          </w:tcPr>
          <w:p w:rsidR="00D85FAC" w:rsidRPr="00971F3F" w:rsidRDefault="00D85FAC" w:rsidP="00D85FAC">
            <w:pPr>
              <w:pStyle w:val="table1"/>
              <w:spacing w:after="40"/>
              <w:jc w:val="center"/>
            </w:pPr>
            <w:r w:rsidRPr="00971F3F">
              <w:t>3.2</w:t>
            </w:r>
          </w:p>
        </w:tc>
        <w:tc>
          <w:tcPr>
            <w:tcW w:w="1134" w:type="dxa"/>
          </w:tcPr>
          <w:p w:rsidR="00D85FAC" w:rsidRPr="00971F3F" w:rsidRDefault="00D85FAC" w:rsidP="00D85FAC">
            <w:pPr>
              <w:pStyle w:val="table1"/>
              <w:spacing w:after="40"/>
              <w:jc w:val="center"/>
            </w:pPr>
            <w:r w:rsidRPr="00971F3F">
              <w:t>nr (low)</w:t>
            </w:r>
            <w:r w:rsidRPr="003B59F1">
              <w:rPr>
                <w:szCs w:val="0"/>
                <w:u w:color="000000"/>
                <w:vertAlign w:val="superscript"/>
              </w:rPr>
              <w:t>5</w:t>
            </w:r>
          </w:p>
        </w:tc>
        <w:tc>
          <w:tcPr>
            <w:tcW w:w="1418" w:type="dxa"/>
          </w:tcPr>
          <w:p w:rsidR="00D85FAC" w:rsidRPr="00971F3F" w:rsidRDefault="00D85FAC" w:rsidP="00D85FAC">
            <w:pPr>
              <w:pStyle w:val="table1"/>
              <w:spacing w:after="40"/>
              <w:jc w:val="center"/>
            </w:pPr>
            <w:r w:rsidRPr="00971F3F">
              <w:t>3.4</w:t>
            </w:r>
          </w:p>
        </w:tc>
        <w:tc>
          <w:tcPr>
            <w:tcW w:w="735" w:type="dxa"/>
            <w:tcBorders>
              <w:right w:val="nil"/>
            </w:tcBorders>
          </w:tcPr>
          <w:p w:rsidR="00D85FAC" w:rsidRPr="00971F3F" w:rsidRDefault="00D85FAC" w:rsidP="00D85FAC">
            <w:pPr>
              <w:pStyle w:val="table1"/>
              <w:spacing w:after="40"/>
              <w:jc w:val="center"/>
            </w:pPr>
            <w:r w:rsidRPr="00971F3F">
              <w:t>29</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109 (NOEC)</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166</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134 (130-140)</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161 (156-166)</w:t>
            </w:r>
          </w:p>
        </w:tc>
        <w:tc>
          <w:tcPr>
            <w:tcW w:w="2410" w:type="dxa"/>
            <w:tcBorders>
              <w:left w:val="nil"/>
            </w:tcBorders>
          </w:tcPr>
          <w:p w:rsidR="00D85FAC" w:rsidRPr="00971F3F" w:rsidRDefault="00D85FAC" w:rsidP="00D85FAC">
            <w:pPr>
              <w:pStyle w:val="table1"/>
              <w:spacing w:after="40"/>
            </w:pPr>
            <w:r w:rsidRPr="00971F3F">
              <w:t>3-p log (0.995, 21, &lt;0.0001)</w:t>
            </w:r>
            <w:r w:rsidRPr="003B59F1">
              <w:rPr>
                <w:szCs w:val="0"/>
                <w:u w:color="000000"/>
                <w:vertAlign w:val="superscript"/>
              </w:rPr>
              <w:t>3</w:t>
            </w:r>
          </w:p>
        </w:tc>
      </w:tr>
      <w:tr w:rsidR="00D85FAC" w:rsidRPr="00971F3F" w:rsidTr="00D85FAC">
        <w:tc>
          <w:tcPr>
            <w:tcW w:w="2126" w:type="dxa"/>
            <w:tcBorders>
              <w:bottom w:val="nil"/>
            </w:tcBorders>
          </w:tcPr>
          <w:p w:rsidR="00D85FAC" w:rsidRPr="00971F3F" w:rsidRDefault="00D85FAC" w:rsidP="00D85FAC">
            <w:pPr>
              <w:pStyle w:val="table1"/>
              <w:tabs>
                <w:tab w:val="left" w:pos="177"/>
              </w:tabs>
              <w:spacing w:after="40"/>
            </w:pPr>
          </w:p>
        </w:tc>
        <w:tc>
          <w:tcPr>
            <w:tcW w:w="567" w:type="dxa"/>
            <w:tcBorders>
              <w:bottom w:val="nil"/>
            </w:tcBorders>
          </w:tcPr>
          <w:p w:rsidR="00D85FAC" w:rsidRPr="00971F3F" w:rsidRDefault="00D85FAC" w:rsidP="00D85FAC">
            <w:pPr>
              <w:pStyle w:val="table1"/>
              <w:spacing w:after="40"/>
              <w:jc w:val="center"/>
            </w:pPr>
            <w:r w:rsidRPr="00971F3F">
              <w:t>6.5</w:t>
            </w:r>
            <w:r w:rsidRPr="001E3271">
              <w:rPr>
                <w:szCs w:val="0"/>
                <w:u w:color="000000"/>
                <w:vertAlign w:val="superscript"/>
              </w:rPr>
              <w:t>4</w:t>
            </w:r>
          </w:p>
        </w:tc>
        <w:tc>
          <w:tcPr>
            <w:tcW w:w="1134" w:type="dxa"/>
            <w:tcBorders>
              <w:bottom w:val="nil"/>
            </w:tcBorders>
          </w:tcPr>
          <w:p w:rsidR="00D85FAC" w:rsidRPr="00971F3F" w:rsidRDefault="00D85FAC" w:rsidP="00D85FAC">
            <w:pPr>
              <w:pStyle w:val="table1"/>
              <w:spacing w:after="40"/>
              <w:jc w:val="center"/>
            </w:pPr>
            <w:r w:rsidRPr="00971F3F">
              <w:t>4.7</w:t>
            </w:r>
          </w:p>
        </w:tc>
        <w:tc>
          <w:tcPr>
            <w:tcW w:w="1134" w:type="dxa"/>
            <w:tcBorders>
              <w:bottom w:val="nil"/>
            </w:tcBorders>
          </w:tcPr>
          <w:p w:rsidR="00D85FAC" w:rsidRPr="00971F3F" w:rsidRDefault="00D85FAC" w:rsidP="00D85FAC">
            <w:pPr>
              <w:pStyle w:val="table1"/>
              <w:spacing w:after="40"/>
              <w:jc w:val="center"/>
            </w:pPr>
            <w:r w:rsidRPr="00971F3F">
              <w:t>7</w:t>
            </w:r>
          </w:p>
        </w:tc>
        <w:tc>
          <w:tcPr>
            <w:tcW w:w="1418" w:type="dxa"/>
            <w:tcBorders>
              <w:bottom w:val="nil"/>
            </w:tcBorders>
          </w:tcPr>
          <w:p w:rsidR="00D85FAC" w:rsidRPr="00971F3F" w:rsidRDefault="00D85FAC" w:rsidP="00D85FAC">
            <w:pPr>
              <w:pStyle w:val="table1"/>
              <w:spacing w:after="40"/>
              <w:jc w:val="center"/>
            </w:pPr>
            <w:r w:rsidRPr="00971F3F">
              <w:t>8.1</w:t>
            </w:r>
          </w:p>
        </w:tc>
        <w:tc>
          <w:tcPr>
            <w:tcW w:w="735" w:type="dxa"/>
            <w:tcBorders>
              <w:bottom w:val="nil"/>
              <w:right w:val="nil"/>
            </w:tcBorders>
          </w:tcPr>
          <w:p w:rsidR="00D85FAC" w:rsidRPr="00971F3F" w:rsidRDefault="00D85FAC" w:rsidP="00D85FAC">
            <w:pPr>
              <w:pStyle w:val="table1"/>
              <w:spacing w:after="40"/>
              <w:jc w:val="center"/>
            </w:pPr>
            <w:r w:rsidRPr="00971F3F">
              <w:t>29</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157 (NOEC)</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238</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176 (169-190)</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237 (233-242)</w:t>
            </w:r>
          </w:p>
        </w:tc>
        <w:tc>
          <w:tcPr>
            <w:tcW w:w="2410" w:type="dxa"/>
            <w:tcBorders>
              <w:left w:val="nil"/>
              <w:bottom w:val="nil"/>
            </w:tcBorders>
          </w:tcPr>
          <w:p w:rsidR="00D85FAC" w:rsidRPr="00971F3F" w:rsidRDefault="00D85FAC" w:rsidP="00D85FAC">
            <w:pPr>
              <w:pStyle w:val="table1"/>
              <w:spacing w:after="40"/>
            </w:pPr>
            <w:r w:rsidRPr="00971F3F">
              <w:t>3-p sig (0.963, 24, &lt;0.0001)</w:t>
            </w:r>
          </w:p>
        </w:tc>
      </w:tr>
      <w:tr w:rsidR="00D85FAC" w:rsidRPr="00971F3F" w:rsidTr="00D85FAC">
        <w:tc>
          <w:tcPr>
            <w:tcW w:w="2126" w:type="dxa"/>
            <w:tcBorders>
              <w:top w:val="nil"/>
              <w:bottom w:val="single" w:sz="4" w:space="0" w:color="C0C0C0"/>
            </w:tcBorders>
          </w:tcPr>
          <w:p w:rsidR="00D85FAC" w:rsidRPr="00971F3F" w:rsidRDefault="00D85FAC" w:rsidP="00D85FAC">
            <w:pPr>
              <w:pStyle w:val="table1"/>
              <w:tabs>
                <w:tab w:val="left" w:pos="177"/>
              </w:tabs>
              <w:spacing w:after="40"/>
            </w:pPr>
          </w:p>
        </w:tc>
        <w:tc>
          <w:tcPr>
            <w:tcW w:w="567" w:type="dxa"/>
            <w:tcBorders>
              <w:top w:val="nil"/>
              <w:bottom w:val="single" w:sz="4" w:space="0" w:color="C0C0C0"/>
            </w:tcBorders>
          </w:tcPr>
          <w:p w:rsidR="00D85FAC" w:rsidRPr="00971F3F" w:rsidRDefault="00D85FAC" w:rsidP="00D85FAC">
            <w:pPr>
              <w:pStyle w:val="table1"/>
              <w:spacing w:after="40"/>
              <w:jc w:val="center"/>
            </w:pPr>
            <w:r w:rsidRPr="00971F3F">
              <w:t>6.5</w:t>
            </w:r>
            <w:r w:rsidRPr="001E3271">
              <w:rPr>
                <w:szCs w:val="0"/>
                <w:u w:color="000000"/>
                <w:vertAlign w:val="superscript"/>
              </w:rPr>
              <w:t>4</w:t>
            </w:r>
          </w:p>
        </w:tc>
        <w:tc>
          <w:tcPr>
            <w:tcW w:w="1134" w:type="dxa"/>
            <w:tcBorders>
              <w:top w:val="nil"/>
              <w:bottom w:val="single" w:sz="4" w:space="0" w:color="C0C0C0"/>
            </w:tcBorders>
          </w:tcPr>
          <w:p w:rsidR="00D85FAC" w:rsidRPr="00971F3F" w:rsidRDefault="00D85FAC" w:rsidP="00D85FAC">
            <w:pPr>
              <w:pStyle w:val="table1"/>
              <w:spacing w:after="40"/>
              <w:jc w:val="center"/>
            </w:pPr>
            <w:r w:rsidRPr="00971F3F">
              <w:t>nr (low)</w:t>
            </w:r>
          </w:p>
        </w:tc>
        <w:tc>
          <w:tcPr>
            <w:tcW w:w="1134" w:type="dxa"/>
            <w:tcBorders>
              <w:top w:val="nil"/>
              <w:bottom w:val="single" w:sz="4" w:space="0" w:color="C0C0C0"/>
            </w:tcBorders>
          </w:tcPr>
          <w:p w:rsidR="00D85FAC" w:rsidRPr="00971F3F" w:rsidRDefault="00D85FAC" w:rsidP="00D85FAC">
            <w:pPr>
              <w:pStyle w:val="table1"/>
              <w:spacing w:after="40"/>
              <w:jc w:val="center"/>
            </w:pPr>
            <w:r w:rsidRPr="00971F3F">
              <w:t>&lt;5</w:t>
            </w:r>
          </w:p>
        </w:tc>
        <w:tc>
          <w:tcPr>
            <w:tcW w:w="1418" w:type="dxa"/>
            <w:tcBorders>
              <w:top w:val="nil"/>
              <w:bottom w:val="single" w:sz="4" w:space="0" w:color="C0C0C0"/>
            </w:tcBorders>
          </w:tcPr>
          <w:p w:rsidR="00D85FAC" w:rsidRPr="00971F3F" w:rsidRDefault="00D85FAC" w:rsidP="00D85FAC">
            <w:pPr>
              <w:pStyle w:val="table1"/>
              <w:spacing w:after="40"/>
              <w:jc w:val="center"/>
            </w:pPr>
            <w:r w:rsidRPr="00971F3F">
              <w:t>2.6</w:t>
            </w:r>
          </w:p>
        </w:tc>
        <w:tc>
          <w:tcPr>
            <w:tcW w:w="735" w:type="dxa"/>
            <w:tcBorders>
              <w:top w:val="nil"/>
              <w:bottom w:val="single" w:sz="4" w:space="0" w:color="C0C0C0"/>
              <w:right w:val="nil"/>
            </w:tcBorders>
          </w:tcPr>
          <w:p w:rsidR="00D85FAC" w:rsidRPr="00971F3F" w:rsidRDefault="00D85FAC" w:rsidP="00D85FAC">
            <w:pPr>
              <w:pStyle w:val="table1"/>
              <w:spacing w:after="40"/>
              <w:jc w:val="center"/>
            </w:pPr>
            <w:r w:rsidRPr="00971F3F">
              <w:t>29</w:t>
            </w:r>
          </w:p>
        </w:tc>
        <w:tc>
          <w:tcPr>
            <w:tcW w:w="1391" w:type="dxa"/>
            <w:tcBorders>
              <w:top w:val="nil"/>
              <w:left w:val="nil"/>
              <w:bottom w:val="single" w:sz="4" w:space="0" w:color="C0C0C0"/>
              <w:right w:val="nil"/>
            </w:tcBorders>
          </w:tcPr>
          <w:p w:rsidR="00D85FAC" w:rsidRPr="00971F3F" w:rsidRDefault="00D85FAC" w:rsidP="00D85FAC">
            <w:pPr>
              <w:pStyle w:val="table1"/>
              <w:spacing w:after="40"/>
              <w:jc w:val="center"/>
            </w:pPr>
            <w:r w:rsidRPr="00971F3F">
              <w:t>72 (NOEC)</w:t>
            </w:r>
          </w:p>
        </w:tc>
        <w:tc>
          <w:tcPr>
            <w:tcW w:w="851" w:type="dxa"/>
            <w:tcBorders>
              <w:top w:val="nil"/>
              <w:left w:val="nil"/>
              <w:bottom w:val="single" w:sz="4" w:space="0" w:color="C0C0C0"/>
              <w:right w:val="nil"/>
            </w:tcBorders>
          </w:tcPr>
          <w:p w:rsidR="00D85FAC" w:rsidRPr="00971F3F" w:rsidRDefault="00D85FAC" w:rsidP="00D85FAC">
            <w:pPr>
              <w:pStyle w:val="table1"/>
              <w:spacing w:after="40"/>
              <w:jc w:val="center"/>
            </w:pPr>
            <w:r w:rsidRPr="00971F3F">
              <w:t>137</w:t>
            </w:r>
          </w:p>
        </w:tc>
        <w:tc>
          <w:tcPr>
            <w:tcW w:w="1417" w:type="dxa"/>
            <w:tcBorders>
              <w:top w:val="nil"/>
              <w:left w:val="nil"/>
              <w:bottom w:val="single" w:sz="4" w:space="0" w:color="C0C0C0"/>
              <w:right w:val="nil"/>
            </w:tcBorders>
          </w:tcPr>
          <w:p w:rsidR="00D85FAC" w:rsidRPr="00971F3F" w:rsidRDefault="00D85FAC" w:rsidP="00D85FAC">
            <w:pPr>
              <w:pStyle w:val="table1"/>
              <w:spacing w:after="40"/>
              <w:jc w:val="center"/>
            </w:pPr>
            <w:r w:rsidRPr="00971F3F">
              <w:t>100 (89-108)</w:t>
            </w:r>
          </w:p>
        </w:tc>
        <w:tc>
          <w:tcPr>
            <w:tcW w:w="1276" w:type="dxa"/>
            <w:tcBorders>
              <w:top w:val="nil"/>
              <w:left w:val="nil"/>
              <w:bottom w:val="single" w:sz="4" w:space="0" w:color="C0C0C0"/>
              <w:right w:val="nil"/>
            </w:tcBorders>
          </w:tcPr>
          <w:p w:rsidR="00D85FAC" w:rsidRPr="00971F3F" w:rsidRDefault="00D85FAC" w:rsidP="00D85FAC">
            <w:pPr>
              <w:pStyle w:val="table1"/>
              <w:spacing w:after="40"/>
              <w:jc w:val="center"/>
            </w:pPr>
            <w:r w:rsidRPr="00971F3F">
              <w:t>134 (130-140)</w:t>
            </w:r>
          </w:p>
        </w:tc>
        <w:tc>
          <w:tcPr>
            <w:tcW w:w="2410" w:type="dxa"/>
            <w:tcBorders>
              <w:top w:val="nil"/>
              <w:left w:val="nil"/>
              <w:bottom w:val="single" w:sz="4" w:space="0" w:color="C0C0C0"/>
            </w:tcBorders>
          </w:tcPr>
          <w:p w:rsidR="00D85FAC" w:rsidRPr="00971F3F" w:rsidRDefault="00D85FAC" w:rsidP="00D85FAC">
            <w:pPr>
              <w:pStyle w:val="table1"/>
              <w:spacing w:after="40"/>
            </w:pPr>
            <w:r w:rsidRPr="00971F3F">
              <w:t>3-p sig (0.985, 21, &lt;0.0001)</w:t>
            </w:r>
            <w:r w:rsidRPr="003B59F1">
              <w:rPr>
                <w:szCs w:val="0"/>
                <w:u w:color="000000"/>
                <w:vertAlign w:val="superscript"/>
              </w:rPr>
              <w:t>6</w:t>
            </w:r>
          </w:p>
        </w:tc>
      </w:tr>
      <w:tr w:rsidR="00D85FAC" w:rsidRPr="00971F3F" w:rsidTr="00D85FAC">
        <w:tc>
          <w:tcPr>
            <w:tcW w:w="2126" w:type="dxa"/>
            <w:tcBorders>
              <w:top w:val="single" w:sz="4" w:space="0" w:color="C0C0C0"/>
            </w:tcBorders>
          </w:tcPr>
          <w:p w:rsidR="00D85FAC" w:rsidRPr="00971F3F" w:rsidRDefault="00D85FAC" w:rsidP="00D85FAC">
            <w:pPr>
              <w:pStyle w:val="table1"/>
              <w:tabs>
                <w:tab w:val="left" w:pos="177"/>
              </w:tabs>
              <w:spacing w:after="40"/>
            </w:pPr>
            <w:r>
              <w:tab/>
            </w:r>
            <w:r w:rsidRPr="00971F3F">
              <w:t xml:space="preserve">Trenfield </w:t>
            </w:r>
            <w:r>
              <w:t>et al</w:t>
            </w:r>
            <w:r w:rsidRPr="00971F3F">
              <w:t xml:space="preserve"> </w:t>
            </w:r>
            <w:r>
              <w:t>(2011)</w:t>
            </w:r>
          </w:p>
        </w:tc>
        <w:tc>
          <w:tcPr>
            <w:tcW w:w="567" w:type="dxa"/>
            <w:tcBorders>
              <w:top w:val="single" w:sz="4" w:space="0" w:color="C0C0C0"/>
            </w:tcBorders>
          </w:tcPr>
          <w:p w:rsidR="00D85FAC" w:rsidRPr="00971F3F" w:rsidRDefault="00D85FAC" w:rsidP="00D85FAC">
            <w:pPr>
              <w:pStyle w:val="table1"/>
              <w:spacing w:after="40"/>
              <w:jc w:val="center"/>
            </w:pPr>
            <w:r w:rsidRPr="00971F3F">
              <w:t>6.2</w:t>
            </w:r>
          </w:p>
        </w:tc>
        <w:tc>
          <w:tcPr>
            <w:tcW w:w="1134" w:type="dxa"/>
            <w:tcBorders>
              <w:top w:val="single" w:sz="4" w:space="0" w:color="C0C0C0"/>
            </w:tcBorders>
          </w:tcPr>
          <w:p w:rsidR="00D85FAC" w:rsidRPr="00971F3F" w:rsidRDefault="00D85FAC" w:rsidP="00D85FAC">
            <w:pPr>
              <w:pStyle w:val="table1"/>
              <w:spacing w:after="40"/>
              <w:jc w:val="center"/>
            </w:pPr>
            <w:r w:rsidRPr="00971F3F">
              <w:t>3.6</w:t>
            </w:r>
          </w:p>
        </w:tc>
        <w:tc>
          <w:tcPr>
            <w:tcW w:w="1134" w:type="dxa"/>
            <w:tcBorders>
              <w:top w:val="single" w:sz="4" w:space="0" w:color="C0C0C0"/>
            </w:tcBorders>
          </w:tcPr>
          <w:p w:rsidR="00D85FAC" w:rsidRPr="00971F3F" w:rsidRDefault="00D85FAC" w:rsidP="00D85FAC">
            <w:pPr>
              <w:pStyle w:val="table1"/>
              <w:spacing w:after="40"/>
              <w:jc w:val="center"/>
            </w:pPr>
            <w:r w:rsidRPr="00971F3F">
              <w:t>4.1</w:t>
            </w:r>
          </w:p>
        </w:tc>
        <w:tc>
          <w:tcPr>
            <w:tcW w:w="1418" w:type="dxa"/>
            <w:tcBorders>
              <w:top w:val="single" w:sz="4" w:space="0" w:color="C0C0C0"/>
            </w:tcBorders>
          </w:tcPr>
          <w:p w:rsidR="00D85FAC" w:rsidRPr="00971F3F" w:rsidRDefault="00D85FAC" w:rsidP="00D85FAC">
            <w:pPr>
              <w:pStyle w:val="table1"/>
              <w:spacing w:after="40"/>
              <w:jc w:val="center"/>
            </w:pPr>
            <w:r w:rsidRPr="00971F3F">
              <w:t>0</w:t>
            </w:r>
          </w:p>
        </w:tc>
        <w:tc>
          <w:tcPr>
            <w:tcW w:w="735" w:type="dxa"/>
            <w:tcBorders>
              <w:top w:val="single" w:sz="4" w:space="0" w:color="C0C0C0"/>
              <w:right w:val="nil"/>
            </w:tcBorders>
          </w:tcPr>
          <w:p w:rsidR="00D85FAC" w:rsidRPr="00971F3F" w:rsidRDefault="00D85FAC" w:rsidP="00D85FAC">
            <w:pPr>
              <w:pStyle w:val="table1"/>
              <w:spacing w:after="40"/>
              <w:jc w:val="center"/>
            </w:pPr>
            <w:r w:rsidRPr="00971F3F">
              <w:t>28.5</w:t>
            </w:r>
          </w:p>
        </w:tc>
        <w:tc>
          <w:tcPr>
            <w:tcW w:w="1391" w:type="dxa"/>
            <w:tcBorders>
              <w:top w:val="single" w:sz="4" w:space="0" w:color="C0C0C0"/>
              <w:left w:val="nil"/>
              <w:bottom w:val="nil"/>
              <w:right w:val="nil"/>
            </w:tcBorders>
          </w:tcPr>
          <w:p w:rsidR="00D85FAC" w:rsidRPr="00971F3F" w:rsidRDefault="00D85FAC" w:rsidP="00D85FAC">
            <w:pPr>
              <w:pStyle w:val="table1"/>
              <w:spacing w:after="40"/>
              <w:jc w:val="center"/>
            </w:pPr>
            <w:r w:rsidRPr="00971F3F">
              <w:t>nr</w:t>
            </w:r>
          </w:p>
        </w:tc>
        <w:tc>
          <w:tcPr>
            <w:tcW w:w="851" w:type="dxa"/>
            <w:tcBorders>
              <w:top w:val="single" w:sz="4" w:space="0" w:color="C0C0C0"/>
              <w:left w:val="nil"/>
              <w:bottom w:val="nil"/>
              <w:right w:val="nil"/>
            </w:tcBorders>
          </w:tcPr>
          <w:p w:rsidR="00D85FAC" w:rsidRPr="00971F3F" w:rsidRDefault="00D85FAC" w:rsidP="00D85FAC">
            <w:pPr>
              <w:pStyle w:val="table1"/>
              <w:spacing w:after="40"/>
              <w:jc w:val="center"/>
            </w:pPr>
            <w:r w:rsidRPr="00971F3F">
              <w:t>38</w:t>
            </w:r>
          </w:p>
        </w:tc>
        <w:tc>
          <w:tcPr>
            <w:tcW w:w="1417" w:type="dxa"/>
            <w:tcBorders>
              <w:top w:val="single" w:sz="4" w:space="0" w:color="C0C0C0"/>
              <w:left w:val="nil"/>
              <w:bottom w:val="nil"/>
              <w:right w:val="nil"/>
            </w:tcBorders>
          </w:tcPr>
          <w:p w:rsidR="00D85FAC" w:rsidRPr="00971F3F" w:rsidRDefault="00D85FAC" w:rsidP="00D85FAC">
            <w:pPr>
              <w:pStyle w:val="table1"/>
              <w:spacing w:after="40"/>
              <w:jc w:val="center"/>
            </w:pPr>
            <w:r w:rsidRPr="00971F3F">
              <w:t>14 (</w:t>
            </w:r>
            <w:r w:rsidRPr="001E3271">
              <w:t>nc</w:t>
            </w:r>
            <w:r w:rsidRPr="001E3271">
              <w:rPr>
                <w:szCs w:val="0"/>
                <w:u w:color="000000"/>
                <w:vertAlign w:val="superscript"/>
              </w:rPr>
              <w:t>7</w:t>
            </w:r>
            <w:r w:rsidRPr="00971F3F">
              <w:t>-23)</w:t>
            </w:r>
          </w:p>
        </w:tc>
        <w:tc>
          <w:tcPr>
            <w:tcW w:w="1276" w:type="dxa"/>
            <w:tcBorders>
              <w:top w:val="single" w:sz="4" w:space="0" w:color="C0C0C0"/>
              <w:left w:val="nil"/>
              <w:bottom w:val="nil"/>
              <w:right w:val="nil"/>
            </w:tcBorders>
          </w:tcPr>
          <w:p w:rsidR="00D85FAC" w:rsidRPr="00971F3F" w:rsidRDefault="00D85FAC" w:rsidP="00D85FAC">
            <w:pPr>
              <w:pStyle w:val="table1"/>
              <w:spacing w:after="40"/>
              <w:jc w:val="center"/>
            </w:pPr>
            <w:r w:rsidRPr="00971F3F">
              <w:t>38 (32-43)</w:t>
            </w:r>
          </w:p>
        </w:tc>
        <w:tc>
          <w:tcPr>
            <w:tcW w:w="2410" w:type="dxa"/>
            <w:tcBorders>
              <w:top w:val="single" w:sz="4" w:space="0" w:color="C0C0C0"/>
              <w:left w:val="nil"/>
            </w:tcBorders>
          </w:tcPr>
          <w:p w:rsidR="00D85FAC" w:rsidRPr="00971F3F" w:rsidRDefault="00D85FAC" w:rsidP="00D85FAC">
            <w:pPr>
              <w:pStyle w:val="table1"/>
              <w:spacing w:after="40"/>
            </w:pPr>
            <w:r w:rsidRPr="00971F3F">
              <w:t>3-p sig (0.943, 12, &lt;0.0001)</w:t>
            </w:r>
          </w:p>
        </w:tc>
      </w:tr>
      <w:tr w:rsidR="00D85FAC" w:rsidRPr="00971F3F" w:rsidTr="00D85FAC">
        <w:tc>
          <w:tcPr>
            <w:tcW w:w="2126" w:type="dxa"/>
          </w:tcPr>
          <w:p w:rsidR="00D85FAC" w:rsidRPr="00971F3F" w:rsidRDefault="00D85FAC" w:rsidP="00D85FAC">
            <w:pPr>
              <w:pStyle w:val="table1"/>
              <w:tabs>
                <w:tab w:val="left" w:pos="177"/>
              </w:tabs>
              <w:spacing w:after="40"/>
            </w:pPr>
          </w:p>
        </w:tc>
        <w:tc>
          <w:tcPr>
            <w:tcW w:w="567" w:type="dxa"/>
          </w:tcPr>
          <w:p w:rsidR="00D85FAC" w:rsidRPr="00971F3F" w:rsidRDefault="00D85FAC" w:rsidP="00D85FAC">
            <w:pPr>
              <w:pStyle w:val="table1"/>
              <w:spacing w:after="40"/>
              <w:jc w:val="center"/>
            </w:pPr>
            <w:r w:rsidRPr="00971F3F">
              <w:t>6.2</w:t>
            </w:r>
          </w:p>
        </w:tc>
        <w:tc>
          <w:tcPr>
            <w:tcW w:w="1134" w:type="dxa"/>
          </w:tcPr>
          <w:p w:rsidR="00D85FAC" w:rsidRPr="00971F3F" w:rsidRDefault="00D85FAC" w:rsidP="00D85FAC">
            <w:pPr>
              <w:pStyle w:val="table1"/>
              <w:spacing w:after="40"/>
              <w:jc w:val="center"/>
            </w:pPr>
            <w:r w:rsidRPr="00971F3F">
              <w:t>3.6</w:t>
            </w:r>
          </w:p>
        </w:tc>
        <w:tc>
          <w:tcPr>
            <w:tcW w:w="1134" w:type="dxa"/>
          </w:tcPr>
          <w:p w:rsidR="00D85FAC" w:rsidRPr="00971F3F" w:rsidRDefault="00D85FAC" w:rsidP="00D85FAC">
            <w:pPr>
              <w:pStyle w:val="table1"/>
              <w:spacing w:after="40"/>
              <w:jc w:val="center"/>
            </w:pPr>
            <w:r w:rsidRPr="00971F3F">
              <w:t>4.1</w:t>
            </w:r>
          </w:p>
        </w:tc>
        <w:tc>
          <w:tcPr>
            <w:tcW w:w="1418" w:type="dxa"/>
          </w:tcPr>
          <w:p w:rsidR="00D85FAC" w:rsidRPr="00971F3F" w:rsidRDefault="00D85FAC" w:rsidP="00D85FAC">
            <w:pPr>
              <w:pStyle w:val="table1"/>
              <w:spacing w:after="40"/>
              <w:jc w:val="center"/>
            </w:pPr>
            <w:r w:rsidRPr="00971F3F">
              <w:t>1.0</w:t>
            </w:r>
          </w:p>
        </w:tc>
        <w:tc>
          <w:tcPr>
            <w:tcW w:w="735" w:type="dxa"/>
            <w:tcBorders>
              <w:right w:val="nil"/>
            </w:tcBorders>
          </w:tcPr>
          <w:p w:rsidR="00D85FAC" w:rsidRPr="00971F3F" w:rsidRDefault="00D85FAC" w:rsidP="00D85FAC">
            <w:pPr>
              <w:pStyle w:val="table1"/>
              <w:spacing w:after="40"/>
              <w:jc w:val="center"/>
            </w:pPr>
            <w:r w:rsidRPr="00971F3F">
              <w:t>28.5</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nr</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124</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58 (nc-90)</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98 (68-123)</w:t>
            </w:r>
          </w:p>
        </w:tc>
        <w:tc>
          <w:tcPr>
            <w:tcW w:w="2410" w:type="dxa"/>
            <w:tcBorders>
              <w:left w:val="nil"/>
            </w:tcBorders>
          </w:tcPr>
          <w:p w:rsidR="00D85FAC" w:rsidRPr="00971F3F" w:rsidRDefault="00D85FAC" w:rsidP="00D85FAC">
            <w:pPr>
              <w:pStyle w:val="table1"/>
              <w:spacing w:after="40"/>
            </w:pPr>
            <w:r w:rsidRPr="00971F3F">
              <w:t>3-p log (0.694, 12, 0.0020)</w:t>
            </w:r>
          </w:p>
        </w:tc>
      </w:tr>
      <w:tr w:rsidR="00D85FAC" w:rsidRPr="00971F3F" w:rsidTr="00D85FAC">
        <w:tc>
          <w:tcPr>
            <w:tcW w:w="2126" w:type="dxa"/>
          </w:tcPr>
          <w:p w:rsidR="00D85FAC" w:rsidRPr="00971F3F" w:rsidRDefault="00D85FAC" w:rsidP="00D85FAC">
            <w:pPr>
              <w:pStyle w:val="table1"/>
              <w:tabs>
                <w:tab w:val="left" w:pos="177"/>
              </w:tabs>
              <w:spacing w:after="40"/>
            </w:pPr>
          </w:p>
        </w:tc>
        <w:tc>
          <w:tcPr>
            <w:tcW w:w="567" w:type="dxa"/>
          </w:tcPr>
          <w:p w:rsidR="00D85FAC" w:rsidRPr="00971F3F" w:rsidRDefault="00D85FAC" w:rsidP="00D85FAC">
            <w:pPr>
              <w:pStyle w:val="table1"/>
              <w:spacing w:after="40"/>
              <w:jc w:val="center"/>
            </w:pPr>
            <w:r w:rsidRPr="00971F3F">
              <w:t>6.2</w:t>
            </w:r>
          </w:p>
        </w:tc>
        <w:tc>
          <w:tcPr>
            <w:tcW w:w="1134" w:type="dxa"/>
          </w:tcPr>
          <w:p w:rsidR="00D85FAC" w:rsidRPr="00971F3F" w:rsidRDefault="00D85FAC" w:rsidP="00D85FAC">
            <w:pPr>
              <w:pStyle w:val="table1"/>
              <w:spacing w:after="40"/>
              <w:jc w:val="center"/>
            </w:pPr>
            <w:r w:rsidRPr="00971F3F">
              <w:t>3.6</w:t>
            </w:r>
          </w:p>
        </w:tc>
        <w:tc>
          <w:tcPr>
            <w:tcW w:w="1134" w:type="dxa"/>
          </w:tcPr>
          <w:p w:rsidR="00D85FAC" w:rsidRPr="00971F3F" w:rsidRDefault="00D85FAC" w:rsidP="00D85FAC">
            <w:pPr>
              <w:pStyle w:val="table1"/>
              <w:spacing w:after="40"/>
              <w:jc w:val="center"/>
            </w:pPr>
            <w:r w:rsidRPr="00971F3F">
              <w:t>4.1</w:t>
            </w:r>
          </w:p>
        </w:tc>
        <w:tc>
          <w:tcPr>
            <w:tcW w:w="1418" w:type="dxa"/>
          </w:tcPr>
          <w:p w:rsidR="00D85FAC" w:rsidRPr="00971F3F" w:rsidRDefault="00D85FAC" w:rsidP="00D85FAC">
            <w:pPr>
              <w:pStyle w:val="table1"/>
              <w:spacing w:after="40"/>
              <w:jc w:val="center"/>
            </w:pPr>
            <w:r w:rsidRPr="00971F3F">
              <w:t>5.1</w:t>
            </w:r>
          </w:p>
        </w:tc>
        <w:tc>
          <w:tcPr>
            <w:tcW w:w="735" w:type="dxa"/>
            <w:tcBorders>
              <w:right w:val="nil"/>
            </w:tcBorders>
          </w:tcPr>
          <w:p w:rsidR="00D85FAC" w:rsidRPr="00971F3F" w:rsidRDefault="00D85FAC" w:rsidP="00D85FAC">
            <w:pPr>
              <w:pStyle w:val="table1"/>
              <w:spacing w:after="40"/>
              <w:jc w:val="center"/>
            </w:pPr>
            <w:r w:rsidRPr="00971F3F">
              <w:t>28.5</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nr</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256</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129 (nc-173)</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237 (215-259)</w:t>
            </w:r>
          </w:p>
        </w:tc>
        <w:tc>
          <w:tcPr>
            <w:tcW w:w="2410" w:type="dxa"/>
            <w:tcBorders>
              <w:left w:val="nil"/>
            </w:tcBorders>
          </w:tcPr>
          <w:p w:rsidR="00D85FAC" w:rsidRPr="00971F3F" w:rsidRDefault="00D85FAC" w:rsidP="00D85FAC">
            <w:pPr>
              <w:pStyle w:val="table1"/>
              <w:spacing w:after="40"/>
            </w:pPr>
            <w:r w:rsidRPr="00971F3F">
              <w:t>3-p sig (0.931, 12, &lt;0.0001)</w:t>
            </w:r>
          </w:p>
        </w:tc>
      </w:tr>
      <w:tr w:rsidR="00D85FAC" w:rsidRPr="00971F3F" w:rsidTr="00D85FAC">
        <w:tc>
          <w:tcPr>
            <w:tcW w:w="2126" w:type="dxa"/>
          </w:tcPr>
          <w:p w:rsidR="00D85FAC" w:rsidRPr="00971F3F" w:rsidRDefault="00D85FAC" w:rsidP="00D85FAC">
            <w:pPr>
              <w:pStyle w:val="table1"/>
              <w:tabs>
                <w:tab w:val="left" w:pos="177"/>
              </w:tabs>
              <w:spacing w:after="40"/>
            </w:pPr>
          </w:p>
        </w:tc>
        <w:tc>
          <w:tcPr>
            <w:tcW w:w="567" w:type="dxa"/>
          </w:tcPr>
          <w:p w:rsidR="00D85FAC" w:rsidRPr="00971F3F" w:rsidRDefault="00D85FAC" w:rsidP="00D85FAC">
            <w:pPr>
              <w:pStyle w:val="table1"/>
              <w:spacing w:after="40"/>
              <w:jc w:val="center"/>
            </w:pPr>
            <w:r w:rsidRPr="00971F3F">
              <w:t>6.2</w:t>
            </w:r>
          </w:p>
        </w:tc>
        <w:tc>
          <w:tcPr>
            <w:tcW w:w="1134" w:type="dxa"/>
          </w:tcPr>
          <w:p w:rsidR="00D85FAC" w:rsidRPr="00971F3F" w:rsidRDefault="00D85FAC" w:rsidP="00D85FAC">
            <w:pPr>
              <w:pStyle w:val="table1"/>
              <w:spacing w:after="40"/>
              <w:jc w:val="center"/>
            </w:pPr>
            <w:r w:rsidRPr="00971F3F">
              <w:t>3.6</w:t>
            </w:r>
          </w:p>
        </w:tc>
        <w:tc>
          <w:tcPr>
            <w:tcW w:w="1134" w:type="dxa"/>
          </w:tcPr>
          <w:p w:rsidR="00D85FAC" w:rsidRPr="00971F3F" w:rsidRDefault="00D85FAC" w:rsidP="00D85FAC">
            <w:pPr>
              <w:pStyle w:val="table1"/>
              <w:spacing w:after="40"/>
              <w:jc w:val="center"/>
            </w:pPr>
            <w:r w:rsidRPr="00971F3F">
              <w:t>4.1</w:t>
            </w:r>
          </w:p>
        </w:tc>
        <w:tc>
          <w:tcPr>
            <w:tcW w:w="1418" w:type="dxa"/>
          </w:tcPr>
          <w:p w:rsidR="00D85FAC" w:rsidRPr="00971F3F" w:rsidRDefault="00D85FAC" w:rsidP="00D85FAC">
            <w:pPr>
              <w:pStyle w:val="table1"/>
              <w:spacing w:after="40"/>
              <w:jc w:val="center"/>
            </w:pPr>
            <w:r w:rsidRPr="00971F3F">
              <w:t>10.2</w:t>
            </w:r>
          </w:p>
        </w:tc>
        <w:tc>
          <w:tcPr>
            <w:tcW w:w="735" w:type="dxa"/>
            <w:tcBorders>
              <w:right w:val="nil"/>
            </w:tcBorders>
          </w:tcPr>
          <w:p w:rsidR="00D85FAC" w:rsidRPr="00971F3F" w:rsidRDefault="00D85FAC" w:rsidP="00D85FAC">
            <w:pPr>
              <w:pStyle w:val="table1"/>
              <w:spacing w:after="40"/>
              <w:jc w:val="center"/>
            </w:pPr>
            <w:r w:rsidRPr="00971F3F">
              <w:t>28.5</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nr</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468</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196 (nc-278)</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396 (323-487)</w:t>
            </w:r>
          </w:p>
        </w:tc>
        <w:tc>
          <w:tcPr>
            <w:tcW w:w="2410" w:type="dxa"/>
            <w:tcBorders>
              <w:left w:val="nil"/>
            </w:tcBorders>
          </w:tcPr>
          <w:p w:rsidR="00D85FAC" w:rsidRPr="00971F3F" w:rsidRDefault="00D85FAC" w:rsidP="00D85FAC">
            <w:pPr>
              <w:pStyle w:val="table1"/>
              <w:spacing w:after="40"/>
            </w:pPr>
            <w:r w:rsidRPr="00971F3F">
              <w:t>3-p log (0.891, 12, &lt;0.0001)</w:t>
            </w:r>
          </w:p>
        </w:tc>
      </w:tr>
      <w:tr w:rsidR="00D85FAC" w:rsidRPr="00971F3F" w:rsidTr="00D85FAC">
        <w:tc>
          <w:tcPr>
            <w:tcW w:w="2126" w:type="dxa"/>
          </w:tcPr>
          <w:p w:rsidR="00D85FAC" w:rsidRPr="00971F3F" w:rsidRDefault="00D85FAC" w:rsidP="00D85FAC">
            <w:pPr>
              <w:pStyle w:val="table1"/>
              <w:tabs>
                <w:tab w:val="left" w:pos="177"/>
              </w:tabs>
              <w:spacing w:after="40"/>
            </w:pPr>
          </w:p>
        </w:tc>
        <w:tc>
          <w:tcPr>
            <w:tcW w:w="567" w:type="dxa"/>
          </w:tcPr>
          <w:p w:rsidR="00D85FAC" w:rsidRPr="00971F3F" w:rsidRDefault="00D85FAC" w:rsidP="00D85FAC">
            <w:pPr>
              <w:pStyle w:val="table1"/>
              <w:spacing w:after="40"/>
              <w:jc w:val="center"/>
            </w:pPr>
            <w:r w:rsidRPr="00971F3F">
              <w:t>6.2</w:t>
            </w:r>
          </w:p>
        </w:tc>
        <w:tc>
          <w:tcPr>
            <w:tcW w:w="1134" w:type="dxa"/>
          </w:tcPr>
          <w:p w:rsidR="00D85FAC" w:rsidRPr="00971F3F" w:rsidRDefault="00D85FAC" w:rsidP="00D85FAC">
            <w:pPr>
              <w:pStyle w:val="table1"/>
              <w:spacing w:after="40"/>
              <w:jc w:val="center"/>
            </w:pPr>
            <w:r w:rsidRPr="00971F3F">
              <w:t>3.6</w:t>
            </w:r>
          </w:p>
        </w:tc>
        <w:tc>
          <w:tcPr>
            <w:tcW w:w="1134" w:type="dxa"/>
          </w:tcPr>
          <w:p w:rsidR="00D85FAC" w:rsidRPr="00971F3F" w:rsidRDefault="00D85FAC" w:rsidP="00D85FAC">
            <w:pPr>
              <w:pStyle w:val="table1"/>
              <w:spacing w:after="40"/>
              <w:jc w:val="center"/>
            </w:pPr>
            <w:r w:rsidRPr="00971F3F">
              <w:t>4.1</w:t>
            </w:r>
          </w:p>
        </w:tc>
        <w:tc>
          <w:tcPr>
            <w:tcW w:w="1418" w:type="dxa"/>
          </w:tcPr>
          <w:p w:rsidR="00D85FAC" w:rsidRPr="00971F3F" w:rsidRDefault="00D85FAC" w:rsidP="00D85FAC">
            <w:pPr>
              <w:pStyle w:val="table1"/>
              <w:spacing w:after="40"/>
              <w:jc w:val="center"/>
            </w:pPr>
            <w:r w:rsidRPr="00971F3F">
              <w:t>20.4</w:t>
            </w:r>
          </w:p>
        </w:tc>
        <w:tc>
          <w:tcPr>
            <w:tcW w:w="735" w:type="dxa"/>
            <w:tcBorders>
              <w:right w:val="nil"/>
            </w:tcBorders>
          </w:tcPr>
          <w:p w:rsidR="00D85FAC" w:rsidRPr="00971F3F" w:rsidRDefault="00D85FAC" w:rsidP="00D85FAC">
            <w:pPr>
              <w:pStyle w:val="table1"/>
              <w:spacing w:after="40"/>
              <w:jc w:val="center"/>
            </w:pPr>
            <w:r w:rsidRPr="00971F3F">
              <w:t>28.5</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nr</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744</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197 (nc-400)</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515 (310-726)</w:t>
            </w:r>
          </w:p>
        </w:tc>
        <w:tc>
          <w:tcPr>
            <w:tcW w:w="2410" w:type="dxa"/>
            <w:tcBorders>
              <w:left w:val="nil"/>
            </w:tcBorders>
          </w:tcPr>
          <w:p w:rsidR="00D85FAC" w:rsidRPr="00971F3F" w:rsidRDefault="00D85FAC" w:rsidP="00D85FAC">
            <w:pPr>
              <w:pStyle w:val="table1"/>
              <w:spacing w:after="40"/>
            </w:pPr>
            <w:r w:rsidRPr="00971F3F">
              <w:t>3-p log (0.699, 12, 0.0018)</w:t>
            </w:r>
          </w:p>
        </w:tc>
      </w:tr>
      <w:tr w:rsidR="00D85FAC" w:rsidRPr="00971F3F" w:rsidTr="00D85FAC">
        <w:tc>
          <w:tcPr>
            <w:tcW w:w="2126" w:type="dxa"/>
          </w:tcPr>
          <w:p w:rsidR="00D85FAC" w:rsidRPr="00971F3F" w:rsidRDefault="00D85FAC" w:rsidP="00D85FAC">
            <w:pPr>
              <w:pStyle w:val="table1"/>
              <w:tabs>
                <w:tab w:val="left" w:pos="177"/>
              </w:tabs>
              <w:spacing w:after="40"/>
            </w:pPr>
          </w:p>
        </w:tc>
        <w:tc>
          <w:tcPr>
            <w:tcW w:w="567" w:type="dxa"/>
          </w:tcPr>
          <w:p w:rsidR="00D85FAC" w:rsidRPr="00971F3F" w:rsidRDefault="00D85FAC" w:rsidP="00D85FAC">
            <w:pPr>
              <w:pStyle w:val="table1"/>
              <w:spacing w:after="40"/>
              <w:jc w:val="center"/>
            </w:pPr>
            <w:r w:rsidRPr="00971F3F">
              <w:t>6.0</w:t>
            </w:r>
          </w:p>
        </w:tc>
        <w:tc>
          <w:tcPr>
            <w:tcW w:w="1134" w:type="dxa"/>
          </w:tcPr>
          <w:p w:rsidR="00D85FAC" w:rsidRPr="00971F3F" w:rsidRDefault="00D85FAC" w:rsidP="00D85FAC">
            <w:pPr>
              <w:pStyle w:val="table1"/>
              <w:spacing w:after="40"/>
              <w:jc w:val="center"/>
            </w:pPr>
            <w:r w:rsidRPr="00971F3F">
              <w:t>4.6</w:t>
            </w:r>
          </w:p>
        </w:tc>
        <w:tc>
          <w:tcPr>
            <w:tcW w:w="1134" w:type="dxa"/>
          </w:tcPr>
          <w:p w:rsidR="00D85FAC" w:rsidRPr="00971F3F" w:rsidRDefault="00D85FAC" w:rsidP="00D85FAC">
            <w:pPr>
              <w:pStyle w:val="table1"/>
              <w:spacing w:after="40"/>
              <w:jc w:val="center"/>
            </w:pPr>
            <w:r w:rsidRPr="00971F3F">
              <w:t>4.5</w:t>
            </w:r>
          </w:p>
        </w:tc>
        <w:tc>
          <w:tcPr>
            <w:tcW w:w="1418" w:type="dxa"/>
          </w:tcPr>
          <w:p w:rsidR="00D85FAC" w:rsidRPr="00971F3F" w:rsidRDefault="00D85FAC" w:rsidP="00D85FAC">
            <w:pPr>
              <w:pStyle w:val="table1"/>
              <w:spacing w:after="40"/>
              <w:jc w:val="center"/>
            </w:pPr>
            <w:r w:rsidRPr="00971F3F">
              <w:t>0</w:t>
            </w:r>
          </w:p>
        </w:tc>
        <w:tc>
          <w:tcPr>
            <w:tcW w:w="735" w:type="dxa"/>
            <w:tcBorders>
              <w:right w:val="nil"/>
            </w:tcBorders>
          </w:tcPr>
          <w:p w:rsidR="00D85FAC" w:rsidRPr="00971F3F" w:rsidRDefault="00D85FAC" w:rsidP="00D85FAC">
            <w:pPr>
              <w:pStyle w:val="table1"/>
              <w:spacing w:after="40"/>
              <w:jc w:val="center"/>
            </w:pPr>
            <w:r w:rsidRPr="00971F3F">
              <w:t>28.5</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nr</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13</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3.8 (nc-7.3)</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11 (7.5-11)</w:t>
            </w:r>
          </w:p>
        </w:tc>
        <w:tc>
          <w:tcPr>
            <w:tcW w:w="2410" w:type="dxa"/>
            <w:tcBorders>
              <w:left w:val="nil"/>
            </w:tcBorders>
          </w:tcPr>
          <w:p w:rsidR="00D85FAC" w:rsidRPr="00971F3F" w:rsidRDefault="00D85FAC" w:rsidP="00D85FAC">
            <w:pPr>
              <w:pStyle w:val="table1"/>
              <w:spacing w:after="40"/>
            </w:pPr>
            <w:r w:rsidRPr="00971F3F">
              <w:t>3-p log (0.921, 10, &lt;0.0001)</w:t>
            </w:r>
          </w:p>
        </w:tc>
      </w:tr>
      <w:tr w:rsidR="00D85FAC" w:rsidRPr="00971F3F" w:rsidTr="00D85FAC">
        <w:tc>
          <w:tcPr>
            <w:tcW w:w="2126" w:type="dxa"/>
          </w:tcPr>
          <w:p w:rsidR="00D85FAC" w:rsidRPr="00971F3F" w:rsidRDefault="00D85FAC" w:rsidP="00D85FAC">
            <w:pPr>
              <w:pStyle w:val="table1"/>
              <w:tabs>
                <w:tab w:val="left" w:pos="177"/>
              </w:tabs>
              <w:spacing w:after="40"/>
            </w:pPr>
          </w:p>
        </w:tc>
        <w:tc>
          <w:tcPr>
            <w:tcW w:w="567" w:type="dxa"/>
          </w:tcPr>
          <w:p w:rsidR="00D85FAC" w:rsidRPr="00971F3F" w:rsidRDefault="00D85FAC" w:rsidP="00D85FAC">
            <w:pPr>
              <w:pStyle w:val="table1"/>
              <w:spacing w:after="40"/>
              <w:jc w:val="center"/>
            </w:pPr>
            <w:r w:rsidRPr="00971F3F">
              <w:t>6.0</w:t>
            </w:r>
          </w:p>
        </w:tc>
        <w:tc>
          <w:tcPr>
            <w:tcW w:w="1134" w:type="dxa"/>
          </w:tcPr>
          <w:p w:rsidR="00D85FAC" w:rsidRPr="00971F3F" w:rsidRDefault="00D85FAC" w:rsidP="00D85FAC">
            <w:pPr>
              <w:pStyle w:val="table1"/>
              <w:spacing w:after="40"/>
              <w:jc w:val="center"/>
            </w:pPr>
            <w:r w:rsidRPr="00971F3F">
              <w:t>4.6</w:t>
            </w:r>
          </w:p>
        </w:tc>
        <w:tc>
          <w:tcPr>
            <w:tcW w:w="1134" w:type="dxa"/>
          </w:tcPr>
          <w:p w:rsidR="00D85FAC" w:rsidRPr="00971F3F" w:rsidRDefault="00D85FAC" w:rsidP="00D85FAC">
            <w:pPr>
              <w:pStyle w:val="table1"/>
              <w:spacing w:after="40"/>
              <w:jc w:val="center"/>
            </w:pPr>
            <w:r w:rsidRPr="00971F3F">
              <w:t>4.5</w:t>
            </w:r>
          </w:p>
        </w:tc>
        <w:tc>
          <w:tcPr>
            <w:tcW w:w="1418" w:type="dxa"/>
          </w:tcPr>
          <w:p w:rsidR="00D85FAC" w:rsidRPr="00971F3F" w:rsidRDefault="00D85FAC" w:rsidP="00D85FAC">
            <w:pPr>
              <w:pStyle w:val="table1"/>
              <w:spacing w:after="40"/>
              <w:jc w:val="center"/>
            </w:pPr>
            <w:r w:rsidRPr="00971F3F">
              <w:t>1.0</w:t>
            </w:r>
          </w:p>
        </w:tc>
        <w:tc>
          <w:tcPr>
            <w:tcW w:w="735" w:type="dxa"/>
            <w:tcBorders>
              <w:right w:val="nil"/>
            </w:tcBorders>
          </w:tcPr>
          <w:p w:rsidR="00D85FAC" w:rsidRPr="00971F3F" w:rsidRDefault="00D85FAC" w:rsidP="00D85FAC">
            <w:pPr>
              <w:pStyle w:val="table1"/>
              <w:spacing w:after="40"/>
              <w:jc w:val="center"/>
            </w:pPr>
            <w:r w:rsidRPr="00971F3F">
              <w:t>28.5</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nr</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35</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18 (16-20)</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34 (33-35)</w:t>
            </w:r>
          </w:p>
        </w:tc>
        <w:tc>
          <w:tcPr>
            <w:tcW w:w="2410" w:type="dxa"/>
            <w:tcBorders>
              <w:left w:val="nil"/>
            </w:tcBorders>
          </w:tcPr>
          <w:p w:rsidR="00D85FAC" w:rsidRPr="00971F3F" w:rsidRDefault="00D85FAC" w:rsidP="00D85FAC">
            <w:pPr>
              <w:pStyle w:val="table1"/>
              <w:spacing w:after="40"/>
            </w:pPr>
            <w:r w:rsidRPr="00971F3F">
              <w:t>3-p log (0.997, 10, &lt;0.0001)</w:t>
            </w:r>
          </w:p>
        </w:tc>
      </w:tr>
      <w:tr w:rsidR="00D85FAC" w:rsidRPr="00971F3F" w:rsidTr="00D85FAC">
        <w:tc>
          <w:tcPr>
            <w:tcW w:w="2126" w:type="dxa"/>
            <w:tcBorders>
              <w:bottom w:val="nil"/>
            </w:tcBorders>
          </w:tcPr>
          <w:p w:rsidR="00D85FAC" w:rsidRPr="00971F3F" w:rsidRDefault="00D85FAC" w:rsidP="00D85FAC">
            <w:pPr>
              <w:pStyle w:val="table1"/>
              <w:tabs>
                <w:tab w:val="left" w:pos="177"/>
              </w:tabs>
              <w:spacing w:after="40"/>
            </w:pPr>
          </w:p>
        </w:tc>
        <w:tc>
          <w:tcPr>
            <w:tcW w:w="567" w:type="dxa"/>
            <w:tcBorders>
              <w:bottom w:val="nil"/>
            </w:tcBorders>
          </w:tcPr>
          <w:p w:rsidR="00D85FAC" w:rsidRPr="00971F3F" w:rsidRDefault="00D85FAC" w:rsidP="00D85FAC">
            <w:pPr>
              <w:pStyle w:val="table1"/>
              <w:spacing w:after="40"/>
              <w:jc w:val="center"/>
            </w:pPr>
            <w:r w:rsidRPr="00971F3F">
              <w:t>6.0</w:t>
            </w:r>
          </w:p>
        </w:tc>
        <w:tc>
          <w:tcPr>
            <w:tcW w:w="1134" w:type="dxa"/>
            <w:tcBorders>
              <w:bottom w:val="nil"/>
            </w:tcBorders>
          </w:tcPr>
          <w:p w:rsidR="00D85FAC" w:rsidRPr="00971F3F" w:rsidRDefault="00D85FAC" w:rsidP="00D85FAC">
            <w:pPr>
              <w:pStyle w:val="table1"/>
              <w:spacing w:after="40"/>
              <w:jc w:val="center"/>
            </w:pPr>
            <w:r w:rsidRPr="00971F3F">
              <w:t>4.6</w:t>
            </w:r>
          </w:p>
        </w:tc>
        <w:tc>
          <w:tcPr>
            <w:tcW w:w="1134" w:type="dxa"/>
            <w:tcBorders>
              <w:bottom w:val="nil"/>
            </w:tcBorders>
          </w:tcPr>
          <w:p w:rsidR="00D85FAC" w:rsidRPr="00971F3F" w:rsidRDefault="00D85FAC" w:rsidP="00D85FAC">
            <w:pPr>
              <w:pStyle w:val="table1"/>
              <w:spacing w:after="40"/>
              <w:jc w:val="center"/>
            </w:pPr>
            <w:r w:rsidRPr="00971F3F">
              <w:t>4.5</w:t>
            </w:r>
          </w:p>
        </w:tc>
        <w:tc>
          <w:tcPr>
            <w:tcW w:w="1418" w:type="dxa"/>
            <w:tcBorders>
              <w:bottom w:val="nil"/>
            </w:tcBorders>
          </w:tcPr>
          <w:p w:rsidR="00D85FAC" w:rsidRPr="00971F3F" w:rsidRDefault="00D85FAC" w:rsidP="00D85FAC">
            <w:pPr>
              <w:pStyle w:val="table1"/>
              <w:spacing w:after="40"/>
              <w:jc w:val="center"/>
            </w:pPr>
            <w:r w:rsidRPr="00971F3F">
              <w:t>4.7</w:t>
            </w:r>
          </w:p>
        </w:tc>
        <w:tc>
          <w:tcPr>
            <w:tcW w:w="735" w:type="dxa"/>
            <w:tcBorders>
              <w:bottom w:val="nil"/>
              <w:right w:val="nil"/>
            </w:tcBorders>
          </w:tcPr>
          <w:p w:rsidR="00D85FAC" w:rsidRPr="00971F3F" w:rsidRDefault="00D85FAC" w:rsidP="00D85FAC">
            <w:pPr>
              <w:pStyle w:val="table1"/>
              <w:spacing w:after="40"/>
              <w:jc w:val="center"/>
            </w:pPr>
            <w:r w:rsidRPr="00971F3F">
              <w:t>28.5</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nr</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82</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57 (45-66)</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80 (75-86)</w:t>
            </w:r>
          </w:p>
        </w:tc>
        <w:tc>
          <w:tcPr>
            <w:tcW w:w="2410" w:type="dxa"/>
            <w:tcBorders>
              <w:left w:val="nil"/>
              <w:bottom w:val="nil"/>
            </w:tcBorders>
          </w:tcPr>
          <w:p w:rsidR="00D85FAC" w:rsidRPr="00971F3F" w:rsidRDefault="00D85FAC" w:rsidP="00D85FAC">
            <w:pPr>
              <w:pStyle w:val="table1"/>
              <w:spacing w:after="40"/>
            </w:pPr>
            <w:r w:rsidRPr="00971F3F">
              <w:t>3-p log (0.977, 10, &lt;0.0001)</w:t>
            </w:r>
          </w:p>
        </w:tc>
      </w:tr>
      <w:tr w:rsidR="00D85FAC" w:rsidRPr="00971F3F" w:rsidTr="00D85FAC">
        <w:tc>
          <w:tcPr>
            <w:tcW w:w="2126" w:type="dxa"/>
            <w:tcBorders>
              <w:top w:val="nil"/>
              <w:bottom w:val="nil"/>
            </w:tcBorders>
          </w:tcPr>
          <w:p w:rsidR="00D85FAC" w:rsidRPr="00971F3F" w:rsidRDefault="00D85FAC" w:rsidP="00D85FAC">
            <w:pPr>
              <w:pStyle w:val="table1"/>
              <w:tabs>
                <w:tab w:val="left" w:pos="177"/>
              </w:tabs>
              <w:spacing w:after="40"/>
            </w:pPr>
          </w:p>
        </w:tc>
        <w:tc>
          <w:tcPr>
            <w:tcW w:w="567" w:type="dxa"/>
            <w:tcBorders>
              <w:top w:val="nil"/>
              <w:bottom w:val="nil"/>
            </w:tcBorders>
          </w:tcPr>
          <w:p w:rsidR="00D85FAC" w:rsidRPr="00971F3F" w:rsidRDefault="00D85FAC" w:rsidP="00D85FAC">
            <w:pPr>
              <w:pStyle w:val="table1"/>
              <w:spacing w:after="40"/>
              <w:jc w:val="center"/>
            </w:pPr>
            <w:r w:rsidRPr="00971F3F">
              <w:t>6.0</w:t>
            </w:r>
          </w:p>
        </w:tc>
        <w:tc>
          <w:tcPr>
            <w:tcW w:w="1134" w:type="dxa"/>
            <w:tcBorders>
              <w:top w:val="nil"/>
              <w:bottom w:val="nil"/>
            </w:tcBorders>
          </w:tcPr>
          <w:p w:rsidR="00D85FAC" w:rsidRPr="00971F3F" w:rsidRDefault="00D85FAC" w:rsidP="00D85FAC">
            <w:pPr>
              <w:pStyle w:val="table1"/>
              <w:spacing w:after="40"/>
              <w:jc w:val="center"/>
            </w:pPr>
            <w:r w:rsidRPr="00971F3F">
              <w:t>4.6</w:t>
            </w:r>
          </w:p>
        </w:tc>
        <w:tc>
          <w:tcPr>
            <w:tcW w:w="1134" w:type="dxa"/>
            <w:tcBorders>
              <w:top w:val="nil"/>
              <w:bottom w:val="nil"/>
            </w:tcBorders>
          </w:tcPr>
          <w:p w:rsidR="00D85FAC" w:rsidRPr="00971F3F" w:rsidRDefault="00D85FAC" w:rsidP="00D85FAC">
            <w:pPr>
              <w:pStyle w:val="table1"/>
              <w:spacing w:after="40"/>
              <w:jc w:val="center"/>
            </w:pPr>
            <w:r w:rsidRPr="00971F3F">
              <w:t>4.5</w:t>
            </w:r>
          </w:p>
        </w:tc>
        <w:tc>
          <w:tcPr>
            <w:tcW w:w="1418" w:type="dxa"/>
            <w:tcBorders>
              <w:top w:val="nil"/>
              <w:bottom w:val="nil"/>
            </w:tcBorders>
          </w:tcPr>
          <w:p w:rsidR="00D85FAC" w:rsidRPr="00971F3F" w:rsidRDefault="00D85FAC" w:rsidP="00D85FAC">
            <w:pPr>
              <w:pStyle w:val="table1"/>
              <w:spacing w:after="40"/>
              <w:jc w:val="center"/>
            </w:pPr>
            <w:r w:rsidRPr="00971F3F">
              <w:t>9.5</w:t>
            </w:r>
          </w:p>
        </w:tc>
        <w:tc>
          <w:tcPr>
            <w:tcW w:w="735" w:type="dxa"/>
            <w:tcBorders>
              <w:top w:val="nil"/>
              <w:bottom w:val="nil"/>
              <w:right w:val="nil"/>
            </w:tcBorders>
          </w:tcPr>
          <w:p w:rsidR="00D85FAC" w:rsidRPr="00971F3F" w:rsidRDefault="00D85FAC" w:rsidP="00D85FAC">
            <w:pPr>
              <w:pStyle w:val="table1"/>
              <w:spacing w:after="40"/>
              <w:jc w:val="center"/>
            </w:pPr>
            <w:r w:rsidRPr="00971F3F">
              <w:t>28.5</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nr</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150</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108 (88-127)</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149 (136-159)</w:t>
            </w:r>
          </w:p>
        </w:tc>
        <w:tc>
          <w:tcPr>
            <w:tcW w:w="2410" w:type="dxa"/>
            <w:tcBorders>
              <w:top w:val="nil"/>
              <w:left w:val="nil"/>
              <w:bottom w:val="nil"/>
            </w:tcBorders>
          </w:tcPr>
          <w:p w:rsidR="00D85FAC" w:rsidRPr="00971F3F" w:rsidRDefault="00D85FAC" w:rsidP="00D85FAC">
            <w:pPr>
              <w:pStyle w:val="table1"/>
              <w:spacing w:after="40"/>
            </w:pPr>
            <w:r w:rsidRPr="00971F3F">
              <w:t>3-p log (0.978, 10, &lt;0.0001)</w:t>
            </w:r>
          </w:p>
        </w:tc>
      </w:tr>
      <w:tr w:rsidR="00D85FAC" w:rsidRPr="00971F3F" w:rsidTr="00D85FAC">
        <w:tc>
          <w:tcPr>
            <w:tcW w:w="2126" w:type="dxa"/>
            <w:tcBorders>
              <w:top w:val="nil"/>
              <w:bottom w:val="nil"/>
            </w:tcBorders>
          </w:tcPr>
          <w:p w:rsidR="00D85FAC" w:rsidRPr="00971F3F" w:rsidRDefault="00D85FAC" w:rsidP="00D85FAC">
            <w:pPr>
              <w:pStyle w:val="table1"/>
              <w:tabs>
                <w:tab w:val="left" w:pos="177"/>
              </w:tabs>
              <w:spacing w:after="40"/>
            </w:pPr>
            <w:r w:rsidRPr="00971F3F">
              <w:rPr>
                <w:i/>
              </w:rPr>
              <w:t>Chlorella</w:t>
            </w:r>
            <w:r w:rsidRPr="00971F3F">
              <w:t xml:space="preserve"> sp 2</w:t>
            </w:r>
          </w:p>
        </w:tc>
        <w:tc>
          <w:tcPr>
            <w:tcW w:w="567" w:type="dxa"/>
            <w:tcBorders>
              <w:top w:val="nil"/>
              <w:bottom w:val="nil"/>
            </w:tcBorders>
          </w:tcPr>
          <w:p w:rsidR="00D85FAC" w:rsidRPr="00971F3F" w:rsidRDefault="00D85FAC" w:rsidP="00D85FAC">
            <w:pPr>
              <w:pStyle w:val="table1"/>
              <w:spacing w:after="40"/>
              <w:jc w:val="center"/>
            </w:pPr>
          </w:p>
        </w:tc>
        <w:tc>
          <w:tcPr>
            <w:tcW w:w="1134" w:type="dxa"/>
            <w:tcBorders>
              <w:top w:val="nil"/>
              <w:bottom w:val="nil"/>
            </w:tcBorders>
          </w:tcPr>
          <w:p w:rsidR="00D85FAC" w:rsidRPr="00971F3F" w:rsidRDefault="00D85FAC" w:rsidP="00D85FAC">
            <w:pPr>
              <w:pStyle w:val="table1"/>
              <w:spacing w:after="40"/>
              <w:jc w:val="center"/>
            </w:pPr>
          </w:p>
        </w:tc>
        <w:tc>
          <w:tcPr>
            <w:tcW w:w="1134" w:type="dxa"/>
            <w:tcBorders>
              <w:top w:val="nil"/>
              <w:bottom w:val="nil"/>
            </w:tcBorders>
          </w:tcPr>
          <w:p w:rsidR="00D85FAC" w:rsidRPr="00971F3F" w:rsidRDefault="00D85FAC" w:rsidP="00D85FAC">
            <w:pPr>
              <w:pStyle w:val="table1"/>
              <w:spacing w:after="40"/>
              <w:jc w:val="center"/>
            </w:pPr>
          </w:p>
        </w:tc>
        <w:tc>
          <w:tcPr>
            <w:tcW w:w="1418" w:type="dxa"/>
            <w:tcBorders>
              <w:top w:val="nil"/>
              <w:bottom w:val="nil"/>
            </w:tcBorders>
          </w:tcPr>
          <w:p w:rsidR="00D85FAC" w:rsidRPr="00971F3F" w:rsidRDefault="00D85FAC" w:rsidP="00D85FAC">
            <w:pPr>
              <w:pStyle w:val="table1"/>
              <w:spacing w:after="40"/>
              <w:jc w:val="center"/>
            </w:pPr>
          </w:p>
        </w:tc>
        <w:tc>
          <w:tcPr>
            <w:tcW w:w="735" w:type="dxa"/>
            <w:tcBorders>
              <w:top w:val="nil"/>
              <w:bottom w:val="nil"/>
              <w:right w:val="nil"/>
            </w:tcBorders>
          </w:tcPr>
          <w:p w:rsidR="00D85FAC" w:rsidRPr="00971F3F" w:rsidRDefault="00D85FAC" w:rsidP="00D85FAC">
            <w:pPr>
              <w:pStyle w:val="table1"/>
              <w:spacing w:after="40"/>
              <w:jc w:val="center"/>
            </w:pPr>
          </w:p>
        </w:tc>
        <w:tc>
          <w:tcPr>
            <w:tcW w:w="1391" w:type="dxa"/>
            <w:tcBorders>
              <w:top w:val="nil"/>
              <w:left w:val="nil"/>
              <w:bottom w:val="nil"/>
              <w:right w:val="nil"/>
            </w:tcBorders>
          </w:tcPr>
          <w:p w:rsidR="00D85FAC" w:rsidRPr="00971F3F" w:rsidRDefault="00D85FAC" w:rsidP="00D85FAC">
            <w:pPr>
              <w:pStyle w:val="table1"/>
              <w:spacing w:after="40"/>
              <w:jc w:val="center"/>
            </w:pPr>
          </w:p>
        </w:tc>
        <w:tc>
          <w:tcPr>
            <w:tcW w:w="851" w:type="dxa"/>
            <w:tcBorders>
              <w:top w:val="nil"/>
              <w:left w:val="nil"/>
              <w:bottom w:val="nil"/>
              <w:right w:val="nil"/>
            </w:tcBorders>
          </w:tcPr>
          <w:p w:rsidR="00D85FAC" w:rsidRPr="00971F3F" w:rsidRDefault="00D85FAC" w:rsidP="00D85FAC">
            <w:pPr>
              <w:pStyle w:val="table1"/>
              <w:spacing w:after="40"/>
              <w:jc w:val="center"/>
            </w:pPr>
          </w:p>
        </w:tc>
        <w:tc>
          <w:tcPr>
            <w:tcW w:w="1417" w:type="dxa"/>
            <w:tcBorders>
              <w:top w:val="nil"/>
              <w:left w:val="nil"/>
              <w:bottom w:val="nil"/>
              <w:right w:val="nil"/>
            </w:tcBorders>
          </w:tcPr>
          <w:p w:rsidR="00D85FAC" w:rsidRPr="00971F3F" w:rsidRDefault="00D85FAC" w:rsidP="00D85FAC">
            <w:pPr>
              <w:pStyle w:val="table1"/>
              <w:spacing w:after="40"/>
              <w:jc w:val="center"/>
            </w:pPr>
          </w:p>
        </w:tc>
        <w:tc>
          <w:tcPr>
            <w:tcW w:w="1276" w:type="dxa"/>
            <w:tcBorders>
              <w:top w:val="nil"/>
              <w:left w:val="nil"/>
              <w:bottom w:val="nil"/>
              <w:right w:val="nil"/>
            </w:tcBorders>
          </w:tcPr>
          <w:p w:rsidR="00D85FAC" w:rsidRPr="00971F3F" w:rsidRDefault="00D85FAC" w:rsidP="00D85FAC">
            <w:pPr>
              <w:pStyle w:val="table1"/>
              <w:spacing w:after="40"/>
              <w:jc w:val="center"/>
            </w:pPr>
          </w:p>
        </w:tc>
        <w:tc>
          <w:tcPr>
            <w:tcW w:w="2410" w:type="dxa"/>
            <w:tcBorders>
              <w:top w:val="nil"/>
              <w:left w:val="nil"/>
              <w:bottom w:val="nil"/>
            </w:tcBorders>
          </w:tcPr>
          <w:p w:rsidR="00D85FAC" w:rsidRPr="00971F3F" w:rsidRDefault="00D85FAC" w:rsidP="00D85FAC">
            <w:pPr>
              <w:pStyle w:val="table1"/>
              <w:spacing w:after="40"/>
            </w:pPr>
          </w:p>
        </w:tc>
      </w:tr>
      <w:tr w:rsidR="00D85FAC" w:rsidRPr="00971F3F" w:rsidTr="00D85FAC">
        <w:tc>
          <w:tcPr>
            <w:tcW w:w="2126" w:type="dxa"/>
            <w:tcBorders>
              <w:top w:val="nil"/>
              <w:bottom w:val="nil"/>
            </w:tcBorders>
          </w:tcPr>
          <w:p w:rsidR="00D85FAC" w:rsidRPr="00971F3F" w:rsidRDefault="00D85FAC" w:rsidP="00D85FAC">
            <w:pPr>
              <w:pStyle w:val="table1"/>
              <w:tabs>
                <w:tab w:val="left" w:pos="177"/>
              </w:tabs>
              <w:spacing w:after="40"/>
            </w:pPr>
            <w:r>
              <w:tab/>
            </w:r>
            <w:r w:rsidRPr="00971F3F">
              <w:t xml:space="preserve">Charles </w:t>
            </w:r>
            <w:r>
              <w:t>et al</w:t>
            </w:r>
            <w:r w:rsidRPr="00971F3F">
              <w:t xml:space="preserve"> </w:t>
            </w:r>
            <w:r>
              <w:t>(2002)</w:t>
            </w:r>
          </w:p>
        </w:tc>
        <w:tc>
          <w:tcPr>
            <w:tcW w:w="567" w:type="dxa"/>
            <w:tcBorders>
              <w:top w:val="nil"/>
              <w:bottom w:val="nil"/>
            </w:tcBorders>
            <w:vAlign w:val="bottom"/>
          </w:tcPr>
          <w:p w:rsidR="00D85FAC" w:rsidRPr="00971F3F" w:rsidRDefault="00D85FAC" w:rsidP="00D85FAC">
            <w:pPr>
              <w:pStyle w:val="table1"/>
              <w:spacing w:after="40"/>
              <w:jc w:val="center"/>
            </w:pPr>
            <w:r w:rsidRPr="00971F3F">
              <w:t>7.0</w:t>
            </w:r>
          </w:p>
        </w:tc>
        <w:tc>
          <w:tcPr>
            <w:tcW w:w="1134" w:type="dxa"/>
            <w:tcBorders>
              <w:top w:val="nil"/>
              <w:bottom w:val="nil"/>
            </w:tcBorders>
            <w:vAlign w:val="bottom"/>
          </w:tcPr>
          <w:p w:rsidR="00D85FAC" w:rsidRPr="00971F3F" w:rsidRDefault="00D85FAC" w:rsidP="00D85FAC">
            <w:pPr>
              <w:pStyle w:val="table1"/>
              <w:spacing w:after="40"/>
              <w:jc w:val="center"/>
            </w:pPr>
            <w:r w:rsidRPr="00971F3F">
              <w:t>8</w:t>
            </w:r>
          </w:p>
        </w:tc>
        <w:tc>
          <w:tcPr>
            <w:tcW w:w="1134" w:type="dxa"/>
            <w:tcBorders>
              <w:top w:val="nil"/>
              <w:bottom w:val="nil"/>
            </w:tcBorders>
            <w:vAlign w:val="bottom"/>
          </w:tcPr>
          <w:p w:rsidR="00D85FAC" w:rsidRPr="00971F3F" w:rsidRDefault="00D85FAC" w:rsidP="00D85FAC">
            <w:pPr>
              <w:pStyle w:val="table1"/>
              <w:spacing w:after="40"/>
              <w:jc w:val="center"/>
            </w:pPr>
            <w:r w:rsidRPr="00971F3F">
              <w:t>8</w:t>
            </w:r>
          </w:p>
        </w:tc>
        <w:tc>
          <w:tcPr>
            <w:tcW w:w="1418" w:type="dxa"/>
            <w:tcBorders>
              <w:top w:val="nil"/>
              <w:bottom w:val="nil"/>
            </w:tcBorders>
            <w:vAlign w:val="bottom"/>
          </w:tcPr>
          <w:p w:rsidR="00D85FAC" w:rsidRPr="00971F3F" w:rsidRDefault="00D85FAC" w:rsidP="00D85FAC">
            <w:pPr>
              <w:pStyle w:val="table1"/>
              <w:spacing w:after="40"/>
              <w:jc w:val="center"/>
            </w:pPr>
            <w:r w:rsidRPr="00971F3F">
              <w:t>&lt;0.2</w:t>
            </w:r>
          </w:p>
        </w:tc>
        <w:tc>
          <w:tcPr>
            <w:tcW w:w="735" w:type="dxa"/>
            <w:tcBorders>
              <w:top w:val="nil"/>
              <w:bottom w:val="nil"/>
              <w:right w:val="nil"/>
            </w:tcBorders>
            <w:vAlign w:val="bottom"/>
          </w:tcPr>
          <w:p w:rsidR="00D85FAC" w:rsidRPr="00971F3F" w:rsidRDefault="00D85FAC" w:rsidP="00D85FAC">
            <w:pPr>
              <w:pStyle w:val="table1"/>
              <w:spacing w:after="40"/>
              <w:jc w:val="center"/>
            </w:pPr>
            <w:r w:rsidRPr="00971F3F">
              <w:t>27</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0.7 (BEC10)</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56</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9 (nc-33)</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66 (29-108</w:t>
            </w:r>
          </w:p>
        </w:tc>
        <w:tc>
          <w:tcPr>
            <w:tcW w:w="2410" w:type="dxa"/>
            <w:tcBorders>
              <w:top w:val="nil"/>
              <w:left w:val="nil"/>
              <w:bottom w:val="nil"/>
            </w:tcBorders>
          </w:tcPr>
          <w:p w:rsidR="00D85FAC" w:rsidRPr="00971F3F" w:rsidRDefault="00D85FAC" w:rsidP="00D85FAC">
            <w:pPr>
              <w:pStyle w:val="table1"/>
              <w:spacing w:after="40"/>
            </w:pPr>
            <w:r w:rsidRPr="00971F3F">
              <w:t>3-p log (0.901, 10, 0.0001)</w:t>
            </w:r>
          </w:p>
        </w:tc>
      </w:tr>
      <w:tr w:rsidR="00D85FAC" w:rsidRPr="00971F3F" w:rsidTr="00D85FAC">
        <w:tc>
          <w:tcPr>
            <w:tcW w:w="2126" w:type="dxa"/>
            <w:tcBorders>
              <w:top w:val="nil"/>
              <w:bottom w:val="nil"/>
            </w:tcBorders>
          </w:tcPr>
          <w:p w:rsidR="00D85FAC" w:rsidRPr="00971F3F" w:rsidRDefault="00D85FAC" w:rsidP="00D85FAC">
            <w:pPr>
              <w:pStyle w:val="table1"/>
              <w:tabs>
                <w:tab w:val="left" w:pos="177"/>
              </w:tabs>
              <w:spacing w:after="40"/>
            </w:pPr>
          </w:p>
        </w:tc>
        <w:tc>
          <w:tcPr>
            <w:tcW w:w="567" w:type="dxa"/>
            <w:tcBorders>
              <w:top w:val="nil"/>
              <w:bottom w:val="nil"/>
            </w:tcBorders>
            <w:vAlign w:val="bottom"/>
          </w:tcPr>
          <w:p w:rsidR="00D85FAC" w:rsidRPr="00971F3F" w:rsidRDefault="00D85FAC" w:rsidP="00D85FAC">
            <w:pPr>
              <w:pStyle w:val="table1"/>
              <w:spacing w:after="40"/>
              <w:jc w:val="center"/>
            </w:pPr>
            <w:r w:rsidRPr="00971F3F">
              <w:t>7.0</w:t>
            </w:r>
          </w:p>
        </w:tc>
        <w:tc>
          <w:tcPr>
            <w:tcW w:w="1134" w:type="dxa"/>
            <w:tcBorders>
              <w:top w:val="nil"/>
              <w:bottom w:val="nil"/>
            </w:tcBorders>
            <w:vAlign w:val="bottom"/>
          </w:tcPr>
          <w:p w:rsidR="00D85FAC" w:rsidRPr="00971F3F" w:rsidRDefault="00D85FAC" w:rsidP="00D85FAC">
            <w:pPr>
              <w:pStyle w:val="table1"/>
              <w:spacing w:after="40"/>
              <w:jc w:val="center"/>
            </w:pPr>
            <w:r w:rsidRPr="00971F3F">
              <w:t>40</w:t>
            </w:r>
          </w:p>
        </w:tc>
        <w:tc>
          <w:tcPr>
            <w:tcW w:w="1134" w:type="dxa"/>
            <w:tcBorders>
              <w:top w:val="nil"/>
              <w:bottom w:val="nil"/>
            </w:tcBorders>
            <w:vAlign w:val="bottom"/>
          </w:tcPr>
          <w:p w:rsidR="00D85FAC" w:rsidRPr="00971F3F" w:rsidRDefault="00D85FAC" w:rsidP="00D85FAC">
            <w:pPr>
              <w:pStyle w:val="table1"/>
              <w:spacing w:after="40"/>
              <w:jc w:val="center"/>
            </w:pPr>
            <w:r w:rsidRPr="00971F3F">
              <w:t>8</w:t>
            </w:r>
          </w:p>
        </w:tc>
        <w:tc>
          <w:tcPr>
            <w:tcW w:w="1418" w:type="dxa"/>
            <w:tcBorders>
              <w:top w:val="nil"/>
              <w:bottom w:val="nil"/>
            </w:tcBorders>
            <w:vAlign w:val="bottom"/>
          </w:tcPr>
          <w:p w:rsidR="00D85FAC" w:rsidRPr="00971F3F" w:rsidRDefault="00D85FAC" w:rsidP="00D85FAC">
            <w:pPr>
              <w:pStyle w:val="table1"/>
              <w:spacing w:after="40"/>
              <w:jc w:val="center"/>
            </w:pPr>
            <w:r w:rsidRPr="00971F3F">
              <w:t>&lt;0.2</w:t>
            </w:r>
          </w:p>
        </w:tc>
        <w:tc>
          <w:tcPr>
            <w:tcW w:w="735" w:type="dxa"/>
            <w:tcBorders>
              <w:top w:val="nil"/>
              <w:bottom w:val="nil"/>
              <w:right w:val="nil"/>
            </w:tcBorders>
            <w:vAlign w:val="bottom"/>
          </w:tcPr>
          <w:p w:rsidR="00D85FAC" w:rsidRPr="00971F3F" w:rsidRDefault="00D85FAC" w:rsidP="00D85FAC">
            <w:pPr>
              <w:pStyle w:val="table1"/>
              <w:spacing w:after="40"/>
              <w:jc w:val="center"/>
            </w:pPr>
            <w:r w:rsidRPr="00971F3F">
              <w:t>27</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0.7 (BEC10)</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72</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11 (nc-19)</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74 (55-103)</w:t>
            </w:r>
          </w:p>
        </w:tc>
        <w:tc>
          <w:tcPr>
            <w:tcW w:w="2410" w:type="dxa"/>
            <w:tcBorders>
              <w:top w:val="nil"/>
              <w:left w:val="nil"/>
              <w:bottom w:val="nil"/>
            </w:tcBorders>
          </w:tcPr>
          <w:p w:rsidR="00D85FAC" w:rsidRPr="00971F3F" w:rsidRDefault="00D85FAC" w:rsidP="00D85FAC">
            <w:pPr>
              <w:pStyle w:val="table1"/>
              <w:spacing w:after="40"/>
            </w:pPr>
            <w:r w:rsidRPr="00971F3F">
              <w:t>3-p log (0.960, 10, &lt;0.0001)</w:t>
            </w:r>
          </w:p>
        </w:tc>
      </w:tr>
      <w:tr w:rsidR="00D85FAC" w:rsidRPr="00971F3F" w:rsidTr="00D85FAC">
        <w:tc>
          <w:tcPr>
            <w:tcW w:w="2126" w:type="dxa"/>
            <w:tcBorders>
              <w:top w:val="nil"/>
              <w:bottom w:val="nil"/>
            </w:tcBorders>
          </w:tcPr>
          <w:p w:rsidR="00D85FAC" w:rsidRPr="00971F3F" w:rsidRDefault="00D85FAC" w:rsidP="00D85FAC">
            <w:pPr>
              <w:pStyle w:val="table1"/>
              <w:tabs>
                <w:tab w:val="left" w:pos="177"/>
              </w:tabs>
              <w:spacing w:after="40"/>
            </w:pPr>
          </w:p>
        </w:tc>
        <w:tc>
          <w:tcPr>
            <w:tcW w:w="567" w:type="dxa"/>
            <w:tcBorders>
              <w:top w:val="nil"/>
              <w:bottom w:val="nil"/>
            </w:tcBorders>
            <w:vAlign w:val="bottom"/>
          </w:tcPr>
          <w:p w:rsidR="00D85FAC" w:rsidRPr="00971F3F" w:rsidRDefault="00D85FAC" w:rsidP="00D85FAC">
            <w:pPr>
              <w:pStyle w:val="table1"/>
              <w:spacing w:after="40"/>
              <w:jc w:val="center"/>
            </w:pPr>
            <w:r w:rsidRPr="00971F3F">
              <w:t>7.0</w:t>
            </w:r>
          </w:p>
        </w:tc>
        <w:tc>
          <w:tcPr>
            <w:tcW w:w="1134" w:type="dxa"/>
            <w:tcBorders>
              <w:top w:val="nil"/>
              <w:bottom w:val="nil"/>
            </w:tcBorders>
            <w:vAlign w:val="bottom"/>
          </w:tcPr>
          <w:p w:rsidR="00D85FAC" w:rsidRPr="00971F3F" w:rsidRDefault="00D85FAC" w:rsidP="00D85FAC">
            <w:pPr>
              <w:pStyle w:val="table1"/>
              <w:spacing w:after="40"/>
              <w:jc w:val="center"/>
            </w:pPr>
            <w:r w:rsidRPr="00971F3F">
              <w:t>100</w:t>
            </w:r>
          </w:p>
        </w:tc>
        <w:tc>
          <w:tcPr>
            <w:tcW w:w="1134" w:type="dxa"/>
            <w:tcBorders>
              <w:top w:val="nil"/>
              <w:bottom w:val="nil"/>
            </w:tcBorders>
            <w:vAlign w:val="bottom"/>
          </w:tcPr>
          <w:p w:rsidR="00D85FAC" w:rsidRPr="00971F3F" w:rsidRDefault="00D85FAC" w:rsidP="00D85FAC">
            <w:pPr>
              <w:pStyle w:val="table1"/>
              <w:spacing w:after="40"/>
              <w:jc w:val="center"/>
            </w:pPr>
            <w:r w:rsidRPr="00971F3F">
              <w:t>8</w:t>
            </w:r>
          </w:p>
        </w:tc>
        <w:tc>
          <w:tcPr>
            <w:tcW w:w="1418" w:type="dxa"/>
            <w:tcBorders>
              <w:top w:val="nil"/>
              <w:bottom w:val="nil"/>
            </w:tcBorders>
            <w:vAlign w:val="bottom"/>
          </w:tcPr>
          <w:p w:rsidR="00D85FAC" w:rsidRPr="00971F3F" w:rsidRDefault="00D85FAC" w:rsidP="00D85FAC">
            <w:pPr>
              <w:pStyle w:val="table1"/>
              <w:spacing w:after="40"/>
              <w:jc w:val="center"/>
            </w:pPr>
            <w:r w:rsidRPr="00971F3F">
              <w:t>&lt;0.2</w:t>
            </w:r>
          </w:p>
        </w:tc>
        <w:tc>
          <w:tcPr>
            <w:tcW w:w="735" w:type="dxa"/>
            <w:tcBorders>
              <w:top w:val="nil"/>
              <w:bottom w:val="nil"/>
              <w:right w:val="nil"/>
            </w:tcBorders>
            <w:vAlign w:val="bottom"/>
          </w:tcPr>
          <w:p w:rsidR="00D85FAC" w:rsidRPr="00971F3F" w:rsidRDefault="00D85FAC" w:rsidP="00D85FAC">
            <w:pPr>
              <w:pStyle w:val="table1"/>
              <w:spacing w:after="40"/>
              <w:jc w:val="center"/>
            </w:pPr>
            <w:r w:rsidRPr="00971F3F">
              <w:t>27</w:t>
            </w:r>
          </w:p>
        </w:tc>
        <w:tc>
          <w:tcPr>
            <w:tcW w:w="1391" w:type="dxa"/>
            <w:tcBorders>
              <w:top w:val="nil"/>
              <w:left w:val="nil"/>
              <w:bottom w:val="nil"/>
              <w:right w:val="nil"/>
            </w:tcBorders>
          </w:tcPr>
          <w:p w:rsidR="00D85FAC" w:rsidRPr="00971F3F" w:rsidRDefault="00D85FAC" w:rsidP="00D85FAC">
            <w:pPr>
              <w:pStyle w:val="table1"/>
              <w:spacing w:after="40"/>
              <w:jc w:val="center"/>
            </w:pPr>
            <w:r w:rsidRPr="00971F3F">
              <w:t>2.3 (BEC10)</w:t>
            </w:r>
          </w:p>
        </w:tc>
        <w:tc>
          <w:tcPr>
            <w:tcW w:w="851" w:type="dxa"/>
            <w:tcBorders>
              <w:top w:val="nil"/>
              <w:left w:val="nil"/>
              <w:bottom w:val="nil"/>
              <w:right w:val="nil"/>
            </w:tcBorders>
          </w:tcPr>
          <w:p w:rsidR="00D85FAC" w:rsidRPr="00971F3F" w:rsidRDefault="00D85FAC" w:rsidP="00D85FAC">
            <w:pPr>
              <w:pStyle w:val="table1"/>
              <w:spacing w:after="40"/>
              <w:jc w:val="center"/>
            </w:pPr>
            <w:r w:rsidRPr="00971F3F">
              <w:t>150</w:t>
            </w:r>
          </w:p>
        </w:tc>
        <w:tc>
          <w:tcPr>
            <w:tcW w:w="1417" w:type="dxa"/>
            <w:tcBorders>
              <w:top w:val="nil"/>
              <w:left w:val="nil"/>
              <w:bottom w:val="nil"/>
              <w:right w:val="nil"/>
            </w:tcBorders>
          </w:tcPr>
          <w:p w:rsidR="00D85FAC" w:rsidRPr="00971F3F" w:rsidRDefault="00D85FAC" w:rsidP="00D85FAC">
            <w:pPr>
              <w:pStyle w:val="table1"/>
              <w:spacing w:after="40"/>
              <w:jc w:val="center"/>
            </w:pPr>
            <w:r w:rsidRPr="00971F3F">
              <w:t>32 (nc-79)</w:t>
            </w:r>
          </w:p>
        </w:tc>
        <w:tc>
          <w:tcPr>
            <w:tcW w:w="1276" w:type="dxa"/>
            <w:tcBorders>
              <w:top w:val="nil"/>
              <w:left w:val="nil"/>
              <w:bottom w:val="nil"/>
              <w:right w:val="nil"/>
            </w:tcBorders>
          </w:tcPr>
          <w:p w:rsidR="00D85FAC" w:rsidRPr="00971F3F" w:rsidRDefault="00D85FAC" w:rsidP="00D85FAC">
            <w:pPr>
              <w:pStyle w:val="table1"/>
              <w:spacing w:after="40"/>
              <w:jc w:val="center"/>
            </w:pPr>
            <w:r w:rsidRPr="00971F3F">
              <w:t>137 (77-205)</w:t>
            </w:r>
          </w:p>
        </w:tc>
        <w:tc>
          <w:tcPr>
            <w:tcW w:w="2410" w:type="dxa"/>
            <w:tcBorders>
              <w:top w:val="nil"/>
              <w:left w:val="nil"/>
              <w:bottom w:val="nil"/>
            </w:tcBorders>
          </w:tcPr>
          <w:p w:rsidR="00D85FAC" w:rsidRPr="00971F3F" w:rsidRDefault="00D85FAC" w:rsidP="00D85FAC">
            <w:pPr>
              <w:pStyle w:val="table1"/>
              <w:spacing w:after="40"/>
            </w:pPr>
            <w:r w:rsidRPr="00971F3F">
              <w:t>3-p log (0.889, 10, 0.0002)</w:t>
            </w:r>
          </w:p>
        </w:tc>
      </w:tr>
      <w:tr w:rsidR="00D85FAC" w:rsidRPr="00971F3F" w:rsidTr="00D85FAC">
        <w:tc>
          <w:tcPr>
            <w:tcW w:w="2126" w:type="dxa"/>
            <w:tcBorders>
              <w:top w:val="nil"/>
              <w:bottom w:val="single" w:sz="4" w:space="0" w:color="auto"/>
            </w:tcBorders>
          </w:tcPr>
          <w:p w:rsidR="00D85FAC" w:rsidRPr="00971F3F" w:rsidRDefault="00D85FAC" w:rsidP="00D85FAC">
            <w:pPr>
              <w:pStyle w:val="table1"/>
              <w:tabs>
                <w:tab w:val="left" w:pos="177"/>
              </w:tabs>
              <w:spacing w:after="40"/>
            </w:pPr>
          </w:p>
        </w:tc>
        <w:tc>
          <w:tcPr>
            <w:tcW w:w="567" w:type="dxa"/>
            <w:tcBorders>
              <w:top w:val="nil"/>
              <w:bottom w:val="single" w:sz="4" w:space="0" w:color="auto"/>
            </w:tcBorders>
            <w:vAlign w:val="bottom"/>
          </w:tcPr>
          <w:p w:rsidR="00D85FAC" w:rsidRPr="00971F3F" w:rsidRDefault="00D85FAC" w:rsidP="00D85FAC">
            <w:pPr>
              <w:pStyle w:val="table1"/>
              <w:spacing w:after="40"/>
              <w:jc w:val="center"/>
            </w:pPr>
            <w:r w:rsidRPr="00971F3F">
              <w:t>7.0</w:t>
            </w:r>
          </w:p>
        </w:tc>
        <w:tc>
          <w:tcPr>
            <w:tcW w:w="1134" w:type="dxa"/>
            <w:tcBorders>
              <w:top w:val="nil"/>
              <w:bottom w:val="single" w:sz="4" w:space="0" w:color="auto"/>
            </w:tcBorders>
            <w:vAlign w:val="bottom"/>
          </w:tcPr>
          <w:p w:rsidR="00D85FAC" w:rsidRPr="00971F3F" w:rsidRDefault="00D85FAC" w:rsidP="00D85FAC">
            <w:pPr>
              <w:pStyle w:val="table1"/>
              <w:spacing w:after="40"/>
              <w:jc w:val="center"/>
            </w:pPr>
            <w:r w:rsidRPr="00971F3F">
              <w:t>400</w:t>
            </w:r>
          </w:p>
        </w:tc>
        <w:tc>
          <w:tcPr>
            <w:tcW w:w="1134" w:type="dxa"/>
            <w:tcBorders>
              <w:top w:val="nil"/>
              <w:bottom w:val="single" w:sz="4" w:space="0" w:color="auto"/>
            </w:tcBorders>
            <w:vAlign w:val="bottom"/>
          </w:tcPr>
          <w:p w:rsidR="00D85FAC" w:rsidRPr="00971F3F" w:rsidRDefault="00D85FAC" w:rsidP="00D85FAC">
            <w:pPr>
              <w:pStyle w:val="table1"/>
              <w:spacing w:after="40"/>
              <w:jc w:val="center"/>
            </w:pPr>
            <w:r w:rsidRPr="00971F3F">
              <w:t>8</w:t>
            </w:r>
          </w:p>
        </w:tc>
        <w:tc>
          <w:tcPr>
            <w:tcW w:w="1418" w:type="dxa"/>
            <w:tcBorders>
              <w:top w:val="nil"/>
              <w:bottom w:val="single" w:sz="4" w:space="0" w:color="auto"/>
            </w:tcBorders>
            <w:vAlign w:val="bottom"/>
          </w:tcPr>
          <w:p w:rsidR="00D85FAC" w:rsidRPr="00971F3F" w:rsidRDefault="00D85FAC" w:rsidP="00D85FAC">
            <w:pPr>
              <w:pStyle w:val="table1"/>
              <w:spacing w:after="40"/>
              <w:jc w:val="center"/>
            </w:pPr>
            <w:r w:rsidRPr="00971F3F">
              <w:t>&lt;0.2</w:t>
            </w:r>
          </w:p>
        </w:tc>
        <w:tc>
          <w:tcPr>
            <w:tcW w:w="735" w:type="dxa"/>
            <w:tcBorders>
              <w:top w:val="nil"/>
              <w:bottom w:val="single" w:sz="4" w:space="0" w:color="auto"/>
              <w:right w:val="nil"/>
            </w:tcBorders>
            <w:vAlign w:val="bottom"/>
          </w:tcPr>
          <w:p w:rsidR="00D85FAC" w:rsidRPr="00971F3F" w:rsidRDefault="00D85FAC" w:rsidP="00D85FAC">
            <w:pPr>
              <w:pStyle w:val="table1"/>
              <w:spacing w:after="40"/>
              <w:jc w:val="center"/>
            </w:pPr>
            <w:r w:rsidRPr="00971F3F">
              <w:t>27</w:t>
            </w:r>
          </w:p>
        </w:tc>
        <w:tc>
          <w:tcPr>
            <w:tcW w:w="1391" w:type="dxa"/>
            <w:tcBorders>
              <w:top w:val="nil"/>
              <w:left w:val="nil"/>
              <w:bottom w:val="single" w:sz="4" w:space="0" w:color="auto"/>
              <w:right w:val="nil"/>
            </w:tcBorders>
          </w:tcPr>
          <w:p w:rsidR="00D85FAC" w:rsidRPr="00971F3F" w:rsidRDefault="00D85FAC" w:rsidP="00D85FAC">
            <w:pPr>
              <w:pStyle w:val="table1"/>
              <w:spacing w:after="40"/>
              <w:jc w:val="center"/>
            </w:pPr>
            <w:r w:rsidRPr="00971F3F">
              <w:t>4.5 (BEC10)</w:t>
            </w:r>
          </w:p>
        </w:tc>
        <w:tc>
          <w:tcPr>
            <w:tcW w:w="851" w:type="dxa"/>
            <w:tcBorders>
              <w:top w:val="nil"/>
              <w:left w:val="nil"/>
              <w:bottom w:val="single" w:sz="4" w:space="0" w:color="auto"/>
              <w:right w:val="nil"/>
            </w:tcBorders>
          </w:tcPr>
          <w:p w:rsidR="00D85FAC" w:rsidRPr="00971F3F" w:rsidRDefault="00D85FAC" w:rsidP="00D85FAC">
            <w:pPr>
              <w:pStyle w:val="table1"/>
              <w:spacing w:after="40"/>
              <w:jc w:val="center"/>
            </w:pPr>
            <w:r w:rsidRPr="00971F3F">
              <w:t>270</w:t>
            </w:r>
          </w:p>
        </w:tc>
        <w:tc>
          <w:tcPr>
            <w:tcW w:w="1417" w:type="dxa"/>
            <w:tcBorders>
              <w:top w:val="nil"/>
              <w:left w:val="nil"/>
              <w:bottom w:val="single" w:sz="4" w:space="0" w:color="auto"/>
              <w:right w:val="nil"/>
            </w:tcBorders>
          </w:tcPr>
          <w:p w:rsidR="00D85FAC" w:rsidRPr="00971F3F" w:rsidRDefault="00D85FAC" w:rsidP="00D85FAC">
            <w:pPr>
              <w:pStyle w:val="table1"/>
              <w:spacing w:after="40"/>
              <w:jc w:val="center"/>
            </w:pPr>
            <w:r w:rsidRPr="00971F3F">
              <w:t>61 (nc-141)</w:t>
            </w:r>
          </w:p>
        </w:tc>
        <w:tc>
          <w:tcPr>
            <w:tcW w:w="1276" w:type="dxa"/>
            <w:tcBorders>
              <w:top w:val="nil"/>
              <w:left w:val="nil"/>
              <w:bottom w:val="single" w:sz="4" w:space="0" w:color="auto"/>
              <w:right w:val="nil"/>
            </w:tcBorders>
          </w:tcPr>
          <w:p w:rsidR="00D85FAC" w:rsidRPr="00971F3F" w:rsidRDefault="00D85FAC" w:rsidP="00D85FAC">
            <w:pPr>
              <w:pStyle w:val="table1"/>
              <w:spacing w:after="40"/>
              <w:jc w:val="center"/>
            </w:pPr>
            <w:r w:rsidRPr="00971F3F">
              <w:t>220 (125-303)</w:t>
            </w:r>
          </w:p>
        </w:tc>
        <w:tc>
          <w:tcPr>
            <w:tcW w:w="2410" w:type="dxa"/>
            <w:tcBorders>
              <w:top w:val="nil"/>
              <w:left w:val="nil"/>
              <w:bottom w:val="single" w:sz="4" w:space="0" w:color="auto"/>
            </w:tcBorders>
          </w:tcPr>
          <w:p w:rsidR="00D85FAC" w:rsidRPr="00971F3F" w:rsidRDefault="00D85FAC" w:rsidP="00D85FAC">
            <w:pPr>
              <w:pStyle w:val="table1"/>
              <w:spacing w:after="40"/>
            </w:pPr>
            <w:r w:rsidRPr="00971F3F">
              <w:t>3-p log (0.895, 10, &lt;0.0001)</w:t>
            </w:r>
          </w:p>
        </w:tc>
      </w:tr>
    </w:tbl>
    <w:p w:rsidR="00D85FAC" w:rsidRPr="00557A7B" w:rsidRDefault="00D85FAC" w:rsidP="00D85FAC">
      <w:pPr>
        <w:pStyle w:val="table1list"/>
        <w:spacing w:after="0"/>
        <w:ind w:left="0" w:firstLine="0"/>
      </w:pPr>
      <w:r>
        <w:rPr>
          <w:snapToGrid w:val="0"/>
          <w:color w:val="000000"/>
          <w:position w:val="5"/>
          <w:sz w:val="15"/>
          <w:u w:color="000000"/>
        </w:rPr>
        <w:t>1</w:t>
      </w:r>
      <w:r>
        <w:t xml:space="preserve"> Model type: 3-p log – 3-parameter logistic; 3-p sig – 3-parameter sigmoid; </w:t>
      </w:r>
      <w:r w:rsidRPr="00681A7D">
        <w:rPr>
          <w:snapToGrid w:val="0"/>
          <w:color w:val="000000"/>
          <w:position w:val="5"/>
          <w:sz w:val="15"/>
          <w:u w:color="000000"/>
        </w:rPr>
        <w:t>2</w:t>
      </w:r>
      <w:r>
        <w:t xml:space="preserve"> Based on reported nominal concentration of HCO</w:t>
      </w:r>
      <w:r w:rsidRPr="0038372F">
        <w:rPr>
          <w:snapToGrid w:val="0"/>
          <w:color w:val="000000"/>
          <w:position w:val="-5"/>
          <w:sz w:val="15"/>
          <w:u w:color="000000"/>
        </w:rPr>
        <w:t>3</w:t>
      </w:r>
      <w:r w:rsidRPr="0038372F">
        <w:rPr>
          <w:snapToGrid w:val="0"/>
          <w:color w:val="000000"/>
          <w:position w:val="5"/>
          <w:sz w:val="15"/>
          <w:u w:color="000000"/>
        </w:rPr>
        <w:t>-</w:t>
      </w:r>
      <w:r>
        <w:t xml:space="preserve"> in the test medium; </w:t>
      </w:r>
      <w:r>
        <w:rPr>
          <w:snapToGrid w:val="0"/>
          <w:color w:val="000000"/>
          <w:position w:val="5"/>
          <w:sz w:val="15"/>
          <w:u w:color="000000"/>
        </w:rPr>
        <w:t>3</w:t>
      </w:r>
      <w:r>
        <w:t xml:space="preserve"> Assumption of homoscedasticity not met; </w:t>
      </w:r>
      <w:r w:rsidRPr="003C0BFC">
        <w:rPr>
          <w:snapToGrid w:val="0"/>
          <w:color w:val="000000"/>
          <w:position w:val="5"/>
          <w:sz w:val="15"/>
          <w:szCs w:val="0"/>
          <w:u w:color="000000"/>
        </w:rPr>
        <w:t>4</w:t>
      </w:r>
      <w:r>
        <w:t xml:space="preserve"> Represents mid-point of a reported range; </w:t>
      </w:r>
      <w:r>
        <w:rPr>
          <w:snapToGrid w:val="0"/>
          <w:color w:val="000000"/>
          <w:position w:val="5"/>
          <w:sz w:val="15"/>
          <w:u w:color="000000"/>
        </w:rPr>
        <w:t>5</w:t>
      </w:r>
      <w:r>
        <w:t xml:space="preserve"> nr (low): not reported, but known to be low in value; </w:t>
      </w:r>
      <w:r w:rsidRPr="00266DA6">
        <w:rPr>
          <w:snapToGrid w:val="0"/>
          <w:color w:val="000000"/>
          <w:position w:val="5"/>
          <w:sz w:val="15"/>
          <w:szCs w:val="0"/>
          <w:u w:color="000000"/>
        </w:rPr>
        <w:t>6</w:t>
      </w:r>
      <w:r>
        <w:t xml:space="preserve"> Assumptions of normality and homoscedasticity not met; </w:t>
      </w:r>
      <w:r w:rsidRPr="00B6019C">
        <w:rPr>
          <w:snapToGrid w:val="0"/>
          <w:color w:val="000000"/>
          <w:position w:val="5"/>
          <w:sz w:val="15"/>
          <w:szCs w:val="0"/>
          <w:u w:color="000000"/>
        </w:rPr>
        <w:t>7</w:t>
      </w:r>
      <w:r>
        <w:t xml:space="preserve"> nc: not calculable.</w:t>
      </w:r>
    </w:p>
    <w:p w:rsidR="00D85FAC" w:rsidRDefault="00081B24" w:rsidP="00D85FAC">
      <w:pPr>
        <w:pStyle w:val="landscape"/>
        <w:framePr w:wrap="around"/>
      </w:pPr>
      <w:fldSimple w:instr=" PAGE   \* MERGEFORMAT ">
        <w:r w:rsidR="00D85FAC">
          <w:rPr>
            <w:noProof/>
          </w:rPr>
          <w:t>44</w:t>
        </w:r>
      </w:fldSimple>
    </w:p>
    <w:p w:rsidR="00D85FAC" w:rsidRDefault="00D85FAC" w:rsidP="00D85FAC"/>
    <w:p w:rsidR="00D85FAC" w:rsidRDefault="00D85FAC" w:rsidP="00D85FAC">
      <w:pPr>
        <w:sectPr w:rsidR="00D85FAC" w:rsidSect="00D85FAC">
          <w:headerReference w:type="even" r:id="rId83"/>
          <w:footerReference w:type="even" r:id="rId84"/>
          <w:footerReference w:type="default" r:id="rId85"/>
          <w:footnotePr>
            <w:numRestart w:val="eachSect"/>
          </w:footnotePr>
          <w:pgSz w:w="16838" w:h="11906" w:orient="landscape" w:code="9"/>
          <w:pgMar w:top="1440" w:right="1440" w:bottom="1440" w:left="1440" w:header="1080" w:footer="835" w:gutter="0"/>
          <w:cols w:space="360"/>
          <w:noEndnote/>
          <w:docGrid w:linePitch="299"/>
        </w:sectPr>
      </w:pPr>
    </w:p>
    <w:p w:rsidR="00D85FAC" w:rsidRDefault="00D85FAC" w:rsidP="00D85FAC">
      <w:pPr>
        <w:pStyle w:val="tablecaption"/>
      </w:pPr>
      <w:r w:rsidRPr="00C94B34">
        <w:rPr>
          <w:b/>
        </w:rPr>
        <w:lastRenderedPageBreak/>
        <w:t xml:space="preserve">Table </w:t>
      </w:r>
      <w:proofErr w:type="gramStart"/>
      <w:r>
        <w:rPr>
          <w:b/>
        </w:rPr>
        <w:t>2</w:t>
      </w:r>
      <w:r>
        <w:t xml:space="preserve">  Regression</w:t>
      </w:r>
      <w:proofErr w:type="gramEnd"/>
      <w:r>
        <w:t xml:space="preserve"> statistics for linear regressions of dissolved organic carbon (DOC; mg/L) versus the proportion reduction in IC50/LC50 value</w:t>
      </w:r>
    </w:p>
    <w:tbl>
      <w:tblPr>
        <w:tblW w:w="8472" w:type="dxa"/>
        <w:tblLayout w:type="fixed"/>
        <w:tblLook w:val="0000"/>
      </w:tblPr>
      <w:tblGrid>
        <w:gridCol w:w="2268"/>
        <w:gridCol w:w="3369"/>
        <w:gridCol w:w="567"/>
        <w:gridCol w:w="708"/>
        <w:gridCol w:w="709"/>
        <w:gridCol w:w="851"/>
      </w:tblGrid>
      <w:tr w:rsidR="00D85FAC" w:rsidRPr="00D86390" w:rsidTr="00D85FAC">
        <w:tc>
          <w:tcPr>
            <w:tcW w:w="2268" w:type="dxa"/>
            <w:tcBorders>
              <w:top w:val="single" w:sz="4" w:space="0" w:color="auto"/>
            </w:tcBorders>
          </w:tcPr>
          <w:p w:rsidR="00D85FAC" w:rsidRPr="00D86390" w:rsidRDefault="00D85FAC" w:rsidP="00D85FAC">
            <w:pPr>
              <w:pStyle w:val="table1"/>
              <w:rPr>
                <w:b/>
              </w:rPr>
            </w:pPr>
            <w:r w:rsidRPr="00D86390">
              <w:rPr>
                <w:b/>
              </w:rPr>
              <w:t>Species</w:t>
            </w:r>
          </w:p>
        </w:tc>
        <w:tc>
          <w:tcPr>
            <w:tcW w:w="3369" w:type="dxa"/>
            <w:tcBorders>
              <w:top w:val="single" w:sz="4" w:space="0" w:color="auto"/>
            </w:tcBorders>
          </w:tcPr>
          <w:p w:rsidR="00D85FAC" w:rsidRPr="00D86390" w:rsidRDefault="00D85FAC" w:rsidP="00D85FAC">
            <w:pPr>
              <w:pStyle w:val="table1"/>
              <w:rPr>
                <w:b/>
              </w:rPr>
            </w:pPr>
            <w:r w:rsidRPr="00D86390">
              <w:rPr>
                <w:b/>
              </w:rPr>
              <w:t>Study</w:t>
            </w:r>
          </w:p>
        </w:tc>
        <w:tc>
          <w:tcPr>
            <w:tcW w:w="567" w:type="dxa"/>
            <w:tcBorders>
              <w:top w:val="single" w:sz="4" w:space="0" w:color="auto"/>
            </w:tcBorders>
          </w:tcPr>
          <w:p w:rsidR="00D85FAC" w:rsidRPr="00D86390" w:rsidRDefault="00D85FAC" w:rsidP="00D85FAC">
            <w:pPr>
              <w:pStyle w:val="table1"/>
              <w:jc w:val="center"/>
              <w:rPr>
                <w:b/>
                <w:i/>
              </w:rPr>
            </w:pPr>
            <w:r w:rsidRPr="00D86390">
              <w:rPr>
                <w:b/>
                <w:i/>
              </w:rPr>
              <w:t>n</w:t>
            </w:r>
          </w:p>
        </w:tc>
        <w:tc>
          <w:tcPr>
            <w:tcW w:w="708" w:type="dxa"/>
            <w:tcBorders>
              <w:top w:val="single" w:sz="4" w:space="0" w:color="auto"/>
            </w:tcBorders>
          </w:tcPr>
          <w:p w:rsidR="00D85FAC" w:rsidRPr="00D86390" w:rsidRDefault="00D85FAC" w:rsidP="00D85FAC">
            <w:pPr>
              <w:pStyle w:val="table1"/>
              <w:jc w:val="center"/>
              <w:rPr>
                <w:b/>
              </w:rPr>
            </w:pPr>
            <w:r w:rsidRPr="00D86390">
              <w:rPr>
                <w:b/>
              </w:rPr>
              <w:t>Slope</w:t>
            </w:r>
          </w:p>
        </w:tc>
        <w:tc>
          <w:tcPr>
            <w:tcW w:w="709" w:type="dxa"/>
            <w:tcBorders>
              <w:top w:val="single" w:sz="4" w:space="0" w:color="auto"/>
            </w:tcBorders>
          </w:tcPr>
          <w:p w:rsidR="00D85FAC" w:rsidRPr="00D86390" w:rsidRDefault="00D85FAC" w:rsidP="00D85FAC">
            <w:pPr>
              <w:pStyle w:val="table1"/>
              <w:jc w:val="center"/>
              <w:rPr>
                <w:b/>
                <w:i/>
              </w:rPr>
            </w:pPr>
            <w:r w:rsidRPr="00D86390">
              <w:rPr>
                <w:b/>
                <w:i/>
              </w:rPr>
              <w:t>r</w:t>
            </w:r>
            <w:r w:rsidRPr="00D86390">
              <w:rPr>
                <w:b/>
                <w:i/>
                <w:snapToGrid w:val="0"/>
                <w:color w:val="000000"/>
                <w:position w:val="5"/>
                <w:sz w:val="15"/>
                <w:szCs w:val="0"/>
                <w:u w:color="000000"/>
              </w:rPr>
              <w:t>2</w:t>
            </w:r>
          </w:p>
        </w:tc>
        <w:tc>
          <w:tcPr>
            <w:tcW w:w="851" w:type="dxa"/>
            <w:tcBorders>
              <w:top w:val="single" w:sz="4" w:space="0" w:color="auto"/>
            </w:tcBorders>
          </w:tcPr>
          <w:p w:rsidR="00D85FAC" w:rsidRPr="00D86390" w:rsidRDefault="00D85FAC" w:rsidP="00D85FAC">
            <w:pPr>
              <w:pStyle w:val="table1"/>
              <w:jc w:val="center"/>
              <w:rPr>
                <w:b/>
              </w:rPr>
            </w:pPr>
            <w:r w:rsidRPr="00D86390">
              <w:rPr>
                <w:b/>
              </w:rPr>
              <w:t>P value</w:t>
            </w:r>
          </w:p>
        </w:tc>
      </w:tr>
      <w:tr w:rsidR="00D85FAC" w:rsidTr="00D85FAC">
        <w:tc>
          <w:tcPr>
            <w:tcW w:w="2268" w:type="dxa"/>
            <w:tcBorders>
              <w:top w:val="single" w:sz="4" w:space="0" w:color="auto"/>
            </w:tcBorders>
          </w:tcPr>
          <w:p w:rsidR="00D85FAC" w:rsidRDefault="00D85FAC" w:rsidP="00D85FAC">
            <w:pPr>
              <w:pStyle w:val="table1"/>
            </w:pPr>
            <w:r w:rsidRPr="005F3E81">
              <w:rPr>
                <w:i/>
              </w:rPr>
              <w:t>Chlorella</w:t>
            </w:r>
            <w:r>
              <w:t xml:space="preserve"> sp 1</w:t>
            </w:r>
          </w:p>
        </w:tc>
        <w:tc>
          <w:tcPr>
            <w:tcW w:w="3369" w:type="dxa"/>
            <w:tcBorders>
              <w:top w:val="single" w:sz="4" w:space="0" w:color="auto"/>
            </w:tcBorders>
          </w:tcPr>
          <w:p w:rsidR="00D85FAC" w:rsidRDefault="00D85FAC" w:rsidP="00D85FAC">
            <w:pPr>
              <w:pStyle w:val="table1"/>
            </w:pPr>
            <w:r>
              <w:t>Hogan et al (2005)</w:t>
            </w:r>
          </w:p>
        </w:tc>
        <w:tc>
          <w:tcPr>
            <w:tcW w:w="567" w:type="dxa"/>
            <w:tcBorders>
              <w:top w:val="single" w:sz="4" w:space="0" w:color="auto"/>
            </w:tcBorders>
          </w:tcPr>
          <w:p w:rsidR="00D85FAC" w:rsidRDefault="00D85FAC" w:rsidP="00D85FAC">
            <w:pPr>
              <w:pStyle w:val="table1"/>
              <w:jc w:val="center"/>
            </w:pPr>
            <w:r>
              <w:t>5</w:t>
            </w:r>
          </w:p>
        </w:tc>
        <w:tc>
          <w:tcPr>
            <w:tcW w:w="708" w:type="dxa"/>
            <w:tcBorders>
              <w:top w:val="single" w:sz="4" w:space="0" w:color="auto"/>
            </w:tcBorders>
          </w:tcPr>
          <w:p w:rsidR="00D85FAC" w:rsidRDefault="00D85FAC" w:rsidP="00D85FAC">
            <w:pPr>
              <w:pStyle w:val="table1"/>
              <w:jc w:val="center"/>
            </w:pPr>
            <w:r>
              <w:t>0.30</w:t>
            </w:r>
          </w:p>
        </w:tc>
        <w:tc>
          <w:tcPr>
            <w:tcW w:w="709" w:type="dxa"/>
            <w:tcBorders>
              <w:top w:val="single" w:sz="4" w:space="0" w:color="auto"/>
            </w:tcBorders>
          </w:tcPr>
          <w:p w:rsidR="00D85FAC" w:rsidRDefault="00D85FAC" w:rsidP="00D85FAC">
            <w:pPr>
              <w:pStyle w:val="table1"/>
              <w:jc w:val="center"/>
            </w:pPr>
            <w:r>
              <w:t>0.95</w:t>
            </w:r>
          </w:p>
        </w:tc>
        <w:tc>
          <w:tcPr>
            <w:tcW w:w="851" w:type="dxa"/>
            <w:tcBorders>
              <w:top w:val="single" w:sz="4" w:space="0" w:color="auto"/>
            </w:tcBorders>
          </w:tcPr>
          <w:p w:rsidR="00D85FAC" w:rsidRDefault="00D85FAC" w:rsidP="00D85FAC">
            <w:pPr>
              <w:pStyle w:val="table1"/>
              <w:jc w:val="center"/>
            </w:pPr>
            <w:r>
              <w:t>0.003</w:t>
            </w:r>
          </w:p>
        </w:tc>
      </w:tr>
      <w:tr w:rsidR="00D85FAC" w:rsidTr="00D85FAC">
        <w:tc>
          <w:tcPr>
            <w:tcW w:w="2268" w:type="dxa"/>
          </w:tcPr>
          <w:p w:rsidR="00D85FAC" w:rsidRDefault="00D85FAC" w:rsidP="00D85FAC">
            <w:pPr>
              <w:pStyle w:val="table1"/>
            </w:pPr>
          </w:p>
        </w:tc>
        <w:tc>
          <w:tcPr>
            <w:tcW w:w="3369" w:type="dxa"/>
          </w:tcPr>
          <w:p w:rsidR="00D85FAC" w:rsidRDefault="00D85FAC" w:rsidP="00D85FAC">
            <w:pPr>
              <w:pStyle w:val="table1"/>
            </w:pPr>
            <w:r>
              <w:t>Trenfield et al (2011) – SRFA</w:t>
            </w:r>
            <w:r w:rsidRPr="00BA4EBC">
              <w:rPr>
                <w:snapToGrid w:val="0"/>
                <w:color w:val="000000"/>
                <w:position w:val="5"/>
                <w:sz w:val="15"/>
                <w:szCs w:val="0"/>
                <w:u w:color="000000"/>
              </w:rPr>
              <w:t>1</w:t>
            </w:r>
          </w:p>
        </w:tc>
        <w:tc>
          <w:tcPr>
            <w:tcW w:w="567" w:type="dxa"/>
          </w:tcPr>
          <w:p w:rsidR="00D85FAC" w:rsidRDefault="00D85FAC" w:rsidP="00D85FAC">
            <w:pPr>
              <w:pStyle w:val="table1"/>
              <w:jc w:val="center"/>
            </w:pPr>
            <w:r>
              <w:t>5</w:t>
            </w:r>
          </w:p>
        </w:tc>
        <w:tc>
          <w:tcPr>
            <w:tcW w:w="708" w:type="dxa"/>
          </w:tcPr>
          <w:p w:rsidR="00D85FAC" w:rsidRDefault="00D85FAC" w:rsidP="00D85FAC">
            <w:pPr>
              <w:pStyle w:val="table1"/>
              <w:jc w:val="center"/>
            </w:pPr>
            <w:r>
              <w:t>0.69</w:t>
            </w:r>
          </w:p>
        </w:tc>
        <w:tc>
          <w:tcPr>
            <w:tcW w:w="709" w:type="dxa"/>
          </w:tcPr>
          <w:p w:rsidR="00D85FAC" w:rsidRDefault="00D85FAC" w:rsidP="00D85FAC">
            <w:pPr>
              <w:pStyle w:val="table1"/>
              <w:jc w:val="center"/>
            </w:pPr>
            <w:r>
              <w:t>0.86</w:t>
            </w:r>
          </w:p>
        </w:tc>
        <w:tc>
          <w:tcPr>
            <w:tcW w:w="851" w:type="dxa"/>
          </w:tcPr>
          <w:p w:rsidR="00D85FAC" w:rsidRDefault="00D85FAC" w:rsidP="00D85FAC">
            <w:pPr>
              <w:pStyle w:val="table1"/>
              <w:jc w:val="center"/>
            </w:pPr>
            <w:r>
              <w:t>0.014</w:t>
            </w:r>
          </w:p>
        </w:tc>
      </w:tr>
      <w:tr w:rsidR="00D85FAC" w:rsidRPr="005F3E81" w:rsidTr="00D85FAC">
        <w:tc>
          <w:tcPr>
            <w:tcW w:w="2268" w:type="dxa"/>
          </w:tcPr>
          <w:p w:rsidR="00D85FAC" w:rsidRDefault="00D85FAC" w:rsidP="00D85FAC">
            <w:pPr>
              <w:pStyle w:val="table1"/>
            </w:pPr>
          </w:p>
        </w:tc>
        <w:tc>
          <w:tcPr>
            <w:tcW w:w="3369" w:type="dxa"/>
          </w:tcPr>
          <w:p w:rsidR="00D85FAC" w:rsidRPr="005F3E81" w:rsidRDefault="00D85FAC" w:rsidP="00D85FAC">
            <w:pPr>
              <w:pStyle w:val="table1"/>
              <w:rPr>
                <w:lang w:val="nl-NL"/>
              </w:rPr>
            </w:pPr>
            <w:r w:rsidRPr="005F3E81">
              <w:rPr>
                <w:lang w:val="nl-NL"/>
              </w:rPr>
              <w:t xml:space="preserve">Trenfield </w:t>
            </w:r>
            <w:r>
              <w:rPr>
                <w:lang w:val="nl-NL"/>
              </w:rPr>
              <w:t>et al</w:t>
            </w:r>
            <w:r w:rsidRPr="005F3E81">
              <w:rPr>
                <w:lang w:val="nl-NL"/>
              </w:rPr>
              <w:t xml:space="preserve"> </w:t>
            </w:r>
            <w:r>
              <w:rPr>
                <w:lang w:val="nl-NL"/>
              </w:rPr>
              <w:t>(2011)</w:t>
            </w:r>
            <w:r w:rsidRPr="005F3E81">
              <w:rPr>
                <w:lang w:val="nl-NL"/>
              </w:rPr>
              <w:t xml:space="preserve"> – SBW DOC</w:t>
            </w:r>
            <w:r w:rsidRPr="00BA4EBC">
              <w:rPr>
                <w:snapToGrid w:val="0"/>
                <w:color w:val="000000"/>
                <w:position w:val="5"/>
                <w:sz w:val="15"/>
                <w:szCs w:val="0"/>
                <w:u w:color="000000"/>
                <w:lang w:val="nl-NL"/>
              </w:rPr>
              <w:t>2</w:t>
            </w:r>
          </w:p>
        </w:tc>
        <w:tc>
          <w:tcPr>
            <w:tcW w:w="567" w:type="dxa"/>
          </w:tcPr>
          <w:p w:rsidR="00D85FAC" w:rsidRPr="005F3E81" w:rsidRDefault="00D85FAC" w:rsidP="00D85FAC">
            <w:pPr>
              <w:pStyle w:val="table1"/>
              <w:jc w:val="center"/>
              <w:rPr>
                <w:lang w:val="nl-NL"/>
              </w:rPr>
            </w:pPr>
            <w:r>
              <w:rPr>
                <w:lang w:val="nl-NL"/>
              </w:rPr>
              <w:t>4</w:t>
            </w:r>
          </w:p>
        </w:tc>
        <w:tc>
          <w:tcPr>
            <w:tcW w:w="708" w:type="dxa"/>
          </w:tcPr>
          <w:p w:rsidR="00D85FAC" w:rsidRPr="005F3E81" w:rsidRDefault="00D85FAC" w:rsidP="00D85FAC">
            <w:pPr>
              <w:pStyle w:val="table1"/>
              <w:jc w:val="center"/>
              <w:rPr>
                <w:lang w:val="nl-NL"/>
              </w:rPr>
            </w:pPr>
            <w:r>
              <w:rPr>
                <w:lang w:val="nl-NL"/>
              </w:rPr>
              <w:t>1.3</w:t>
            </w:r>
          </w:p>
        </w:tc>
        <w:tc>
          <w:tcPr>
            <w:tcW w:w="709" w:type="dxa"/>
          </w:tcPr>
          <w:p w:rsidR="00D85FAC" w:rsidRPr="005F3E81" w:rsidRDefault="00D85FAC" w:rsidP="00D85FAC">
            <w:pPr>
              <w:pStyle w:val="table1"/>
              <w:jc w:val="center"/>
              <w:rPr>
                <w:lang w:val="nl-NL"/>
              </w:rPr>
            </w:pPr>
            <w:r>
              <w:rPr>
                <w:lang w:val="nl-NL"/>
              </w:rPr>
              <w:t>0.99</w:t>
            </w:r>
          </w:p>
        </w:tc>
        <w:tc>
          <w:tcPr>
            <w:tcW w:w="851" w:type="dxa"/>
          </w:tcPr>
          <w:p w:rsidR="00D85FAC" w:rsidRPr="005F3E81" w:rsidRDefault="00D85FAC" w:rsidP="00D85FAC">
            <w:pPr>
              <w:pStyle w:val="table1"/>
              <w:jc w:val="center"/>
              <w:rPr>
                <w:lang w:val="nl-NL"/>
              </w:rPr>
            </w:pPr>
            <w:r>
              <w:rPr>
                <w:lang w:val="nl-NL"/>
              </w:rPr>
              <w:t>0.003</w:t>
            </w:r>
            <w:r w:rsidRPr="0014106F">
              <w:rPr>
                <w:snapToGrid w:val="0"/>
                <w:color w:val="000000"/>
                <w:position w:val="5"/>
                <w:sz w:val="15"/>
                <w:szCs w:val="0"/>
                <w:u w:color="000000"/>
                <w:lang w:val="nl-NL"/>
              </w:rPr>
              <w:t>3</w:t>
            </w:r>
          </w:p>
        </w:tc>
      </w:tr>
      <w:tr w:rsidR="00D85FAC" w:rsidRPr="005F3E81" w:rsidTr="00D85FAC">
        <w:tc>
          <w:tcPr>
            <w:tcW w:w="2268" w:type="dxa"/>
          </w:tcPr>
          <w:p w:rsidR="00D85FAC" w:rsidRPr="005F3E81" w:rsidRDefault="00D85FAC" w:rsidP="00D85FAC">
            <w:pPr>
              <w:pStyle w:val="table1"/>
              <w:rPr>
                <w:lang w:val="nl-NL"/>
              </w:rPr>
            </w:pPr>
          </w:p>
        </w:tc>
        <w:tc>
          <w:tcPr>
            <w:tcW w:w="3936" w:type="dxa"/>
            <w:gridSpan w:val="2"/>
          </w:tcPr>
          <w:p w:rsidR="00D85FAC" w:rsidRPr="00D04B41" w:rsidRDefault="00D85FAC" w:rsidP="00D85FAC">
            <w:pPr>
              <w:pStyle w:val="table1"/>
              <w:rPr>
                <w:i/>
                <w:lang w:val="nl-NL"/>
              </w:rPr>
            </w:pPr>
            <w:r>
              <w:rPr>
                <w:i/>
                <w:lang w:val="nl-NL"/>
              </w:rPr>
              <w:t xml:space="preserve">Geometric </w:t>
            </w:r>
            <w:r w:rsidRPr="00D04B41">
              <w:rPr>
                <w:i/>
                <w:lang w:val="nl-NL"/>
              </w:rPr>
              <w:t>Mean</w:t>
            </w:r>
          </w:p>
        </w:tc>
        <w:tc>
          <w:tcPr>
            <w:tcW w:w="708" w:type="dxa"/>
          </w:tcPr>
          <w:p w:rsidR="00D85FAC" w:rsidRPr="00D04B41" w:rsidRDefault="00D85FAC" w:rsidP="00D85FAC">
            <w:pPr>
              <w:pStyle w:val="table1"/>
              <w:jc w:val="center"/>
              <w:rPr>
                <w:i/>
                <w:lang w:val="nl-NL"/>
              </w:rPr>
            </w:pPr>
            <w:r>
              <w:rPr>
                <w:i/>
                <w:lang w:val="nl-NL"/>
              </w:rPr>
              <w:t>0.65</w:t>
            </w:r>
          </w:p>
        </w:tc>
        <w:tc>
          <w:tcPr>
            <w:tcW w:w="709" w:type="dxa"/>
          </w:tcPr>
          <w:p w:rsidR="00D85FAC" w:rsidRPr="005F3E81" w:rsidRDefault="00D85FAC" w:rsidP="00D85FAC">
            <w:pPr>
              <w:pStyle w:val="table1"/>
              <w:rPr>
                <w:lang w:val="nl-NL"/>
              </w:rPr>
            </w:pPr>
          </w:p>
        </w:tc>
        <w:tc>
          <w:tcPr>
            <w:tcW w:w="851" w:type="dxa"/>
          </w:tcPr>
          <w:p w:rsidR="00D85FAC" w:rsidRPr="005F3E81" w:rsidRDefault="00D85FAC" w:rsidP="00D85FAC">
            <w:pPr>
              <w:pStyle w:val="table1"/>
              <w:rPr>
                <w:lang w:val="nl-NL"/>
              </w:rPr>
            </w:pPr>
          </w:p>
        </w:tc>
      </w:tr>
      <w:tr w:rsidR="00D85FAC" w:rsidRPr="005F3E81" w:rsidTr="00D85FAC">
        <w:tc>
          <w:tcPr>
            <w:tcW w:w="2268" w:type="dxa"/>
          </w:tcPr>
          <w:p w:rsidR="00D85FAC" w:rsidRPr="005F3E81" w:rsidRDefault="00D85FAC" w:rsidP="00D85FAC">
            <w:pPr>
              <w:pStyle w:val="table1"/>
              <w:rPr>
                <w:i/>
                <w:lang w:val="nl-NL"/>
              </w:rPr>
            </w:pPr>
            <w:r w:rsidRPr="005F3E81">
              <w:rPr>
                <w:i/>
                <w:lang w:val="nl-NL"/>
              </w:rPr>
              <w:t>Hydra viridissima</w:t>
            </w:r>
          </w:p>
        </w:tc>
        <w:tc>
          <w:tcPr>
            <w:tcW w:w="3369" w:type="dxa"/>
          </w:tcPr>
          <w:p w:rsidR="00D85FAC" w:rsidRDefault="00D85FAC" w:rsidP="00D85FAC">
            <w:pPr>
              <w:pStyle w:val="table1"/>
            </w:pPr>
            <w:r>
              <w:t xml:space="preserve">Trenfield et al </w:t>
            </w:r>
            <w:r>
              <w:rPr>
                <w:lang w:val="nl-NL"/>
              </w:rPr>
              <w:t xml:space="preserve">(2011) </w:t>
            </w:r>
            <w:r>
              <w:t>– SRFA</w:t>
            </w:r>
          </w:p>
        </w:tc>
        <w:tc>
          <w:tcPr>
            <w:tcW w:w="567" w:type="dxa"/>
          </w:tcPr>
          <w:p w:rsidR="00D85FAC" w:rsidRPr="005F3E81" w:rsidRDefault="00D85FAC" w:rsidP="00D85FAC">
            <w:pPr>
              <w:pStyle w:val="table1"/>
              <w:jc w:val="center"/>
              <w:rPr>
                <w:lang w:val="nl-NL"/>
              </w:rPr>
            </w:pPr>
            <w:r>
              <w:rPr>
                <w:lang w:val="nl-NL"/>
              </w:rPr>
              <w:t>5</w:t>
            </w:r>
          </w:p>
        </w:tc>
        <w:tc>
          <w:tcPr>
            <w:tcW w:w="708" w:type="dxa"/>
          </w:tcPr>
          <w:p w:rsidR="00D85FAC" w:rsidRPr="005F3E81" w:rsidRDefault="00D85FAC" w:rsidP="00D85FAC">
            <w:pPr>
              <w:pStyle w:val="table1"/>
              <w:jc w:val="center"/>
              <w:rPr>
                <w:lang w:val="nl-NL"/>
              </w:rPr>
            </w:pPr>
            <w:r>
              <w:rPr>
                <w:lang w:val="nl-NL"/>
              </w:rPr>
              <w:t>0.35</w:t>
            </w:r>
          </w:p>
        </w:tc>
        <w:tc>
          <w:tcPr>
            <w:tcW w:w="709" w:type="dxa"/>
          </w:tcPr>
          <w:p w:rsidR="00D85FAC" w:rsidRPr="005F3E81" w:rsidRDefault="00D85FAC" w:rsidP="00D85FAC">
            <w:pPr>
              <w:pStyle w:val="table1"/>
              <w:jc w:val="center"/>
              <w:rPr>
                <w:lang w:val="nl-NL"/>
              </w:rPr>
            </w:pPr>
            <w:r>
              <w:rPr>
                <w:lang w:val="nl-NL"/>
              </w:rPr>
              <w:t>0.95</w:t>
            </w:r>
          </w:p>
        </w:tc>
        <w:tc>
          <w:tcPr>
            <w:tcW w:w="851" w:type="dxa"/>
          </w:tcPr>
          <w:p w:rsidR="00D85FAC" w:rsidRPr="005F3E81" w:rsidRDefault="00D85FAC" w:rsidP="00D85FAC">
            <w:pPr>
              <w:pStyle w:val="table1"/>
              <w:jc w:val="center"/>
              <w:rPr>
                <w:lang w:val="nl-NL"/>
              </w:rPr>
            </w:pPr>
            <w:r>
              <w:rPr>
                <w:lang w:val="nl-NL"/>
              </w:rPr>
              <w:t>0.003</w:t>
            </w:r>
          </w:p>
        </w:tc>
      </w:tr>
      <w:tr w:rsidR="00D85FAC" w:rsidRPr="005F3E81" w:rsidTr="00D85FAC">
        <w:tc>
          <w:tcPr>
            <w:tcW w:w="2268" w:type="dxa"/>
          </w:tcPr>
          <w:p w:rsidR="00D85FAC" w:rsidRPr="005F3E81" w:rsidRDefault="00D85FAC" w:rsidP="00D85FAC">
            <w:pPr>
              <w:pStyle w:val="table1"/>
              <w:rPr>
                <w:lang w:val="nl-NL"/>
              </w:rPr>
            </w:pPr>
          </w:p>
        </w:tc>
        <w:tc>
          <w:tcPr>
            <w:tcW w:w="3369" w:type="dxa"/>
          </w:tcPr>
          <w:p w:rsidR="00D85FAC" w:rsidRPr="005F3E81" w:rsidRDefault="00D85FAC" w:rsidP="00D85FAC">
            <w:pPr>
              <w:pStyle w:val="table1"/>
              <w:rPr>
                <w:lang w:val="nl-NL"/>
              </w:rPr>
            </w:pPr>
            <w:r w:rsidRPr="005F3E81">
              <w:rPr>
                <w:lang w:val="nl-NL"/>
              </w:rPr>
              <w:t xml:space="preserve">Trenfield </w:t>
            </w:r>
            <w:r>
              <w:rPr>
                <w:lang w:val="nl-NL"/>
              </w:rPr>
              <w:t>et al</w:t>
            </w:r>
            <w:r w:rsidRPr="005F3E81">
              <w:rPr>
                <w:lang w:val="nl-NL"/>
              </w:rPr>
              <w:t xml:space="preserve"> </w:t>
            </w:r>
            <w:r>
              <w:rPr>
                <w:lang w:val="nl-NL"/>
              </w:rPr>
              <w:t>(2011)</w:t>
            </w:r>
            <w:r w:rsidRPr="005F3E81">
              <w:rPr>
                <w:lang w:val="nl-NL"/>
              </w:rPr>
              <w:t xml:space="preserve"> – SBW DOC</w:t>
            </w:r>
          </w:p>
        </w:tc>
        <w:tc>
          <w:tcPr>
            <w:tcW w:w="567" w:type="dxa"/>
          </w:tcPr>
          <w:p w:rsidR="00D85FAC" w:rsidRPr="005F3E81" w:rsidRDefault="00D85FAC" w:rsidP="00D85FAC">
            <w:pPr>
              <w:pStyle w:val="table1"/>
              <w:jc w:val="center"/>
              <w:rPr>
                <w:lang w:val="nl-NL"/>
              </w:rPr>
            </w:pPr>
            <w:r>
              <w:rPr>
                <w:lang w:val="nl-NL"/>
              </w:rPr>
              <w:t>4</w:t>
            </w:r>
          </w:p>
        </w:tc>
        <w:tc>
          <w:tcPr>
            <w:tcW w:w="708" w:type="dxa"/>
          </w:tcPr>
          <w:p w:rsidR="00D85FAC" w:rsidRPr="005F3E81" w:rsidRDefault="00D85FAC" w:rsidP="00D85FAC">
            <w:pPr>
              <w:pStyle w:val="table1"/>
              <w:jc w:val="center"/>
              <w:rPr>
                <w:lang w:val="nl-NL"/>
              </w:rPr>
            </w:pPr>
            <w:r>
              <w:rPr>
                <w:lang w:val="nl-NL"/>
              </w:rPr>
              <w:t>0.14</w:t>
            </w:r>
          </w:p>
        </w:tc>
        <w:tc>
          <w:tcPr>
            <w:tcW w:w="709" w:type="dxa"/>
          </w:tcPr>
          <w:p w:rsidR="00D85FAC" w:rsidRPr="005F3E81" w:rsidRDefault="00D85FAC" w:rsidP="00D85FAC">
            <w:pPr>
              <w:pStyle w:val="table1"/>
              <w:jc w:val="center"/>
              <w:rPr>
                <w:lang w:val="nl-NL"/>
              </w:rPr>
            </w:pPr>
            <w:r>
              <w:rPr>
                <w:lang w:val="nl-NL"/>
              </w:rPr>
              <w:t>0.99</w:t>
            </w:r>
          </w:p>
        </w:tc>
        <w:tc>
          <w:tcPr>
            <w:tcW w:w="851" w:type="dxa"/>
          </w:tcPr>
          <w:p w:rsidR="00D85FAC" w:rsidRPr="005F3E81" w:rsidRDefault="00D85FAC" w:rsidP="00D85FAC">
            <w:pPr>
              <w:pStyle w:val="table1"/>
              <w:jc w:val="center"/>
              <w:rPr>
                <w:lang w:val="nl-NL"/>
              </w:rPr>
            </w:pPr>
            <w:r>
              <w:rPr>
                <w:lang w:val="nl-NL"/>
              </w:rPr>
              <w:t>&lt;0.001</w:t>
            </w:r>
            <w:r w:rsidRPr="0014106F">
              <w:rPr>
                <w:snapToGrid w:val="0"/>
                <w:color w:val="000000"/>
                <w:position w:val="5"/>
                <w:sz w:val="15"/>
                <w:szCs w:val="0"/>
                <w:u w:color="000000"/>
                <w:lang w:val="nl-NL"/>
              </w:rPr>
              <w:t>3</w:t>
            </w:r>
          </w:p>
        </w:tc>
      </w:tr>
      <w:tr w:rsidR="00D85FAC" w:rsidRPr="005F3E81" w:rsidTr="00D85FAC">
        <w:tc>
          <w:tcPr>
            <w:tcW w:w="2268" w:type="dxa"/>
          </w:tcPr>
          <w:p w:rsidR="00D85FAC" w:rsidRPr="005F3E81" w:rsidRDefault="00D85FAC" w:rsidP="00D85FAC">
            <w:pPr>
              <w:pStyle w:val="table1"/>
              <w:rPr>
                <w:lang w:val="nl-NL"/>
              </w:rPr>
            </w:pPr>
          </w:p>
        </w:tc>
        <w:tc>
          <w:tcPr>
            <w:tcW w:w="3936" w:type="dxa"/>
            <w:gridSpan w:val="2"/>
          </w:tcPr>
          <w:p w:rsidR="00D85FAC" w:rsidRPr="00D04B41" w:rsidRDefault="00D85FAC" w:rsidP="00D85FAC">
            <w:pPr>
              <w:pStyle w:val="table1"/>
              <w:rPr>
                <w:i/>
                <w:lang w:val="nl-NL"/>
              </w:rPr>
            </w:pPr>
            <w:r>
              <w:rPr>
                <w:i/>
                <w:lang w:val="nl-NL"/>
              </w:rPr>
              <w:t xml:space="preserve">Geometric </w:t>
            </w:r>
            <w:r w:rsidRPr="00D04B41">
              <w:rPr>
                <w:i/>
                <w:lang w:val="nl-NL"/>
              </w:rPr>
              <w:t>Mean</w:t>
            </w:r>
          </w:p>
        </w:tc>
        <w:tc>
          <w:tcPr>
            <w:tcW w:w="708" w:type="dxa"/>
          </w:tcPr>
          <w:p w:rsidR="00D85FAC" w:rsidRPr="00D04B41" w:rsidRDefault="00D85FAC" w:rsidP="00D85FAC">
            <w:pPr>
              <w:pStyle w:val="table1"/>
              <w:jc w:val="center"/>
              <w:rPr>
                <w:i/>
                <w:lang w:val="nl-NL"/>
              </w:rPr>
            </w:pPr>
            <w:r w:rsidRPr="00D04B41">
              <w:rPr>
                <w:i/>
                <w:lang w:val="nl-NL"/>
              </w:rPr>
              <w:t>0.2</w:t>
            </w:r>
            <w:r>
              <w:rPr>
                <w:i/>
                <w:lang w:val="nl-NL"/>
              </w:rPr>
              <w:t>2</w:t>
            </w:r>
          </w:p>
        </w:tc>
        <w:tc>
          <w:tcPr>
            <w:tcW w:w="709" w:type="dxa"/>
          </w:tcPr>
          <w:p w:rsidR="00D85FAC" w:rsidRPr="005F3E81" w:rsidRDefault="00D85FAC" w:rsidP="00D85FAC">
            <w:pPr>
              <w:pStyle w:val="table1"/>
              <w:rPr>
                <w:lang w:val="nl-NL"/>
              </w:rPr>
            </w:pPr>
          </w:p>
        </w:tc>
        <w:tc>
          <w:tcPr>
            <w:tcW w:w="851" w:type="dxa"/>
          </w:tcPr>
          <w:p w:rsidR="00D85FAC" w:rsidRPr="005F3E81" w:rsidRDefault="00D85FAC" w:rsidP="00D85FAC">
            <w:pPr>
              <w:pStyle w:val="table1"/>
              <w:rPr>
                <w:lang w:val="nl-NL"/>
              </w:rPr>
            </w:pPr>
          </w:p>
        </w:tc>
      </w:tr>
      <w:tr w:rsidR="00D85FAC" w:rsidRPr="005F3E81" w:rsidTr="00D85FAC">
        <w:tc>
          <w:tcPr>
            <w:tcW w:w="2268" w:type="dxa"/>
          </w:tcPr>
          <w:p w:rsidR="00D85FAC" w:rsidRPr="00964D87" w:rsidRDefault="00D85FAC" w:rsidP="00D85FAC">
            <w:pPr>
              <w:pStyle w:val="table1"/>
              <w:rPr>
                <w:i/>
                <w:lang w:val="nl-NL"/>
              </w:rPr>
            </w:pPr>
            <w:r w:rsidRPr="00964D87">
              <w:rPr>
                <w:i/>
                <w:lang w:val="nl-NL"/>
              </w:rPr>
              <w:t>Velesunio angasi</w:t>
            </w:r>
          </w:p>
        </w:tc>
        <w:tc>
          <w:tcPr>
            <w:tcW w:w="3369" w:type="dxa"/>
          </w:tcPr>
          <w:p w:rsidR="00D85FAC" w:rsidRPr="005F3E81" w:rsidRDefault="00D85FAC" w:rsidP="00D85FAC">
            <w:pPr>
              <w:pStyle w:val="table1"/>
              <w:rPr>
                <w:lang w:val="nl-NL"/>
              </w:rPr>
            </w:pPr>
            <w:r>
              <w:rPr>
                <w:lang w:val="nl-NL"/>
              </w:rPr>
              <w:t>Markich et al (2000) – pH 5.0</w:t>
            </w:r>
          </w:p>
        </w:tc>
        <w:tc>
          <w:tcPr>
            <w:tcW w:w="567" w:type="dxa"/>
          </w:tcPr>
          <w:p w:rsidR="00D85FAC" w:rsidRPr="005F3E81" w:rsidRDefault="00D85FAC" w:rsidP="00D85FAC">
            <w:pPr>
              <w:pStyle w:val="table1"/>
              <w:jc w:val="center"/>
              <w:rPr>
                <w:lang w:val="nl-NL"/>
              </w:rPr>
            </w:pPr>
            <w:r>
              <w:rPr>
                <w:lang w:val="nl-NL"/>
              </w:rPr>
              <w:t>3</w:t>
            </w:r>
          </w:p>
        </w:tc>
        <w:tc>
          <w:tcPr>
            <w:tcW w:w="708" w:type="dxa"/>
          </w:tcPr>
          <w:p w:rsidR="00D85FAC" w:rsidRPr="005F3E81" w:rsidRDefault="00D85FAC" w:rsidP="00D85FAC">
            <w:pPr>
              <w:pStyle w:val="table1"/>
              <w:jc w:val="center"/>
              <w:rPr>
                <w:lang w:val="nl-NL"/>
              </w:rPr>
            </w:pPr>
            <w:r>
              <w:rPr>
                <w:lang w:val="nl-NL"/>
              </w:rPr>
              <w:t>0.11</w:t>
            </w:r>
          </w:p>
        </w:tc>
        <w:tc>
          <w:tcPr>
            <w:tcW w:w="709" w:type="dxa"/>
          </w:tcPr>
          <w:p w:rsidR="00D85FAC" w:rsidRPr="005F3E81" w:rsidRDefault="00D85FAC" w:rsidP="00D85FAC">
            <w:pPr>
              <w:pStyle w:val="table1"/>
              <w:jc w:val="center"/>
              <w:rPr>
                <w:lang w:val="nl-NL"/>
              </w:rPr>
            </w:pPr>
            <w:r>
              <w:rPr>
                <w:lang w:val="nl-NL"/>
              </w:rPr>
              <w:t>0.87</w:t>
            </w:r>
          </w:p>
        </w:tc>
        <w:tc>
          <w:tcPr>
            <w:tcW w:w="851" w:type="dxa"/>
          </w:tcPr>
          <w:p w:rsidR="00D85FAC" w:rsidRPr="005F3E81" w:rsidRDefault="00D85FAC" w:rsidP="00D85FAC">
            <w:pPr>
              <w:pStyle w:val="table1"/>
              <w:jc w:val="center"/>
              <w:rPr>
                <w:lang w:val="nl-NL"/>
              </w:rPr>
            </w:pPr>
            <w:r>
              <w:rPr>
                <w:lang w:val="nl-NL"/>
              </w:rPr>
              <w:t>0.17</w:t>
            </w:r>
            <w:r w:rsidRPr="0014106F">
              <w:rPr>
                <w:snapToGrid w:val="0"/>
                <w:color w:val="000000"/>
                <w:position w:val="5"/>
                <w:sz w:val="15"/>
                <w:szCs w:val="0"/>
                <w:u w:color="000000"/>
                <w:lang w:val="nl-NL"/>
              </w:rPr>
              <w:t>3</w:t>
            </w:r>
          </w:p>
        </w:tc>
      </w:tr>
      <w:tr w:rsidR="00D85FAC" w:rsidRPr="005F3E81" w:rsidTr="00D85FAC">
        <w:tc>
          <w:tcPr>
            <w:tcW w:w="2268" w:type="dxa"/>
          </w:tcPr>
          <w:p w:rsidR="00D85FAC" w:rsidRPr="005F3E81" w:rsidRDefault="00D85FAC" w:rsidP="00D85FAC">
            <w:pPr>
              <w:pStyle w:val="table1"/>
              <w:rPr>
                <w:lang w:val="nl-NL"/>
              </w:rPr>
            </w:pPr>
          </w:p>
        </w:tc>
        <w:tc>
          <w:tcPr>
            <w:tcW w:w="3369" w:type="dxa"/>
          </w:tcPr>
          <w:p w:rsidR="00D85FAC" w:rsidRPr="005F3E81" w:rsidRDefault="00D85FAC" w:rsidP="00D85FAC">
            <w:pPr>
              <w:pStyle w:val="table1"/>
              <w:rPr>
                <w:lang w:val="nl-NL"/>
              </w:rPr>
            </w:pPr>
            <w:r>
              <w:rPr>
                <w:lang w:val="nl-NL"/>
              </w:rPr>
              <w:t>Markich et al (2000) – pH 5.5</w:t>
            </w:r>
          </w:p>
        </w:tc>
        <w:tc>
          <w:tcPr>
            <w:tcW w:w="567" w:type="dxa"/>
          </w:tcPr>
          <w:p w:rsidR="00D85FAC" w:rsidRPr="005F3E81" w:rsidRDefault="00D85FAC" w:rsidP="00D85FAC">
            <w:pPr>
              <w:pStyle w:val="table1"/>
              <w:jc w:val="center"/>
              <w:rPr>
                <w:lang w:val="nl-NL"/>
              </w:rPr>
            </w:pPr>
            <w:r>
              <w:rPr>
                <w:lang w:val="nl-NL"/>
              </w:rPr>
              <w:t>3</w:t>
            </w:r>
          </w:p>
        </w:tc>
        <w:tc>
          <w:tcPr>
            <w:tcW w:w="708" w:type="dxa"/>
          </w:tcPr>
          <w:p w:rsidR="00D85FAC" w:rsidRPr="005F3E81" w:rsidRDefault="00D85FAC" w:rsidP="00D85FAC">
            <w:pPr>
              <w:pStyle w:val="table1"/>
              <w:jc w:val="center"/>
              <w:rPr>
                <w:lang w:val="nl-NL"/>
              </w:rPr>
            </w:pPr>
            <w:r>
              <w:rPr>
                <w:lang w:val="nl-NL"/>
              </w:rPr>
              <w:t>0.21</w:t>
            </w:r>
          </w:p>
        </w:tc>
        <w:tc>
          <w:tcPr>
            <w:tcW w:w="709" w:type="dxa"/>
          </w:tcPr>
          <w:p w:rsidR="00D85FAC" w:rsidRPr="005F3E81" w:rsidRDefault="00D85FAC" w:rsidP="00D85FAC">
            <w:pPr>
              <w:pStyle w:val="table1"/>
              <w:jc w:val="center"/>
              <w:rPr>
                <w:lang w:val="nl-NL"/>
              </w:rPr>
            </w:pPr>
            <w:r>
              <w:rPr>
                <w:lang w:val="nl-NL"/>
              </w:rPr>
              <w:t>0.89</w:t>
            </w:r>
          </w:p>
        </w:tc>
        <w:tc>
          <w:tcPr>
            <w:tcW w:w="851" w:type="dxa"/>
          </w:tcPr>
          <w:p w:rsidR="00D85FAC" w:rsidRPr="005F3E81" w:rsidRDefault="00D85FAC" w:rsidP="00D85FAC">
            <w:pPr>
              <w:pStyle w:val="table1"/>
              <w:jc w:val="center"/>
              <w:rPr>
                <w:lang w:val="nl-NL"/>
              </w:rPr>
            </w:pPr>
            <w:r>
              <w:rPr>
                <w:lang w:val="nl-NL"/>
              </w:rPr>
              <w:t>0.15</w:t>
            </w:r>
            <w:r w:rsidRPr="0014106F">
              <w:rPr>
                <w:snapToGrid w:val="0"/>
                <w:color w:val="000000"/>
                <w:position w:val="5"/>
                <w:sz w:val="15"/>
                <w:szCs w:val="0"/>
                <w:u w:color="000000"/>
                <w:lang w:val="nl-NL"/>
              </w:rPr>
              <w:t>3</w:t>
            </w:r>
          </w:p>
        </w:tc>
      </w:tr>
      <w:tr w:rsidR="00D85FAC" w:rsidRPr="005F3E81" w:rsidTr="00D85FAC">
        <w:tc>
          <w:tcPr>
            <w:tcW w:w="2268" w:type="dxa"/>
          </w:tcPr>
          <w:p w:rsidR="00D85FAC" w:rsidRPr="005F3E81" w:rsidRDefault="00D85FAC" w:rsidP="00D85FAC">
            <w:pPr>
              <w:pStyle w:val="table1"/>
              <w:rPr>
                <w:lang w:val="nl-NL"/>
              </w:rPr>
            </w:pPr>
          </w:p>
        </w:tc>
        <w:tc>
          <w:tcPr>
            <w:tcW w:w="3369" w:type="dxa"/>
          </w:tcPr>
          <w:p w:rsidR="00D85FAC" w:rsidRPr="005F3E81" w:rsidRDefault="00D85FAC" w:rsidP="00D85FAC">
            <w:pPr>
              <w:pStyle w:val="table1"/>
              <w:rPr>
                <w:lang w:val="nl-NL"/>
              </w:rPr>
            </w:pPr>
            <w:r>
              <w:rPr>
                <w:lang w:val="nl-NL"/>
              </w:rPr>
              <w:t>Markich et al (2000) – pH 6.0</w:t>
            </w:r>
          </w:p>
        </w:tc>
        <w:tc>
          <w:tcPr>
            <w:tcW w:w="567" w:type="dxa"/>
          </w:tcPr>
          <w:p w:rsidR="00D85FAC" w:rsidRPr="005F3E81" w:rsidRDefault="00D85FAC" w:rsidP="00D85FAC">
            <w:pPr>
              <w:pStyle w:val="table1"/>
              <w:jc w:val="center"/>
              <w:rPr>
                <w:lang w:val="nl-NL"/>
              </w:rPr>
            </w:pPr>
            <w:r>
              <w:rPr>
                <w:lang w:val="nl-NL"/>
              </w:rPr>
              <w:t>3</w:t>
            </w:r>
          </w:p>
        </w:tc>
        <w:tc>
          <w:tcPr>
            <w:tcW w:w="708" w:type="dxa"/>
          </w:tcPr>
          <w:p w:rsidR="00D85FAC" w:rsidRPr="005F3E81" w:rsidRDefault="00D85FAC" w:rsidP="00D85FAC">
            <w:pPr>
              <w:pStyle w:val="table1"/>
              <w:jc w:val="center"/>
              <w:rPr>
                <w:lang w:val="nl-NL"/>
              </w:rPr>
            </w:pPr>
            <w:r>
              <w:rPr>
                <w:lang w:val="nl-NL"/>
              </w:rPr>
              <w:t>0.10</w:t>
            </w:r>
          </w:p>
        </w:tc>
        <w:tc>
          <w:tcPr>
            <w:tcW w:w="709" w:type="dxa"/>
          </w:tcPr>
          <w:p w:rsidR="00D85FAC" w:rsidRPr="005F3E81" w:rsidRDefault="00D85FAC" w:rsidP="00D85FAC">
            <w:pPr>
              <w:pStyle w:val="table1"/>
              <w:jc w:val="center"/>
              <w:rPr>
                <w:lang w:val="nl-NL"/>
              </w:rPr>
            </w:pPr>
            <w:r>
              <w:rPr>
                <w:lang w:val="nl-NL"/>
              </w:rPr>
              <w:t>0.97</w:t>
            </w:r>
          </w:p>
        </w:tc>
        <w:tc>
          <w:tcPr>
            <w:tcW w:w="851" w:type="dxa"/>
          </w:tcPr>
          <w:p w:rsidR="00D85FAC" w:rsidRPr="005F3E81" w:rsidRDefault="00D85FAC" w:rsidP="00D85FAC">
            <w:pPr>
              <w:pStyle w:val="table1"/>
              <w:jc w:val="center"/>
              <w:rPr>
                <w:lang w:val="nl-NL"/>
              </w:rPr>
            </w:pPr>
            <w:r>
              <w:rPr>
                <w:lang w:val="nl-NL"/>
              </w:rPr>
              <w:t>0.08</w:t>
            </w:r>
            <w:r w:rsidRPr="0014106F">
              <w:rPr>
                <w:snapToGrid w:val="0"/>
                <w:color w:val="000000"/>
                <w:position w:val="5"/>
                <w:sz w:val="15"/>
                <w:szCs w:val="0"/>
                <w:u w:color="000000"/>
                <w:lang w:val="nl-NL"/>
              </w:rPr>
              <w:t>3</w:t>
            </w:r>
          </w:p>
        </w:tc>
      </w:tr>
      <w:tr w:rsidR="00D85FAC" w:rsidRPr="005F3E81" w:rsidTr="00D85FAC">
        <w:tc>
          <w:tcPr>
            <w:tcW w:w="2268" w:type="dxa"/>
          </w:tcPr>
          <w:p w:rsidR="00D85FAC" w:rsidRPr="005F3E81" w:rsidRDefault="00D85FAC" w:rsidP="00D85FAC">
            <w:pPr>
              <w:pStyle w:val="table1"/>
              <w:rPr>
                <w:lang w:val="nl-NL"/>
              </w:rPr>
            </w:pPr>
          </w:p>
        </w:tc>
        <w:tc>
          <w:tcPr>
            <w:tcW w:w="3936" w:type="dxa"/>
            <w:gridSpan w:val="2"/>
          </w:tcPr>
          <w:p w:rsidR="00D85FAC" w:rsidRPr="00D04B41" w:rsidRDefault="00D85FAC" w:rsidP="00D85FAC">
            <w:pPr>
              <w:pStyle w:val="table1"/>
              <w:rPr>
                <w:i/>
                <w:lang w:val="nl-NL"/>
              </w:rPr>
            </w:pPr>
            <w:r>
              <w:rPr>
                <w:i/>
                <w:lang w:val="nl-NL"/>
              </w:rPr>
              <w:t xml:space="preserve">Geometric </w:t>
            </w:r>
            <w:r w:rsidRPr="00D04B41">
              <w:rPr>
                <w:i/>
                <w:lang w:val="nl-NL"/>
              </w:rPr>
              <w:t>Mean</w:t>
            </w:r>
          </w:p>
        </w:tc>
        <w:tc>
          <w:tcPr>
            <w:tcW w:w="708" w:type="dxa"/>
          </w:tcPr>
          <w:p w:rsidR="00D85FAC" w:rsidRPr="00D04B41" w:rsidRDefault="00D85FAC" w:rsidP="00D85FAC">
            <w:pPr>
              <w:pStyle w:val="table1"/>
              <w:jc w:val="center"/>
              <w:rPr>
                <w:i/>
                <w:lang w:val="nl-NL"/>
              </w:rPr>
            </w:pPr>
            <w:r w:rsidRPr="00D04B41">
              <w:rPr>
                <w:i/>
                <w:lang w:val="nl-NL"/>
              </w:rPr>
              <w:t>0.1</w:t>
            </w:r>
            <w:r>
              <w:rPr>
                <w:i/>
                <w:lang w:val="nl-NL"/>
              </w:rPr>
              <w:t>3</w:t>
            </w:r>
          </w:p>
        </w:tc>
        <w:tc>
          <w:tcPr>
            <w:tcW w:w="709" w:type="dxa"/>
          </w:tcPr>
          <w:p w:rsidR="00D85FAC" w:rsidRPr="005F3E81" w:rsidRDefault="00D85FAC" w:rsidP="00D85FAC">
            <w:pPr>
              <w:pStyle w:val="table1"/>
              <w:rPr>
                <w:lang w:val="nl-NL"/>
              </w:rPr>
            </w:pPr>
          </w:p>
        </w:tc>
        <w:tc>
          <w:tcPr>
            <w:tcW w:w="851" w:type="dxa"/>
          </w:tcPr>
          <w:p w:rsidR="00D85FAC" w:rsidRPr="005F3E81" w:rsidRDefault="00D85FAC" w:rsidP="00D85FAC">
            <w:pPr>
              <w:pStyle w:val="table1"/>
              <w:rPr>
                <w:lang w:val="nl-NL"/>
              </w:rPr>
            </w:pPr>
          </w:p>
        </w:tc>
      </w:tr>
      <w:tr w:rsidR="00D85FAC" w:rsidRPr="005F3E81" w:rsidTr="00D85FAC">
        <w:tc>
          <w:tcPr>
            <w:tcW w:w="2268" w:type="dxa"/>
          </w:tcPr>
          <w:p w:rsidR="00D85FAC" w:rsidRPr="00964D87" w:rsidRDefault="00D85FAC" w:rsidP="00D85FAC">
            <w:pPr>
              <w:pStyle w:val="table1"/>
              <w:rPr>
                <w:i/>
                <w:lang w:val="nl-NL"/>
              </w:rPr>
            </w:pPr>
            <w:r w:rsidRPr="00964D87">
              <w:rPr>
                <w:i/>
                <w:lang w:val="nl-NL"/>
              </w:rPr>
              <w:t>Mogurnda mogurnda</w:t>
            </w:r>
          </w:p>
        </w:tc>
        <w:tc>
          <w:tcPr>
            <w:tcW w:w="3369" w:type="dxa"/>
          </w:tcPr>
          <w:p w:rsidR="00D85FAC" w:rsidRDefault="00D85FAC" w:rsidP="00D85FAC">
            <w:pPr>
              <w:pStyle w:val="table1"/>
            </w:pPr>
            <w:r>
              <w:t xml:space="preserve">Trenfield et al </w:t>
            </w:r>
            <w:r>
              <w:rPr>
                <w:lang w:val="nl-NL"/>
              </w:rPr>
              <w:t>(2011)</w:t>
            </w:r>
            <w:r w:rsidRPr="005F3E81">
              <w:rPr>
                <w:lang w:val="nl-NL"/>
              </w:rPr>
              <w:t xml:space="preserve"> </w:t>
            </w:r>
            <w:r>
              <w:t>– SRFA</w:t>
            </w:r>
          </w:p>
        </w:tc>
        <w:tc>
          <w:tcPr>
            <w:tcW w:w="567" w:type="dxa"/>
          </w:tcPr>
          <w:p w:rsidR="00D85FAC" w:rsidRPr="005F3E81" w:rsidRDefault="00D85FAC" w:rsidP="00D85FAC">
            <w:pPr>
              <w:pStyle w:val="table1"/>
              <w:jc w:val="center"/>
              <w:rPr>
                <w:lang w:val="nl-NL"/>
              </w:rPr>
            </w:pPr>
            <w:r>
              <w:rPr>
                <w:lang w:val="nl-NL"/>
              </w:rPr>
              <w:t>5</w:t>
            </w:r>
          </w:p>
        </w:tc>
        <w:tc>
          <w:tcPr>
            <w:tcW w:w="708" w:type="dxa"/>
          </w:tcPr>
          <w:p w:rsidR="00D85FAC" w:rsidRPr="005F3E81" w:rsidRDefault="00D85FAC" w:rsidP="00D85FAC">
            <w:pPr>
              <w:pStyle w:val="table1"/>
              <w:jc w:val="center"/>
              <w:rPr>
                <w:lang w:val="nl-NL"/>
              </w:rPr>
            </w:pPr>
            <w:r>
              <w:rPr>
                <w:lang w:val="nl-NL"/>
              </w:rPr>
              <w:t>0.19</w:t>
            </w:r>
          </w:p>
        </w:tc>
        <w:tc>
          <w:tcPr>
            <w:tcW w:w="709" w:type="dxa"/>
          </w:tcPr>
          <w:p w:rsidR="00D85FAC" w:rsidRPr="005F3E81" w:rsidRDefault="00D85FAC" w:rsidP="00D85FAC">
            <w:pPr>
              <w:pStyle w:val="table1"/>
              <w:jc w:val="center"/>
              <w:rPr>
                <w:lang w:val="nl-NL"/>
              </w:rPr>
            </w:pPr>
            <w:r>
              <w:rPr>
                <w:lang w:val="nl-NL"/>
              </w:rPr>
              <w:t>0.99</w:t>
            </w:r>
          </w:p>
        </w:tc>
        <w:tc>
          <w:tcPr>
            <w:tcW w:w="851" w:type="dxa"/>
          </w:tcPr>
          <w:p w:rsidR="00D85FAC" w:rsidRPr="005F3E81" w:rsidRDefault="00D85FAC" w:rsidP="00D85FAC">
            <w:pPr>
              <w:pStyle w:val="table1"/>
              <w:jc w:val="center"/>
              <w:rPr>
                <w:lang w:val="nl-NL"/>
              </w:rPr>
            </w:pPr>
            <w:r>
              <w:rPr>
                <w:lang w:val="nl-NL"/>
              </w:rPr>
              <w:t>&lt;0.001</w:t>
            </w:r>
          </w:p>
        </w:tc>
      </w:tr>
      <w:tr w:rsidR="00D85FAC" w:rsidRPr="005F3E81" w:rsidTr="00D85FAC">
        <w:tc>
          <w:tcPr>
            <w:tcW w:w="2268" w:type="dxa"/>
          </w:tcPr>
          <w:p w:rsidR="00D85FAC" w:rsidRPr="005F3E81" w:rsidRDefault="00D85FAC" w:rsidP="00D85FAC">
            <w:pPr>
              <w:pStyle w:val="table1"/>
              <w:rPr>
                <w:lang w:val="nl-NL"/>
              </w:rPr>
            </w:pPr>
          </w:p>
        </w:tc>
        <w:tc>
          <w:tcPr>
            <w:tcW w:w="3369" w:type="dxa"/>
          </w:tcPr>
          <w:p w:rsidR="00D85FAC" w:rsidRPr="005F3E81" w:rsidRDefault="00D85FAC" w:rsidP="00D85FAC">
            <w:pPr>
              <w:pStyle w:val="table1"/>
              <w:rPr>
                <w:lang w:val="nl-NL"/>
              </w:rPr>
            </w:pPr>
            <w:r w:rsidRPr="005F3E81">
              <w:rPr>
                <w:lang w:val="nl-NL"/>
              </w:rPr>
              <w:t xml:space="preserve">Trenfield </w:t>
            </w:r>
            <w:r>
              <w:rPr>
                <w:lang w:val="nl-NL"/>
              </w:rPr>
              <w:t>et al</w:t>
            </w:r>
            <w:r w:rsidRPr="005F3E81">
              <w:rPr>
                <w:lang w:val="nl-NL"/>
              </w:rPr>
              <w:t xml:space="preserve"> </w:t>
            </w:r>
            <w:r>
              <w:rPr>
                <w:lang w:val="nl-NL"/>
              </w:rPr>
              <w:t xml:space="preserve">(2011) </w:t>
            </w:r>
            <w:r w:rsidRPr="005F3E81">
              <w:rPr>
                <w:lang w:val="nl-NL"/>
              </w:rPr>
              <w:t>– SBW DOC</w:t>
            </w:r>
          </w:p>
        </w:tc>
        <w:tc>
          <w:tcPr>
            <w:tcW w:w="567" w:type="dxa"/>
          </w:tcPr>
          <w:p w:rsidR="00D85FAC" w:rsidRPr="005F3E81" w:rsidRDefault="00D85FAC" w:rsidP="00D85FAC">
            <w:pPr>
              <w:pStyle w:val="table1"/>
              <w:jc w:val="center"/>
              <w:rPr>
                <w:lang w:val="nl-NL"/>
              </w:rPr>
            </w:pPr>
            <w:r>
              <w:rPr>
                <w:lang w:val="nl-NL"/>
              </w:rPr>
              <w:t>4</w:t>
            </w:r>
          </w:p>
        </w:tc>
        <w:tc>
          <w:tcPr>
            <w:tcW w:w="708" w:type="dxa"/>
          </w:tcPr>
          <w:p w:rsidR="00D85FAC" w:rsidRPr="005F3E81" w:rsidRDefault="00D85FAC" w:rsidP="00D85FAC">
            <w:pPr>
              <w:pStyle w:val="table1"/>
              <w:jc w:val="center"/>
              <w:rPr>
                <w:lang w:val="nl-NL"/>
              </w:rPr>
            </w:pPr>
            <w:r>
              <w:rPr>
                <w:lang w:val="nl-NL"/>
              </w:rPr>
              <w:t>0.08</w:t>
            </w:r>
          </w:p>
        </w:tc>
        <w:tc>
          <w:tcPr>
            <w:tcW w:w="709" w:type="dxa"/>
          </w:tcPr>
          <w:p w:rsidR="00D85FAC" w:rsidRPr="005F3E81" w:rsidRDefault="00D85FAC" w:rsidP="00D85FAC">
            <w:pPr>
              <w:pStyle w:val="table1"/>
              <w:jc w:val="center"/>
              <w:rPr>
                <w:lang w:val="nl-NL"/>
              </w:rPr>
            </w:pPr>
            <w:r>
              <w:rPr>
                <w:lang w:val="nl-NL"/>
              </w:rPr>
              <w:t>0.97</w:t>
            </w:r>
          </w:p>
        </w:tc>
        <w:tc>
          <w:tcPr>
            <w:tcW w:w="851" w:type="dxa"/>
          </w:tcPr>
          <w:p w:rsidR="00D85FAC" w:rsidRPr="005F3E81" w:rsidRDefault="00D85FAC" w:rsidP="00D85FAC">
            <w:pPr>
              <w:pStyle w:val="table1"/>
              <w:jc w:val="center"/>
              <w:rPr>
                <w:lang w:val="nl-NL"/>
              </w:rPr>
            </w:pPr>
            <w:r>
              <w:rPr>
                <w:lang w:val="nl-NL"/>
              </w:rPr>
              <w:t>0.011</w:t>
            </w:r>
            <w:r w:rsidRPr="0014106F">
              <w:rPr>
                <w:snapToGrid w:val="0"/>
                <w:color w:val="000000"/>
                <w:position w:val="5"/>
                <w:sz w:val="15"/>
                <w:szCs w:val="0"/>
                <w:u w:color="000000"/>
                <w:lang w:val="nl-NL"/>
              </w:rPr>
              <w:t>3</w:t>
            </w:r>
          </w:p>
        </w:tc>
      </w:tr>
      <w:tr w:rsidR="00D85FAC" w:rsidRPr="005F3E81" w:rsidTr="00D85FAC">
        <w:tc>
          <w:tcPr>
            <w:tcW w:w="2268" w:type="dxa"/>
          </w:tcPr>
          <w:p w:rsidR="00D85FAC" w:rsidRPr="005F3E81" w:rsidRDefault="00D85FAC" w:rsidP="00D85FAC">
            <w:pPr>
              <w:pStyle w:val="table1"/>
              <w:rPr>
                <w:lang w:val="nl-NL"/>
              </w:rPr>
            </w:pPr>
          </w:p>
        </w:tc>
        <w:tc>
          <w:tcPr>
            <w:tcW w:w="3936" w:type="dxa"/>
            <w:gridSpan w:val="2"/>
          </w:tcPr>
          <w:p w:rsidR="00D85FAC" w:rsidRPr="00D04B41" w:rsidRDefault="00D85FAC" w:rsidP="00D85FAC">
            <w:pPr>
              <w:pStyle w:val="table1"/>
              <w:rPr>
                <w:i/>
                <w:lang w:val="nl-NL"/>
              </w:rPr>
            </w:pPr>
            <w:r>
              <w:rPr>
                <w:i/>
                <w:lang w:val="nl-NL"/>
              </w:rPr>
              <w:t>Geometric Mean</w:t>
            </w:r>
          </w:p>
        </w:tc>
        <w:tc>
          <w:tcPr>
            <w:tcW w:w="708" w:type="dxa"/>
          </w:tcPr>
          <w:p w:rsidR="00D85FAC" w:rsidRPr="00D04B41" w:rsidRDefault="00D85FAC" w:rsidP="00D85FAC">
            <w:pPr>
              <w:pStyle w:val="table1"/>
              <w:jc w:val="center"/>
              <w:rPr>
                <w:i/>
                <w:lang w:val="nl-NL"/>
              </w:rPr>
            </w:pPr>
            <w:r w:rsidRPr="00D04B41">
              <w:rPr>
                <w:i/>
                <w:lang w:val="nl-NL"/>
              </w:rPr>
              <w:t>0.1</w:t>
            </w:r>
            <w:r>
              <w:rPr>
                <w:i/>
                <w:lang w:val="nl-NL"/>
              </w:rPr>
              <w:t>2</w:t>
            </w:r>
          </w:p>
        </w:tc>
        <w:tc>
          <w:tcPr>
            <w:tcW w:w="709" w:type="dxa"/>
          </w:tcPr>
          <w:p w:rsidR="00D85FAC" w:rsidRPr="005F3E81" w:rsidRDefault="00D85FAC" w:rsidP="00D85FAC">
            <w:pPr>
              <w:pStyle w:val="table1"/>
              <w:rPr>
                <w:lang w:val="nl-NL"/>
              </w:rPr>
            </w:pPr>
          </w:p>
        </w:tc>
        <w:tc>
          <w:tcPr>
            <w:tcW w:w="851" w:type="dxa"/>
          </w:tcPr>
          <w:p w:rsidR="00D85FAC" w:rsidRPr="005F3E81" w:rsidRDefault="00D85FAC" w:rsidP="00D85FAC">
            <w:pPr>
              <w:pStyle w:val="table1"/>
              <w:rPr>
                <w:lang w:val="nl-NL"/>
              </w:rPr>
            </w:pPr>
          </w:p>
        </w:tc>
      </w:tr>
      <w:tr w:rsidR="00D85FAC" w:rsidRPr="005F3E81" w:rsidTr="00D85FAC">
        <w:tc>
          <w:tcPr>
            <w:tcW w:w="2268" w:type="dxa"/>
          </w:tcPr>
          <w:p w:rsidR="00D85FAC" w:rsidRPr="005F3E81" w:rsidRDefault="00D85FAC" w:rsidP="00D85FAC">
            <w:pPr>
              <w:pStyle w:val="table1"/>
              <w:rPr>
                <w:lang w:val="nl-NL"/>
              </w:rPr>
            </w:pPr>
          </w:p>
        </w:tc>
        <w:tc>
          <w:tcPr>
            <w:tcW w:w="3936" w:type="dxa"/>
            <w:gridSpan w:val="2"/>
          </w:tcPr>
          <w:p w:rsidR="00D85FAC" w:rsidRPr="00D04B41" w:rsidRDefault="00D85FAC" w:rsidP="00D85FAC">
            <w:pPr>
              <w:pStyle w:val="table1"/>
              <w:rPr>
                <w:i/>
                <w:lang w:val="nl-NL"/>
              </w:rPr>
            </w:pPr>
            <w:r w:rsidRPr="00591946">
              <w:rPr>
                <w:i/>
                <w:lang w:val="nl-NL"/>
              </w:rPr>
              <w:t>Pooled Geometric</w:t>
            </w:r>
            <w:r>
              <w:rPr>
                <w:i/>
                <w:lang w:val="nl-NL"/>
              </w:rPr>
              <w:t xml:space="preserve"> </w:t>
            </w:r>
            <w:r w:rsidRPr="00D04B41">
              <w:rPr>
                <w:i/>
                <w:lang w:val="nl-NL"/>
              </w:rPr>
              <w:t>mean</w:t>
            </w:r>
          </w:p>
        </w:tc>
        <w:tc>
          <w:tcPr>
            <w:tcW w:w="708" w:type="dxa"/>
          </w:tcPr>
          <w:p w:rsidR="00D85FAC" w:rsidRPr="00D04B41" w:rsidRDefault="00D85FAC" w:rsidP="00D85FAC">
            <w:pPr>
              <w:pStyle w:val="table1"/>
              <w:jc w:val="center"/>
              <w:rPr>
                <w:i/>
                <w:lang w:val="nl-NL"/>
              </w:rPr>
            </w:pPr>
            <w:r w:rsidRPr="00D04B41">
              <w:rPr>
                <w:i/>
                <w:lang w:val="nl-NL"/>
              </w:rPr>
              <w:t>0.</w:t>
            </w:r>
            <w:r>
              <w:rPr>
                <w:i/>
                <w:lang w:val="nl-NL"/>
              </w:rPr>
              <w:t>22</w:t>
            </w:r>
          </w:p>
        </w:tc>
        <w:tc>
          <w:tcPr>
            <w:tcW w:w="709" w:type="dxa"/>
          </w:tcPr>
          <w:p w:rsidR="00D85FAC" w:rsidRPr="005F3E81" w:rsidRDefault="00D85FAC" w:rsidP="00D85FAC">
            <w:pPr>
              <w:pStyle w:val="table1"/>
              <w:rPr>
                <w:lang w:val="nl-NL"/>
              </w:rPr>
            </w:pPr>
          </w:p>
        </w:tc>
        <w:tc>
          <w:tcPr>
            <w:tcW w:w="851" w:type="dxa"/>
          </w:tcPr>
          <w:p w:rsidR="00D85FAC" w:rsidRPr="005F3E81" w:rsidRDefault="00D85FAC" w:rsidP="00D85FAC">
            <w:pPr>
              <w:pStyle w:val="table1"/>
              <w:rPr>
                <w:lang w:val="nl-NL"/>
              </w:rPr>
            </w:pPr>
          </w:p>
        </w:tc>
      </w:tr>
      <w:tr w:rsidR="00D85FAC" w:rsidRPr="005F3E81" w:rsidTr="00D85FAC">
        <w:tc>
          <w:tcPr>
            <w:tcW w:w="5637" w:type="dxa"/>
            <w:gridSpan w:val="2"/>
          </w:tcPr>
          <w:p w:rsidR="00D85FAC" w:rsidRPr="00FE7BF3" w:rsidRDefault="00D85FAC" w:rsidP="00D85FAC">
            <w:pPr>
              <w:pStyle w:val="table1"/>
              <w:spacing w:before="120"/>
            </w:pPr>
            <w:r>
              <w:rPr>
                <w:lang w:val="nl-NL"/>
              </w:rPr>
              <w:t>All species / data</w:t>
            </w:r>
          </w:p>
        </w:tc>
        <w:tc>
          <w:tcPr>
            <w:tcW w:w="567" w:type="dxa"/>
          </w:tcPr>
          <w:p w:rsidR="00D85FAC" w:rsidRPr="005F3E81" w:rsidRDefault="00D85FAC" w:rsidP="00D85FAC">
            <w:pPr>
              <w:pStyle w:val="table1"/>
              <w:spacing w:before="120"/>
              <w:jc w:val="center"/>
              <w:rPr>
                <w:lang w:val="nl-NL"/>
              </w:rPr>
            </w:pPr>
            <w:r>
              <w:rPr>
                <w:lang w:val="nl-NL"/>
              </w:rPr>
              <w:t>41</w:t>
            </w:r>
          </w:p>
        </w:tc>
        <w:tc>
          <w:tcPr>
            <w:tcW w:w="708" w:type="dxa"/>
          </w:tcPr>
          <w:p w:rsidR="00D85FAC" w:rsidRPr="00FE7BF3" w:rsidRDefault="00D85FAC" w:rsidP="00D85FAC">
            <w:pPr>
              <w:pStyle w:val="table1"/>
              <w:spacing w:before="120"/>
              <w:jc w:val="center"/>
              <w:rPr>
                <w:lang w:val="nl-NL"/>
              </w:rPr>
            </w:pPr>
            <w:r w:rsidRPr="00FE7BF3">
              <w:rPr>
                <w:lang w:val="nl-NL"/>
              </w:rPr>
              <w:t>0.</w:t>
            </w:r>
            <w:r>
              <w:rPr>
                <w:lang w:val="nl-NL"/>
              </w:rPr>
              <w:t>40</w:t>
            </w:r>
          </w:p>
        </w:tc>
        <w:tc>
          <w:tcPr>
            <w:tcW w:w="709" w:type="dxa"/>
          </w:tcPr>
          <w:p w:rsidR="00D85FAC" w:rsidRPr="005F3E81" w:rsidRDefault="00D85FAC" w:rsidP="00D85FAC">
            <w:pPr>
              <w:pStyle w:val="table1"/>
              <w:spacing w:before="120"/>
              <w:jc w:val="center"/>
              <w:rPr>
                <w:lang w:val="nl-NL"/>
              </w:rPr>
            </w:pPr>
            <w:r>
              <w:rPr>
                <w:lang w:val="nl-NL"/>
              </w:rPr>
              <w:t>0.45</w:t>
            </w:r>
          </w:p>
        </w:tc>
        <w:tc>
          <w:tcPr>
            <w:tcW w:w="851" w:type="dxa"/>
          </w:tcPr>
          <w:p w:rsidR="00D85FAC" w:rsidRPr="005F3E81" w:rsidRDefault="00D85FAC" w:rsidP="00D85FAC">
            <w:pPr>
              <w:pStyle w:val="table1"/>
              <w:spacing w:before="120"/>
              <w:jc w:val="center"/>
              <w:rPr>
                <w:lang w:val="nl-NL"/>
              </w:rPr>
            </w:pPr>
            <w:r>
              <w:rPr>
                <w:lang w:val="nl-NL"/>
              </w:rPr>
              <w:t>&lt;0.001</w:t>
            </w:r>
            <w:r w:rsidRPr="00522F57">
              <w:rPr>
                <w:snapToGrid w:val="0"/>
                <w:color w:val="000000"/>
                <w:position w:val="5"/>
                <w:sz w:val="15"/>
                <w:szCs w:val="0"/>
                <w:u w:color="000000"/>
                <w:lang w:val="nl-NL"/>
              </w:rPr>
              <w:t>3</w:t>
            </w:r>
          </w:p>
        </w:tc>
      </w:tr>
      <w:tr w:rsidR="00D85FAC" w:rsidRPr="005F3E81" w:rsidTr="00D85FAC">
        <w:tc>
          <w:tcPr>
            <w:tcW w:w="5637" w:type="dxa"/>
            <w:gridSpan w:val="2"/>
            <w:tcBorders>
              <w:bottom w:val="single" w:sz="4" w:space="0" w:color="auto"/>
            </w:tcBorders>
          </w:tcPr>
          <w:p w:rsidR="00D85FAC" w:rsidRPr="005F3E81" w:rsidRDefault="00D85FAC" w:rsidP="00D85FAC">
            <w:pPr>
              <w:pStyle w:val="table1"/>
              <w:rPr>
                <w:lang w:val="nl-NL"/>
              </w:rPr>
            </w:pPr>
            <w:r>
              <w:rPr>
                <w:lang w:val="nl-NL"/>
              </w:rPr>
              <w:t xml:space="preserve">All species / data except Trenfield et al (2011) </w:t>
            </w:r>
            <w:r w:rsidRPr="00522F57">
              <w:rPr>
                <w:i/>
                <w:lang w:val="nl-NL"/>
              </w:rPr>
              <w:t>Chlorella</w:t>
            </w:r>
            <w:r>
              <w:rPr>
                <w:lang w:val="nl-NL"/>
              </w:rPr>
              <w:t xml:space="preserve"> sp. 1 data</w:t>
            </w:r>
          </w:p>
        </w:tc>
        <w:tc>
          <w:tcPr>
            <w:tcW w:w="567" w:type="dxa"/>
            <w:tcBorders>
              <w:bottom w:val="single" w:sz="4" w:space="0" w:color="auto"/>
            </w:tcBorders>
          </w:tcPr>
          <w:p w:rsidR="00D85FAC" w:rsidRPr="005F3E81" w:rsidRDefault="00D85FAC" w:rsidP="00D85FAC">
            <w:pPr>
              <w:pStyle w:val="table1"/>
              <w:jc w:val="center"/>
              <w:rPr>
                <w:lang w:val="nl-NL"/>
              </w:rPr>
            </w:pPr>
            <w:r>
              <w:rPr>
                <w:lang w:val="nl-NL"/>
              </w:rPr>
              <w:t>32</w:t>
            </w:r>
          </w:p>
        </w:tc>
        <w:tc>
          <w:tcPr>
            <w:tcW w:w="708" w:type="dxa"/>
            <w:tcBorders>
              <w:bottom w:val="single" w:sz="4" w:space="0" w:color="auto"/>
            </w:tcBorders>
          </w:tcPr>
          <w:p w:rsidR="00D85FAC" w:rsidRPr="009D429B" w:rsidRDefault="00D85FAC" w:rsidP="00D85FAC">
            <w:pPr>
              <w:pStyle w:val="table1"/>
              <w:jc w:val="center"/>
              <w:rPr>
                <w:i/>
                <w:lang w:val="nl-NL"/>
              </w:rPr>
            </w:pPr>
            <w:r w:rsidRPr="009D429B">
              <w:rPr>
                <w:i/>
                <w:lang w:val="nl-NL"/>
              </w:rPr>
              <w:t>0.2</w:t>
            </w:r>
            <w:r>
              <w:rPr>
                <w:i/>
                <w:lang w:val="nl-NL"/>
              </w:rPr>
              <w:t>4</w:t>
            </w:r>
          </w:p>
        </w:tc>
        <w:tc>
          <w:tcPr>
            <w:tcW w:w="709" w:type="dxa"/>
            <w:tcBorders>
              <w:bottom w:val="single" w:sz="4" w:space="0" w:color="auto"/>
            </w:tcBorders>
          </w:tcPr>
          <w:p w:rsidR="00D85FAC" w:rsidRPr="005F3E81" w:rsidRDefault="00D85FAC" w:rsidP="00D85FAC">
            <w:pPr>
              <w:pStyle w:val="table1"/>
              <w:jc w:val="center"/>
              <w:rPr>
                <w:lang w:val="nl-NL"/>
              </w:rPr>
            </w:pPr>
            <w:r>
              <w:rPr>
                <w:lang w:val="nl-NL"/>
              </w:rPr>
              <w:t>0.74</w:t>
            </w:r>
          </w:p>
        </w:tc>
        <w:tc>
          <w:tcPr>
            <w:tcW w:w="851" w:type="dxa"/>
            <w:tcBorders>
              <w:bottom w:val="single" w:sz="4" w:space="0" w:color="auto"/>
            </w:tcBorders>
          </w:tcPr>
          <w:p w:rsidR="00D85FAC" w:rsidRPr="005F3E81" w:rsidRDefault="00D85FAC" w:rsidP="00D85FAC">
            <w:pPr>
              <w:pStyle w:val="table1"/>
              <w:jc w:val="center"/>
              <w:rPr>
                <w:lang w:val="nl-NL"/>
              </w:rPr>
            </w:pPr>
            <w:r>
              <w:rPr>
                <w:lang w:val="nl-NL"/>
              </w:rPr>
              <w:t>&lt;0.001</w:t>
            </w:r>
            <w:r w:rsidRPr="00FE7BF3">
              <w:rPr>
                <w:snapToGrid w:val="0"/>
                <w:color w:val="000000"/>
                <w:position w:val="5"/>
                <w:sz w:val="15"/>
                <w:szCs w:val="0"/>
                <w:u w:color="000000"/>
                <w:lang w:val="nl-NL"/>
              </w:rPr>
              <w:t>3</w:t>
            </w:r>
          </w:p>
        </w:tc>
      </w:tr>
    </w:tbl>
    <w:p w:rsidR="00D85FAC" w:rsidRDefault="00D85FAC" w:rsidP="00D85FAC">
      <w:pPr>
        <w:pStyle w:val="tablenote"/>
      </w:pPr>
      <w:proofErr w:type="gramStart"/>
      <w:r w:rsidRPr="00BA4EBC">
        <w:rPr>
          <w:snapToGrid w:val="0"/>
          <w:color w:val="000000"/>
          <w:position w:val="5"/>
          <w:sz w:val="15"/>
          <w:szCs w:val="0"/>
          <w:u w:color="000000"/>
        </w:rPr>
        <w:t>1</w:t>
      </w:r>
      <w:r>
        <w:t xml:space="preserve">  SRFA</w:t>
      </w:r>
      <w:proofErr w:type="gramEnd"/>
      <w:r>
        <w:t xml:space="preserve">: Suwannee River fulvic acid; </w:t>
      </w:r>
      <w:r w:rsidRPr="00BA4EBC">
        <w:rPr>
          <w:snapToGrid w:val="0"/>
          <w:color w:val="000000"/>
          <w:position w:val="5"/>
          <w:sz w:val="15"/>
          <w:szCs w:val="0"/>
          <w:u w:color="000000"/>
        </w:rPr>
        <w:t>2</w:t>
      </w:r>
      <w:r>
        <w:t xml:space="preserve"> SBW DOC: Sandy Billabong water dissolved organic carbon; </w:t>
      </w:r>
      <w:r w:rsidRPr="0014106F">
        <w:rPr>
          <w:snapToGrid w:val="0"/>
          <w:color w:val="000000"/>
          <w:position w:val="5"/>
          <w:sz w:val="15"/>
          <w:szCs w:val="0"/>
          <w:u w:color="000000"/>
        </w:rPr>
        <w:t>3</w:t>
      </w:r>
      <w:r>
        <w:t xml:space="preserve"> Assumption of homoscedasticity not met.</w:t>
      </w:r>
    </w:p>
    <w:p w:rsidR="00D85FAC" w:rsidRPr="00151FBB" w:rsidRDefault="00D85FAC" w:rsidP="00D85FAC">
      <w:r w:rsidRPr="00151FBB">
        <w:t>As the toxicity data were presented as a proportion</w:t>
      </w:r>
      <w:r>
        <w:t>al</w:t>
      </w:r>
      <w:r w:rsidRPr="00151FBB">
        <w:t xml:space="preserve"> reduction in toxicity, the final slope factor can be interpreted to signify that the toxicity of U will decrease by 23% for every 1 mg/L increase in DOC concentration (over the range 0–20 mg/L). Using this relationship, U toxicity (eg. in the form of an IC10 or IC50 value) to a freshwater species can be adjusted according to the aquatic DOC concentration of interest, using the following equation:</w:t>
      </w:r>
    </w:p>
    <w:p w:rsidR="00D85FAC" w:rsidRPr="00151FBB" w:rsidRDefault="00D85FAC" w:rsidP="00D85FAC">
      <w:pPr>
        <w:tabs>
          <w:tab w:val="left" w:pos="7938"/>
        </w:tabs>
        <w:spacing w:before="60" w:after="180"/>
        <w:ind w:left="284"/>
      </w:pPr>
      <w:r w:rsidRPr="00151FBB">
        <w:t>U tox</w:t>
      </w:r>
      <w:r w:rsidRPr="000D6AF7">
        <w:rPr>
          <w:i/>
          <w:vertAlign w:val="subscript"/>
        </w:rPr>
        <w:t>f</w:t>
      </w:r>
      <w:r w:rsidRPr="00151FBB">
        <w:t xml:space="preserve"> = U tox</w:t>
      </w:r>
      <w:r w:rsidRPr="000D6AF7">
        <w:rPr>
          <w:i/>
          <w:vertAlign w:val="subscript"/>
        </w:rPr>
        <w:t>i</w:t>
      </w:r>
      <w:r w:rsidRPr="00151FBB">
        <w:t xml:space="preserve"> / (1 + DOC</w:t>
      </w:r>
      <w:r w:rsidRPr="000D6AF7">
        <w:rPr>
          <w:i/>
          <w:vertAlign w:val="subscript"/>
        </w:rPr>
        <w:t>i</w:t>
      </w:r>
      <w:r w:rsidRPr="00151FBB">
        <w:t xml:space="preserve"> * 0.23) * (1 + DOC</w:t>
      </w:r>
      <w:r w:rsidRPr="00151FBB">
        <w:rPr>
          <w:i/>
          <w:vertAlign w:val="subscript"/>
        </w:rPr>
        <w:t>f</w:t>
      </w:r>
      <w:r w:rsidRPr="00151FBB">
        <w:t xml:space="preserve"> * 0.23)</w:t>
      </w:r>
      <w:r w:rsidRPr="00151FBB">
        <w:tab/>
        <w:t>(1)</w:t>
      </w:r>
    </w:p>
    <w:p w:rsidR="00D85FAC" w:rsidRPr="00151FBB" w:rsidRDefault="00D85FAC" w:rsidP="00D85FAC">
      <w:r w:rsidRPr="00151FBB">
        <w:t>where U tox</w:t>
      </w:r>
      <w:r w:rsidRPr="000D6AF7">
        <w:rPr>
          <w:i/>
          <w:vertAlign w:val="subscript"/>
        </w:rPr>
        <w:t>f</w:t>
      </w:r>
      <w:r w:rsidRPr="00804B3A">
        <w:rPr>
          <w:snapToGrid w:val="0"/>
          <w:color w:val="000000"/>
          <w:szCs w:val="0"/>
          <w:u w:color="000000"/>
        </w:rPr>
        <w:t xml:space="preserve"> </w:t>
      </w:r>
      <w:r w:rsidRPr="00151FBB">
        <w:t>is the final adjusted U toxicity (</w:t>
      </w:r>
      <w:r>
        <w:t>eg</w:t>
      </w:r>
      <w:r w:rsidRPr="00151FBB">
        <w:t xml:space="preserve"> in the form of an IC10 or IC50 value) in µg/L, U tox</w:t>
      </w:r>
      <w:r w:rsidRPr="000D6AF7">
        <w:rPr>
          <w:i/>
          <w:vertAlign w:val="subscript"/>
        </w:rPr>
        <w:t>i</w:t>
      </w:r>
      <w:r w:rsidRPr="00151FBB">
        <w:t xml:space="preserve"> is the corresponding initial toxicity value in µg/L, DOC</w:t>
      </w:r>
      <w:r w:rsidRPr="000D6AF7">
        <w:rPr>
          <w:i/>
          <w:vertAlign w:val="subscript"/>
        </w:rPr>
        <w:t>i</w:t>
      </w:r>
      <w:r w:rsidRPr="00151FBB">
        <w:t xml:space="preserve"> is the DOC concentration in mg/L at which U tox</w:t>
      </w:r>
      <w:r w:rsidRPr="000D6AF7">
        <w:rPr>
          <w:i/>
          <w:vertAlign w:val="subscript"/>
        </w:rPr>
        <w:t>i</w:t>
      </w:r>
      <w:r w:rsidRPr="00151FBB">
        <w:t xml:space="preserve"> was calculated, and DOC</w:t>
      </w:r>
      <w:r w:rsidRPr="000D6AF7">
        <w:rPr>
          <w:i/>
          <w:vertAlign w:val="subscript"/>
        </w:rPr>
        <w:t>f</w:t>
      </w:r>
      <w:r w:rsidRPr="00151FBB">
        <w:t xml:space="preserve"> is the aquatic DOC concentration of interest in mg/L.</w:t>
      </w:r>
    </w:p>
    <w:p w:rsidR="00D85FAC" w:rsidRPr="00151FBB" w:rsidRDefault="00D85FAC" w:rsidP="00D85FAC">
      <w:r w:rsidRPr="00151FBB">
        <w:t xml:space="preserve">A next step will be to revise existing site-specific </w:t>
      </w:r>
      <w:r>
        <w:t>(Hogan et al 2003)</w:t>
      </w:r>
      <w:r w:rsidRPr="00151FBB">
        <w:t xml:space="preserve"> and default Australia and New Zealand U water quality guidelines </w:t>
      </w:r>
      <w:r>
        <w:t>(ANZECC &amp; ARMCANZ 2000)</w:t>
      </w:r>
      <w:r w:rsidRPr="00151FBB">
        <w:t xml:space="preserve"> to enable adjustment based on aquatic DOC concentration. To achieve this, the guidelines can be derived at a standard DOC concentration of 0 mg/L and accompanied by the following algorithm:</w:t>
      </w:r>
    </w:p>
    <w:p w:rsidR="00D85FAC" w:rsidRPr="00151FBB" w:rsidRDefault="00D85FAC" w:rsidP="00D85FAC">
      <w:pPr>
        <w:tabs>
          <w:tab w:val="left" w:pos="7938"/>
        </w:tabs>
        <w:spacing w:before="60" w:after="180"/>
        <w:ind w:left="284"/>
      </w:pPr>
      <w:r w:rsidRPr="00151FBB">
        <w:t>DOC modified guideline value (DOCMGV) = GV</w:t>
      </w:r>
      <w:r w:rsidRPr="00151FBB">
        <w:rPr>
          <w:i/>
          <w:vertAlign w:val="subscript"/>
        </w:rPr>
        <w:t>0</w:t>
      </w:r>
      <w:r w:rsidRPr="00151FBB">
        <w:t xml:space="preserve"> + (GV</w:t>
      </w:r>
      <w:r w:rsidRPr="00151FBB">
        <w:rPr>
          <w:i/>
          <w:vertAlign w:val="subscript"/>
        </w:rPr>
        <w:t>0</w:t>
      </w:r>
      <w:r w:rsidRPr="00151FBB">
        <w:t xml:space="preserve"> * DOC</w:t>
      </w:r>
      <w:r w:rsidRPr="00151FBB">
        <w:rPr>
          <w:i/>
          <w:vertAlign w:val="subscript"/>
        </w:rPr>
        <w:t>f</w:t>
      </w:r>
      <w:r w:rsidRPr="00151FBB">
        <w:rPr>
          <w:vertAlign w:val="subscript"/>
        </w:rPr>
        <w:t xml:space="preserve"> </w:t>
      </w:r>
      <w:r w:rsidRPr="00151FBB">
        <w:t>* 0.23)</w:t>
      </w:r>
      <w:r w:rsidRPr="00151FBB">
        <w:tab/>
        <w:t>(2)</w:t>
      </w:r>
    </w:p>
    <w:p w:rsidR="00D85FAC" w:rsidRPr="00E46C03" w:rsidRDefault="00D85FAC" w:rsidP="00D85FAC">
      <w:proofErr w:type="gramStart"/>
      <w:r w:rsidRPr="00151FBB">
        <w:t>where</w:t>
      </w:r>
      <w:proofErr w:type="gramEnd"/>
      <w:r w:rsidRPr="00151FBB">
        <w:t xml:space="preserve"> GV</w:t>
      </w:r>
      <w:r w:rsidRPr="00072709">
        <w:rPr>
          <w:i/>
          <w:vertAlign w:val="subscript"/>
        </w:rPr>
        <w:t>0</w:t>
      </w:r>
      <w:r w:rsidRPr="00151FBB">
        <w:t xml:space="preserve"> is the guideline value at 0 mg/L DOC and DOC</w:t>
      </w:r>
      <w:r w:rsidRPr="00072709">
        <w:rPr>
          <w:i/>
          <w:vertAlign w:val="subscript"/>
        </w:rPr>
        <w:t>f</w:t>
      </w:r>
      <w:r w:rsidRPr="00151FBB">
        <w:t xml:space="preserve"> is the aquatic DOC concentration of interest. </w:t>
      </w:r>
    </w:p>
    <w:p w:rsidR="00D85FAC" w:rsidRDefault="00D85FAC" w:rsidP="00D85FAC">
      <w:pPr>
        <w:pStyle w:val="Heading2"/>
      </w:pPr>
      <w:bookmarkStart w:id="163" w:name="_Toc313523457"/>
      <w:bookmarkStart w:id="164" w:name="_Toc316985300"/>
      <w:r>
        <w:lastRenderedPageBreak/>
        <w:t>Steps for completion</w:t>
      </w:r>
      <w:bookmarkEnd w:id="163"/>
      <w:bookmarkEnd w:id="164"/>
    </w:p>
    <w:p w:rsidR="00D85FAC" w:rsidRDefault="00D85FAC" w:rsidP="00D85FAC">
      <w:r>
        <w:t xml:space="preserve">The next step is to correct existing U toxicity data to a DOC of 0 mg/L for species where such data do not already exist. Following this, a U trigger value at 0 mg/L DOC will be derived, for which the above equation (2) will be applicable. A new U trigger framework for Magela Creek will then be able to be developed, which incorporates the DOC concentration prevailing at the time that a U concentration value is measured. It should be noted that the application of the DOC algorithm will be of most use in relation to the derivation of U surface water closure criteria for mine-impacted billabongs (eg. </w:t>
      </w:r>
      <w:proofErr w:type="gramStart"/>
      <w:r>
        <w:t>Coonjimba, Georgetown Billabongs, and any on-site sentinel wetlands), where DOC concentrations will at times be substantially higher than in the stream channel.</w:t>
      </w:r>
      <w:proofErr w:type="gramEnd"/>
    </w:p>
    <w:p w:rsidR="00D85FAC" w:rsidRDefault="00D85FAC" w:rsidP="00D85FAC">
      <w:pPr>
        <w:pStyle w:val="Heading2"/>
        <w:rPr>
          <w:u w:color="000000"/>
        </w:rPr>
      </w:pPr>
      <w:bookmarkStart w:id="165" w:name="_Toc129505071"/>
      <w:bookmarkStart w:id="166" w:name="_Toc129505260"/>
      <w:bookmarkStart w:id="167" w:name="_Toc313523458"/>
      <w:bookmarkStart w:id="168" w:name="_Toc316985301"/>
      <w:r>
        <w:rPr>
          <w:u w:color="000000"/>
        </w:rPr>
        <w:t>References</w:t>
      </w:r>
      <w:bookmarkEnd w:id="165"/>
      <w:bookmarkEnd w:id="166"/>
      <w:bookmarkEnd w:id="167"/>
      <w:bookmarkEnd w:id="168"/>
    </w:p>
    <w:p w:rsidR="00D85FAC" w:rsidRDefault="00D85FAC" w:rsidP="00D85FAC">
      <w:pPr>
        <w:pStyle w:val="referencelist1"/>
        <w:rPr>
          <w:snapToGrid w:val="0"/>
        </w:rPr>
      </w:pPr>
      <w:proofErr w:type="gramStart"/>
      <w:r>
        <w:rPr>
          <w:snapToGrid w:val="0"/>
        </w:rPr>
        <w:t>ANZECC &amp; ARMCANZ 2000.</w:t>
      </w:r>
      <w:proofErr w:type="gramEnd"/>
      <w:r>
        <w:rPr>
          <w:snapToGrid w:val="0"/>
        </w:rPr>
        <w:t xml:space="preserve"> </w:t>
      </w:r>
      <w:proofErr w:type="gramStart"/>
      <w:r>
        <w:rPr>
          <w:i/>
          <w:snapToGrid w:val="0"/>
        </w:rPr>
        <w:t>Australian and New Zealand guidelines for fresh and marine water quality</w:t>
      </w:r>
      <w:r>
        <w:rPr>
          <w:snapToGrid w:val="0"/>
        </w:rPr>
        <w:t>.</w:t>
      </w:r>
      <w:proofErr w:type="gramEnd"/>
      <w:r>
        <w:rPr>
          <w:snapToGrid w:val="0"/>
        </w:rPr>
        <w:t xml:space="preserve"> National Water Quality Management Strategy Paper No 4, Australian and New Zealand Environment and Conservation Council &amp; Agriculture and Resource Management Council of Australia and New Zealand, Canberra.</w:t>
      </w:r>
    </w:p>
    <w:p w:rsidR="00D85FAC" w:rsidRPr="004F631E" w:rsidRDefault="00D85FAC" w:rsidP="00D85FAC">
      <w:pPr>
        <w:pStyle w:val="referencelist1"/>
      </w:pPr>
      <w:proofErr w:type="gramStart"/>
      <w:r w:rsidRPr="004F631E">
        <w:t>Charles A, Markich S, Stauber J</w:t>
      </w:r>
      <w:r>
        <w:t xml:space="preserve"> &amp;</w:t>
      </w:r>
      <w:r w:rsidRPr="004F631E">
        <w:t xml:space="preserve"> de Filippis L 2002.</w:t>
      </w:r>
      <w:proofErr w:type="gramEnd"/>
      <w:r w:rsidRPr="004F631E">
        <w:t xml:space="preserve"> </w:t>
      </w:r>
      <w:proofErr w:type="gramStart"/>
      <w:r w:rsidRPr="004F631E">
        <w:t>The effect of water hardness on the toxicity of uranium to a tropical freshwater alga (</w:t>
      </w:r>
      <w:r w:rsidRPr="004F631E">
        <w:rPr>
          <w:i/>
          <w:iCs/>
        </w:rPr>
        <w:t>Chlorella</w:t>
      </w:r>
      <w:r w:rsidRPr="004F631E">
        <w:t xml:space="preserve"> sp).</w:t>
      </w:r>
      <w:proofErr w:type="gramEnd"/>
      <w:r w:rsidRPr="004F631E">
        <w:t xml:space="preserve"> </w:t>
      </w:r>
      <w:r w:rsidRPr="004F631E">
        <w:rPr>
          <w:i/>
          <w:iCs/>
        </w:rPr>
        <w:t>Aquat Toxicol</w:t>
      </w:r>
      <w:r w:rsidRPr="004F631E">
        <w:t xml:space="preserve"> 60</w:t>
      </w:r>
      <w:r>
        <w:t xml:space="preserve">, </w:t>
      </w:r>
      <w:r w:rsidRPr="004F631E">
        <w:t>61</w:t>
      </w:r>
      <w:r>
        <w:t>–</w:t>
      </w:r>
      <w:r w:rsidRPr="004F631E">
        <w:t>73.</w:t>
      </w:r>
    </w:p>
    <w:p w:rsidR="00D85FAC" w:rsidRPr="004F631E" w:rsidRDefault="00D85FAC" w:rsidP="00D85FAC">
      <w:pPr>
        <w:pStyle w:val="referencelist1"/>
      </w:pPr>
      <w:proofErr w:type="gramStart"/>
      <w:r w:rsidRPr="004F631E">
        <w:t>Franklin NM, Stauber JL, Markich SJ</w:t>
      </w:r>
      <w:r>
        <w:t xml:space="preserve"> &amp;</w:t>
      </w:r>
      <w:r w:rsidRPr="004F631E">
        <w:t xml:space="preserve"> Lim RP 2000.</w:t>
      </w:r>
      <w:proofErr w:type="gramEnd"/>
      <w:r w:rsidRPr="004F631E">
        <w:t xml:space="preserve"> </w:t>
      </w:r>
      <w:proofErr w:type="gramStart"/>
      <w:r w:rsidRPr="004F631E">
        <w:t>pH-dependent</w:t>
      </w:r>
      <w:proofErr w:type="gramEnd"/>
      <w:r w:rsidRPr="004F631E">
        <w:t xml:space="preserve"> toxicity of copper and uranium to a tropical freshwater alga (</w:t>
      </w:r>
      <w:r w:rsidRPr="004F631E">
        <w:rPr>
          <w:i/>
          <w:iCs/>
        </w:rPr>
        <w:t xml:space="preserve">Chlorella </w:t>
      </w:r>
      <w:r w:rsidRPr="004F631E">
        <w:t xml:space="preserve">sp). </w:t>
      </w:r>
      <w:r w:rsidRPr="004F631E">
        <w:rPr>
          <w:i/>
          <w:iCs/>
        </w:rPr>
        <w:t>Aquat Toxicol</w:t>
      </w:r>
      <w:r w:rsidRPr="004F631E">
        <w:t xml:space="preserve"> 48</w:t>
      </w:r>
      <w:r>
        <w:t xml:space="preserve">, </w:t>
      </w:r>
      <w:r w:rsidRPr="004F631E">
        <w:t>275-289.</w:t>
      </w:r>
    </w:p>
    <w:p w:rsidR="00D85FAC" w:rsidRDefault="00D85FAC" w:rsidP="00D85FAC">
      <w:pPr>
        <w:pStyle w:val="referencelist1"/>
      </w:pPr>
      <w:r>
        <w:t xml:space="preserve">Hogan AC, van Dam RA, Markich SJ &amp; Camilleri C 2003. Chronic toxicity of uranium to the tropical green alga Chlorella sp. for the derivation of a site specific Trigger Value for Magela Creek. Internal Report 412, December, Supervising Scientist, Darwin. </w:t>
      </w:r>
      <w:proofErr w:type="gramStart"/>
      <w:r>
        <w:t>Unpublished paper.</w:t>
      </w:r>
      <w:proofErr w:type="gramEnd"/>
    </w:p>
    <w:p w:rsidR="00D85FAC" w:rsidRDefault="00D85FAC" w:rsidP="00D85FAC">
      <w:pPr>
        <w:pStyle w:val="referencelist1"/>
        <w:rPr>
          <w:rFonts w:cs="Arial"/>
          <w:szCs w:val="24"/>
          <w:lang w:eastAsia="en-AU"/>
        </w:rPr>
      </w:pPr>
      <w:r w:rsidRPr="00C95A1F">
        <w:rPr>
          <w:rFonts w:cs="Arial"/>
          <w:szCs w:val="24"/>
          <w:lang w:eastAsia="en-AU"/>
        </w:rPr>
        <w:t>Hogan</w:t>
      </w:r>
      <w:r>
        <w:rPr>
          <w:rFonts w:cs="Arial"/>
          <w:szCs w:val="24"/>
          <w:lang w:eastAsia="en-AU"/>
        </w:rPr>
        <w:t xml:space="preserve"> AC, van Dam RA</w:t>
      </w:r>
      <w:r w:rsidRPr="00C95A1F">
        <w:rPr>
          <w:rFonts w:cs="Arial"/>
          <w:szCs w:val="24"/>
          <w:lang w:eastAsia="en-AU"/>
        </w:rPr>
        <w:t>, Markich</w:t>
      </w:r>
      <w:r>
        <w:rPr>
          <w:rFonts w:cs="Arial"/>
          <w:szCs w:val="24"/>
          <w:lang w:eastAsia="en-AU"/>
        </w:rPr>
        <w:t xml:space="preserve"> SJ &amp; Camilleri C </w:t>
      </w:r>
      <w:r w:rsidRPr="00C95A1F">
        <w:rPr>
          <w:rFonts w:cs="Arial"/>
          <w:szCs w:val="24"/>
          <w:lang w:eastAsia="en-AU"/>
        </w:rPr>
        <w:t>2005. Chronic toxicity of uranium to a tropical green alga (</w:t>
      </w:r>
      <w:r w:rsidRPr="00C95A1F">
        <w:rPr>
          <w:rFonts w:cs="Arial"/>
          <w:i/>
          <w:iCs/>
          <w:szCs w:val="24"/>
          <w:lang w:eastAsia="en-AU"/>
        </w:rPr>
        <w:t>Chlorella</w:t>
      </w:r>
      <w:r w:rsidRPr="00C95A1F">
        <w:rPr>
          <w:rFonts w:cs="Arial"/>
          <w:szCs w:val="24"/>
          <w:lang w:eastAsia="en-AU"/>
        </w:rPr>
        <w:t xml:space="preserve"> sp) in natural waters and the influence of dissolved organic carbon. </w:t>
      </w:r>
      <w:r>
        <w:rPr>
          <w:rFonts w:cs="Arial"/>
          <w:i/>
          <w:iCs/>
          <w:szCs w:val="24"/>
          <w:lang w:eastAsia="en-AU"/>
        </w:rPr>
        <w:t>Aquat</w:t>
      </w:r>
      <w:r w:rsidRPr="00C95A1F">
        <w:rPr>
          <w:rFonts w:cs="Arial"/>
          <w:i/>
          <w:iCs/>
          <w:szCs w:val="24"/>
          <w:lang w:eastAsia="en-AU"/>
        </w:rPr>
        <w:t xml:space="preserve"> Toxicol</w:t>
      </w:r>
      <w:r>
        <w:rPr>
          <w:rFonts w:cs="Arial"/>
          <w:szCs w:val="24"/>
          <w:lang w:eastAsia="en-AU"/>
        </w:rPr>
        <w:t xml:space="preserve"> 75, </w:t>
      </w:r>
      <w:r w:rsidRPr="00C95A1F">
        <w:rPr>
          <w:rFonts w:cs="Arial"/>
          <w:szCs w:val="24"/>
          <w:lang w:eastAsia="en-AU"/>
        </w:rPr>
        <w:t>343</w:t>
      </w:r>
      <w:r>
        <w:rPr>
          <w:rFonts w:cs="Arial"/>
          <w:szCs w:val="24"/>
          <w:lang w:eastAsia="en-AU"/>
        </w:rPr>
        <w:t>–</w:t>
      </w:r>
      <w:r w:rsidRPr="00C95A1F">
        <w:rPr>
          <w:rFonts w:cs="Arial"/>
          <w:szCs w:val="24"/>
          <w:lang w:eastAsia="en-AU"/>
        </w:rPr>
        <w:t>353.</w:t>
      </w:r>
    </w:p>
    <w:p w:rsidR="00D85FAC" w:rsidRDefault="00D85FAC" w:rsidP="00D85FAC">
      <w:pPr>
        <w:pStyle w:val="referencelist1"/>
      </w:pPr>
      <w:proofErr w:type="gramStart"/>
      <w:r w:rsidRPr="00C6520A">
        <w:t>Hoekstra JA</w:t>
      </w:r>
      <w:r>
        <w:t xml:space="preserve"> &amp;</w:t>
      </w:r>
      <w:r w:rsidRPr="00C6520A">
        <w:t xml:space="preserve"> van Ewijk PH 1993.</w:t>
      </w:r>
      <w:proofErr w:type="gramEnd"/>
      <w:r w:rsidRPr="00C6520A">
        <w:t xml:space="preserve"> </w:t>
      </w:r>
      <w:proofErr w:type="gramStart"/>
      <w:r w:rsidRPr="00E1661D">
        <w:t>The bounded-effect-concentration as an alternative to</w:t>
      </w:r>
      <w:r>
        <w:t xml:space="preserve"> </w:t>
      </w:r>
      <w:r w:rsidRPr="00E1661D">
        <w:t>the NOEC.</w:t>
      </w:r>
      <w:proofErr w:type="gramEnd"/>
      <w:r w:rsidRPr="00E1661D">
        <w:t xml:space="preserve"> </w:t>
      </w:r>
      <w:r w:rsidRPr="00E1661D">
        <w:rPr>
          <w:i/>
          <w:iCs/>
        </w:rPr>
        <w:t xml:space="preserve">Sci Total Environ </w:t>
      </w:r>
      <w:r>
        <w:t xml:space="preserve">Supplement 705, </w:t>
      </w:r>
      <w:r w:rsidRPr="00E1661D">
        <w:t>711.</w:t>
      </w:r>
    </w:p>
    <w:p w:rsidR="00D85FAC" w:rsidRPr="004F631E" w:rsidRDefault="00D85FAC" w:rsidP="00D85FAC">
      <w:pPr>
        <w:pStyle w:val="referencelist1"/>
      </w:pPr>
      <w:proofErr w:type="gramStart"/>
      <w:r w:rsidRPr="004F631E">
        <w:t>Hyne RV, Rippon GD</w:t>
      </w:r>
      <w:r>
        <w:t xml:space="preserve"> &amp;</w:t>
      </w:r>
      <w:r w:rsidRPr="004F631E">
        <w:t xml:space="preserve"> Ellender G 1992.</w:t>
      </w:r>
      <w:proofErr w:type="gramEnd"/>
      <w:r w:rsidRPr="004F631E">
        <w:t xml:space="preserve"> </w:t>
      </w:r>
      <w:proofErr w:type="gramStart"/>
      <w:r w:rsidRPr="004F631E">
        <w:t>pH-dependent</w:t>
      </w:r>
      <w:proofErr w:type="gramEnd"/>
      <w:r w:rsidRPr="004F631E">
        <w:t xml:space="preserve"> uranium toxicity to freshwater hydra. </w:t>
      </w:r>
      <w:r w:rsidRPr="004F631E">
        <w:rPr>
          <w:i/>
          <w:iCs/>
        </w:rPr>
        <w:t>Sci Total Environ</w:t>
      </w:r>
      <w:r w:rsidRPr="004F631E">
        <w:t xml:space="preserve"> 125</w:t>
      </w:r>
      <w:r>
        <w:t xml:space="preserve">, </w:t>
      </w:r>
      <w:r w:rsidRPr="004F631E">
        <w:t>159</w:t>
      </w:r>
      <w:r>
        <w:t>–</w:t>
      </w:r>
      <w:r w:rsidRPr="004F631E">
        <w:t>173.</w:t>
      </w:r>
    </w:p>
    <w:p w:rsidR="00D85FAC" w:rsidRPr="004F631E" w:rsidRDefault="00D85FAC" w:rsidP="00D85FAC">
      <w:pPr>
        <w:pStyle w:val="referencelist1"/>
      </w:pPr>
      <w:r w:rsidRPr="004F631E">
        <w:t>Hyne RV, Padovan A, Parry DL</w:t>
      </w:r>
      <w:r>
        <w:t xml:space="preserve"> &amp;</w:t>
      </w:r>
      <w:r w:rsidRPr="004F631E">
        <w:t xml:space="preserve"> Renaud SM 1993. Increased fecundity of the cladoceran </w:t>
      </w:r>
      <w:r w:rsidRPr="004F631E">
        <w:rPr>
          <w:i/>
          <w:iCs/>
        </w:rPr>
        <w:t xml:space="preserve">Moinodaphnia macleayi </w:t>
      </w:r>
      <w:r w:rsidRPr="004F631E">
        <w:t xml:space="preserve">on a diet supplemented with a green alga, and its use in uranium toxicity tests. </w:t>
      </w:r>
      <w:r w:rsidRPr="004F631E">
        <w:rPr>
          <w:i/>
          <w:iCs/>
        </w:rPr>
        <w:t>Aust J Mar Fresh Res</w:t>
      </w:r>
      <w:r w:rsidRPr="004F631E">
        <w:t xml:space="preserve"> 44</w:t>
      </w:r>
      <w:r>
        <w:t xml:space="preserve">, </w:t>
      </w:r>
      <w:r w:rsidRPr="004F631E">
        <w:t>389</w:t>
      </w:r>
      <w:r>
        <w:t>–</w:t>
      </w:r>
      <w:r w:rsidRPr="004F631E">
        <w:t>399.</w:t>
      </w:r>
    </w:p>
    <w:p w:rsidR="00D85FAC" w:rsidRDefault="00D85FAC" w:rsidP="00D85FAC">
      <w:pPr>
        <w:pStyle w:val="referencelist1"/>
      </w:pPr>
      <w:r w:rsidRPr="002A64EA">
        <w:t xml:space="preserve">Markich SJ 2002. Uranium speciation and bioavailability in aquatic systems: An overview. </w:t>
      </w:r>
      <w:r w:rsidRPr="005608B8">
        <w:rPr>
          <w:i/>
        </w:rPr>
        <w:t>Sci World J</w:t>
      </w:r>
      <w:r w:rsidRPr="002A64EA">
        <w:t xml:space="preserve"> 2</w:t>
      </w:r>
      <w:r>
        <w:t xml:space="preserve">, </w:t>
      </w:r>
      <w:r w:rsidRPr="002A64EA">
        <w:t>707</w:t>
      </w:r>
      <w:r>
        <w:t>–</w:t>
      </w:r>
      <w:r w:rsidRPr="002A64EA">
        <w:t>729.</w:t>
      </w:r>
    </w:p>
    <w:p w:rsidR="00D85FAC" w:rsidRDefault="00D85FAC" w:rsidP="00D85FAC">
      <w:pPr>
        <w:pStyle w:val="referencelist1"/>
      </w:pPr>
      <w:proofErr w:type="gramStart"/>
      <w:r w:rsidRPr="004F631E">
        <w:t>Markich SJ</w:t>
      </w:r>
      <w:r>
        <w:t xml:space="preserve"> &amp;</w:t>
      </w:r>
      <w:r w:rsidRPr="004F631E">
        <w:t xml:space="preserve"> Camilleri C 1997.</w:t>
      </w:r>
      <w:proofErr w:type="gramEnd"/>
      <w:r w:rsidRPr="004F631E">
        <w:t xml:space="preserve"> Investigation of metal toxicity to tropical biota: Recommendations for revision of the Australian water quality guidelines. </w:t>
      </w:r>
      <w:proofErr w:type="gramStart"/>
      <w:r w:rsidRPr="004F631E">
        <w:t>Supervising Scientist Report, Supervising Scientist, Department of Sustainability, Environment, Water, Population and Communities, Darwin, Australia.</w:t>
      </w:r>
      <w:proofErr w:type="gramEnd"/>
    </w:p>
    <w:p w:rsidR="00D85FAC" w:rsidRPr="004F631E" w:rsidRDefault="00D85FAC" w:rsidP="00D85FAC">
      <w:pPr>
        <w:pStyle w:val="referencelist1"/>
      </w:pPr>
      <w:proofErr w:type="gramStart"/>
      <w:r w:rsidRPr="005C4992">
        <w:t>Markich SJ, Brown PL, Jeffree RA</w:t>
      </w:r>
      <w:r>
        <w:t xml:space="preserve"> &amp; </w:t>
      </w:r>
      <w:r w:rsidRPr="005C4992">
        <w:t>Lim RP 2000.</w:t>
      </w:r>
      <w:proofErr w:type="gramEnd"/>
      <w:r w:rsidRPr="005C4992">
        <w:t xml:space="preserve"> Valve movement responses of </w:t>
      </w:r>
      <w:r w:rsidRPr="005C4992">
        <w:rPr>
          <w:i/>
        </w:rPr>
        <w:t>Velesunio angasi</w:t>
      </w:r>
      <w:r w:rsidRPr="005C4992">
        <w:t xml:space="preserve"> (Bivalvia: Hyriidae) to manganese and uranium: an exception to the free ion activity model. </w:t>
      </w:r>
      <w:r w:rsidRPr="005C4992">
        <w:rPr>
          <w:i/>
        </w:rPr>
        <w:t>Aquat Toxicol</w:t>
      </w:r>
      <w:r w:rsidRPr="005C4992">
        <w:t xml:space="preserve"> 51</w:t>
      </w:r>
      <w:r>
        <w:t xml:space="preserve">, </w:t>
      </w:r>
      <w:r w:rsidRPr="005C4992">
        <w:t>155–175.</w:t>
      </w:r>
    </w:p>
    <w:p w:rsidR="00D85FAC" w:rsidRPr="004F631E" w:rsidRDefault="00D85FAC" w:rsidP="00D85FAC">
      <w:pPr>
        <w:pStyle w:val="referencelist1"/>
      </w:pPr>
      <w:r w:rsidRPr="004F631E">
        <w:lastRenderedPageBreak/>
        <w:t>Riethmuller N, Markich S, Parry D</w:t>
      </w:r>
      <w:r>
        <w:t xml:space="preserve"> &amp;</w:t>
      </w:r>
      <w:r w:rsidRPr="004F631E">
        <w:t xml:space="preserve"> van Dam R 2000. </w:t>
      </w:r>
      <w:proofErr w:type="gramStart"/>
      <w:r w:rsidRPr="004F631E">
        <w:t>The effect of true water hardness and alkalinity on the toxicity of Cu and U to two tropical Australian freshwater organisms.</w:t>
      </w:r>
      <w:proofErr w:type="gramEnd"/>
      <w:r w:rsidRPr="004F631E">
        <w:t xml:space="preserve"> </w:t>
      </w:r>
      <w:proofErr w:type="gramStart"/>
      <w:r w:rsidRPr="004F631E">
        <w:t>Supervising Scientist Report 155.</w:t>
      </w:r>
      <w:proofErr w:type="gramEnd"/>
      <w:r w:rsidRPr="004F631E">
        <w:t xml:space="preserve"> </w:t>
      </w:r>
      <w:proofErr w:type="gramStart"/>
      <w:r w:rsidRPr="004F631E">
        <w:t>Supervising Scientist, Department of Sustainability, Environment, Water, Population and Communities, Darwin, Australia.</w:t>
      </w:r>
      <w:proofErr w:type="gramEnd"/>
    </w:p>
    <w:p w:rsidR="00D85FAC" w:rsidRPr="004F631E" w:rsidRDefault="00D85FAC" w:rsidP="00D85FAC">
      <w:pPr>
        <w:pStyle w:val="referencelist1"/>
      </w:pPr>
      <w:r w:rsidRPr="004F631E">
        <w:t>Semaan M, Holdway DA</w:t>
      </w:r>
      <w:r>
        <w:t xml:space="preserve"> &amp;</w:t>
      </w:r>
      <w:r w:rsidRPr="004F631E">
        <w:t xml:space="preserve"> </w:t>
      </w:r>
      <w:r>
        <w:t>v</w:t>
      </w:r>
      <w:r w:rsidRPr="004F631E">
        <w:t xml:space="preserve">an Dam R 2001. </w:t>
      </w:r>
      <w:proofErr w:type="gramStart"/>
      <w:r w:rsidRPr="004F631E">
        <w:t xml:space="preserve">Comparative sensitivity of three populations of the cladoceran </w:t>
      </w:r>
      <w:r w:rsidRPr="004F631E">
        <w:rPr>
          <w:i/>
          <w:iCs/>
        </w:rPr>
        <w:t>Moinodaphnia macleayi</w:t>
      </w:r>
      <w:r w:rsidRPr="004F631E">
        <w:t xml:space="preserve"> to acute and chronic uranium exposure.</w:t>
      </w:r>
      <w:proofErr w:type="gramEnd"/>
      <w:r w:rsidRPr="004F631E">
        <w:t xml:space="preserve"> </w:t>
      </w:r>
      <w:r w:rsidRPr="004F631E">
        <w:rPr>
          <w:i/>
        </w:rPr>
        <w:t>Environ Toxicol</w:t>
      </w:r>
      <w:r w:rsidRPr="004F631E">
        <w:t xml:space="preserve"> 16</w:t>
      </w:r>
      <w:r>
        <w:t xml:space="preserve">, </w:t>
      </w:r>
      <w:r w:rsidRPr="004F631E">
        <w:t>365</w:t>
      </w:r>
      <w:r>
        <w:t>–</w:t>
      </w:r>
      <w:r w:rsidRPr="004F631E">
        <w:t>376.</w:t>
      </w:r>
    </w:p>
    <w:p w:rsidR="00D85FAC" w:rsidRDefault="00D85FAC" w:rsidP="00D85FAC">
      <w:pPr>
        <w:pStyle w:val="referencelist1"/>
      </w:pPr>
      <w:r w:rsidRPr="004F631E">
        <w:t>Trenfield MA, Ng JC, Noller BN, Markich SJ</w:t>
      </w:r>
      <w:r>
        <w:t xml:space="preserve"> &amp; v</w:t>
      </w:r>
      <w:r w:rsidRPr="004F631E">
        <w:t xml:space="preserve">an Dam RA 2011. Dissolved organic carbon reduces uranium bioavailability and toxicity. 2. </w:t>
      </w:r>
      <w:proofErr w:type="gramStart"/>
      <w:r w:rsidRPr="004F631E">
        <w:t>Uranium[</w:t>
      </w:r>
      <w:proofErr w:type="gramEnd"/>
      <w:r w:rsidRPr="004F631E">
        <w:t xml:space="preserve">VI] speciation and toxicity to three tropical freshwater organisms. </w:t>
      </w:r>
      <w:r w:rsidRPr="004F631E">
        <w:rPr>
          <w:i/>
        </w:rPr>
        <w:t>Environ Sci Technol</w:t>
      </w:r>
      <w:r w:rsidRPr="004F631E">
        <w:t xml:space="preserve"> 45</w:t>
      </w:r>
      <w:r>
        <w:t xml:space="preserve">, </w:t>
      </w:r>
      <w:r w:rsidRPr="004F631E">
        <w:t>3082</w:t>
      </w:r>
      <w:r>
        <w:t>–</w:t>
      </w:r>
      <w:r w:rsidRPr="004F631E">
        <w:t>3089.</w:t>
      </w:r>
    </w:p>
    <w:p w:rsidR="00D85FAC" w:rsidRPr="004F631E" w:rsidRDefault="00D85FAC" w:rsidP="00D85FAC">
      <w:pPr>
        <w:pStyle w:val="referencelist1"/>
      </w:pPr>
    </w:p>
    <w:p w:rsidR="00D85FAC" w:rsidRDefault="00D85FAC" w:rsidP="00D85FAC">
      <w:pPr>
        <w:pStyle w:val="Heading4"/>
        <w:sectPr w:rsidR="00D85FAC" w:rsidSect="00D85FAC">
          <w:headerReference w:type="even" r:id="rId86"/>
          <w:footerReference w:type="even" r:id="rId87"/>
          <w:footerReference w:type="default" r:id="rId88"/>
          <w:footnotePr>
            <w:numRestart w:val="eachSect"/>
          </w:footnotePr>
          <w:pgSz w:w="11906" w:h="16838" w:code="9"/>
          <w:pgMar w:top="1440" w:right="1797" w:bottom="1440" w:left="1797" w:header="851" w:footer="833" w:gutter="0"/>
          <w:cols w:space="360"/>
          <w:noEndnote/>
        </w:sectPr>
      </w:pPr>
      <w:bookmarkStart w:id="169" w:name="_Toc309215793"/>
    </w:p>
    <w:p w:rsidR="00D85FAC" w:rsidRDefault="00D85FAC" w:rsidP="00D85FAC">
      <w:pPr>
        <w:pStyle w:val="Heading1"/>
      </w:pPr>
      <w:bookmarkStart w:id="170" w:name="_Toc319670717"/>
      <w:r>
        <w:lastRenderedPageBreak/>
        <w:t xml:space="preserve">Toxicity of uranium to </w:t>
      </w:r>
      <w:r w:rsidRPr="000A50B2">
        <w:rPr>
          <w:i/>
        </w:rPr>
        <w:t>Euglena gracilis</w:t>
      </w:r>
      <w:r>
        <w:t xml:space="preserve"> </w:t>
      </w:r>
      <w:r>
        <w:br/>
        <w:t>and the influence of DOC</w:t>
      </w:r>
      <w:bookmarkEnd w:id="169"/>
      <w:bookmarkEnd w:id="170"/>
    </w:p>
    <w:p w:rsidR="00D85FAC" w:rsidRDefault="00D85FAC" w:rsidP="00D85FAC">
      <w:pPr>
        <w:pStyle w:val="authors"/>
        <w:spacing w:after="800"/>
      </w:pPr>
      <w:bookmarkStart w:id="171" w:name="_Toc316987220"/>
      <w:bookmarkStart w:id="172" w:name="_Toc319670718"/>
      <w:r>
        <w:t>MA Trenfield, JC Ng</w:t>
      </w:r>
      <w:r>
        <w:rPr>
          <w:rStyle w:val="FootnoteReference"/>
        </w:rPr>
        <w:footnoteReference w:id="13"/>
      </w:r>
      <w:r>
        <w:t>, B Noller</w:t>
      </w:r>
      <w:r>
        <w:rPr>
          <w:rStyle w:val="FootnoteReference"/>
        </w:rPr>
        <w:footnoteReference w:id="14"/>
      </w:r>
      <w:r>
        <w:t>, SJ Markich</w:t>
      </w:r>
      <w:r>
        <w:rPr>
          <w:rStyle w:val="FootnoteReference"/>
        </w:rPr>
        <w:footnoteReference w:id="15"/>
      </w:r>
      <w:r>
        <w:t xml:space="preserve"> &amp; RA van Dam</w:t>
      </w:r>
      <w:bookmarkEnd w:id="171"/>
      <w:bookmarkEnd w:id="172"/>
    </w:p>
    <w:p w:rsidR="00D85FAC" w:rsidRDefault="00D85FAC" w:rsidP="00D85FAC">
      <w:pPr>
        <w:pStyle w:val="Heading2"/>
      </w:pPr>
      <w:bookmarkStart w:id="173" w:name="_Toc313523460"/>
      <w:bookmarkStart w:id="174" w:name="_Toc316985303"/>
      <w:r>
        <w:t>Background</w:t>
      </w:r>
      <w:bookmarkEnd w:id="173"/>
      <w:bookmarkEnd w:id="174"/>
    </w:p>
    <w:p w:rsidR="00D85FAC" w:rsidRPr="00F10761" w:rsidRDefault="00D85FAC" w:rsidP="00D85FAC">
      <w:pPr>
        <w:rPr>
          <w:color w:val="000000"/>
          <w:szCs w:val="24"/>
        </w:rPr>
      </w:pPr>
      <w:r>
        <w:t xml:space="preserve">Although </w:t>
      </w:r>
      <w:proofErr w:type="gramStart"/>
      <w:r>
        <w:t>a considerable amount of data exist</w:t>
      </w:r>
      <w:proofErr w:type="gramEnd"/>
      <w:r>
        <w:t xml:space="preserve"> for the toxicity of uranium (U) to aquatic biota, there is only sparse information regarding the mechanisms of U toxicity. </w:t>
      </w:r>
      <w:r>
        <w:rPr>
          <w:color w:val="000000"/>
          <w:szCs w:val="24"/>
        </w:rPr>
        <w:t>The limited published material indicates that U can inhibit ATPase and induce oxidative stress in animal tissue (Ribera et al 1996, Barillet et al 2007, Periyakaruppan et al 2007) and may disrupt gill, muscle and gonadal tissue in fish (Barillet et al 2010). Induction of reactive oxygen species (ROS) in lung cells of rats (Periyakaruppan et al 2007) and in fish exposed to U (Barillet et al 2007) has been linked to the failure of cellular antioxidant mechanisms that normally act to suppress a rise in oxidative species.</w:t>
      </w:r>
    </w:p>
    <w:p w:rsidR="00D85FAC" w:rsidRDefault="00D85FAC" w:rsidP="00D85FAC">
      <w:r>
        <w:t xml:space="preserve">The </w:t>
      </w:r>
      <w:r w:rsidRPr="00464F80">
        <w:t>unicellular</w:t>
      </w:r>
      <w:r>
        <w:t xml:space="preserve"> eukaryote </w:t>
      </w:r>
      <w:r w:rsidRPr="00883690">
        <w:rPr>
          <w:i/>
        </w:rPr>
        <w:t>Euglena</w:t>
      </w:r>
      <w:r>
        <w:rPr>
          <w:i/>
        </w:rPr>
        <w:t xml:space="preserve"> gracilis </w:t>
      </w:r>
      <w:r>
        <w:t>is found commonly in freshwaters worldwide and grows optimally at 20–30</w:t>
      </w:r>
      <w:r>
        <w:sym w:font="Symbol" w:char="F0B0"/>
      </w:r>
      <w:r>
        <w:t xml:space="preserve">C. </w:t>
      </w:r>
      <w:r w:rsidRPr="00C65924">
        <w:rPr>
          <w:i/>
        </w:rPr>
        <w:t>E</w:t>
      </w:r>
      <w:r>
        <w:rPr>
          <w:i/>
        </w:rPr>
        <w:t>uglena</w:t>
      </w:r>
      <w:r w:rsidRPr="00B7184E">
        <w:rPr>
          <w:i/>
        </w:rPr>
        <w:t xml:space="preserve"> gracilis</w:t>
      </w:r>
      <w:r>
        <w:t xml:space="preserve"> is known to be sensitive to metal contaminants (Hg, Cd, Cr, Ni; </w:t>
      </w:r>
      <w:r w:rsidRPr="00975513">
        <w:t>Gadjdosova and Reichrtova 1996</w:t>
      </w:r>
      <w:r>
        <w:t xml:space="preserve">) and can be an effective biological model for the study of metal toxicity in eukaryotic cells (Einicker-Lamas et al 2002; Watanabe &amp; Suzuki 2002). With its highly developed subcellular organelles being equivalent to those of higher plants (Watanabe &amp; Suzuki 2002), the photosynthetic Z strain of </w:t>
      </w:r>
      <w:r w:rsidRPr="00233F69">
        <w:rPr>
          <w:i/>
        </w:rPr>
        <w:t>E</w:t>
      </w:r>
      <w:r>
        <w:rPr>
          <w:i/>
        </w:rPr>
        <w:t>. gracilis</w:t>
      </w:r>
      <w:r w:rsidRPr="00233F69">
        <w:rPr>
          <w:i/>
        </w:rPr>
        <w:t xml:space="preserve"> </w:t>
      </w:r>
      <w:r>
        <w:t xml:space="preserve">can be used to provide insight into the mechanisms of, and influences on, U toxicity in higher plants. However, much of the research with </w:t>
      </w:r>
      <w:r w:rsidRPr="0083070A">
        <w:rPr>
          <w:i/>
        </w:rPr>
        <w:t>Euglena</w:t>
      </w:r>
      <w:r>
        <w:t xml:space="preserve"> has been conducted in nutrient-enriched growth media that bear little resemblance to natural waters. Hence, the associated toxicity data are not useful for predicting environmental effects in natural media. This study</w:t>
      </w:r>
      <w:r>
        <w:rPr>
          <w:i/>
        </w:rPr>
        <w:t xml:space="preserve"> </w:t>
      </w:r>
      <w:r>
        <w:t>aimed to:</w:t>
      </w:r>
    </w:p>
    <w:p w:rsidR="00D85FAC" w:rsidRPr="001D3EAD" w:rsidRDefault="00D85FAC" w:rsidP="00D85FAC">
      <w:pPr>
        <w:pStyle w:val="Normallist1"/>
        <w:rPr>
          <w:spacing w:val="-2"/>
        </w:rPr>
      </w:pPr>
      <w:proofErr w:type="gramStart"/>
      <w:r w:rsidRPr="001D3EAD">
        <w:rPr>
          <w:spacing w:val="-2"/>
        </w:rPr>
        <w:t>i</w:t>
      </w:r>
      <w:proofErr w:type="gramEnd"/>
      <w:r w:rsidRPr="001D3EAD">
        <w:rPr>
          <w:spacing w:val="-2"/>
        </w:rPr>
        <w:tab/>
        <w:t xml:space="preserve">Optimise an existing </w:t>
      </w:r>
      <w:r w:rsidRPr="001D3EAD">
        <w:rPr>
          <w:i/>
          <w:spacing w:val="-2"/>
        </w:rPr>
        <w:t>Euglena</w:t>
      </w:r>
      <w:r w:rsidRPr="001D3EAD">
        <w:rPr>
          <w:spacing w:val="-2"/>
        </w:rPr>
        <w:t xml:space="preserve"> toxicity test method to make it more environmentally relevant; </w:t>
      </w:r>
    </w:p>
    <w:p w:rsidR="00D85FAC" w:rsidRDefault="00D85FAC" w:rsidP="00D85FAC">
      <w:pPr>
        <w:pStyle w:val="Normallist1"/>
      </w:pPr>
      <w:proofErr w:type="gramStart"/>
      <w:r>
        <w:t>ii</w:t>
      </w:r>
      <w:proofErr w:type="gramEnd"/>
      <w:r>
        <w:tab/>
        <w:t xml:space="preserve">Assess the influence of dissolved organic carbon (DOC) on the toxicity and speciation of U to </w:t>
      </w:r>
      <w:r w:rsidRPr="00530217">
        <w:rPr>
          <w:i/>
        </w:rPr>
        <w:t>E. gracilis</w:t>
      </w:r>
      <w:r>
        <w:t xml:space="preserve"> in</w:t>
      </w:r>
      <w:r w:rsidRPr="00D965DC">
        <w:t xml:space="preserve"> </w:t>
      </w:r>
      <w:r>
        <w:t xml:space="preserve">a </w:t>
      </w:r>
      <w:r w:rsidRPr="00D965DC">
        <w:t>soft, acidic</w:t>
      </w:r>
      <w:r>
        <w:t>, low-nutrient</w:t>
      </w:r>
      <w:r w:rsidRPr="00D965DC">
        <w:t xml:space="preserve"> </w:t>
      </w:r>
      <w:r>
        <w:t>medium; and</w:t>
      </w:r>
    </w:p>
    <w:p w:rsidR="00D85FAC" w:rsidRDefault="00D85FAC" w:rsidP="00D85FAC">
      <w:pPr>
        <w:pStyle w:val="Normallist1"/>
      </w:pPr>
      <w:proofErr w:type="gramStart"/>
      <w:r>
        <w:t>iii</w:t>
      </w:r>
      <w:proofErr w:type="gramEnd"/>
      <w:r>
        <w:tab/>
        <w:t xml:space="preserve">Undertake a preliminary investigation into the influence of U on the generation of ROS in </w:t>
      </w:r>
      <w:r w:rsidRPr="000A5F03">
        <w:rPr>
          <w:i/>
        </w:rPr>
        <w:t>E.</w:t>
      </w:r>
      <w:r>
        <w:rPr>
          <w:i/>
        </w:rPr>
        <w:t xml:space="preserve"> </w:t>
      </w:r>
      <w:r w:rsidRPr="000A5F03">
        <w:rPr>
          <w:i/>
        </w:rPr>
        <w:t>gracilis</w:t>
      </w:r>
      <w:r>
        <w:t>.</w:t>
      </w:r>
    </w:p>
    <w:p w:rsidR="00D85FAC" w:rsidRDefault="00D85FAC" w:rsidP="00D85FAC">
      <w:pPr>
        <w:pStyle w:val="Heading2"/>
      </w:pPr>
      <w:bookmarkStart w:id="175" w:name="_Toc313523461"/>
      <w:bookmarkStart w:id="176" w:name="_Toc316985304"/>
      <w:r>
        <w:t>Methods</w:t>
      </w:r>
      <w:bookmarkEnd w:id="175"/>
      <w:bookmarkEnd w:id="176"/>
    </w:p>
    <w:p w:rsidR="00D85FAC" w:rsidRDefault="00D85FAC" w:rsidP="00D85FAC">
      <w:pPr>
        <w:pStyle w:val="Heading3"/>
        <w:rPr>
          <w:snapToGrid w:val="0"/>
        </w:rPr>
      </w:pPr>
      <w:bookmarkStart w:id="177" w:name="_Toc313523462"/>
      <w:bookmarkStart w:id="178" w:name="_Toc316985305"/>
      <w:r w:rsidRPr="00A21503">
        <w:rPr>
          <w:i/>
        </w:rPr>
        <w:t>Euglena gracilis</w:t>
      </w:r>
      <w:r>
        <w:t xml:space="preserve"> culture and </w:t>
      </w:r>
      <w:r>
        <w:rPr>
          <w:snapToGrid w:val="0"/>
        </w:rPr>
        <w:t>d</w:t>
      </w:r>
      <w:r w:rsidRPr="009A165B">
        <w:rPr>
          <w:snapToGrid w:val="0"/>
        </w:rPr>
        <w:t>evelopment of low nutrient test medium</w:t>
      </w:r>
      <w:bookmarkEnd w:id="177"/>
      <w:bookmarkEnd w:id="178"/>
    </w:p>
    <w:p w:rsidR="00D85FAC" w:rsidRPr="0081440B" w:rsidRDefault="00D85FAC" w:rsidP="00D85FAC">
      <w:pPr>
        <w:rPr>
          <w:snapToGrid w:val="0"/>
          <w:spacing w:val="-2"/>
        </w:rPr>
      </w:pPr>
      <w:r w:rsidRPr="0081440B">
        <w:rPr>
          <w:i/>
          <w:spacing w:val="-2"/>
        </w:rPr>
        <w:t>Euglena gracilis</w:t>
      </w:r>
      <w:r w:rsidRPr="0081440B">
        <w:rPr>
          <w:spacing w:val="-2"/>
        </w:rPr>
        <w:t xml:space="preserve"> (Z strain) was cultured in Koren Hutner (KH; Koren &amp; Hutner 1967) medium at pH 6 </w:t>
      </w:r>
      <w:r w:rsidRPr="0081440B">
        <w:rPr>
          <w:rFonts w:cs="Times"/>
          <w:spacing w:val="-2"/>
        </w:rPr>
        <w:t>±</w:t>
      </w:r>
      <w:r w:rsidRPr="0081440B">
        <w:rPr>
          <w:spacing w:val="-2"/>
        </w:rPr>
        <w:t xml:space="preserve"> 0.1, 28±1°C and with a 12:12h day/night cycle (36 W cool white triphosphor lighting; 100-140 µmol m</w:t>
      </w:r>
      <w:r w:rsidRPr="0081440B">
        <w:rPr>
          <w:snapToGrid w:val="0"/>
          <w:color w:val="000000"/>
          <w:spacing w:val="-2"/>
          <w:position w:val="5"/>
          <w:sz w:val="15"/>
          <w:szCs w:val="0"/>
          <w:u w:color="000000"/>
        </w:rPr>
        <w:t>-2</w:t>
      </w:r>
      <w:r w:rsidRPr="0081440B">
        <w:rPr>
          <w:snapToGrid w:val="0"/>
          <w:color w:val="000000"/>
          <w:spacing w:val="-2"/>
          <w:szCs w:val="0"/>
          <w:u w:color="000000"/>
        </w:rPr>
        <w:t>s</w:t>
      </w:r>
      <w:r w:rsidRPr="0081440B">
        <w:rPr>
          <w:snapToGrid w:val="0"/>
          <w:color w:val="000000"/>
          <w:spacing w:val="-2"/>
          <w:position w:val="5"/>
          <w:sz w:val="15"/>
          <w:szCs w:val="0"/>
          <w:u w:color="000000"/>
        </w:rPr>
        <w:t>-1</w:t>
      </w:r>
      <w:r w:rsidRPr="0081440B">
        <w:rPr>
          <w:snapToGrid w:val="0"/>
          <w:color w:val="000000"/>
          <w:spacing w:val="-2"/>
        </w:rPr>
        <w:t>)</w:t>
      </w:r>
      <w:r w:rsidRPr="0081440B">
        <w:rPr>
          <w:spacing w:val="-2"/>
        </w:rPr>
        <w:t xml:space="preserve">. </w:t>
      </w:r>
      <w:r w:rsidRPr="0081440B">
        <w:rPr>
          <w:snapToGrid w:val="0"/>
          <w:spacing w:val="-2"/>
        </w:rPr>
        <w:t>KH medium is a high nutrient medium with a high DOC concentration (10 g L</w:t>
      </w:r>
      <w:r w:rsidRPr="0081440B">
        <w:rPr>
          <w:snapToGrid w:val="0"/>
          <w:spacing w:val="-2"/>
          <w:vertAlign w:val="superscript"/>
        </w:rPr>
        <w:t>-1</w:t>
      </w:r>
      <w:r w:rsidRPr="0081440B">
        <w:rPr>
          <w:snapToGrid w:val="0"/>
          <w:spacing w:val="-2"/>
        </w:rPr>
        <w:t xml:space="preserve">), containing elevated levels of glucose and organic acids, which can potentially bind metals and reduce their toxicity to test organisms. Exposure trials were conducted with the aim </w:t>
      </w:r>
      <w:r w:rsidRPr="0081440B">
        <w:rPr>
          <w:snapToGrid w:val="0"/>
          <w:spacing w:val="-2"/>
        </w:rPr>
        <w:lastRenderedPageBreak/>
        <w:t xml:space="preserve">of establishing a test medium that was more environmentally relevant (ie less nutrient-rich), but which still supported a </w:t>
      </w:r>
      <w:smartTag w:uri="urn:schemas-microsoft-com:office:smarttags" w:element="City">
        <w:smartTag w:uri="urn:schemas-microsoft-com:office:smarttags" w:element="place">
          <w:r w:rsidRPr="0081440B">
            <w:rPr>
              <w:snapToGrid w:val="0"/>
              <w:spacing w:val="-2"/>
            </w:rPr>
            <w:t>suita</w:t>
          </w:r>
        </w:smartTag>
      </w:smartTag>
      <w:r w:rsidRPr="0081440B">
        <w:rPr>
          <w:snapToGrid w:val="0"/>
          <w:spacing w:val="-2"/>
        </w:rPr>
        <w:t xml:space="preserve">ble growth rate of </w:t>
      </w:r>
      <w:r w:rsidRPr="0081440B">
        <w:rPr>
          <w:i/>
          <w:snapToGrid w:val="0"/>
          <w:spacing w:val="-2"/>
        </w:rPr>
        <w:t xml:space="preserve">E. gracilis </w:t>
      </w:r>
      <w:r w:rsidRPr="0081440B">
        <w:rPr>
          <w:snapToGrid w:val="0"/>
          <w:spacing w:val="-2"/>
        </w:rPr>
        <w:t xml:space="preserve">(ie 0.4 </w:t>
      </w:r>
      <w:r w:rsidRPr="0081440B">
        <w:rPr>
          <w:rFonts w:cs="Times"/>
          <w:snapToGrid w:val="0"/>
          <w:spacing w:val="-2"/>
        </w:rPr>
        <w:t xml:space="preserve">± </w:t>
      </w:r>
      <w:r w:rsidRPr="0081440B">
        <w:rPr>
          <w:snapToGrid w:val="0"/>
          <w:spacing w:val="-2"/>
        </w:rPr>
        <w:t>0.2 doublings d</w:t>
      </w:r>
      <w:r w:rsidRPr="0081440B">
        <w:rPr>
          <w:snapToGrid w:val="0"/>
          <w:spacing w:val="-2"/>
          <w:vertAlign w:val="superscript"/>
        </w:rPr>
        <w:t>-1</w:t>
      </w:r>
      <w:r w:rsidRPr="0081440B">
        <w:rPr>
          <w:snapToGrid w:val="0"/>
          <w:spacing w:val="-2"/>
        </w:rPr>
        <w:t>). Media containing minimal concentrations of a single carbon source, such as glucose or citric acid, in addition to vitamin B1 and B12 (</w:t>
      </w:r>
      <w:smartTag w:uri="urn:schemas-microsoft-com:office:smarttags" w:element="City">
        <w:smartTag w:uri="urn:schemas-microsoft-com:office:smarttags" w:element="place">
          <w:r w:rsidRPr="0081440B">
            <w:rPr>
              <w:snapToGrid w:val="0"/>
              <w:spacing w:val="-2"/>
            </w:rPr>
            <w:t>essen</w:t>
          </w:r>
        </w:smartTag>
      </w:smartTag>
      <w:r w:rsidRPr="0081440B">
        <w:rPr>
          <w:snapToGrid w:val="0"/>
          <w:spacing w:val="-2"/>
        </w:rPr>
        <w:t xml:space="preserve">tial for growth of </w:t>
      </w:r>
      <w:r w:rsidRPr="0081440B">
        <w:rPr>
          <w:i/>
          <w:snapToGrid w:val="0"/>
          <w:spacing w:val="-2"/>
        </w:rPr>
        <w:t>E. gracilis</w:t>
      </w:r>
      <w:r w:rsidRPr="0081440B">
        <w:rPr>
          <w:snapToGrid w:val="0"/>
          <w:spacing w:val="-2"/>
        </w:rPr>
        <w:t xml:space="preserve">) were trialled (Table 1) following the test procedure outlined </w:t>
      </w:r>
      <w:proofErr w:type="gramStart"/>
      <w:r w:rsidRPr="0081440B">
        <w:rPr>
          <w:snapToGrid w:val="0"/>
          <w:spacing w:val="-2"/>
        </w:rPr>
        <w:t>below.</w:t>
      </w:r>
      <w:proofErr w:type="gramEnd"/>
      <w:r w:rsidRPr="0081440B">
        <w:rPr>
          <w:snapToGrid w:val="0"/>
          <w:spacing w:val="-2"/>
        </w:rPr>
        <w:t xml:space="preserve"> </w:t>
      </w:r>
      <w:r w:rsidRPr="0081440B">
        <w:rPr>
          <w:rFonts w:ascii="Times New (W1)" w:hAnsi="Times New (W1)"/>
          <w:spacing w:val="-2"/>
        </w:rPr>
        <w:t>2-N-morpholinoethanesulfonic acid sodium salt (</w:t>
      </w:r>
      <w:r w:rsidRPr="0081440B">
        <w:rPr>
          <w:snapToGrid w:val="0"/>
          <w:spacing w:val="-2"/>
        </w:rPr>
        <w:t xml:space="preserve">MES) buffer was used to maintain the test media at pH 6.0 </w:t>
      </w:r>
      <w:r w:rsidRPr="0081440B">
        <w:rPr>
          <w:rFonts w:cs="Times"/>
          <w:snapToGrid w:val="0"/>
          <w:spacing w:val="-2"/>
        </w:rPr>
        <w:t xml:space="preserve">± </w:t>
      </w:r>
      <w:r w:rsidRPr="0081440B">
        <w:rPr>
          <w:snapToGrid w:val="0"/>
          <w:spacing w:val="-2"/>
        </w:rPr>
        <w:t xml:space="preserve">0.1, as this buffer is considered to have minimal binding to metals (Good </w:t>
      </w:r>
      <w:r>
        <w:rPr>
          <w:snapToGrid w:val="0"/>
          <w:spacing w:val="-2"/>
        </w:rPr>
        <w:t>et al</w:t>
      </w:r>
      <w:r w:rsidRPr="0081440B">
        <w:rPr>
          <w:snapToGrid w:val="0"/>
          <w:spacing w:val="-2"/>
        </w:rPr>
        <w:t xml:space="preserve"> 1966), and was predicted (by speciation modeling) to have negligible binding to U (&lt;0.2% of U).</w:t>
      </w:r>
    </w:p>
    <w:p w:rsidR="00D85FAC" w:rsidRDefault="00D85FAC" w:rsidP="00D85FAC">
      <w:pPr>
        <w:pStyle w:val="Heading3"/>
      </w:pPr>
      <w:bookmarkStart w:id="179" w:name="_Toc313523463"/>
      <w:bookmarkStart w:id="180" w:name="_Toc316985306"/>
      <w:r w:rsidRPr="009A165B">
        <w:t>General toxicity test method</w:t>
      </w:r>
      <w:bookmarkEnd w:id="179"/>
      <w:bookmarkEnd w:id="180"/>
    </w:p>
    <w:p w:rsidR="00D85FAC" w:rsidRPr="0081440B" w:rsidRDefault="00D85FAC" w:rsidP="00D85FAC">
      <w:pPr>
        <w:rPr>
          <w:spacing w:val="-2"/>
        </w:rPr>
      </w:pPr>
      <w:r w:rsidRPr="0081440B">
        <w:rPr>
          <w:spacing w:val="-2"/>
        </w:rPr>
        <w:t xml:space="preserve">A standard number of </w:t>
      </w:r>
      <w:r w:rsidRPr="0081440B">
        <w:rPr>
          <w:i/>
          <w:spacing w:val="-2"/>
        </w:rPr>
        <w:t>E. gracilis</w:t>
      </w:r>
      <w:r w:rsidRPr="0081440B">
        <w:rPr>
          <w:spacing w:val="-2"/>
        </w:rPr>
        <w:t xml:space="preserve"> cells (1 </w:t>
      </w:r>
      <w:r w:rsidRPr="0081440B">
        <w:rPr>
          <w:spacing w:val="-2"/>
        </w:rPr>
        <w:sym w:font="Symbol" w:char="F0B4"/>
      </w:r>
      <w:r w:rsidRPr="0081440B">
        <w:rPr>
          <w:spacing w:val="-2"/>
        </w:rPr>
        <w:t xml:space="preserve"> 10</w:t>
      </w:r>
      <w:r w:rsidRPr="0081440B">
        <w:rPr>
          <w:snapToGrid w:val="0"/>
          <w:color w:val="000000"/>
          <w:spacing w:val="-2"/>
          <w:position w:val="5"/>
          <w:sz w:val="15"/>
          <w:szCs w:val="0"/>
          <w:u w:color="000000"/>
        </w:rPr>
        <w:t>4</w:t>
      </w:r>
      <w:r w:rsidRPr="0081440B">
        <w:rPr>
          <w:snapToGrid w:val="0"/>
          <w:color w:val="000000"/>
          <w:spacing w:val="-2"/>
          <w:szCs w:val="0"/>
          <w:u w:color="000000"/>
        </w:rPr>
        <w:t xml:space="preserve"> cells mL</w:t>
      </w:r>
      <w:r w:rsidRPr="0081440B">
        <w:rPr>
          <w:spacing w:val="-2"/>
          <w:vertAlign w:val="superscript"/>
        </w:rPr>
        <w:t>-1</w:t>
      </w:r>
      <w:r w:rsidRPr="0081440B">
        <w:rPr>
          <w:spacing w:val="-2"/>
        </w:rPr>
        <w:t>; in 5 ml</w:t>
      </w:r>
      <w:r w:rsidRPr="0081440B">
        <w:rPr>
          <w:snapToGrid w:val="0"/>
          <w:color w:val="000000"/>
          <w:spacing w:val="-2"/>
          <w:szCs w:val="0"/>
          <w:u w:color="000000"/>
        </w:rPr>
        <w:t>)</w:t>
      </w:r>
      <w:r w:rsidRPr="0081440B">
        <w:rPr>
          <w:spacing w:val="-2"/>
        </w:rPr>
        <w:t xml:space="preserve"> was exposed to a control (1 </w:t>
      </w:r>
      <w:r w:rsidRPr="0081440B">
        <w:rPr>
          <w:rFonts w:cs="Times"/>
          <w:spacing w:val="-2"/>
        </w:rPr>
        <w:t>µ</w:t>
      </w:r>
      <w:r w:rsidRPr="0081440B">
        <w:rPr>
          <w:spacing w:val="-2"/>
        </w:rPr>
        <w:t>g L</w:t>
      </w:r>
      <w:r w:rsidRPr="0081440B">
        <w:rPr>
          <w:snapToGrid w:val="0"/>
          <w:color w:val="000000"/>
          <w:spacing w:val="-2"/>
          <w:position w:val="6"/>
          <w:sz w:val="16"/>
          <w:szCs w:val="0"/>
          <w:u w:color="000000"/>
        </w:rPr>
        <w:t>-1</w:t>
      </w:r>
      <w:r w:rsidRPr="0081440B">
        <w:rPr>
          <w:spacing w:val="-2"/>
        </w:rPr>
        <w:t xml:space="preserve"> U) or one of six U concentrations in 150 µM aspartic acid medium for 96 h at 28 </w:t>
      </w:r>
      <w:r w:rsidRPr="0081440B">
        <w:rPr>
          <w:rFonts w:cs="Times"/>
          <w:spacing w:val="-2"/>
        </w:rPr>
        <w:t>± 1</w:t>
      </w:r>
      <w:r w:rsidRPr="0081440B">
        <w:rPr>
          <w:spacing w:val="-2"/>
        </w:rPr>
        <w:sym w:font="Symbol" w:char="F0B0"/>
      </w:r>
      <w:r w:rsidRPr="0081440B">
        <w:rPr>
          <w:spacing w:val="-2"/>
        </w:rPr>
        <w:t xml:space="preserve">C. Tests were conducted using exponentially growing cells from a 4-day old culture (density ~3 </w:t>
      </w:r>
      <w:r w:rsidRPr="0081440B">
        <w:rPr>
          <w:spacing w:val="-2"/>
        </w:rPr>
        <w:sym w:font="Symbol" w:char="F0B4"/>
      </w:r>
      <w:r w:rsidRPr="0081440B">
        <w:rPr>
          <w:spacing w:val="-2"/>
        </w:rPr>
        <w:t xml:space="preserve"> 10</w:t>
      </w:r>
      <w:r w:rsidRPr="0081440B">
        <w:rPr>
          <w:snapToGrid w:val="0"/>
          <w:color w:val="000000"/>
          <w:spacing w:val="-2"/>
          <w:position w:val="5"/>
          <w:sz w:val="15"/>
          <w:szCs w:val="0"/>
          <w:u w:color="000000"/>
        </w:rPr>
        <w:t>5</w:t>
      </w:r>
      <w:r w:rsidRPr="0081440B">
        <w:rPr>
          <w:snapToGrid w:val="0"/>
          <w:color w:val="000000"/>
          <w:spacing w:val="-2"/>
          <w:szCs w:val="0"/>
          <w:u w:color="000000"/>
        </w:rPr>
        <w:t xml:space="preserve"> cells mL</w:t>
      </w:r>
      <w:r w:rsidRPr="0081440B">
        <w:rPr>
          <w:spacing w:val="-2"/>
          <w:vertAlign w:val="superscript"/>
        </w:rPr>
        <w:t>-1</w:t>
      </w:r>
      <w:r w:rsidRPr="0081440B">
        <w:rPr>
          <w:spacing w:val="-2"/>
        </w:rPr>
        <w:t xml:space="preserve">). Prior to testing, cells were rinsed twice in aspartic acid medium (pH 6 ± 0.15 and 28 </w:t>
      </w:r>
      <w:r w:rsidRPr="0081440B">
        <w:rPr>
          <w:rFonts w:cs="Times"/>
          <w:spacing w:val="-2"/>
        </w:rPr>
        <w:t>± 1</w:t>
      </w:r>
      <w:r w:rsidRPr="0081440B">
        <w:rPr>
          <w:spacing w:val="-2"/>
        </w:rPr>
        <w:sym w:font="Symbol" w:char="F0B0"/>
      </w:r>
      <w:r w:rsidRPr="0081440B">
        <w:rPr>
          <w:spacing w:val="-2"/>
        </w:rPr>
        <w:t xml:space="preserve">C) and concentrated using centrifugation (780 </w:t>
      </w:r>
      <w:r w:rsidRPr="0081440B">
        <w:rPr>
          <w:i/>
          <w:spacing w:val="-2"/>
        </w:rPr>
        <w:t>g</w:t>
      </w:r>
      <w:r w:rsidRPr="0081440B">
        <w:rPr>
          <w:spacing w:val="-2"/>
        </w:rPr>
        <w:t xml:space="preserve"> for 1 minute) in order to remove the nutrient-enriched KH culture medium. Growth of </w:t>
      </w:r>
      <w:r w:rsidRPr="0081440B">
        <w:rPr>
          <w:i/>
          <w:spacing w:val="-2"/>
        </w:rPr>
        <w:t>E. gracilis</w:t>
      </w:r>
      <w:r w:rsidRPr="0081440B">
        <w:rPr>
          <w:spacing w:val="-2"/>
        </w:rPr>
        <w:t xml:space="preserve"> was measured by counting cells at 48 h and 96 h using a compound microscope (160× mag) and calculating the cell division rate (growth rate – doublings d</w:t>
      </w:r>
      <w:r w:rsidRPr="0081440B">
        <w:rPr>
          <w:snapToGrid w:val="0"/>
          <w:color w:val="000000"/>
          <w:spacing w:val="-2"/>
          <w:position w:val="6"/>
          <w:sz w:val="16"/>
          <w:szCs w:val="0"/>
          <w:u w:color="000000"/>
        </w:rPr>
        <w:t>-1</w:t>
      </w:r>
      <w:r w:rsidRPr="0081440B">
        <w:rPr>
          <w:spacing w:val="-2"/>
        </w:rPr>
        <w:t xml:space="preserve">) using linear regression analysis. Growth rates of </w:t>
      </w:r>
      <w:r w:rsidRPr="0081440B">
        <w:rPr>
          <w:i/>
          <w:spacing w:val="-2"/>
        </w:rPr>
        <w:t>E. gracilis</w:t>
      </w:r>
      <w:r w:rsidRPr="0081440B">
        <w:rPr>
          <w:spacing w:val="-2"/>
        </w:rPr>
        <w:t xml:space="preserve"> exposed to U were expressed as a percentage of the control growth rate. A test was considered valid if the cell division rate in controls was 0.4 </w:t>
      </w:r>
      <w:r w:rsidRPr="0081440B">
        <w:rPr>
          <w:spacing w:val="-2"/>
        </w:rPr>
        <w:sym w:font="Symbol" w:char="F0B1"/>
      </w:r>
      <w:r w:rsidRPr="0081440B">
        <w:rPr>
          <w:spacing w:val="-2"/>
        </w:rPr>
        <w:t xml:space="preserve"> 0.2 doublings d</w:t>
      </w:r>
      <w:r w:rsidRPr="0081440B">
        <w:rPr>
          <w:snapToGrid w:val="0"/>
          <w:color w:val="000000"/>
          <w:spacing w:val="-2"/>
          <w:position w:val="6"/>
          <w:sz w:val="16"/>
          <w:szCs w:val="0"/>
          <w:u w:color="000000"/>
        </w:rPr>
        <w:t>-1</w:t>
      </w:r>
      <w:r w:rsidRPr="0081440B">
        <w:rPr>
          <w:spacing w:val="-2"/>
        </w:rPr>
        <w:t>, with CV of less than 20%.</w:t>
      </w:r>
    </w:p>
    <w:p w:rsidR="00D85FAC" w:rsidRDefault="00D85FAC" w:rsidP="00D85FAC">
      <w:pPr>
        <w:rPr>
          <w:u w:color="000000"/>
        </w:rPr>
      </w:pPr>
      <w:r w:rsidRPr="00542740">
        <w:rPr>
          <w:i/>
          <w:u w:color="000000"/>
        </w:rPr>
        <w:t>Euglena</w:t>
      </w:r>
      <w:r>
        <w:rPr>
          <w:i/>
          <w:u w:color="000000"/>
        </w:rPr>
        <w:t xml:space="preserve"> gracilis</w:t>
      </w:r>
      <w:r>
        <w:rPr>
          <w:u w:color="000000"/>
        </w:rPr>
        <w:t xml:space="preserve"> was tested on three separate occasions at a range of U concentrations in the unmodified test medium, and then on two separate occasions in medium containing</w:t>
      </w:r>
      <w:r>
        <w:rPr>
          <w:vertAlign w:val="superscript"/>
        </w:rPr>
        <w:t xml:space="preserve"> </w:t>
      </w:r>
      <w:r>
        <w:rPr>
          <w:u w:color="000000"/>
        </w:rPr>
        <w:t xml:space="preserve">20 </w:t>
      </w:r>
      <w:r>
        <w:t>mg L</w:t>
      </w:r>
      <w:r w:rsidRPr="00C252D5">
        <w:rPr>
          <w:vertAlign w:val="superscript"/>
        </w:rPr>
        <w:t>-1</w:t>
      </w:r>
      <w:r>
        <w:rPr>
          <w:vertAlign w:val="superscript"/>
        </w:rPr>
        <w:t xml:space="preserve"> </w:t>
      </w:r>
      <w:r>
        <w:rPr>
          <w:u w:color="000000"/>
        </w:rPr>
        <w:t>DOC (as Suwannee River Fulvic Acid). Uranium</w:t>
      </w:r>
      <w:r w:rsidRPr="00945775">
        <w:rPr>
          <w:u w:color="000000"/>
        </w:rPr>
        <w:t xml:space="preserve"> concentration ranges</w:t>
      </w:r>
      <w:r>
        <w:rPr>
          <w:u w:color="000000"/>
        </w:rPr>
        <w:t xml:space="preserve"> of up to 7 </w:t>
      </w:r>
      <w:r>
        <w:t>mg L</w:t>
      </w:r>
      <w:r w:rsidRPr="00C252D5">
        <w:rPr>
          <w:vertAlign w:val="superscript"/>
        </w:rPr>
        <w:t>-</w:t>
      </w:r>
      <w:proofErr w:type="gramStart"/>
      <w:r w:rsidRPr="00C252D5">
        <w:rPr>
          <w:vertAlign w:val="superscript"/>
        </w:rPr>
        <w:t>1</w:t>
      </w:r>
      <w:r>
        <w:rPr>
          <w:vertAlign w:val="superscript"/>
        </w:rPr>
        <w:t xml:space="preserve"> </w:t>
      </w:r>
      <w:r>
        <w:rPr>
          <w:u w:color="000000"/>
        </w:rPr>
        <w:t xml:space="preserve"> </w:t>
      </w:r>
      <w:r w:rsidRPr="00945775">
        <w:rPr>
          <w:u w:color="000000"/>
        </w:rPr>
        <w:t>were</w:t>
      </w:r>
      <w:proofErr w:type="gramEnd"/>
      <w:r w:rsidRPr="00945775">
        <w:rPr>
          <w:u w:color="000000"/>
        </w:rPr>
        <w:t xml:space="preserve"> selected in order to obtain a full toxic response for </w:t>
      </w:r>
      <w:r w:rsidRPr="00542740">
        <w:rPr>
          <w:i/>
          <w:u w:color="000000"/>
        </w:rPr>
        <w:t>E. gracilis</w:t>
      </w:r>
      <w:r>
        <w:rPr>
          <w:u w:color="000000"/>
        </w:rPr>
        <w:t xml:space="preserve">. Uranium adsorbed to/taken up by </w:t>
      </w:r>
      <w:r w:rsidRPr="007A6B74">
        <w:rPr>
          <w:i/>
          <w:u w:color="000000"/>
        </w:rPr>
        <w:t>E. gracilis</w:t>
      </w:r>
      <w:r>
        <w:rPr>
          <w:u w:color="000000"/>
        </w:rPr>
        <w:t xml:space="preserve"> was measured in each medium at 24, 48 and 96 h. </w:t>
      </w:r>
      <w:r w:rsidRPr="00E16718">
        <w:rPr>
          <w:u w:color="000000"/>
        </w:rPr>
        <w:t>The difference in the response of growth rate to U between the unmodified medium and medium containing additional DOC was analysed using an ANCOVA (α = 0.05; Minitab 16.0).</w:t>
      </w:r>
    </w:p>
    <w:p w:rsidR="00D85FAC" w:rsidRDefault="00D85FAC" w:rsidP="00D85FAC">
      <w:pPr>
        <w:pStyle w:val="Heading3"/>
      </w:pPr>
      <w:bookmarkStart w:id="181" w:name="_Toc313523464"/>
      <w:bookmarkStart w:id="182" w:name="_Toc316985307"/>
      <w:r w:rsidRPr="003E1ED0">
        <w:t>Detection of reactive oxygen species</w:t>
      </w:r>
      <w:bookmarkEnd w:id="181"/>
      <w:bookmarkEnd w:id="182"/>
    </w:p>
    <w:p w:rsidR="00D85FAC" w:rsidRDefault="00D85FAC" w:rsidP="00D85FAC">
      <w:r w:rsidRPr="00F62202">
        <w:t xml:space="preserve">On two separate occasions, following exposure to U for 96 h, controls and various U treatments were selected to assess </w:t>
      </w:r>
      <w:r w:rsidRPr="0040599C">
        <w:rPr>
          <w:i/>
        </w:rPr>
        <w:t>E. gracilis</w:t>
      </w:r>
      <w:r w:rsidRPr="00F62202">
        <w:t xml:space="preserve"> for oxidative stress. Dihydrofluorescein diacetate (HFLU</w:t>
      </w:r>
      <w:r>
        <w:t>OR-DA also known as CM-H2DCFDA</w:t>
      </w:r>
      <w:r w:rsidRPr="00F62202">
        <w:t xml:space="preserve">) was used as the probe for detecting the presence of intracellular oxidants. The method used to detect ROS was adapted from manufacturer guidelines (Invitrogen 2006) and previous work (Watanabe &amp; Suzuki 2002; Periyakaruppan </w:t>
      </w:r>
      <w:r>
        <w:t>et al</w:t>
      </w:r>
      <w:r w:rsidRPr="00F62202">
        <w:t xml:space="preserve"> 2007). Briefly, </w:t>
      </w:r>
      <w:r w:rsidRPr="00911FF5">
        <w:rPr>
          <w:i/>
        </w:rPr>
        <w:t>E. gracilis</w:t>
      </w:r>
      <w:r w:rsidRPr="00F62202">
        <w:t xml:space="preserve"> cell</w:t>
      </w:r>
      <w:r>
        <w:t>s were exposed to the probe for 1 h at</w:t>
      </w:r>
      <w:r w:rsidRPr="00F62202">
        <w:t xml:space="preserve"> ~28</w:t>
      </w:r>
      <w:r w:rsidRPr="00F62202">
        <w:sym w:font="Symbol" w:char="F0B0"/>
      </w:r>
      <w:r w:rsidRPr="00F62202">
        <w:t xml:space="preserve">C in the dark. A positive control </w:t>
      </w:r>
      <w:r>
        <w:t>(consisting of organisms pre-exposed to 0.1 mM H</w:t>
      </w:r>
      <w:r w:rsidRPr="001D75BD">
        <w:rPr>
          <w:vertAlign w:val="subscript"/>
        </w:rPr>
        <w:t>2</w:t>
      </w:r>
      <w:r>
        <w:t>O</w:t>
      </w:r>
      <w:r w:rsidRPr="001D75BD">
        <w:rPr>
          <w:vertAlign w:val="subscript"/>
        </w:rPr>
        <w:t>2</w:t>
      </w:r>
      <w:r>
        <w:t xml:space="preserve">) </w:t>
      </w:r>
      <w:r w:rsidRPr="00F62202">
        <w:t>confirm</w:t>
      </w:r>
      <w:r>
        <w:t>ed</w:t>
      </w:r>
      <w:r w:rsidRPr="00F62202">
        <w:t xml:space="preserve"> the CM-H2DCFDA was effective in detecting ROS in </w:t>
      </w:r>
      <w:r w:rsidRPr="00911FF5">
        <w:rPr>
          <w:i/>
        </w:rPr>
        <w:t>E. gracilis</w:t>
      </w:r>
      <w:r w:rsidRPr="00F62202">
        <w:t xml:space="preserve">. </w:t>
      </w:r>
      <w:r>
        <w:t>A Leica Letiz Laborlux S fluorescence microscope with an I2 filter cube (450-490 nm excitation wavelength and 505 nm emission) was used to observe the fluorescence of the fluorescein dye. Photographic images were captured with a Canon Powershot S70 camera.</w:t>
      </w:r>
    </w:p>
    <w:p w:rsidR="00D85FAC" w:rsidRPr="001A66AD" w:rsidRDefault="00D85FAC" w:rsidP="00D85FAC">
      <w:pPr>
        <w:pStyle w:val="tablecaption"/>
      </w:pPr>
      <w:r w:rsidRPr="00E620B0">
        <w:rPr>
          <w:b/>
        </w:rPr>
        <w:t xml:space="preserve">Table </w:t>
      </w:r>
      <w:proofErr w:type="gramStart"/>
      <w:r>
        <w:rPr>
          <w:b/>
        </w:rPr>
        <w:t xml:space="preserve">1  </w:t>
      </w:r>
      <w:r w:rsidRPr="00E620B0">
        <w:t>Various</w:t>
      </w:r>
      <w:proofErr w:type="gramEnd"/>
      <w:r w:rsidRPr="00E620B0">
        <w:t xml:space="preserve"> test media trialled for 96 h </w:t>
      </w:r>
      <w:r>
        <w:t xml:space="preserve">uranium </w:t>
      </w:r>
      <w:r w:rsidRPr="00E620B0">
        <w:t xml:space="preserve">exposures with </w:t>
      </w:r>
      <w:r w:rsidRPr="00E620B0">
        <w:rPr>
          <w:i/>
        </w:rPr>
        <w:t>Euglena gracilis</w:t>
      </w:r>
      <w:r>
        <w:t xml:space="preserve"> at pH 6</w:t>
      </w:r>
    </w:p>
    <w:tbl>
      <w:tblPr>
        <w:tblW w:w="8472" w:type="dxa"/>
        <w:tblLook w:val="0000"/>
      </w:tblPr>
      <w:tblGrid>
        <w:gridCol w:w="1951"/>
        <w:gridCol w:w="1276"/>
        <w:gridCol w:w="1417"/>
        <w:gridCol w:w="1560"/>
        <w:gridCol w:w="2268"/>
      </w:tblGrid>
      <w:tr w:rsidR="00D85FAC" w:rsidRPr="00E620B0" w:rsidTr="00D85FAC">
        <w:tc>
          <w:tcPr>
            <w:tcW w:w="1951" w:type="dxa"/>
            <w:tcBorders>
              <w:top w:val="single" w:sz="4" w:space="0" w:color="auto"/>
              <w:bottom w:val="single" w:sz="4" w:space="0" w:color="auto"/>
            </w:tcBorders>
          </w:tcPr>
          <w:p w:rsidR="00D85FAC" w:rsidRPr="00255068" w:rsidRDefault="00D85FAC" w:rsidP="00D85FAC">
            <w:pPr>
              <w:pStyle w:val="table1"/>
              <w:rPr>
                <w:b/>
                <w:lang w:val="en-US"/>
              </w:rPr>
            </w:pPr>
            <w:r w:rsidRPr="00255068">
              <w:rPr>
                <w:b/>
                <w:lang w:val="en-US"/>
              </w:rPr>
              <w:t>Medium</w:t>
            </w:r>
          </w:p>
        </w:tc>
        <w:tc>
          <w:tcPr>
            <w:tcW w:w="1276" w:type="dxa"/>
            <w:tcBorders>
              <w:top w:val="single" w:sz="4" w:space="0" w:color="auto"/>
              <w:bottom w:val="single" w:sz="4" w:space="0" w:color="auto"/>
            </w:tcBorders>
          </w:tcPr>
          <w:p w:rsidR="00D85FAC" w:rsidRPr="00255068" w:rsidRDefault="00D85FAC" w:rsidP="00D85FAC">
            <w:pPr>
              <w:pStyle w:val="table1"/>
              <w:rPr>
                <w:b/>
                <w:lang w:val="en-US"/>
              </w:rPr>
            </w:pPr>
            <w:r w:rsidRPr="00255068">
              <w:rPr>
                <w:b/>
                <w:lang w:val="en-US"/>
              </w:rPr>
              <w:t>1.5% KH</w:t>
            </w:r>
            <w:r w:rsidRPr="00255068">
              <w:rPr>
                <w:rFonts w:ascii="Times New (W1)" w:hAnsi="Times New (W1)"/>
                <w:b/>
                <w:vertAlign w:val="superscript"/>
                <w:lang w:val="en-US"/>
              </w:rPr>
              <w:t>a</w:t>
            </w:r>
          </w:p>
        </w:tc>
        <w:tc>
          <w:tcPr>
            <w:tcW w:w="1417" w:type="dxa"/>
            <w:tcBorders>
              <w:top w:val="single" w:sz="4" w:space="0" w:color="auto"/>
              <w:bottom w:val="single" w:sz="4" w:space="0" w:color="auto"/>
            </w:tcBorders>
          </w:tcPr>
          <w:p w:rsidR="00D85FAC" w:rsidRPr="00255068" w:rsidRDefault="00D85FAC" w:rsidP="00D85FAC">
            <w:pPr>
              <w:pStyle w:val="table1"/>
              <w:rPr>
                <w:b/>
                <w:lang w:val="en-US"/>
              </w:rPr>
            </w:pPr>
            <w:r w:rsidRPr="00255068">
              <w:rPr>
                <w:b/>
                <w:lang w:val="en-US"/>
              </w:rPr>
              <w:t>0.5% KH</w:t>
            </w:r>
            <w:r w:rsidRPr="00255068">
              <w:rPr>
                <w:rFonts w:ascii="Times New (W1)" w:hAnsi="Times New (W1)"/>
                <w:b/>
                <w:vertAlign w:val="superscript"/>
                <w:lang w:val="en-US"/>
              </w:rPr>
              <w:t>a</w:t>
            </w:r>
          </w:p>
        </w:tc>
        <w:tc>
          <w:tcPr>
            <w:tcW w:w="1560" w:type="dxa"/>
            <w:tcBorders>
              <w:top w:val="single" w:sz="4" w:space="0" w:color="auto"/>
              <w:bottom w:val="single" w:sz="4" w:space="0" w:color="auto"/>
            </w:tcBorders>
          </w:tcPr>
          <w:p w:rsidR="00D85FAC" w:rsidRPr="00255068" w:rsidRDefault="00D85FAC" w:rsidP="00D85FAC">
            <w:pPr>
              <w:pStyle w:val="table1"/>
              <w:rPr>
                <w:b/>
                <w:lang w:val="en-US"/>
              </w:rPr>
            </w:pPr>
            <w:r w:rsidRPr="00255068">
              <w:rPr>
                <w:b/>
                <w:lang w:val="en-US"/>
              </w:rPr>
              <w:t xml:space="preserve">333 </w:t>
            </w:r>
            <w:r w:rsidRPr="00255068">
              <w:rPr>
                <w:b/>
                <w:lang w:val="en-US"/>
              </w:rPr>
              <w:sym w:font="Symbol" w:char="F06D"/>
            </w:r>
            <w:r w:rsidRPr="00255068">
              <w:rPr>
                <w:b/>
                <w:lang w:val="en-US"/>
              </w:rPr>
              <w:t>M Glucose</w:t>
            </w:r>
            <w:r w:rsidRPr="00255068">
              <w:rPr>
                <w:rFonts w:ascii="Times New (W1)" w:hAnsi="Times New (W1)"/>
                <w:b/>
                <w:vertAlign w:val="superscript"/>
                <w:lang w:val="en-US"/>
              </w:rPr>
              <w:t>b</w:t>
            </w:r>
          </w:p>
        </w:tc>
        <w:tc>
          <w:tcPr>
            <w:tcW w:w="2268" w:type="dxa"/>
            <w:tcBorders>
              <w:top w:val="single" w:sz="4" w:space="0" w:color="auto"/>
              <w:bottom w:val="single" w:sz="4" w:space="0" w:color="auto"/>
            </w:tcBorders>
          </w:tcPr>
          <w:p w:rsidR="00D85FAC" w:rsidRPr="00255068" w:rsidRDefault="00D85FAC" w:rsidP="00D85FAC">
            <w:pPr>
              <w:pStyle w:val="table1"/>
              <w:rPr>
                <w:b/>
                <w:lang w:val="en-US"/>
              </w:rPr>
            </w:pPr>
            <w:r w:rsidRPr="00255068">
              <w:rPr>
                <w:b/>
                <w:lang w:val="en-US"/>
              </w:rPr>
              <w:t xml:space="preserve">150 </w:t>
            </w:r>
            <w:r w:rsidRPr="00255068">
              <w:rPr>
                <w:b/>
                <w:lang w:val="en-US"/>
              </w:rPr>
              <w:sym w:font="Symbol" w:char="F06D"/>
            </w:r>
            <w:r w:rsidRPr="00255068">
              <w:rPr>
                <w:b/>
                <w:lang w:val="en-US"/>
              </w:rPr>
              <w:t>M Aspartic acid</w:t>
            </w:r>
            <w:r w:rsidRPr="00255068">
              <w:rPr>
                <w:rFonts w:ascii="Times New (W1)" w:hAnsi="Times New (W1)"/>
                <w:b/>
                <w:vertAlign w:val="superscript"/>
                <w:lang w:val="en-US"/>
              </w:rPr>
              <w:t>c</w:t>
            </w:r>
          </w:p>
        </w:tc>
      </w:tr>
      <w:tr w:rsidR="00D85FAC" w:rsidTr="00D85FAC">
        <w:tc>
          <w:tcPr>
            <w:tcW w:w="1951" w:type="dxa"/>
            <w:tcBorders>
              <w:top w:val="single" w:sz="4" w:space="0" w:color="auto"/>
            </w:tcBorders>
          </w:tcPr>
          <w:p w:rsidR="00D85FAC" w:rsidRPr="00974166" w:rsidRDefault="00D85FAC" w:rsidP="00D85FAC">
            <w:pPr>
              <w:pStyle w:val="table1"/>
              <w:rPr>
                <w:lang w:val="en-US"/>
              </w:rPr>
            </w:pPr>
            <w:r w:rsidRPr="00974166">
              <w:rPr>
                <w:lang w:val="en-US"/>
              </w:rPr>
              <w:t>DOC (mg L</w:t>
            </w:r>
            <w:r w:rsidRPr="00974166">
              <w:rPr>
                <w:rFonts w:ascii="Times New (W1)" w:hAnsi="Times New (W1)"/>
                <w:vertAlign w:val="superscript"/>
                <w:lang w:val="en-US"/>
              </w:rPr>
              <w:t>-1</w:t>
            </w:r>
            <w:r w:rsidRPr="00974166">
              <w:rPr>
                <w:lang w:val="en-US"/>
              </w:rPr>
              <w:t>)</w:t>
            </w:r>
            <w:r w:rsidRPr="00974166">
              <w:rPr>
                <w:rFonts w:ascii="Times New (W1)" w:hAnsi="Times New (W1)"/>
                <w:vertAlign w:val="superscript"/>
                <w:lang w:val="en-US"/>
              </w:rPr>
              <w:t>d</w:t>
            </w:r>
          </w:p>
        </w:tc>
        <w:tc>
          <w:tcPr>
            <w:tcW w:w="1276" w:type="dxa"/>
            <w:tcBorders>
              <w:top w:val="single" w:sz="4" w:space="0" w:color="auto"/>
            </w:tcBorders>
          </w:tcPr>
          <w:p w:rsidR="00D85FAC" w:rsidRPr="00974166" w:rsidRDefault="00D85FAC" w:rsidP="00D85FAC">
            <w:pPr>
              <w:pStyle w:val="table1"/>
              <w:rPr>
                <w:lang w:val="en-US"/>
              </w:rPr>
            </w:pPr>
            <w:r w:rsidRPr="00974166">
              <w:rPr>
                <w:lang w:val="en-US"/>
              </w:rPr>
              <w:t>150</w:t>
            </w:r>
          </w:p>
        </w:tc>
        <w:tc>
          <w:tcPr>
            <w:tcW w:w="1417" w:type="dxa"/>
            <w:tcBorders>
              <w:top w:val="single" w:sz="4" w:space="0" w:color="auto"/>
            </w:tcBorders>
          </w:tcPr>
          <w:p w:rsidR="00D85FAC" w:rsidRPr="00974166" w:rsidRDefault="00D85FAC" w:rsidP="00D85FAC">
            <w:pPr>
              <w:pStyle w:val="table1"/>
              <w:rPr>
                <w:lang w:val="en-US"/>
              </w:rPr>
            </w:pPr>
            <w:r w:rsidRPr="00974166">
              <w:rPr>
                <w:lang w:val="en-US"/>
              </w:rPr>
              <w:t>55</w:t>
            </w:r>
          </w:p>
        </w:tc>
        <w:tc>
          <w:tcPr>
            <w:tcW w:w="1560" w:type="dxa"/>
            <w:tcBorders>
              <w:top w:val="single" w:sz="4" w:space="0" w:color="auto"/>
            </w:tcBorders>
          </w:tcPr>
          <w:p w:rsidR="00D85FAC" w:rsidRPr="00974166" w:rsidRDefault="00D85FAC" w:rsidP="00D85FAC">
            <w:pPr>
              <w:pStyle w:val="table1"/>
              <w:rPr>
                <w:lang w:val="en-US"/>
              </w:rPr>
            </w:pPr>
            <w:r w:rsidRPr="00974166">
              <w:rPr>
                <w:lang w:val="en-US"/>
              </w:rPr>
              <w:t>60</w:t>
            </w:r>
          </w:p>
        </w:tc>
        <w:tc>
          <w:tcPr>
            <w:tcW w:w="2268" w:type="dxa"/>
            <w:tcBorders>
              <w:top w:val="single" w:sz="4" w:space="0" w:color="auto"/>
            </w:tcBorders>
          </w:tcPr>
          <w:p w:rsidR="00D85FAC" w:rsidRPr="00974166" w:rsidRDefault="00D85FAC" w:rsidP="00D85FAC">
            <w:pPr>
              <w:pStyle w:val="table1"/>
              <w:rPr>
                <w:lang w:val="en-US"/>
              </w:rPr>
            </w:pPr>
            <w:r w:rsidRPr="00974166">
              <w:rPr>
                <w:lang w:val="en-US"/>
              </w:rPr>
              <w:t>10</w:t>
            </w:r>
          </w:p>
        </w:tc>
      </w:tr>
      <w:tr w:rsidR="00D85FAC" w:rsidTr="00D85FAC">
        <w:tc>
          <w:tcPr>
            <w:tcW w:w="1951" w:type="dxa"/>
          </w:tcPr>
          <w:p w:rsidR="00D85FAC" w:rsidRPr="00974166" w:rsidRDefault="00D85FAC" w:rsidP="00D85FAC">
            <w:pPr>
              <w:pStyle w:val="table1"/>
              <w:rPr>
                <w:lang w:val="en-US"/>
              </w:rPr>
            </w:pPr>
            <w:r w:rsidRPr="00974166">
              <w:rPr>
                <w:lang w:val="en-US"/>
              </w:rPr>
              <w:t>IC</w:t>
            </w:r>
            <w:r w:rsidRPr="00974166">
              <w:rPr>
                <w:rFonts w:ascii="Times New (W1)" w:hAnsi="Times New (W1)"/>
                <w:vertAlign w:val="subscript"/>
                <w:lang w:val="en-US"/>
              </w:rPr>
              <w:t>50</w:t>
            </w:r>
            <w:r w:rsidRPr="00974166">
              <w:rPr>
                <w:lang w:val="en-US"/>
              </w:rPr>
              <w:t xml:space="preserve"> (µg L</w:t>
            </w:r>
            <w:r w:rsidRPr="00974166">
              <w:rPr>
                <w:rFonts w:ascii="Times New (W1)" w:hAnsi="Times New (W1)"/>
                <w:vertAlign w:val="superscript"/>
                <w:lang w:val="en-US"/>
              </w:rPr>
              <w:t>-1</w:t>
            </w:r>
            <w:r w:rsidRPr="00974166">
              <w:rPr>
                <w:rFonts w:ascii="Times New (W1)" w:hAnsi="Times New (W1)"/>
                <w:lang w:val="en-US"/>
              </w:rPr>
              <w:t xml:space="preserve"> U</w:t>
            </w:r>
            <w:r w:rsidRPr="00974166">
              <w:rPr>
                <w:lang w:val="en-US"/>
              </w:rPr>
              <w:t>)</w:t>
            </w:r>
            <w:r w:rsidRPr="00974166">
              <w:rPr>
                <w:rFonts w:ascii="Times New (W1)" w:hAnsi="Times New (W1)"/>
                <w:vertAlign w:val="superscript"/>
                <w:lang w:val="en-US"/>
              </w:rPr>
              <w:t>e</w:t>
            </w:r>
          </w:p>
        </w:tc>
        <w:tc>
          <w:tcPr>
            <w:tcW w:w="1276" w:type="dxa"/>
          </w:tcPr>
          <w:p w:rsidR="00D85FAC" w:rsidRPr="00974166" w:rsidRDefault="00D85FAC" w:rsidP="00D85FAC">
            <w:pPr>
              <w:pStyle w:val="table1"/>
              <w:rPr>
                <w:lang w:val="en-US"/>
              </w:rPr>
            </w:pPr>
            <w:r w:rsidRPr="00974166">
              <w:rPr>
                <w:lang w:val="en-US"/>
              </w:rPr>
              <w:t>8900</w:t>
            </w:r>
          </w:p>
        </w:tc>
        <w:tc>
          <w:tcPr>
            <w:tcW w:w="1417" w:type="dxa"/>
          </w:tcPr>
          <w:p w:rsidR="00D85FAC" w:rsidRPr="00974166" w:rsidRDefault="00D85FAC" w:rsidP="00D85FAC">
            <w:pPr>
              <w:pStyle w:val="table1"/>
              <w:rPr>
                <w:lang w:val="en-US"/>
              </w:rPr>
            </w:pPr>
            <w:r w:rsidRPr="00974166">
              <w:rPr>
                <w:lang w:val="en-US"/>
              </w:rPr>
              <w:t>3500</w:t>
            </w:r>
          </w:p>
        </w:tc>
        <w:tc>
          <w:tcPr>
            <w:tcW w:w="1560" w:type="dxa"/>
          </w:tcPr>
          <w:p w:rsidR="00D85FAC" w:rsidRPr="00974166" w:rsidRDefault="00D85FAC" w:rsidP="00D85FAC">
            <w:pPr>
              <w:pStyle w:val="table1"/>
              <w:rPr>
                <w:lang w:val="en-US"/>
              </w:rPr>
            </w:pPr>
            <w:r w:rsidRPr="00974166">
              <w:rPr>
                <w:lang w:val="en-US"/>
              </w:rPr>
              <w:t>&gt;4000</w:t>
            </w:r>
          </w:p>
        </w:tc>
        <w:tc>
          <w:tcPr>
            <w:tcW w:w="2268" w:type="dxa"/>
          </w:tcPr>
          <w:p w:rsidR="00D85FAC" w:rsidRPr="00974166" w:rsidRDefault="00D85FAC" w:rsidP="00D85FAC">
            <w:pPr>
              <w:pStyle w:val="table1"/>
              <w:rPr>
                <w:lang w:val="en-US"/>
              </w:rPr>
            </w:pPr>
            <w:r w:rsidRPr="00974166">
              <w:rPr>
                <w:lang w:val="en-US"/>
              </w:rPr>
              <w:t>300</w:t>
            </w:r>
          </w:p>
        </w:tc>
      </w:tr>
      <w:tr w:rsidR="00D85FAC" w:rsidTr="00D85FAC">
        <w:tc>
          <w:tcPr>
            <w:tcW w:w="1951" w:type="dxa"/>
            <w:tcBorders>
              <w:bottom w:val="single" w:sz="4" w:space="0" w:color="auto"/>
            </w:tcBorders>
          </w:tcPr>
          <w:p w:rsidR="00D85FAC" w:rsidRPr="00974166" w:rsidRDefault="00D85FAC" w:rsidP="00D85FAC">
            <w:pPr>
              <w:pStyle w:val="table1"/>
              <w:rPr>
                <w:lang w:val="en-US"/>
              </w:rPr>
            </w:pPr>
            <w:r w:rsidRPr="00974166">
              <w:rPr>
                <w:lang w:val="en-US"/>
              </w:rPr>
              <w:t>Control doublings d</w:t>
            </w:r>
            <w:r w:rsidRPr="00974166">
              <w:rPr>
                <w:rFonts w:ascii="Times New (W1)" w:hAnsi="Times New (W1)"/>
                <w:vertAlign w:val="superscript"/>
                <w:lang w:val="en-US"/>
              </w:rPr>
              <w:t xml:space="preserve">-1 </w:t>
            </w:r>
            <w:r>
              <w:rPr>
                <w:rFonts w:ascii="Times New (W1)" w:hAnsi="Times New (W1)"/>
                <w:vertAlign w:val="superscript"/>
                <w:lang w:val="en-US"/>
              </w:rPr>
              <w:t>f</w:t>
            </w:r>
          </w:p>
        </w:tc>
        <w:tc>
          <w:tcPr>
            <w:tcW w:w="1276" w:type="dxa"/>
            <w:tcBorders>
              <w:bottom w:val="single" w:sz="4" w:space="0" w:color="auto"/>
            </w:tcBorders>
          </w:tcPr>
          <w:p w:rsidR="00D85FAC" w:rsidRPr="00974166" w:rsidRDefault="00D85FAC" w:rsidP="00D85FAC">
            <w:pPr>
              <w:pStyle w:val="table1"/>
              <w:rPr>
                <w:lang w:val="en-US"/>
              </w:rPr>
            </w:pPr>
            <w:r w:rsidRPr="00974166">
              <w:rPr>
                <w:lang w:val="en-US"/>
              </w:rPr>
              <w:t>1.</w:t>
            </w:r>
            <w:r>
              <w:rPr>
                <w:lang w:val="en-US"/>
              </w:rPr>
              <w:t>2</w:t>
            </w:r>
            <w:r w:rsidRPr="00974166">
              <w:rPr>
                <w:lang w:val="en-US"/>
              </w:rPr>
              <w:t xml:space="preserve"> (1.1-1.</w:t>
            </w:r>
            <w:r>
              <w:rPr>
                <w:lang w:val="en-US"/>
              </w:rPr>
              <w:t>3</w:t>
            </w:r>
            <w:r w:rsidRPr="00974166">
              <w:rPr>
                <w:lang w:val="en-US"/>
              </w:rPr>
              <w:t>)</w:t>
            </w:r>
          </w:p>
        </w:tc>
        <w:tc>
          <w:tcPr>
            <w:tcW w:w="1417" w:type="dxa"/>
            <w:tcBorders>
              <w:bottom w:val="single" w:sz="4" w:space="0" w:color="auto"/>
            </w:tcBorders>
          </w:tcPr>
          <w:p w:rsidR="00D85FAC" w:rsidRPr="00974166" w:rsidRDefault="00D85FAC" w:rsidP="00D85FAC">
            <w:pPr>
              <w:pStyle w:val="table1"/>
              <w:rPr>
                <w:lang w:val="en-US"/>
              </w:rPr>
            </w:pPr>
            <w:r w:rsidRPr="00974166">
              <w:rPr>
                <w:lang w:val="en-US"/>
              </w:rPr>
              <w:t>0.7</w:t>
            </w:r>
            <w:r>
              <w:rPr>
                <w:lang w:val="en-US"/>
              </w:rPr>
              <w:t>0</w:t>
            </w:r>
            <w:r w:rsidRPr="00974166">
              <w:rPr>
                <w:lang w:val="en-US"/>
              </w:rPr>
              <w:t xml:space="preserve"> (</w:t>
            </w:r>
            <w:r>
              <w:rPr>
                <w:lang w:val="en-US"/>
              </w:rPr>
              <w:t>0.60-0.80)</w:t>
            </w:r>
          </w:p>
        </w:tc>
        <w:tc>
          <w:tcPr>
            <w:tcW w:w="1560" w:type="dxa"/>
            <w:tcBorders>
              <w:bottom w:val="single" w:sz="4" w:space="0" w:color="auto"/>
            </w:tcBorders>
          </w:tcPr>
          <w:p w:rsidR="00D85FAC" w:rsidRPr="00974166" w:rsidRDefault="00D85FAC" w:rsidP="00D85FAC">
            <w:pPr>
              <w:pStyle w:val="table1"/>
              <w:rPr>
                <w:lang w:val="en-US"/>
              </w:rPr>
            </w:pPr>
            <w:r>
              <w:rPr>
                <w:lang w:val="en-US"/>
              </w:rPr>
              <w:t>0.60 (0.45-0.70)</w:t>
            </w:r>
          </w:p>
        </w:tc>
        <w:tc>
          <w:tcPr>
            <w:tcW w:w="2268" w:type="dxa"/>
            <w:tcBorders>
              <w:bottom w:val="single" w:sz="4" w:space="0" w:color="auto"/>
            </w:tcBorders>
          </w:tcPr>
          <w:p w:rsidR="00D85FAC" w:rsidRPr="00974166" w:rsidRDefault="00D85FAC" w:rsidP="00D85FAC">
            <w:pPr>
              <w:pStyle w:val="table1"/>
              <w:rPr>
                <w:lang w:val="en-US"/>
              </w:rPr>
            </w:pPr>
            <w:r w:rsidRPr="00974166">
              <w:rPr>
                <w:lang w:val="en-US"/>
              </w:rPr>
              <w:t>0.</w:t>
            </w:r>
            <w:r>
              <w:rPr>
                <w:lang w:val="en-US"/>
              </w:rPr>
              <w:t>55 (0.54-0.56)</w:t>
            </w:r>
          </w:p>
        </w:tc>
      </w:tr>
    </w:tbl>
    <w:p w:rsidR="00D85FAC" w:rsidRPr="00E620B0" w:rsidRDefault="00D85FAC" w:rsidP="00D85FAC">
      <w:pPr>
        <w:pStyle w:val="tablenote"/>
        <w:ind w:left="0" w:firstLine="0"/>
        <w:rPr>
          <w:lang w:val="en-US"/>
        </w:rPr>
      </w:pPr>
      <w:r w:rsidRPr="00E620B0">
        <w:rPr>
          <w:rFonts w:ascii="Times New (W1)" w:hAnsi="Times New (W1)"/>
          <w:vertAlign w:val="superscript"/>
          <w:lang w:val="en-US"/>
        </w:rPr>
        <w:t>a</w:t>
      </w:r>
      <w:r w:rsidRPr="00E620B0">
        <w:rPr>
          <w:lang w:val="en-US"/>
        </w:rPr>
        <w:t xml:space="preserve"> KH: Koren Hutner </w:t>
      </w:r>
      <w:r>
        <w:rPr>
          <w:lang w:val="en-US"/>
        </w:rPr>
        <w:t>medium</w:t>
      </w:r>
      <w:r w:rsidRPr="00E620B0">
        <w:rPr>
          <w:lang w:val="en-US"/>
        </w:rPr>
        <w:t xml:space="preserve"> diluted with milli-Q</w:t>
      </w:r>
      <w:r>
        <w:rPr>
          <w:lang w:val="en-US"/>
        </w:rPr>
        <w:t xml:space="preserve"> and 2.5 mg L</w:t>
      </w:r>
      <w:r w:rsidRPr="007639E5">
        <w:rPr>
          <w:rFonts w:ascii="Times New (W1)" w:hAnsi="Times New (W1)"/>
          <w:vertAlign w:val="superscript"/>
          <w:lang w:val="en-US"/>
        </w:rPr>
        <w:t>-1</w:t>
      </w:r>
      <w:r>
        <w:rPr>
          <w:lang w:val="en-US"/>
        </w:rPr>
        <w:t xml:space="preserve"> Vit B1 and 0.005 mg L</w:t>
      </w:r>
      <w:r w:rsidRPr="007639E5">
        <w:rPr>
          <w:rFonts w:ascii="Times New (W1)" w:hAnsi="Times New (W1)"/>
          <w:vertAlign w:val="superscript"/>
          <w:lang w:val="en-US"/>
        </w:rPr>
        <w:t>-1</w:t>
      </w:r>
      <w:r>
        <w:rPr>
          <w:lang w:val="en-US"/>
        </w:rPr>
        <w:t xml:space="preserve"> Vit B12 added,</w:t>
      </w:r>
      <w:r w:rsidRPr="00E620B0">
        <w:rPr>
          <w:lang w:val="en-US"/>
        </w:rPr>
        <w:t xml:space="preserve"> </w:t>
      </w:r>
      <w:r w:rsidRPr="00B876F5">
        <w:rPr>
          <w:rFonts w:ascii="Times New (W1)" w:hAnsi="Times New (W1)"/>
          <w:vertAlign w:val="superscript"/>
          <w:lang w:val="en-US"/>
        </w:rPr>
        <w:t>b</w:t>
      </w:r>
      <w:r>
        <w:rPr>
          <w:lang w:val="en-US"/>
        </w:rPr>
        <w:t xml:space="preserve"> Medium contained 60 mg L</w:t>
      </w:r>
      <w:r w:rsidRPr="007639E5">
        <w:rPr>
          <w:rFonts w:ascii="Times New (W1)" w:hAnsi="Times New (W1)"/>
          <w:vertAlign w:val="superscript"/>
          <w:lang w:val="en-US"/>
        </w:rPr>
        <w:t>-1</w:t>
      </w:r>
      <w:r>
        <w:rPr>
          <w:lang w:val="en-US"/>
        </w:rPr>
        <w:t xml:space="preserve"> glucose, 10 mg L</w:t>
      </w:r>
      <w:r w:rsidRPr="007639E5">
        <w:rPr>
          <w:rFonts w:ascii="Times New (W1)" w:hAnsi="Times New (W1)"/>
          <w:vertAlign w:val="superscript"/>
          <w:lang w:val="en-US"/>
        </w:rPr>
        <w:t>-1</w:t>
      </w:r>
      <w:r>
        <w:rPr>
          <w:lang w:val="en-US"/>
        </w:rPr>
        <w:t xml:space="preserve"> NH</w:t>
      </w:r>
      <w:r w:rsidRPr="00B876F5">
        <w:rPr>
          <w:rFonts w:ascii="Times New (W1)" w:hAnsi="Times New (W1)"/>
          <w:vertAlign w:val="subscript"/>
          <w:lang w:val="en-US"/>
        </w:rPr>
        <w:t>4</w:t>
      </w:r>
      <w:r>
        <w:rPr>
          <w:lang w:val="en-US"/>
        </w:rPr>
        <w:t>CO</w:t>
      </w:r>
      <w:r w:rsidRPr="00B876F5">
        <w:rPr>
          <w:rFonts w:ascii="Times New (W1)" w:hAnsi="Times New (W1)"/>
          <w:vertAlign w:val="subscript"/>
          <w:lang w:val="en-US"/>
        </w:rPr>
        <w:t>3</w:t>
      </w:r>
      <w:r>
        <w:rPr>
          <w:lang w:val="en-US"/>
        </w:rPr>
        <w:t>, 10 mg L</w:t>
      </w:r>
      <w:r w:rsidRPr="007639E5">
        <w:rPr>
          <w:rFonts w:ascii="Times New (W1)" w:hAnsi="Times New (W1)"/>
          <w:vertAlign w:val="superscript"/>
          <w:lang w:val="en-US"/>
        </w:rPr>
        <w:t>-1</w:t>
      </w:r>
      <w:r>
        <w:rPr>
          <w:rFonts w:ascii="Times New (W1)" w:hAnsi="Times New (W1)"/>
          <w:vertAlign w:val="superscript"/>
          <w:lang w:val="en-US"/>
        </w:rPr>
        <w:t xml:space="preserve"> </w:t>
      </w:r>
      <w:r>
        <w:rPr>
          <w:lang w:val="en-US"/>
        </w:rPr>
        <w:t>KH</w:t>
      </w:r>
      <w:r w:rsidRPr="00B876F5">
        <w:rPr>
          <w:rFonts w:ascii="Times New (W1)" w:hAnsi="Times New (W1)"/>
          <w:vertAlign w:val="subscript"/>
          <w:lang w:val="en-US"/>
        </w:rPr>
        <w:t>2</w:t>
      </w:r>
      <w:r>
        <w:rPr>
          <w:lang w:val="en-US"/>
        </w:rPr>
        <w:t>PO</w:t>
      </w:r>
      <w:r w:rsidRPr="00B876F5">
        <w:rPr>
          <w:rFonts w:ascii="Times New (W1)" w:hAnsi="Times New (W1)"/>
          <w:vertAlign w:val="subscript"/>
          <w:lang w:val="en-US"/>
        </w:rPr>
        <w:t>4</w:t>
      </w:r>
      <w:r>
        <w:rPr>
          <w:rFonts w:ascii="Times New (W1)" w:hAnsi="Times New (W1)"/>
          <w:lang w:val="en-US"/>
        </w:rPr>
        <w:t>,</w:t>
      </w:r>
      <w:r w:rsidRPr="00B876F5">
        <w:rPr>
          <w:lang w:val="en-US"/>
        </w:rPr>
        <w:t xml:space="preserve"> </w:t>
      </w:r>
      <w:r>
        <w:rPr>
          <w:lang w:val="en-US"/>
        </w:rPr>
        <w:t>2.5 mg L</w:t>
      </w:r>
      <w:r w:rsidRPr="007639E5">
        <w:rPr>
          <w:rFonts w:ascii="Times New (W1)" w:hAnsi="Times New (W1)"/>
          <w:vertAlign w:val="superscript"/>
          <w:lang w:val="en-US"/>
        </w:rPr>
        <w:t>-1</w:t>
      </w:r>
      <w:r>
        <w:rPr>
          <w:lang w:val="en-US"/>
        </w:rPr>
        <w:t xml:space="preserve"> Vit B1 and 0.005 mg L</w:t>
      </w:r>
      <w:r w:rsidRPr="007639E5">
        <w:rPr>
          <w:rFonts w:ascii="Times New (W1)" w:hAnsi="Times New (W1)"/>
          <w:vertAlign w:val="superscript"/>
          <w:lang w:val="en-US"/>
        </w:rPr>
        <w:t>-1</w:t>
      </w:r>
      <w:r>
        <w:rPr>
          <w:lang w:val="en-US"/>
        </w:rPr>
        <w:t xml:space="preserve"> Vit B12, </w:t>
      </w:r>
      <w:r w:rsidRPr="00B876F5">
        <w:rPr>
          <w:rFonts w:ascii="Times New (W1)" w:hAnsi="Times New (W1)"/>
          <w:vertAlign w:val="superscript"/>
          <w:lang w:val="en-US"/>
        </w:rPr>
        <w:t>c</w:t>
      </w:r>
      <w:r>
        <w:rPr>
          <w:lang w:val="en-US"/>
        </w:rPr>
        <w:t xml:space="preserve"> Medium ingredients shown in Table 2, </w:t>
      </w:r>
      <w:r>
        <w:rPr>
          <w:rFonts w:ascii="Times New (W1)" w:hAnsi="Times New (W1)"/>
          <w:vertAlign w:val="superscript"/>
          <w:lang w:val="en-US"/>
        </w:rPr>
        <w:t>d</w:t>
      </w:r>
      <w:r w:rsidRPr="00E620B0">
        <w:rPr>
          <w:lang w:val="en-US"/>
        </w:rPr>
        <w:t xml:space="preserve"> DOC: dissolved organic carbon</w:t>
      </w:r>
      <w:r>
        <w:rPr>
          <w:lang w:val="en-US"/>
        </w:rPr>
        <w:t xml:space="preserve"> prior to addition of MES buffer</w:t>
      </w:r>
      <w:r w:rsidRPr="00E620B0">
        <w:rPr>
          <w:lang w:val="en-US"/>
        </w:rPr>
        <w:t xml:space="preserve">, </w:t>
      </w:r>
      <w:r>
        <w:rPr>
          <w:rFonts w:ascii="Times New (W1)" w:hAnsi="Times New (W1)"/>
          <w:vertAlign w:val="superscript"/>
          <w:lang w:val="en-US"/>
        </w:rPr>
        <w:t>e</w:t>
      </w:r>
      <w:r w:rsidRPr="00E620B0">
        <w:rPr>
          <w:lang w:val="en-US"/>
        </w:rPr>
        <w:t xml:space="preserve"> IC</w:t>
      </w:r>
      <w:r w:rsidRPr="000F7577">
        <w:rPr>
          <w:rFonts w:ascii="Times New (W1)" w:hAnsi="Times New (W1)"/>
          <w:vertAlign w:val="subscript"/>
          <w:lang w:val="en-US"/>
        </w:rPr>
        <w:t>50</w:t>
      </w:r>
      <w:r w:rsidRPr="00E620B0">
        <w:rPr>
          <w:lang w:val="en-US"/>
        </w:rPr>
        <w:t>: U concentration at which there was 50% reduction in growth</w:t>
      </w:r>
      <w:r>
        <w:rPr>
          <w:lang w:val="en-US"/>
        </w:rPr>
        <w:t xml:space="preserve"> over 96 h, representing total U unadjusted for adsorption to glass test tubes, </w:t>
      </w:r>
      <w:r>
        <w:rPr>
          <w:rFonts w:ascii="Times New (W1)" w:hAnsi="Times New (W1)"/>
          <w:vertAlign w:val="superscript"/>
          <w:lang w:val="en-US"/>
        </w:rPr>
        <w:t>f</w:t>
      </w:r>
      <w:r w:rsidRPr="0054598D">
        <w:rPr>
          <w:rFonts w:ascii="Times New (W1)" w:hAnsi="Times New (W1)"/>
          <w:vertAlign w:val="superscript"/>
          <w:lang w:val="en-US"/>
        </w:rPr>
        <w:t xml:space="preserve"> </w:t>
      </w:r>
      <w:r>
        <w:rPr>
          <w:lang w:val="en-US"/>
        </w:rPr>
        <w:t xml:space="preserve">Mean (range) 96 h doublings, </w:t>
      </w:r>
      <w:r w:rsidRPr="0054598D">
        <w:rPr>
          <w:i/>
          <w:lang w:val="en-US"/>
        </w:rPr>
        <w:t>n</w:t>
      </w:r>
      <w:r>
        <w:rPr>
          <w:lang w:val="en-US"/>
        </w:rPr>
        <w:t>=2</w:t>
      </w:r>
    </w:p>
    <w:p w:rsidR="00D85FAC" w:rsidRPr="00CC3407" w:rsidRDefault="00D85FAC" w:rsidP="00D85FAC">
      <w:pPr>
        <w:pStyle w:val="Heading2"/>
      </w:pPr>
      <w:bookmarkStart w:id="183" w:name="_Toc313523465"/>
      <w:bookmarkStart w:id="184" w:name="_Toc316985308"/>
      <w:r>
        <w:lastRenderedPageBreak/>
        <w:t>Results</w:t>
      </w:r>
      <w:bookmarkEnd w:id="183"/>
      <w:bookmarkEnd w:id="184"/>
    </w:p>
    <w:p w:rsidR="00D85FAC" w:rsidRDefault="00D85FAC" w:rsidP="00D85FAC">
      <w:r>
        <w:t xml:space="preserve">Table 1 shows </w:t>
      </w:r>
      <w:r w:rsidRPr="00867476">
        <w:t xml:space="preserve">the growth rates </w:t>
      </w:r>
      <w:r>
        <w:t xml:space="preserve">and sensitivity </w:t>
      </w:r>
      <w:r w:rsidRPr="00867476">
        <w:t xml:space="preserve">of </w:t>
      </w:r>
      <w:r w:rsidRPr="00867476">
        <w:rPr>
          <w:i/>
        </w:rPr>
        <w:t>E. gracilis</w:t>
      </w:r>
      <w:r w:rsidRPr="00867476">
        <w:t xml:space="preserve"> to U (IC</w:t>
      </w:r>
      <w:r w:rsidRPr="00867476">
        <w:rPr>
          <w:vertAlign w:val="subscript"/>
        </w:rPr>
        <w:t>50</w:t>
      </w:r>
      <w:r w:rsidRPr="00867476">
        <w:t>) for each medium</w:t>
      </w:r>
      <w:r>
        <w:t xml:space="preserve"> tested and</w:t>
      </w:r>
      <w:r w:rsidRPr="00867476">
        <w:t xml:space="preserve"> DOC content. </w:t>
      </w:r>
      <w:r>
        <w:t>Growth rates were acceptable across all media (ie 0.4 ± 0.2 doublings d</w:t>
      </w:r>
      <w:r w:rsidRPr="00B25701">
        <w:rPr>
          <w:snapToGrid w:val="0"/>
          <w:color w:val="000000"/>
          <w:position w:val="6"/>
          <w:sz w:val="16"/>
          <w:szCs w:val="0"/>
          <w:u w:color="000000"/>
        </w:rPr>
        <w:t>-1</w:t>
      </w:r>
      <w:r>
        <w:t xml:space="preserve">). The DOC concentration was </w:t>
      </w:r>
      <w:proofErr w:type="gramStart"/>
      <w:r>
        <w:t>lowest,</w:t>
      </w:r>
      <w:proofErr w:type="gramEnd"/>
      <w:r>
        <w:t xml:space="preserve"> and U toxicity highest, in the aspartic acid medium. Aspartic acid medium</w:t>
      </w:r>
      <w:r w:rsidRPr="00867476">
        <w:t xml:space="preserve"> was predicted (through speciation modelling</w:t>
      </w:r>
      <w:r>
        <w:t>, HARPHRQ</w:t>
      </w:r>
      <w:r w:rsidRPr="00867476">
        <w:t>) to have minimal complexation with U (complexing ~6-3</w:t>
      </w:r>
      <w:r>
        <w:t>6</w:t>
      </w:r>
      <w:r w:rsidRPr="00867476">
        <w:t xml:space="preserve">% of U over the </w:t>
      </w:r>
      <w:r w:rsidRPr="00952218">
        <w:t>total</w:t>
      </w:r>
      <w:r>
        <w:t xml:space="preserve"> </w:t>
      </w:r>
      <w:r w:rsidRPr="00867476">
        <w:t>U range 0.03</w:t>
      </w:r>
      <w:r>
        <w:t>–</w:t>
      </w:r>
      <w:r w:rsidRPr="00867476">
        <w:t>7 mg L</w:t>
      </w:r>
      <w:r w:rsidRPr="00867476">
        <w:rPr>
          <w:vertAlign w:val="superscript"/>
        </w:rPr>
        <w:t>-1</w:t>
      </w:r>
      <w:r>
        <w:t>) and was selected as the test medium (Table 1). The use of this medium is of significance as it means the U toxicity data from this study can be considered to have environmental relevance.</w:t>
      </w:r>
    </w:p>
    <w:p w:rsidR="00D85FAC" w:rsidRDefault="00D85FAC" w:rsidP="00D85FAC">
      <w:r>
        <w:t xml:space="preserve">A concentration of 57 </w:t>
      </w:r>
      <w:r>
        <w:rPr>
          <w:rFonts w:cs="Times"/>
        </w:rPr>
        <w:t>µ</w:t>
      </w:r>
      <w:r>
        <w:t>g L</w:t>
      </w:r>
      <w:r w:rsidRPr="00362509">
        <w:rPr>
          <w:vertAlign w:val="superscript"/>
        </w:rPr>
        <w:t>-1</w:t>
      </w:r>
      <w:r>
        <w:t xml:space="preserve"> U (95% CLs: 40–82</w:t>
      </w:r>
      <w:r w:rsidRPr="00372A43">
        <w:rPr>
          <w:rFonts w:cs="Times"/>
        </w:rPr>
        <w:t xml:space="preserve"> </w:t>
      </w:r>
      <w:r>
        <w:rPr>
          <w:rFonts w:cs="Times"/>
        </w:rPr>
        <w:t>µ</w:t>
      </w:r>
      <w:r>
        <w:t>g L</w:t>
      </w:r>
      <w:r w:rsidRPr="00362509">
        <w:rPr>
          <w:vertAlign w:val="superscript"/>
        </w:rPr>
        <w:t>-1</w:t>
      </w:r>
      <w:r>
        <w:t xml:space="preserve"> U) resulted in 50% inhibition of growth (IC</w:t>
      </w:r>
      <w:r w:rsidRPr="008434D8">
        <w:rPr>
          <w:vertAlign w:val="subscript"/>
        </w:rPr>
        <w:t>50</w:t>
      </w:r>
      <w:r>
        <w:t xml:space="preserve">) of </w:t>
      </w:r>
      <w:r w:rsidRPr="008434D8">
        <w:rPr>
          <w:i/>
        </w:rPr>
        <w:t>E. gracilis</w:t>
      </w:r>
      <w:r>
        <w:t xml:space="preserve"> in the background aspartic acid medium (Figure 1, Table 2). However, as little as 5 </w:t>
      </w:r>
      <w:r>
        <w:rPr>
          <w:rFonts w:cs="Times"/>
        </w:rPr>
        <w:t>µ</w:t>
      </w:r>
      <w:r>
        <w:t>g L</w:t>
      </w:r>
      <w:r w:rsidRPr="00362509">
        <w:rPr>
          <w:vertAlign w:val="superscript"/>
        </w:rPr>
        <w:t>-1</w:t>
      </w:r>
      <w:r>
        <w:rPr>
          <w:vertAlign w:val="superscript"/>
        </w:rPr>
        <w:t xml:space="preserve"> </w:t>
      </w:r>
      <w:r>
        <w:t>U (95% CLs:</w:t>
      </w:r>
      <w:r w:rsidRPr="00372A43">
        <w:rPr>
          <w:rFonts w:cs="Times"/>
        </w:rPr>
        <w:t xml:space="preserve"> </w:t>
      </w:r>
      <w:r>
        <w:rPr>
          <w:rFonts w:cs="Times"/>
        </w:rPr>
        <w:t>1–12 µ</w:t>
      </w:r>
      <w:r>
        <w:t>g L</w:t>
      </w:r>
      <w:r w:rsidRPr="00362509">
        <w:rPr>
          <w:vertAlign w:val="superscript"/>
        </w:rPr>
        <w:t>-1</w:t>
      </w:r>
      <w:r>
        <w:t xml:space="preserve"> U) resulted in a 10% decline in growth (IC</w:t>
      </w:r>
      <w:r>
        <w:rPr>
          <w:vertAlign w:val="subscript"/>
        </w:rPr>
        <w:t>1</w:t>
      </w:r>
      <w:r w:rsidRPr="008434D8">
        <w:rPr>
          <w:vertAlign w:val="subscript"/>
        </w:rPr>
        <w:t>0</w:t>
      </w:r>
      <w:r>
        <w:t xml:space="preserve">). In background medium, growth was completely inhibited at ~ 700 </w:t>
      </w:r>
      <w:r w:rsidRPr="007D3DC7">
        <w:rPr>
          <w:rFonts w:cs="Times"/>
        </w:rPr>
        <w:t>µ</w:t>
      </w:r>
      <w:r w:rsidRPr="007D3DC7">
        <w:t>g L</w:t>
      </w:r>
      <w:r w:rsidRPr="007D3DC7">
        <w:rPr>
          <w:vertAlign w:val="superscript"/>
        </w:rPr>
        <w:t>-1</w:t>
      </w:r>
      <w:r>
        <w:rPr>
          <w:vertAlign w:val="superscript"/>
        </w:rPr>
        <w:t xml:space="preserve"> </w:t>
      </w:r>
      <w:r>
        <w:t xml:space="preserve">U. The sensitivity of </w:t>
      </w:r>
      <w:r w:rsidRPr="0039502B">
        <w:rPr>
          <w:i/>
        </w:rPr>
        <w:t>E</w:t>
      </w:r>
      <w:r>
        <w:rPr>
          <w:i/>
        </w:rPr>
        <w:t>.</w:t>
      </w:r>
      <w:r w:rsidRPr="0039502B">
        <w:rPr>
          <w:i/>
        </w:rPr>
        <w:t xml:space="preserve"> gracilis</w:t>
      </w:r>
      <w:r>
        <w:t xml:space="preserve"> to U appeared to be equivalent to that of the most sensitive species previously studied (sub-lethal IC</w:t>
      </w:r>
      <w:r w:rsidRPr="0039502B">
        <w:rPr>
          <w:vertAlign w:val="subscript"/>
        </w:rPr>
        <w:t>50</w:t>
      </w:r>
      <w:r>
        <w:t xml:space="preserve">s range from 30–1200 </w:t>
      </w:r>
      <w:r>
        <w:rPr>
          <w:rFonts w:cs="Times"/>
        </w:rPr>
        <w:t>µ</w:t>
      </w:r>
      <w:r>
        <w:t>g L</w:t>
      </w:r>
      <w:r w:rsidRPr="00362509">
        <w:rPr>
          <w:vertAlign w:val="superscript"/>
        </w:rPr>
        <w:t>-1</w:t>
      </w:r>
      <w:r>
        <w:t xml:space="preserve"> U for a cladoceran, green alga, fish, hydra and mussel species; Markich et al 2000; Hogan et al 2005; Zeman et al 2008; Trenfield et al 2011) under similar physicochemical conditions.</w:t>
      </w:r>
    </w:p>
    <w:p w:rsidR="00D85FAC" w:rsidRPr="000C7807" w:rsidRDefault="00D85FAC" w:rsidP="00D85FAC">
      <w:pPr>
        <w:rPr>
          <w:rFonts w:ascii="Arial" w:hAnsi="Arial" w:cs="Arial"/>
        </w:rPr>
      </w:pPr>
      <w:r>
        <w:t>In the presence of 20 mg L</w:t>
      </w:r>
      <w:r w:rsidRPr="00362509">
        <w:rPr>
          <w:vertAlign w:val="superscript"/>
        </w:rPr>
        <w:t>-1</w:t>
      </w:r>
      <w:r>
        <w:t xml:space="preserve"> DOC, which is typical of higher DOC concentrations found in floodplain environments, there was a marked reduction in U toxicity to </w:t>
      </w:r>
      <w:r w:rsidRPr="00B266E5">
        <w:rPr>
          <w:i/>
        </w:rPr>
        <w:t>E. gracilis</w:t>
      </w:r>
      <w:r>
        <w:t xml:space="preserve"> (Figure 1), with the IC</w:t>
      </w:r>
      <w:r w:rsidRPr="006C226F">
        <w:rPr>
          <w:snapToGrid w:val="0"/>
          <w:color w:val="000000"/>
          <w:spacing w:val="-10"/>
          <w:position w:val="-6"/>
          <w:sz w:val="16"/>
          <w:szCs w:val="0"/>
          <w:u w:color="000000"/>
        </w:rPr>
        <w:t>50</w:t>
      </w:r>
      <w:r>
        <w:t xml:space="preserve"> of </w:t>
      </w:r>
      <w:r w:rsidRPr="0082136F">
        <w:rPr>
          <w:i/>
        </w:rPr>
        <w:t>E.</w:t>
      </w:r>
      <w:r>
        <w:rPr>
          <w:i/>
        </w:rPr>
        <w:t xml:space="preserve"> </w:t>
      </w:r>
      <w:r w:rsidRPr="0082136F">
        <w:rPr>
          <w:i/>
        </w:rPr>
        <w:t>gracilis</w:t>
      </w:r>
      <w:r>
        <w:t xml:space="preserve"> increasing 4 to 5-fold to 254 </w:t>
      </w:r>
      <w:r>
        <w:rPr>
          <w:rFonts w:cs="Times"/>
        </w:rPr>
        <w:t>µ</w:t>
      </w:r>
      <w:r>
        <w:t>g L</w:t>
      </w:r>
      <w:r w:rsidRPr="00362509">
        <w:rPr>
          <w:vertAlign w:val="superscript"/>
        </w:rPr>
        <w:t>-1</w:t>
      </w:r>
      <w:r>
        <w:t xml:space="preserve"> U (95% CLs: 100-670 </w:t>
      </w:r>
      <w:r>
        <w:rPr>
          <w:rFonts w:cs="Times"/>
        </w:rPr>
        <w:t>µ</w:t>
      </w:r>
      <w:r>
        <w:t>g L</w:t>
      </w:r>
      <w:r w:rsidRPr="00362509">
        <w:rPr>
          <w:vertAlign w:val="superscript"/>
        </w:rPr>
        <w:t>-1</w:t>
      </w:r>
      <w:r>
        <w:t xml:space="preserve"> U). The IC</w:t>
      </w:r>
      <w:r w:rsidRPr="006C226F">
        <w:rPr>
          <w:snapToGrid w:val="0"/>
          <w:color w:val="000000"/>
          <w:spacing w:val="-10"/>
          <w:position w:val="-6"/>
          <w:sz w:val="16"/>
          <w:szCs w:val="0"/>
          <w:u w:color="000000"/>
        </w:rPr>
        <w:t>10</w:t>
      </w:r>
      <w:r>
        <w:t xml:space="preserve"> increased 3 to 4-fold from that of the background medium; 17 </w:t>
      </w:r>
      <w:r>
        <w:rPr>
          <w:rFonts w:cs="Times"/>
        </w:rPr>
        <w:t>µ</w:t>
      </w:r>
      <w:r>
        <w:t>g L</w:t>
      </w:r>
      <w:r w:rsidRPr="00362509">
        <w:rPr>
          <w:vertAlign w:val="superscript"/>
        </w:rPr>
        <w:t>-1</w:t>
      </w:r>
      <w:r>
        <w:t xml:space="preserve"> U (95% CLs: 1–77 </w:t>
      </w:r>
      <w:r>
        <w:rPr>
          <w:rFonts w:cs="Times"/>
        </w:rPr>
        <w:t>µ</w:t>
      </w:r>
      <w:r>
        <w:t>g L</w:t>
      </w:r>
      <w:r w:rsidRPr="00362509">
        <w:rPr>
          <w:vertAlign w:val="superscript"/>
        </w:rPr>
        <w:t>-1</w:t>
      </w:r>
      <w:r>
        <w:t xml:space="preserve"> U). </w:t>
      </w:r>
      <w:r w:rsidRPr="00E16718">
        <w:t xml:space="preserve">An ANCOVA found there to be a significant difference in the (ln) growth rate response of </w:t>
      </w:r>
      <w:r w:rsidRPr="00E16718">
        <w:rPr>
          <w:i/>
        </w:rPr>
        <w:t>E. gracilis</w:t>
      </w:r>
      <w:r w:rsidRPr="00E16718">
        <w:t xml:space="preserve"> (growth rate) to U between the unmodified medium and medium containing additional DOC (p &lt; 0.0001).</w:t>
      </w:r>
    </w:p>
    <w:p w:rsidR="00D85FAC" w:rsidRDefault="00D85FAC" w:rsidP="00D85FAC">
      <w:pPr>
        <w:spacing w:after="0"/>
      </w:pPr>
    </w:p>
    <w:tbl>
      <w:tblPr>
        <w:tblW w:w="8358" w:type="dxa"/>
        <w:tblLayout w:type="fixed"/>
        <w:tblLook w:val="0000"/>
      </w:tblPr>
      <w:tblGrid>
        <w:gridCol w:w="4178"/>
        <w:gridCol w:w="4180"/>
      </w:tblGrid>
      <w:tr w:rsidR="00D85FAC" w:rsidTr="00D85FAC">
        <w:tc>
          <w:tcPr>
            <w:tcW w:w="4178" w:type="dxa"/>
          </w:tcPr>
          <w:p w:rsidR="00D85FAC" w:rsidRPr="003804D1" w:rsidRDefault="00D85FAC" w:rsidP="00D85FAC">
            <w:r>
              <w:rPr>
                <w:noProof/>
                <w:lang w:eastAsia="en-AU"/>
              </w:rPr>
              <w:drawing>
                <wp:inline distT="0" distB="0" distL="0" distR="0">
                  <wp:extent cx="2425700" cy="1840661"/>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screen"/>
                          <a:srcRect/>
                          <a:stretch>
                            <a:fillRect/>
                          </a:stretch>
                        </pic:blipFill>
                        <pic:spPr bwMode="auto">
                          <a:xfrm>
                            <a:off x="0" y="0"/>
                            <a:ext cx="2425671" cy="1840639"/>
                          </a:xfrm>
                          <a:prstGeom prst="rect">
                            <a:avLst/>
                          </a:prstGeom>
                          <a:noFill/>
                          <a:ln w="9525">
                            <a:noFill/>
                            <a:miter lim="800000"/>
                            <a:headEnd/>
                            <a:tailEnd/>
                          </a:ln>
                        </pic:spPr>
                      </pic:pic>
                    </a:graphicData>
                  </a:graphic>
                </wp:inline>
              </w:drawing>
            </w:r>
          </w:p>
        </w:tc>
        <w:tc>
          <w:tcPr>
            <w:tcW w:w="4180" w:type="dxa"/>
          </w:tcPr>
          <w:p w:rsidR="00D85FAC" w:rsidRPr="003804D1" w:rsidRDefault="00D85FAC" w:rsidP="00D85FAC">
            <w:r>
              <w:rPr>
                <w:noProof/>
                <w:lang w:eastAsia="en-AU"/>
              </w:rPr>
              <w:drawing>
                <wp:inline distT="0" distB="0" distL="0" distR="0">
                  <wp:extent cx="2448000" cy="1861275"/>
                  <wp:effectExtent l="19050" t="0" r="945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screen"/>
                          <a:srcRect t="3769" r="2758"/>
                          <a:stretch>
                            <a:fillRect/>
                          </a:stretch>
                        </pic:blipFill>
                        <pic:spPr bwMode="auto">
                          <a:xfrm>
                            <a:off x="0" y="0"/>
                            <a:ext cx="2448000" cy="1861275"/>
                          </a:xfrm>
                          <a:prstGeom prst="rect">
                            <a:avLst/>
                          </a:prstGeom>
                          <a:noFill/>
                          <a:ln w="9525">
                            <a:noFill/>
                            <a:miter lim="800000"/>
                            <a:headEnd/>
                            <a:tailEnd/>
                          </a:ln>
                        </pic:spPr>
                      </pic:pic>
                    </a:graphicData>
                  </a:graphic>
                </wp:inline>
              </w:drawing>
            </w:r>
          </w:p>
        </w:tc>
      </w:tr>
    </w:tbl>
    <w:p w:rsidR="00D85FAC" w:rsidRDefault="00D85FAC" w:rsidP="00D85FAC">
      <w:pPr>
        <w:pStyle w:val="figurecaption"/>
      </w:pPr>
      <w:r w:rsidRPr="00191157">
        <w:rPr>
          <w:b/>
        </w:rPr>
        <w:t>Figure 1</w:t>
      </w:r>
      <w:r w:rsidRPr="00191157">
        <w:t xml:space="preserve"> </w:t>
      </w:r>
      <w:r>
        <w:t xml:space="preserve"> </w:t>
      </w:r>
      <w:r w:rsidRPr="00191157">
        <w:t xml:space="preserve">Concentration response plots for </w:t>
      </w:r>
      <w:r w:rsidRPr="00E94FB1">
        <w:rPr>
          <w:i/>
        </w:rPr>
        <w:t>Euglena gracilis</w:t>
      </w:r>
      <w:r w:rsidRPr="00191157">
        <w:t xml:space="preserve"> exposed to uranium (0.45 µm filtered) for 96-h in a) 150 </w:t>
      </w:r>
      <w:r w:rsidRPr="00191157">
        <w:sym w:font="Symbol" w:char="F06D"/>
      </w:r>
      <w:r w:rsidRPr="00191157">
        <w:t>M aspartic acid medium at background dissolved organic carbon (DOC: 10 mg L</w:t>
      </w:r>
      <w:r w:rsidRPr="009D076F">
        <w:rPr>
          <w:vertAlign w:val="superscript"/>
        </w:rPr>
        <w:t>-1</w:t>
      </w:r>
      <w:r w:rsidRPr="00191157">
        <w:t>) and b) medium containing an additional 20 mg L</w:t>
      </w:r>
      <w:r w:rsidRPr="009D076F">
        <w:rPr>
          <w:vertAlign w:val="superscript"/>
        </w:rPr>
        <w:t>-1</w:t>
      </w:r>
      <w:r w:rsidRPr="00191157">
        <w:t xml:space="preserve"> DOC (as Suwannee River fulvic acid - SRFA). Curves represent 3-parameter logistic fit</w:t>
      </w:r>
      <w:r>
        <w:t>s</w:t>
      </w:r>
      <w:r w:rsidRPr="00191157">
        <w:t xml:space="preserve"> with 5 pooled tests for background DOC (r</w:t>
      </w:r>
      <w:r w:rsidRPr="009D076F">
        <w:rPr>
          <w:vertAlign w:val="superscript"/>
        </w:rPr>
        <w:t>2</w:t>
      </w:r>
      <w:r w:rsidRPr="00191157">
        <w:t xml:space="preserve"> = 0.84, n = 27, p&lt;0.0001) and 2 pooled tests for 20 mg L-1 DOC (r</w:t>
      </w:r>
      <w:r w:rsidRPr="009D076F">
        <w:rPr>
          <w:vertAlign w:val="superscript"/>
        </w:rPr>
        <w:t>2</w:t>
      </w:r>
      <w:r w:rsidRPr="00191157">
        <w:t xml:space="preserve"> = 0.75, n = 14, p = 0.0001). Each point is the mean </w:t>
      </w:r>
      <w:r>
        <w:t xml:space="preserve">± standard error </w:t>
      </w:r>
      <w:r w:rsidRPr="00191157">
        <w:t>of 2 replicates</w:t>
      </w:r>
      <w:r>
        <w:t>.</w:t>
      </w:r>
    </w:p>
    <w:p w:rsidR="00D85FAC" w:rsidRDefault="00D85FAC" w:rsidP="00D85FAC">
      <w:r>
        <w:t>The proportions of the major U species predicted to be present at the IC</w:t>
      </w:r>
      <w:r w:rsidRPr="00EC58A9">
        <w:rPr>
          <w:vertAlign w:val="subscript"/>
        </w:rPr>
        <w:t>50</w:t>
      </w:r>
      <w:r>
        <w:t xml:space="preserve"> concentration for each of the DOC treatments are shown in Table 2. Of the total added U, 84% (the equivalent of ~160 </w:t>
      </w:r>
      <w:r>
        <w:rPr>
          <w:rFonts w:cs="Times"/>
        </w:rPr>
        <w:t>µ</w:t>
      </w:r>
      <w:r>
        <w:t>g L</w:t>
      </w:r>
      <w:r w:rsidRPr="00F14865">
        <w:rPr>
          <w:vertAlign w:val="superscript"/>
        </w:rPr>
        <w:t>-1</w:t>
      </w:r>
      <w:r>
        <w:t xml:space="preserve"> U) was predicted to complex with FA in the presence of 20 mg L</w:t>
      </w:r>
      <w:r w:rsidRPr="00F14865">
        <w:rPr>
          <w:vertAlign w:val="superscript"/>
        </w:rPr>
        <w:t>-1</w:t>
      </w:r>
      <w:r>
        <w:t xml:space="preserve"> SRFA. Speciation calculations show a 6 to 7-fold decrease in the proportion of inorganic U species with the addition of SRFA. The similarity in concentration of UO</w:t>
      </w:r>
      <w:r w:rsidRPr="00B20525">
        <w:rPr>
          <w:snapToGrid w:val="0"/>
          <w:color w:val="000000"/>
          <w:spacing w:val="-10"/>
          <w:position w:val="-6"/>
          <w:sz w:val="16"/>
          <w:szCs w:val="0"/>
          <w:u w:color="000000"/>
        </w:rPr>
        <w:t>2</w:t>
      </w:r>
      <w:r w:rsidRPr="00B20525">
        <w:rPr>
          <w:snapToGrid w:val="0"/>
          <w:color w:val="000000"/>
          <w:spacing w:val="-10"/>
          <w:position w:val="6"/>
          <w:sz w:val="16"/>
          <w:szCs w:val="0"/>
          <w:u w:color="000000"/>
        </w:rPr>
        <w:t>2+</w:t>
      </w:r>
      <w:r>
        <w:t xml:space="preserve"> present at the IC</w:t>
      </w:r>
      <w:r w:rsidRPr="00EC58A9">
        <w:rPr>
          <w:vertAlign w:val="subscript"/>
        </w:rPr>
        <w:t>50</w:t>
      </w:r>
      <w:r>
        <w:t xml:space="preserve"> </w:t>
      </w:r>
      <w:r>
        <w:lastRenderedPageBreak/>
        <w:t xml:space="preserve">concentration in the presence and absence of SRFA (2.2 </w:t>
      </w:r>
      <w:r>
        <w:rPr>
          <w:rFonts w:cs="Times"/>
        </w:rPr>
        <w:t>µ</w:t>
      </w:r>
      <w:r>
        <w:t>g L</w:t>
      </w:r>
      <w:r w:rsidRPr="00F14865">
        <w:rPr>
          <w:vertAlign w:val="superscript"/>
        </w:rPr>
        <w:t>-1</w:t>
      </w:r>
      <w:r>
        <w:rPr>
          <w:vertAlign w:val="superscript"/>
        </w:rPr>
        <w:t xml:space="preserve">  </w:t>
      </w:r>
      <w:r>
        <w:rPr>
          <w:rFonts w:cs="Times"/>
        </w:rPr>
        <w:t>and 3.1 µ</w:t>
      </w:r>
      <w:r>
        <w:t>g L</w:t>
      </w:r>
      <w:r w:rsidRPr="00F14865">
        <w:rPr>
          <w:vertAlign w:val="superscript"/>
        </w:rPr>
        <w:t>-1</w:t>
      </w:r>
      <w:r>
        <w:rPr>
          <w:vertAlign w:val="superscript"/>
        </w:rPr>
        <w:t xml:space="preserve"> </w:t>
      </w:r>
      <w:r w:rsidRPr="00533A7A">
        <w:t>respectively</w:t>
      </w:r>
      <w:r>
        <w:t>, Table 2</w:t>
      </w:r>
      <w:r w:rsidRPr="00533A7A">
        <w:t>)</w:t>
      </w:r>
      <w:r>
        <w:t>, provided support that toxicity is linked to this U species, in particular, and that the amelioration of toxicity is a result of complexation of U by SRFA. This reduction in the toxicity of U corresponded with a decrease in the cellular uptake/adsorption of U by 11-to 14-fold, as measured by the U bound by the cell mass during the test.</w:t>
      </w:r>
    </w:p>
    <w:p w:rsidR="00D85FAC" w:rsidRDefault="00D85FAC" w:rsidP="00D85FAC">
      <w:r>
        <w:t>Stepwise multiple linear regression analyses, incorporating the inorganic U species shown in Table 2, indicated that only UO</w:t>
      </w:r>
      <w:r w:rsidRPr="003D038E">
        <w:rPr>
          <w:rFonts w:ascii="Times New (W1)" w:hAnsi="Times New (W1)"/>
          <w:vertAlign w:val="subscript"/>
        </w:rPr>
        <w:t>2</w:t>
      </w:r>
      <w:r w:rsidRPr="00B832C1">
        <w:rPr>
          <w:vertAlign w:val="superscript"/>
        </w:rPr>
        <w:t>2+</w:t>
      </w:r>
      <w:r w:rsidRPr="00B832C1">
        <w:t xml:space="preserve"> </w:t>
      </w:r>
      <w:r>
        <w:t xml:space="preserve">had a significant (p≤0.01) relationship with </w:t>
      </w:r>
      <w:r w:rsidRPr="00897327">
        <w:rPr>
          <w:i/>
        </w:rPr>
        <w:t>E. gracilis</w:t>
      </w:r>
      <w:r>
        <w:t xml:space="preserve"> growth, explaining 51% of the variation in U toxicity. By comparison, total U </w:t>
      </w:r>
      <w:r w:rsidRPr="00B832C1">
        <w:t>explain</w:t>
      </w:r>
      <w:r>
        <w:t>ed</w:t>
      </w:r>
      <w:r w:rsidRPr="00B832C1">
        <w:t xml:space="preserve"> </w:t>
      </w:r>
      <w:r>
        <w:t>38% of U toxicity</w:t>
      </w:r>
      <w:r w:rsidRPr="00B832C1">
        <w:t>.</w:t>
      </w:r>
    </w:p>
    <w:p w:rsidR="00D85FAC" w:rsidRDefault="00D85FAC" w:rsidP="00D85FAC">
      <w:r>
        <w:t xml:space="preserve">Based on the response using </w:t>
      </w:r>
      <w:r w:rsidRPr="00B05382">
        <w:t>CM-H</w:t>
      </w:r>
      <w:r w:rsidRPr="00B05382">
        <w:rPr>
          <w:vertAlign w:val="subscript"/>
        </w:rPr>
        <w:t>2</w:t>
      </w:r>
      <w:r w:rsidRPr="00B05382">
        <w:t>DCFDA</w:t>
      </w:r>
      <w:r>
        <w:t xml:space="preserve"> as the probe, cells did not appear to exhibit any fluorescence (oxidative stress) until they were exposed to U concentrations of 60 µg L</w:t>
      </w:r>
      <w:r w:rsidRPr="00B05382">
        <w:rPr>
          <w:vertAlign w:val="superscript"/>
        </w:rPr>
        <w:t>-1</w:t>
      </w:r>
      <w:r>
        <w:t xml:space="preserve"> or greater. Generally, the proportion of fluorescing cells was quite low even in treatments where cell proliferation had ceased. For example, at 1 mg L</w:t>
      </w:r>
      <w:r w:rsidRPr="00AA31F6">
        <w:rPr>
          <w:vertAlign w:val="superscript"/>
        </w:rPr>
        <w:t>-1</w:t>
      </w:r>
      <w:r>
        <w:t xml:space="preserve"> U (in medium without SRFA), only 23% of cells exhibited fluorescence.</w:t>
      </w:r>
    </w:p>
    <w:p w:rsidR="00D85FAC" w:rsidRPr="000B0285" w:rsidRDefault="00D85FAC" w:rsidP="00D85FAC">
      <w:pPr>
        <w:pStyle w:val="Heading2"/>
      </w:pPr>
      <w:bookmarkStart w:id="185" w:name="_Toc313523466"/>
      <w:bookmarkStart w:id="186" w:name="_Toc316985309"/>
      <w:r w:rsidRPr="000B0285">
        <w:t>Conclusions</w:t>
      </w:r>
      <w:bookmarkEnd w:id="185"/>
      <w:bookmarkEnd w:id="186"/>
    </w:p>
    <w:p w:rsidR="00D85FAC" w:rsidRDefault="00D85FAC" w:rsidP="00D85FAC">
      <w:r w:rsidRPr="0087211E">
        <w:rPr>
          <w:i/>
        </w:rPr>
        <w:t>E. gracilis</w:t>
      </w:r>
      <w:r>
        <w:t xml:space="preserve"> is relatively sensitive to uranium and the addition of 20 mg L</w:t>
      </w:r>
      <w:r w:rsidRPr="006D7BEC">
        <w:rPr>
          <w:rFonts w:ascii="Times New (W1)" w:hAnsi="Times New (W1)"/>
          <w:vertAlign w:val="superscript"/>
        </w:rPr>
        <w:t>-1</w:t>
      </w:r>
      <w:r>
        <w:t xml:space="preserve"> DOC (as SRFA) reduced the toxicity of U to </w:t>
      </w:r>
      <w:r w:rsidRPr="00E65CDD">
        <w:rPr>
          <w:i/>
        </w:rPr>
        <w:t>E. gracilis</w:t>
      </w:r>
      <w:r>
        <w:rPr>
          <w:i/>
        </w:rPr>
        <w:t xml:space="preserve"> </w:t>
      </w:r>
      <w:r>
        <w:t>by three- to five-fold. This reduction in toxicity was linked to the majority of U in the 20 mg L</w:t>
      </w:r>
      <w:r w:rsidRPr="006D7BEC">
        <w:rPr>
          <w:rFonts w:ascii="Times New (W1)" w:hAnsi="Times New (W1)"/>
          <w:vertAlign w:val="superscript"/>
        </w:rPr>
        <w:t>-1</w:t>
      </w:r>
      <w:r>
        <w:t xml:space="preserve"> DOC (as SRFA) medium being complexed by SRFA. The concentration of free </w:t>
      </w:r>
      <w:r w:rsidRPr="00E01BA7">
        <w:rPr>
          <w:spacing w:val="-2"/>
        </w:rPr>
        <w:t>UO</w:t>
      </w:r>
      <w:r w:rsidRPr="00E01BA7">
        <w:rPr>
          <w:rFonts w:ascii="Times New (W1)" w:hAnsi="Times New (W1)"/>
          <w:spacing w:val="-2"/>
          <w:vertAlign w:val="subscript"/>
        </w:rPr>
        <w:t>2</w:t>
      </w:r>
      <w:r w:rsidRPr="00E01BA7">
        <w:rPr>
          <w:spacing w:val="-2"/>
          <w:vertAlign w:val="superscript"/>
        </w:rPr>
        <w:t>2+</w:t>
      </w:r>
      <w:r w:rsidRPr="00E01BA7">
        <w:rPr>
          <w:rFonts w:ascii="Times New (W1)" w:hAnsi="Times New (W1)"/>
          <w:spacing w:val="-2"/>
        </w:rPr>
        <w:t xml:space="preserve"> </w:t>
      </w:r>
      <w:r>
        <w:rPr>
          <w:rFonts w:ascii="Times New (W1)" w:hAnsi="Times New (W1)"/>
          <w:spacing w:val="-2"/>
        </w:rPr>
        <w:t xml:space="preserve">ion </w:t>
      </w:r>
      <w:r w:rsidRPr="00E01BA7">
        <w:t>provid</w:t>
      </w:r>
      <w:r>
        <w:t>ed</w:t>
      </w:r>
      <w:r w:rsidRPr="00E01BA7">
        <w:t xml:space="preserve"> the best relationship with toxicity</w:t>
      </w:r>
      <w:r>
        <w:t xml:space="preserve"> (r</w:t>
      </w:r>
      <w:r w:rsidRPr="006254B4">
        <w:rPr>
          <w:rFonts w:ascii="Times New (W1)" w:hAnsi="Times New (W1)"/>
          <w:vertAlign w:val="superscript"/>
        </w:rPr>
        <w:t>2</w:t>
      </w:r>
      <w:r>
        <w:t xml:space="preserve"> = 0.51). While exposure </w:t>
      </w:r>
      <w:r w:rsidRPr="00052F51">
        <w:t xml:space="preserve">to </w:t>
      </w:r>
      <w:r>
        <w:t>≥ 60</w:t>
      </w:r>
      <w:r w:rsidRPr="00052F51">
        <w:t xml:space="preserve"> µg L</w:t>
      </w:r>
      <w:r w:rsidRPr="00052F51">
        <w:rPr>
          <w:rFonts w:ascii="Times New (W1)" w:hAnsi="Times New (W1)"/>
          <w:vertAlign w:val="superscript"/>
        </w:rPr>
        <w:t>-1</w:t>
      </w:r>
      <w:r w:rsidRPr="00052F51">
        <w:t xml:space="preserve"> U</w:t>
      </w:r>
      <w:r>
        <w:t xml:space="preserve"> </w:t>
      </w:r>
      <w:smartTag w:uri="urn:schemas-microsoft-com:office:smarttags" w:element="State">
        <w:smartTag w:uri="urn:schemas-microsoft-com:office:smarttags" w:element="place">
          <w:r>
            <w:t>ind</w:t>
          </w:r>
        </w:smartTag>
      </w:smartTag>
      <w:r>
        <w:t xml:space="preserve">uced oxidative stress in </w:t>
      </w:r>
      <w:r w:rsidRPr="00AC2B88">
        <w:rPr>
          <w:i/>
        </w:rPr>
        <w:t>E. gracilis</w:t>
      </w:r>
      <w:r>
        <w:t xml:space="preserve">, this was not considered to be a sensitive endpoint. This suggests U toxicity to </w:t>
      </w:r>
      <w:r w:rsidRPr="00332D20">
        <w:rPr>
          <w:i/>
        </w:rPr>
        <w:t>E. gracilis</w:t>
      </w:r>
      <w:r>
        <w:t xml:space="preserve"> may not be primarily related to oxidative stress.</w:t>
      </w:r>
    </w:p>
    <w:p w:rsidR="00D85FAC" w:rsidRPr="002E5948" w:rsidRDefault="00D85FAC" w:rsidP="00D85FAC">
      <w:pPr>
        <w:pStyle w:val="Heading2"/>
      </w:pPr>
      <w:bookmarkStart w:id="187" w:name="_Toc313523467"/>
      <w:bookmarkStart w:id="188" w:name="_Toc316985310"/>
      <w:r w:rsidRPr="002E5948">
        <w:t>Steps for completion</w:t>
      </w:r>
      <w:bookmarkEnd w:id="187"/>
      <w:bookmarkEnd w:id="188"/>
    </w:p>
    <w:p w:rsidR="00D85FAC" w:rsidRPr="00A51119" w:rsidRDefault="00D85FAC" w:rsidP="00D85FAC">
      <w:pPr>
        <w:pStyle w:val="PlainText"/>
        <w:rPr>
          <w:rFonts w:ascii="Times New Roman" w:hAnsi="Times New Roman"/>
          <w:sz w:val="22"/>
          <w:szCs w:val="22"/>
        </w:rPr>
      </w:pPr>
      <w:r w:rsidRPr="00A51119">
        <w:rPr>
          <w:rFonts w:ascii="Times New Roman" w:hAnsi="Times New Roman"/>
          <w:sz w:val="22"/>
          <w:szCs w:val="22"/>
        </w:rPr>
        <w:t xml:space="preserve">This work has been completed and accepted for publication </w:t>
      </w:r>
      <w:r>
        <w:rPr>
          <w:rFonts w:ascii="Times New Roman" w:hAnsi="Times New Roman"/>
          <w:sz w:val="22"/>
          <w:szCs w:val="22"/>
        </w:rPr>
        <w:t>Jan 2012 in</w:t>
      </w:r>
      <w:r w:rsidRPr="00A51119">
        <w:rPr>
          <w:rFonts w:ascii="Times New Roman" w:hAnsi="Times New Roman"/>
          <w:sz w:val="22"/>
          <w:szCs w:val="22"/>
        </w:rPr>
        <w:t xml:space="preserve"> </w:t>
      </w:r>
      <w:r w:rsidRPr="00A51119">
        <w:rPr>
          <w:rFonts w:ascii="Times New Roman" w:hAnsi="Times New Roman"/>
          <w:i/>
          <w:sz w:val="22"/>
          <w:szCs w:val="22"/>
        </w:rPr>
        <w:t>Ecotoxicology</w:t>
      </w:r>
      <w:r w:rsidRPr="00A51119">
        <w:rPr>
          <w:rFonts w:ascii="Times New Roman" w:hAnsi="Times New Roman"/>
          <w:sz w:val="22"/>
          <w:szCs w:val="22"/>
        </w:rPr>
        <w:t xml:space="preserve"> DOI: 10.1007/s10646-012-0855-x</w:t>
      </w:r>
    </w:p>
    <w:p w:rsidR="00D85FAC" w:rsidRDefault="00D85FAC" w:rsidP="00D85FAC">
      <w:pPr>
        <w:pStyle w:val="tablecaption"/>
        <w:rPr>
          <w:lang w:eastAsia="en-AU"/>
        </w:rPr>
      </w:pPr>
      <w:r w:rsidRPr="00A87A44">
        <w:rPr>
          <w:b/>
          <w:lang w:eastAsia="en-AU"/>
        </w:rPr>
        <w:t xml:space="preserve">Table </w:t>
      </w:r>
      <w:proofErr w:type="gramStart"/>
      <w:r>
        <w:rPr>
          <w:b/>
          <w:lang w:eastAsia="en-AU"/>
        </w:rPr>
        <w:t>2</w:t>
      </w:r>
      <w:r w:rsidRPr="00A87A44">
        <w:rPr>
          <w:lang w:eastAsia="en-AU"/>
        </w:rPr>
        <w:t xml:space="preserve"> </w:t>
      </w:r>
      <w:r>
        <w:rPr>
          <w:lang w:eastAsia="en-AU"/>
        </w:rPr>
        <w:t xml:space="preserve"> </w:t>
      </w:r>
      <w:r w:rsidRPr="00A87A44">
        <w:rPr>
          <w:lang w:eastAsia="en-AU"/>
        </w:rPr>
        <w:t>Predicted</w:t>
      </w:r>
      <w:proofErr w:type="gramEnd"/>
      <w:r w:rsidRPr="00A87A44">
        <w:rPr>
          <w:lang w:eastAsia="en-AU"/>
        </w:rPr>
        <w:t xml:space="preserve"> speciation and toxicity (IC</w:t>
      </w:r>
      <w:r w:rsidRPr="00A87A44">
        <w:rPr>
          <w:vertAlign w:val="subscript"/>
          <w:lang w:eastAsia="en-AU"/>
        </w:rPr>
        <w:t>50</w:t>
      </w:r>
      <w:r w:rsidRPr="00A87A44">
        <w:rPr>
          <w:lang w:eastAsia="en-AU"/>
        </w:rPr>
        <w:t xml:space="preserve">) of uranium (U) to </w:t>
      </w:r>
      <w:r w:rsidRPr="00A87A44">
        <w:rPr>
          <w:i/>
          <w:lang w:eastAsia="en-AU"/>
        </w:rPr>
        <w:t>E. gracilis</w:t>
      </w:r>
      <w:r w:rsidRPr="00A87A44">
        <w:rPr>
          <w:lang w:eastAsia="en-AU"/>
        </w:rPr>
        <w:t xml:space="preserve"> in background medium (150 µM aspartic acid) and medium containing dissolved organic carbon (DOC) in the form of Suwannee River Fulvic acid (SRFA). Species comprising &lt;</w:t>
      </w:r>
      <w:r>
        <w:rPr>
          <w:lang w:eastAsia="en-AU"/>
        </w:rPr>
        <w:t>1</w:t>
      </w:r>
      <w:r w:rsidRPr="00A87A44">
        <w:rPr>
          <w:lang w:eastAsia="en-AU"/>
        </w:rPr>
        <w:t>% of total U</w:t>
      </w:r>
      <w:r>
        <w:rPr>
          <w:lang w:eastAsia="en-AU"/>
        </w:rPr>
        <w:t xml:space="preserve"> have been excluded for clarity.</w:t>
      </w:r>
    </w:p>
    <w:tbl>
      <w:tblPr>
        <w:tblW w:w="0" w:type="auto"/>
        <w:tblLook w:val="04A0"/>
      </w:tblPr>
      <w:tblGrid>
        <w:gridCol w:w="2635"/>
        <w:gridCol w:w="2635"/>
        <w:gridCol w:w="2635"/>
      </w:tblGrid>
      <w:tr w:rsidR="00D85FAC" w:rsidTr="00D85FAC">
        <w:tc>
          <w:tcPr>
            <w:tcW w:w="2635" w:type="dxa"/>
            <w:tcBorders>
              <w:top w:val="single" w:sz="4" w:space="0" w:color="auto"/>
              <w:bottom w:val="single" w:sz="4" w:space="0" w:color="auto"/>
            </w:tcBorders>
          </w:tcPr>
          <w:p w:rsidR="00D85FAC" w:rsidRDefault="00D85FAC" w:rsidP="00D85FAC">
            <w:pPr>
              <w:pStyle w:val="table1"/>
            </w:pPr>
          </w:p>
        </w:tc>
        <w:tc>
          <w:tcPr>
            <w:tcW w:w="2635" w:type="dxa"/>
            <w:tcBorders>
              <w:top w:val="single" w:sz="4" w:space="0" w:color="auto"/>
              <w:bottom w:val="single" w:sz="4" w:space="0" w:color="auto"/>
            </w:tcBorders>
          </w:tcPr>
          <w:p w:rsidR="00D85FAC" w:rsidRPr="002C028E" w:rsidRDefault="00D85FAC" w:rsidP="00D85FAC">
            <w:pPr>
              <w:pStyle w:val="table1"/>
              <w:jc w:val="center"/>
              <w:rPr>
                <w:b/>
              </w:rPr>
            </w:pPr>
            <w:r>
              <w:rPr>
                <w:b/>
              </w:rPr>
              <w:t>Unmodified</w:t>
            </w:r>
            <w:r w:rsidRPr="002C028E">
              <w:rPr>
                <w:b/>
              </w:rPr>
              <w:t xml:space="preserve"> medium</w:t>
            </w:r>
            <w:r w:rsidRPr="00FA42FC">
              <w:rPr>
                <w:vertAlign w:val="superscript"/>
              </w:rPr>
              <w:t>a</w:t>
            </w:r>
          </w:p>
        </w:tc>
        <w:tc>
          <w:tcPr>
            <w:tcW w:w="2635" w:type="dxa"/>
            <w:tcBorders>
              <w:top w:val="single" w:sz="4" w:space="0" w:color="auto"/>
              <w:bottom w:val="single" w:sz="4" w:space="0" w:color="auto"/>
            </w:tcBorders>
          </w:tcPr>
          <w:p w:rsidR="00D85FAC" w:rsidRPr="002C028E" w:rsidRDefault="00D85FAC" w:rsidP="00D85FAC">
            <w:pPr>
              <w:pStyle w:val="table1"/>
              <w:jc w:val="center"/>
              <w:rPr>
                <w:b/>
              </w:rPr>
            </w:pPr>
            <w:r>
              <w:rPr>
                <w:b/>
              </w:rPr>
              <w:t>M</w:t>
            </w:r>
            <w:r w:rsidRPr="002C028E">
              <w:rPr>
                <w:b/>
              </w:rPr>
              <w:t>edium + 20 mg</w:t>
            </w:r>
            <w:r>
              <w:rPr>
                <w:b/>
              </w:rPr>
              <w:t xml:space="preserve"> </w:t>
            </w:r>
            <w:r w:rsidRPr="002C028E">
              <w:rPr>
                <w:b/>
              </w:rPr>
              <w:t>L</w:t>
            </w:r>
            <w:r w:rsidRPr="00696AC0">
              <w:rPr>
                <w:b/>
                <w:snapToGrid w:val="0"/>
                <w:color w:val="000000"/>
                <w:position w:val="4"/>
                <w:sz w:val="11"/>
                <w:szCs w:val="0"/>
                <w:u w:color="000000"/>
              </w:rPr>
              <w:t>-1</w:t>
            </w:r>
            <w:r w:rsidRPr="002C028E">
              <w:rPr>
                <w:b/>
              </w:rPr>
              <w:t xml:space="preserve"> DOC</w:t>
            </w:r>
          </w:p>
        </w:tc>
      </w:tr>
      <w:tr w:rsidR="00D85FAC" w:rsidTr="00D85FAC">
        <w:tc>
          <w:tcPr>
            <w:tcW w:w="2635" w:type="dxa"/>
            <w:tcBorders>
              <w:top w:val="single" w:sz="4" w:space="0" w:color="auto"/>
            </w:tcBorders>
          </w:tcPr>
          <w:p w:rsidR="00D85FAC" w:rsidRPr="00FA42FC" w:rsidRDefault="00D85FAC" w:rsidP="00D85FAC">
            <w:pPr>
              <w:pStyle w:val="table1"/>
            </w:pPr>
            <w:r>
              <w:t xml:space="preserve">DOC (mg </w:t>
            </w:r>
            <w:r w:rsidRPr="00FA42FC">
              <w:t>L</w:t>
            </w:r>
            <w:r w:rsidRPr="00696AC0">
              <w:rPr>
                <w:snapToGrid w:val="0"/>
                <w:color w:val="000000"/>
                <w:position w:val="4"/>
                <w:sz w:val="11"/>
                <w:szCs w:val="0"/>
                <w:u w:color="000000"/>
              </w:rPr>
              <w:t>-1</w:t>
            </w:r>
            <w:r w:rsidRPr="00FA42FC">
              <w:t>)</w:t>
            </w:r>
          </w:p>
        </w:tc>
        <w:tc>
          <w:tcPr>
            <w:tcW w:w="2635" w:type="dxa"/>
            <w:tcBorders>
              <w:top w:val="single" w:sz="4" w:space="0" w:color="auto"/>
            </w:tcBorders>
          </w:tcPr>
          <w:p w:rsidR="00D85FAC" w:rsidRDefault="00D85FAC" w:rsidP="00D85FAC">
            <w:pPr>
              <w:pStyle w:val="table1"/>
              <w:jc w:val="center"/>
            </w:pPr>
            <w:r>
              <w:t>10</w:t>
            </w:r>
          </w:p>
        </w:tc>
        <w:tc>
          <w:tcPr>
            <w:tcW w:w="2635" w:type="dxa"/>
            <w:tcBorders>
              <w:top w:val="single" w:sz="4" w:space="0" w:color="auto"/>
            </w:tcBorders>
          </w:tcPr>
          <w:p w:rsidR="00D85FAC" w:rsidRDefault="00D85FAC" w:rsidP="00D85FAC">
            <w:pPr>
              <w:pStyle w:val="table1"/>
              <w:jc w:val="center"/>
            </w:pPr>
            <w:r>
              <w:t>30</w:t>
            </w:r>
          </w:p>
        </w:tc>
      </w:tr>
      <w:tr w:rsidR="00D85FAC" w:rsidTr="00D85FAC">
        <w:tc>
          <w:tcPr>
            <w:tcW w:w="2635" w:type="dxa"/>
          </w:tcPr>
          <w:p w:rsidR="00D85FAC" w:rsidRPr="00FA42FC" w:rsidRDefault="00D85FAC" w:rsidP="00D85FAC">
            <w:pPr>
              <w:pStyle w:val="table1"/>
            </w:pPr>
            <w:r w:rsidRPr="00FA42FC">
              <w:t>IC50 (</w:t>
            </w:r>
            <w:r w:rsidRPr="00FA42FC">
              <w:rPr>
                <w:rFonts w:cs="Arial"/>
              </w:rPr>
              <w:t>µ</w:t>
            </w:r>
            <w:r w:rsidRPr="00FA42FC">
              <w:t>g</w:t>
            </w:r>
            <w:r>
              <w:t xml:space="preserve"> </w:t>
            </w:r>
            <w:r w:rsidRPr="00FA42FC">
              <w:t>L</w:t>
            </w:r>
            <w:r w:rsidRPr="00696AC0">
              <w:rPr>
                <w:snapToGrid w:val="0"/>
                <w:color w:val="000000"/>
                <w:position w:val="4"/>
                <w:sz w:val="11"/>
                <w:szCs w:val="0"/>
                <w:u w:color="000000"/>
              </w:rPr>
              <w:t>-1</w:t>
            </w:r>
            <w:r w:rsidRPr="00FA42FC">
              <w:t xml:space="preserve"> U)</w:t>
            </w:r>
            <w:r>
              <w:rPr>
                <w:vertAlign w:val="superscript"/>
              </w:rPr>
              <w:t>b</w:t>
            </w:r>
          </w:p>
        </w:tc>
        <w:tc>
          <w:tcPr>
            <w:tcW w:w="2635" w:type="dxa"/>
          </w:tcPr>
          <w:p w:rsidR="00D85FAC" w:rsidRDefault="00D85FAC" w:rsidP="00D85FAC">
            <w:pPr>
              <w:pStyle w:val="table1"/>
              <w:jc w:val="center"/>
            </w:pPr>
            <w:r>
              <w:t>57</w:t>
            </w:r>
          </w:p>
        </w:tc>
        <w:tc>
          <w:tcPr>
            <w:tcW w:w="2635" w:type="dxa"/>
          </w:tcPr>
          <w:p w:rsidR="00D85FAC" w:rsidRDefault="00D85FAC" w:rsidP="00D85FAC">
            <w:pPr>
              <w:pStyle w:val="table1"/>
              <w:jc w:val="center"/>
            </w:pPr>
            <w:r>
              <w:t>254</w:t>
            </w:r>
          </w:p>
        </w:tc>
      </w:tr>
      <w:tr w:rsidR="00D85FAC" w:rsidTr="00D85FAC">
        <w:tc>
          <w:tcPr>
            <w:tcW w:w="2635" w:type="dxa"/>
          </w:tcPr>
          <w:p w:rsidR="00D85FAC" w:rsidRPr="00FA42FC" w:rsidRDefault="00D85FAC" w:rsidP="00D85FAC">
            <w:pPr>
              <w:pStyle w:val="table1"/>
            </w:pPr>
            <w:r w:rsidRPr="00FA42FC">
              <w:t>Speciation (% of total U)</w:t>
            </w:r>
          </w:p>
        </w:tc>
        <w:tc>
          <w:tcPr>
            <w:tcW w:w="2635" w:type="dxa"/>
          </w:tcPr>
          <w:p w:rsidR="00D85FAC" w:rsidRDefault="00D85FAC" w:rsidP="00D85FAC">
            <w:pPr>
              <w:pStyle w:val="table1"/>
              <w:jc w:val="center"/>
            </w:pPr>
          </w:p>
        </w:tc>
        <w:tc>
          <w:tcPr>
            <w:tcW w:w="2635" w:type="dxa"/>
          </w:tcPr>
          <w:p w:rsidR="00D85FAC" w:rsidRDefault="00D85FAC" w:rsidP="00D85FAC">
            <w:pPr>
              <w:pStyle w:val="table1"/>
              <w:jc w:val="center"/>
            </w:pPr>
          </w:p>
        </w:tc>
      </w:tr>
      <w:tr w:rsidR="00D85FAC" w:rsidTr="00D85FAC">
        <w:tc>
          <w:tcPr>
            <w:tcW w:w="2635" w:type="dxa"/>
          </w:tcPr>
          <w:p w:rsidR="00D85FAC" w:rsidRPr="00FA42FC" w:rsidRDefault="00D85FAC" w:rsidP="00D85FAC">
            <w:pPr>
              <w:pStyle w:val="table1"/>
              <w:ind w:left="284"/>
            </w:pPr>
            <w:r w:rsidRPr="00FA42FC">
              <w:t>UO</w:t>
            </w:r>
            <w:r w:rsidRPr="00854C55">
              <w:rPr>
                <w:vertAlign w:val="subscript"/>
              </w:rPr>
              <w:t>2</w:t>
            </w:r>
            <w:r w:rsidRPr="00854C55">
              <w:rPr>
                <w:vertAlign w:val="superscript"/>
              </w:rPr>
              <w:t>2+</w:t>
            </w:r>
          </w:p>
        </w:tc>
        <w:tc>
          <w:tcPr>
            <w:tcW w:w="2635" w:type="dxa"/>
          </w:tcPr>
          <w:p w:rsidR="00D85FAC" w:rsidRDefault="00D85FAC" w:rsidP="00D85FAC">
            <w:pPr>
              <w:pStyle w:val="table1"/>
              <w:jc w:val="center"/>
            </w:pPr>
            <w:r>
              <w:t>5.5</w:t>
            </w:r>
          </w:p>
        </w:tc>
        <w:tc>
          <w:tcPr>
            <w:tcW w:w="2635" w:type="dxa"/>
          </w:tcPr>
          <w:p w:rsidR="00D85FAC" w:rsidRDefault="00D85FAC" w:rsidP="00D85FAC">
            <w:pPr>
              <w:pStyle w:val="table1"/>
              <w:jc w:val="center"/>
            </w:pPr>
            <w:r>
              <w:t>&lt;1.0</w:t>
            </w:r>
          </w:p>
        </w:tc>
      </w:tr>
      <w:tr w:rsidR="00D85FAC" w:rsidTr="00D85FAC">
        <w:tc>
          <w:tcPr>
            <w:tcW w:w="2635" w:type="dxa"/>
          </w:tcPr>
          <w:p w:rsidR="00D85FAC" w:rsidRPr="00FA42FC" w:rsidRDefault="00D85FAC" w:rsidP="00D85FAC">
            <w:pPr>
              <w:pStyle w:val="table1"/>
              <w:ind w:left="284"/>
            </w:pPr>
            <w:r w:rsidRPr="00FA42FC">
              <w:rPr>
                <w:lang w:eastAsia="en-AU"/>
              </w:rPr>
              <w:t>UO</w:t>
            </w:r>
            <w:r w:rsidRPr="00FA42FC">
              <w:rPr>
                <w:vertAlign w:val="subscript"/>
                <w:lang w:eastAsia="en-AU"/>
              </w:rPr>
              <w:t>2</w:t>
            </w:r>
            <w:r w:rsidRPr="00FA42FC">
              <w:rPr>
                <w:lang w:eastAsia="en-AU"/>
              </w:rPr>
              <w:t>OH</w:t>
            </w:r>
            <w:r w:rsidRPr="00FA42FC">
              <w:rPr>
                <w:vertAlign w:val="superscript"/>
                <w:lang w:eastAsia="en-AU"/>
              </w:rPr>
              <w:t>+</w:t>
            </w:r>
          </w:p>
        </w:tc>
        <w:tc>
          <w:tcPr>
            <w:tcW w:w="2635" w:type="dxa"/>
          </w:tcPr>
          <w:p w:rsidR="00D85FAC" w:rsidRDefault="00D85FAC" w:rsidP="00D85FAC">
            <w:pPr>
              <w:pStyle w:val="table1"/>
              <w:jc w:val="center"/>
            </w:pPr>
            <w:r>
              <w:t>32</w:t>
            </w:r>
          </w:p>
        </w:tc>
        <w:tc>
          <w:tcPr>
            <w:tcW w:w="2635" w:type="dxa"/>
          </w:tcPr>
          <w:p w:rsidR="00D85FAC" w:rsidRDefault="00D85FAC" w:rsidP="00D85FAC">
            <w:pPr>
              <w:pStyle w:val="table1"/>
              <w:jc w:val="center"/>
            </w:pPr>
            <w:r>
              <w:t>5.0</w:t>
            </w:r>
          </w:p>
        </w:tc>
      </w:tr>
      <w:tr w:rsidR="00D85FAC" w:rsidTr="00D85FAC">
        <w:tc>
          <w:tcPr>
            <w:tcW w:w="2635" w:type="dxa"/>
          </w:tcPr>
          <w:p w:rsidR="00D85FAC" w:rsidRPr="00FA42FC" w:rsidRDefault="00D85FAC" w:rsidP="00D85FAC">
            <w:pPr>
              <w:pStyle w:val="table1"/>
              <w:ind w:left="284"/>
            </w:pPr>
            <w:r w:rsidRPr="00FA42FC">
              <w:rPr>
                <w:lang w:eastAsia="en-AU"/>
              </w:rPr>
              <w:t>UO</w:t>
            </w:r>
            <w:r w:rsidRPr="00FA42FC">
              <w:rPr>
                <w:vertAlign w:val="subscript"/>
                <w:lang w:eastAsia="en-AU"/>
              </w:rPr>
              <w:t>2</w:t>
            </w:r>
            <w:r w:rsidRPr="00FA42FC">
              <w:rPr>
                <w:lang w:eastAsia="en-AU"/>
              </w:rPr>
              <w:t>(OH)</w:t>
            </w:r>
            <w:r w:rsidRPr="00FA42FC">
              <w:rPr>
                <w:vertAlign w:val="subscript"/>
                <w:lang w:eastAsia="en-AU"/>
              </w:rPr>
              <w:t>2</w:t>
            </w:r>
          </w:p>
        </w:tc>
        <w:tc>
          <w:tcPr>
            <w:tcW w:w="2635" w:type="dxa"/>
          </w:tcPr>
          <w:p w:rsidR="00D85FAC" w:rsidRDefault="00D85FAC" w:rsidP="00D85FAC">
            <w:pPr>
              <w:pStyle w:val="table1"/>
              <w:jc w:val="center"/>
            </w:pPr>
            <w:r>
              <w:t>3.6</w:t>
            </w:r>
          </w:p>
        </w:tc>
        <w:tc>
          <w:tcPr>
            <w:tcW w:w="2635" w:type="dxa"/>
          </w:tcPr>
          <w:p w:rsidR="00D85FAC" w:rsidRDefault="00D85FAC" w:rsidP="00D85FAC">
            <w:pPr>
              <w:pStyle w:val="table1"/>
              <w:jc w:val="center"/>
            </w:pPr>
            <w:r>
              <w:t>&lt;1.0</w:t>
            </w:r>
          </w:p>
        </w:tc>
      </w:tr>
      <w:tr w:rsidR="00D85FAC" w:rsidTr="00D85FAC">
        <w:tc>
          <w:tcPr>
            <w:tcW w:w="2635" w:type="dxa"/>
          </w:tcPr>
          <w:p w:rsidR="00D85FAC" w:rsidRPr="00FA42FC" w:rsidRDefault="00D85FAC" w:rsidP="00D85FAC">
            <w:pPr>
              <w:pStyle w:val="table1"/>
              <w:ind w:left="284"/>
            </w:pPr>
            <w:r w:rsidRPr="00FA42FC">
              <w:rPr>
                <w:lang w:eastAsia="en-AU"/>
              </w:rPr>
              <w:t>UO</w:t>
            </w:r>
            <w:r w:rsidRPr="00FA42FC">
              <w:rPr>
                <w:vertAlign w:val="subscript"/>
                <w:lang w:eastAsia="en-AU"/>
              </w:rPr>
              <w:t>2</w:t>
            </w:r>
            <w:r w:rsidRPr="00FA42FC">
              <w:rPr>
                <w:lang w:eastAsia="en-AU"/>
              </w:rPr>
              <w:t>SO</w:t>
            </w:r>
            <w:r w:rsidRPr="00FA42FC">
              <w:rPr>
                <w:vertAlign w:val="subscript"/>
                <w:lang w:eastAsia="en-AU"/>
              </w:rPr>
              <w:t>4</w:t>
            </w:r>
          </w:p>
        </w:tc>
        <w:tc>
          <w:tcPr>
            <w:tcW w:w="2635" w:type="dxa"/>
          </w:tcPr>
          <w:p w:rsidR="00D85FAC" w:rsidRDefault="00D85FAC" w:rsidP="00D85FAC">
            <w:pPr>
              <w:pStyle w:val="table1"/>
              <w:jc w:val="center"/>
            </w:pPr>
            <w:r>
              <w:t>8.8</w:t>
            </w:r>
          </w:p>
        </w:tc>
        <w:tc>
          <w:tcPr>
            <w:tcW w:w="2635" w:type="dxa"/>
          </w:tcPr>
          <w:p w:rsidR="00D85FAC" w:rsidRDefault="00D85FAC" w:rsidP="00D85FAC">
            <w:pPr>
              <w:pStyle w:val="table1"/>
              <w:jc w:val="center"/>
            </w:pPr>
            <w:r>
              <w:t>1.4</w:t>
            </w:r>
          </w:p>
        </w:tc>
      </w:tr>
      <w:tr w:rsidR="00D85FAC" w:rsidTr="00D85FAC">
        <w:tc>
          <w:tcPr>
            <w:tcW w:w="2635" w:type="dxa"/>
          </w:tcPr>
          <w:p w:rsidR="00D85FAC" w:rsidRPr="00FA42FC" w:rsidRDefault="00D85FAC" w:rsidP="00D85FAC">
            <w:pPr>
              <w:pStyle w:val="table1"/>
              <w:ind w:left="284"/>
            </w:pPr>
            <w:r w:rsidRPr="00FA42FC">
              <w:rPr>
                <w:lang w:eastAsia="en-AU"/>
              </w:rPr>
              <w:t>UO</w:t>
            </w:r>
            <w:r w:rsidRPr="00FA42FC">
              <w:rPr>
                <w:vertAlign w:val="subscript"/>
                <w:lang w:eastAsia="en-AU"/>
              </w:rPr>
              <w:t>2</w:t>
            </w:r>
            <w:r w:rsidRPr="00FA42FC">
              <w:rPr>
                <w:lang w:eastAsia="en-AU"/>
              </w:rPr>
              <w:t>HPO</w:t>
            </w:r>
            <w:r w:rsidRPr="00FA42FC">
              <w:rPr>
                <w:vertAlign w:val="subscript"/>
                <w:lang w:eastAsia="en-AU"/>
              </w:rPr>
              <w:t>4</w:t>
            </w:r>
          </w:p>
        </w:tc>
        <w:tc>
          <w:tcPr>
            <w:tcW w:w="2635" w:type="dxa"/>
          </w:tcPr>
          <w:p w:rsidR="00D85FAC" w:rsidRDefault="00D85FAC" w:rsidP="00D85FAC">
            <w:pPr>
              <w:pStyle w:val="table1"/>
              <w:jc w:val="center"/>
            </w:pPr>
            <w:r>
              <w:t>6.0</w:t>
            </w:r>
          </w:p>
        </w:tc>
        <w:tc>
          <w:tcPr>
            <w:tcW w:w="2635" w:type="dxa"/>
          </w:tcPr>
          <w:p w:rsidR="00D85FAC" w:rsidRDefault="00D85FAC" w:rsidP="00D85FAC">
            <w:pPr>
              <w:pStyle w:val="table1"/>
              <w:jc w:val="center"/>
            </w:pPr>
            <w:r>
              <w:t>1.0</w:t>
            </w:r>
          </w:p>
        </w:tc>
      </w:tr>
      <w:tr w:rsidR="00D85FAC" w:rsidTr="00D85FAC">
        <w:tc>
          <w:tcPr>
            <w:tcW w:w="2635" w:type="dxa"/>
          </w:tcPr>
          <w:p w:rsidR="00D85FAC" w:rsidRPr="00FA42FC" w:rsidRDefault="00D85FAC" w:rsidP="00D85FAC">
            <w:pPr>
              <w:pStyle w:val="table1"/>
              <w:ind w:left="284"/>
            </w:pPr>
            <w:r w:rsidRPr="00FA42FC">
              <w:rPr>
                <w:lang w:eastAsia="en-AU"/>
              </w:rPr>
              <w:t>UO</w:t>
            </w:r>
            <w:r w:rsidRPr="00FA42FC">
              <w:rPr>
                <w:vertAlign w:val="subscript"/>
                <w:lang w:eastAsia="en-AU"/>
              </w:rPr>
              <w:t>2</w:t>
            </w:r>
            <w:r w:rsidRPr="00FA42FC">
              <w:rPr>
                <w:lang w:eastAsia="en-AU"/>
              </w:rPr>
              <w:t>ASP</w:t>
            </w:r>
          </w:p>
        </w:tc>
        <w:tc>
          <w:tcPr>
            <w:tcW w:w="2635" w:type="dxa"/>
          </w:tcPr>
          <w:p w:rsidR="00D85FAC" w:rsidRDefault="00D85FAC" w:rsidP="00D85FAC">
            <w:pPr>
              <w:pStyle w:val="table1"/>
              <w:jc w:val="center"/>
            </w:pPr>
            <w:r>
              <w:t>7.3</w:t>
            </w:r>
          </w:p>
        </w:tc>
        <w:tc>
          <w:tcPr>
            <w:tcW w:w="2635" w:type="dxa"/>
          </w:tcPr>
          <w:p w:rsidR="00D85FAC" w:rsidRDefault="00D85FAC" w:rsidP="00D85FAC">
            <w:pPr>
              <w:pStyle w:val="table1"/>
              <w:jc w:val="center"/>
            </w:pPr>
            <w:r>
              <w:t>1.2</w:t>
            </w:r>
          </w:p>
        </w:tc>
      </w:tr>
      <w:tr w:rsidR="00D85FAC" w:rsidTr="00D85FAC">
        <w:tc>
          <w:tcPr>
            <w:tcW w:w="2635" w:type="dxa"/>
          </w:tcPr>
          <w:p w:rsidR="00D85FAC" w:rsidRPr="00FA42FC" w:rsidRDefault="00D85FAC" w:rsidP="00D85FAC">
            <w:pPr>
              <w:pStyle w:val="table1"/>
              <w:ind w:left="284"/>
            </w:pPr>
            <w:r w:rsidRPr="00FA42FC">
              <w:rPr>
                <w:lang w:eastAsia="en-AU"/>
              </w:rPr>
              <w:t>UO</w:t>
            </w:r>
            <w:r w:rsidRPr="00FA42FC">
              <w:rPr>
                <w:vertAlign w:val="subscript"/>
                <w:lang w:eastAsia="en-AU"/>
              </w:rPr>
              <w:t>2</w:t>
            </w:r>
            <w:r w:rsidRPr="00FA42FC">
              <w:rPr>
                <w:lang w:eastAsia="en-AU"/>
              </w:rPr>
              <w:t>OHASP</w:t>
            </w:r>
          </w:p>
        </w:tc>
        <w:tc>
          <w:tcPr>
            <w:tcW w:w="2635" w:type="dxa"/>
          </w:tcPr>
          <w:p w:rsidR="00D85FAC" w:rsidRDefault="00D85FAC" w:rsidP="00D85FAC">
            <w:pPr>
              <w:pStyle w:val="table1"/>
              <w:jc w:val="center"/>
            </w:pPr>
            <w:r>
              <w:t>32</w:t>
            </w:r>
          </w:p>
        </w:tc>
        <w:tc>
          <w:tcPr>
            <w:tcW w:w="2635" w:type="dxa"/>
          </w:tcPr>
          <w:p w:rsidR="00D85FAC" w:rsidRDefault="00D85FAC" w:rsidP="00D85FAC">
            <w:pPr>
              <w:pStyle w:val="table1"/>
              <w:jc w:val="center"/>
            </w:pPr>
            <w:r>
              <w:t>5.1</w:t>
            </w:r>
          </w:p>
        </w:tc>
      </w:tr>
      <w:tr w:rsidR="00D85FAC" w:rsidTr="00D85FAC">
        <w:tc>
          <w:tcPr>
            <w:tcW w:w="2635" w:type="dxa"/>
            <w:tcBorders>
              <w:bottom w:val="single" w:sz="4" w:space="0" w:color="auto"/>
            </w:tcBorders>
          </w:tcPr>
          <w:p w:rsidR="00D85FAC" w:rsidRPr="00FA42FC" w:rsidRDefault="00D85FAC" w:rsidP="00D85FAC">
            <w:pPr>
              <w:pStyle w:val="table1"/>
              <w:ind w:left="284"/>
            </w:pPr>
            <w:r w:rsidRPr="00FA42FC">
              <w:rPr>
                <w:lang w:eastAsia="en-AU"/>
              </w:rPr>
              <w:t>UO</w:t>
            </w:r>
            <w:r w:rsidRPr="00FA42FC">
              <w:rPr>
                <w:vertAlign w:val="subscript"/>
                <w:lang w:eastAsia="en-AU"/>
              </w:rPr>
              <w:t>2</w:t>
            </w:r>
            <w:r w:rsidRPr="00FA42FC">
              <w:rPr>
                <w:lang w:eastAsia="en-AU"/>
              </w:rPr>
              <w:t>SRFA</w:t>
            </w:r>
          </w:p>
        </w:tc>
        <w:tc>
          <w:tcPr>
            <w:tcW w:w="2635" w:type="dxa"/>
            <w:tcBorders>
              <w:bottom w:val="single" w:sz="4" w:space="0" w:color="auto"/>
            </w:tcBorders>
          </w:tcPr>
          <w:p w:rsidR="00D85FAC" w:rsidRDefault="00D85FAC" w:rsidP="00D85FAC">
            <w:pPr>
              <w:pStyle w:val="table1"/>
              <w:jc w:val="center"/>
            </w:pPr>
            <w:r>
              <w:t>na</w:t>
            </w:r>
            <w:r>
              <w:rPr>
                <w:vertAlign w:val="superscript"/>
              </w:rPr>
              <w:t>c</w:t>
            </w:r>
          </w:p>
        </w:tc>
        <w:tc>
          <w:tcPr>
            <w:tcW w:w="2635" w:type="dxa"/>
            <w:tcBorders>
              <w:bottom w:val="single" w:sz="4" w:space="0" w:color="auto"/>
            </w:tcBorders>
          </w:tcPr>
          <w:p w:rsidR="00D85FAC" w:rsidRDefault="00D85FAC" w:rsidP="00D85FAC">
            <w:pPr>
              <w:pStyle w:val="table1"/>
              <w:jc w:val="center"/>
            </w:pPr>
            <w:r>
              <w:t>84</w:t>
            </w:r>
          </w:p>
        </w:tc>
      </w:tr>
    </w:tbl>
    <w:p w:rsidR="00D85FAC" w:rsidRPr="004361F2" w:rsidRDefault="00D85FAC" w:rsidP="00D85FAC">
      <w:pPr>
        <w:pStyle w:val="tablenote"/>
        <w:spacing w:after="0"/>
        <w:rPr>
          <w:rFonts w:ascii="Times New (W1)" w:hAnsi="Times New (W1)"/>
        </w:rPr>
      </w:pPr>
      <w:proofErr w:type="gramStart"/>
      <w:r>
        <w:rPr>
          <w:rFonts w:ascii="Times New (W1)" w:hAnsi="Times New (W1)"/>
          <w:szCs w:val="24"/>
          <w:vertAlign w:val="superscript"/>
        </w:rPr>
        <w:t>a</w:t>
      </w:r>
      <w:proofErr w:type="gramEnd"/>
      <w:r w:rsidRPr="004361F2">
        <w:rPr>
          <w:rFonts w:ascii="Times New (W1)" w:hAnsi="Times New (W1)"/>
        </w:rPr>
        <w:t xml:space="preserve"> See Table 2 for details of </w:t>
      </w:r>
      <w:r>
        <w:rPr>
          <w:rFonts w:ascii="Times New (W1)" w:hAnsi="Times New (W1)"/>
        </w:rPr>
        <w:t>medium composition</w:t>
      </w:r>
    </w:p>
    <w:p w:rsidR="00D85FAC" w:rsidRPr="004361F2" w:rsidRDefault="00D85FAC" w:rsidP="00D85FAC">
      <w:pPr>
        <w:pStyle w:val="tablenote"/>
        <w:spacing w:after="0"/>
        <w:rPr>
          <w:rFonts w:ascii="Times New (W1)" w:hAnsi="Times New (W1)"/>
        </w:rPr>
      </w:pPr>
      <w:proofErr w:type="gramStart"/>
      <w:r>
        <w:rPr>
          <w:szCs w:val="24"/>
          <w:vertAlign w:val="superscript"/>
        </w:rPr>
        <w:t>b</w:t>
      </w:r>
      <w:proofErr w:type="gramEnd"/>
      <w:r w:rsidRPr="007A6E0E">
        <w:rPr>
          <w:szCs w:val="24"/>
        </w:rPr>
        <w:t xml:space="preserve"> </w:t>
      </w:r>
      <w:r w:rsidRPr="004361F2">
        <w:rPr>
          <w:rFonts w:ascii="Times New (W1)" w:hAnsi="Times New (W1)"/>
        </w:rPr>
        <w:t xml:space="preserve">U concentration at which there was 50% reduction in growth of </w:t>
      </w:r>
      <w:r w:rsidRPr="004361F2">
        <w:rPr>
          <w:rFonts w:ascii="Times New (W1)" w:hAnsi="Times New (W1)"/>
          <w:i/>
        </w:rPr>
        <w:t>E. gracilis</w:t>
      </w:r>
      <w:r w:rsidRPr="004361F2">
        <w:rPr>
          <w:rFonts w:ascii="Times New (W1)" w:hAnsi="Times New (W1)"/>
        </w:rPr>
        <w:t xml:space="preserve"> over 96 h</w:t>
      </w:r>
    </w:p>
    <w:p w:rsidR="00D85FAC" w:rsidRDefault="00D85FAC" w:rsidP="00D85FAC">
      <w:pPr>
        <w:pStyle w:val="tablenote"/>
        <w:rPr>
          <w:rFonts w:ascii="Times New (W1)" w:hAnsi="Times New (W1)"/>
        </w:rPr>
      </w:pPr>
      <w:proofErr w:type="gramStart"/>
      <w:r w:rsidRPr="004361F2">
        <w:rPr>
          <w:rFonts w:ascii="Times New (W1)" w:hAnsi="Times New (W1)"/>
          <w:szCs w:val="24"/>
          <w:vertAlign w:val="superscript"/>
        </w:rPr>
        <w:t>c</w:t>
      </w:r>
      <w:proofErr w:type="gramEnd"/>
      <w:r w:rsidRPr="004361F2">
        <w:rPr>
          <w:rFonts w:ascii="Times New (W1)" w:hAnsi="Times New (W1)"/>
        </w:rPr>
        <w:t xml:space="preserve"> na: Not applica</w:t>
      </w:r>
      <w:r>
        <w:rPr>
          <w:rFonts w:ascii="Times New (W1)" w:hAnsi="Times New (W1)"/>
        </w:rPr>
        <w:t>ble</w:t>
      </w:r>
    </w:p>
    <w:p w:rsidR="00D85FAC" w:rsidRDefault="00D85FAC" w:rsidP="00D85FAC">
      <w:pPr>
        <w:pStyle w:val="Heading2"/>
      </w:pPr>
      <w:bookmarkStart w:id="189" w:name="_Toc313523468"/>
      <w:bookmarkStart w:id="190" w:name="_Toc316985311"/>
      <w:r>
        <w:lastRenderedPageBreak/>
        <w:t>References</w:t>
      </w:r>
      <w:bookmarkEnd w:id="189"/>
      <w:bookmarkEnd w:id="190"/>
    </w:p>
    <w:p w:rsidR="00D85FAC" w:rsidRPr="00CE2DE8" w:rsidRDefault="00D85FAC" w:rsidP="00D85FAC">
      <w:pPr>
        <w:pStyle w:val="referencelist1"/>
        <w:rPr>
          <w:lang w:eastAsia="en-AU"/>
        </w:rPr>
      </w:pPr>
      <w:proofErr w:type="gramStart"/>
      <w:r w:rsidRPr="00CE2DE8">
        <w:rPr>
          <w:lang w:eastAsia="en-AU"/>
        </w:rPr>
        <w:t>Barillet</w:t>
      </w:r>
      <w:r>
        <w:rPr>
          <w:lang w:eastAsia="en-AU"/>
        </w:rPr>
        <w:t xml:space="preserve"> S, Adam</w:t>
      </w:r>
      <w:r w:rsidRPr="00CE2DE8">
        <w:rPr>
          <w:lang w:eastAsia="en-AU"/>
        </w:rPr>
        <w:t xml:space="preserve"> </w:t>
      </w:r>
      <w:r>
        <w:rPr>
          <w:lang w:eastAsia="en-AU"/>
        </w:rPr>
        <w:t>C, Palluel O &amp; Devaux A 2007.</w:t>
      </w:r>
      <w:proofErr w:type="gramEnd"/>
      <w:r w:rsidRPr="00CE2DE8">
        <w:rPr>
          <w:lang w:eastAsia="en-AU"/>
        </w:rPr>
        <w:t xml:space="preserve"> Bioaccumulation, oxidative stress, and neurotoxicity in </w:t>
      </w:r>
      <w:r w:rsidRPr="00CE2DE8">
        <w:rPr>
          <w:i/>
          <w:iCs/>
          <w:lang w:eastAsia="en-AU"/>
        </w:rPr>
        <w:t>Danio rerio</w:t>
      </w:r>
      <w:r w:rsidRPr="00CE2DE8">
        <w:rPr>
          <w:lang w:eastAsia="en-AU"/>
        </w:rPr>
        <w:t xml:space="preserve"> exposed to different isotopic compositions of uranium. </w:t>
      </w:r>
      <w:r w:rsidRPr="0060716B">
        <w:rPr>
          <w:i/>
          <w:iCs/>
          <w:lang w:eastAsia="en-AU"/>
        </w:rPr>
        <w:t>Environ Toxicol Chem</w:t>
      </w:r>
      <w:r>
        <w:rPr>
          <w:lang w:eastAsia="en-AU"/>
        </w:rPr>
        <w:t xml:space="preserve"> </w:t>
      </w:r>
      <w:r w:rsidRPr="00CE2DE8">
        <w:rPr>
          <w:lang w:eastAsia="en-AU"/>
        </w:rPr>
        <w:t>26</w:t>
      </w:r>
      <w:r>
        <w:rPr>
          <w:lang w:eastAsia="en-AU"/>
        </w:rPr>
        <w:t>, 497–505</w:t>
      </w:r>
    </w:p>
    <w:p w:rsidR="00D85FAC" w:rsidRPr="0070715A" w:rsidRDefault="00D85FAC" w:rsidP="00D85FAC">
      <w:pPr>
        <w:pStyle w:val="referencelist1"/>
        <w:rPr>
          <w:lang w:eastAsia="en-AU"/>
        </w:rPr>
      </w:pPr>
      <w:r>
        <w:rPr>
          <w:lang w:eastAsia="en-AU"/>
        </w:rPr>
        <w:t>Barillet S, Larno V, Floriani</w:t>
      </w:r>
      <w:r w:rsidRPr="0070715A">
        <w:rPr>
          <w:lang w:eastAsia="en-AU"/>
        </w:rPr>
        <w:t xml:space="preserve"> M</w:t>
      </w:r>
      <w:r>
        <w:rPr>
          <w:lang w:eastAsia="en-AU"/>
        </w:rPr>
        <w:t>, Devaux</w:t>
      </w:r>
      <w:r w:rsidRPr="0070715A">
        <w:rPr>
          <w:lang w:eastAsia="en-AU"/>
        </w:rPr>
        <w:t xml:space="preserve"> A</w:t>
      </w:r>
      <w:r>
        <w:rPr>
          <w:lang w:eastAsia="en-AU"/>
        </w:rPr>
        <w:t xml:space="preserve"> &amp;</w:t>
      </w:r>
      <w:r w:rsidRPr="0070715A">
        <w:rPr>
          <w:lang w:eastAsia="en-AU"/>
        </w:rPr>
        <w:t xml:space="preserve"> </w:t>
      </w:r>
      <w:r>
        <w:rPr>
          <w:lang w:eastAsia="en-AU"/>
        </w:rPr>
        <w:t>Adam-Guillermin C 2010.</w:t>
      </w:r>
      <w:r w:rsidRPr="0070715A">
        <w:rPr>
          <w:lang w:eastAsia="en-AU"/>
        </w:rPr>
        <w:t xml:space="preserve"> Ultrastructural effects on gill, muscle, and gonadal tissues induced in zebrafish (</w:t>
      </w:r>
      <w:r w:rsidRPr="0070715A">
        <w:rPr>
          <w:i/>
          <w:iCs/>
          <w:lang w:eastAsia="en-AU"/>
        </w:rPr>
        <w:t>Danio rerio</w:t>
      </w:r>
      <w:r w:rsidRPr="0070715A">
        <w:rPr>
          <w:lang w:eastAsia="en-AU"/>
        </w:rPr>
        <w:t xml:space="preserve">) by a waterborne uranium exposure. </w:t>
      </w:r>
      <w:r w:rsidRPr="0060716B">
        <w:rPr>
          <w:i/>
          <w:lang w:eastAsia="en-AU"/>
        </w:rPr>
        <w:t>Aquatic Toxicology</w:t>
      </w:r>
      <w:r>
        <w:rPr>
          <w:lang w:eastAsia="en-AU"/>
        </w:rPr>
        <w:t xml:space="preserve"> </w:t>
      </w:r>
      <w:r w:rsidRPr="0070715A">
        <w:rPr>
          <w:lang w:eastAsia="en-AU"/>
        </w:rPr>
        <w:t>1</w:t>
      </w:r>
      <w:r>
        <w:rPr>
          <w:lang w:eastAsia="en-AU"/>
        </w:rPr>
        <w:t>00, 295–302</w:t>
      </w:r>
    </w:p>
    <w:p w:rsidR="00D85FAC" w:rsidRPr="006F64C0" w:rsidRDefault="00D85FAC" w:rsidP="00D85FAC">
      <w:pPr>
        <w:pStyle w:val="referencelist1"/>
        <w:rPr>
          <w:lang w:eastAsia="en-AU"/>
        </w:rPr>
      </w:pPr>
      <w:proofErr w:type="gramStart"/>
      <w:r>
        <w:rPr>
          <w:lang w:eastAsia="en-AU"/>
        </w:rPr>
        <w:t>Einicker-Lamas M</w:t>
      </w:r>
      <w:r w:rsidRPr="006F64C0">
        <w:rPr>
          <w:lang w:eastAsia="en-AU"/>
        </w:rPr>
        <w:t>, Soares M</w:t>
      </w:r>
      <w:r>
        <w:rPr>
          <w:lang w:eastAsia="en-AU"/>
        </w:rPr>
        <w:t>J</w:t>
      </w:r>
      <w:r w:rsidRPr="006F64C0">
        <w:rPr>
          <w:lang w:eastAsia="en-AU"/>
        </w:rPr>
        <w:t>, Soares M</w:t>
      </w:r>
      <w:r>
        <w:rPr>
          <w:lang w:eastAsia="en-AU"/>
        </w:rPr>
        <w:t>S &amp; Oliveira</w:t>
      </w:r>
      <w:r w:rsidRPr="006F64C0">
        <w:rPr>
          <w:lang w:eastAsia="en-AU"/>
        </w:rPr>
        <w:t xml:space="preserve"> M</w:t>
      </w:r>
      <w:r>
        <w:rPr>
          <w:lang w:eastAsia="en-AU"/>
        </w:rPr>
        <w:t>M</w:t>
      </w:r>
      <w:r w:rsidRPr="006F64C0">
        <w:rPr>
          <w:lang w:eastAsia="en-AU"/>
        </w:rPr>
        <w:t xml:space="preserve"> 1996</w:t>
      </w:r>
      <w:r>
        <w:rPr>
          <w:lang w:eastAsia="en-AU"/>
        </w:rPr>
        <w:t>.</w:t>
      </w:r>
      <w:proofErr w:type="gramEnd"/>
      <w:r w:rsidRPr="006F64C0">
        <w:rPr>
          <w:lang w:eastAsia="en-AU"/>
        </w:rPr>
        <w:t xml:space="preserve"> </w:t>
      </w:r>
      <w:proofErr w:type="gramStart"/>
      <w:r w:rsidRPr="006F64C0">
        <w:rPr>
          <w:lang w:eastAsia="en-AU"/>
        </w:rPr>
        <w:t xml:space="preserve">Effects of cadmium on </w:t>
      </w:r>
      <w:r w:rsidRPr="006F64C0">
        <w:rPr>
          <w:i/>
          <w:iCs/>
          <w:lang w:eastAsia="en-AU"/>
        </w:rPr>
        <w:t>Euglena gracilis</w:t>
      </w:r>
      <w:r w:rsidRPr="006F64C0">
        <w:rPr>
          <w:lang w:eastAsia="en-AU"/>
        </w:rPr>
        <w:t xml:space="preserve"> membrane lipids.</w:t>
      </w:r>
      <w:proofErr w:type="gramEnd"/>
      <w:r w:rsidRPr="006F64C0">
        <w:rPr>
          <w:lang w:eastAsia="en-AU"/>
        </w:rPr>
        <w:t xml:space="preserve"> </w:t>
      </w:r>
      <w:r w:rsidRPr="0060716B">
        <w:rPr>
          <w:i/>
          <w:iCs/>
          <w:lang w:eastAsia="en-AU"/>
        </w:rPr>
        <w:t>Braz J Med Biol Res</w:t>
      </w:r>
      <w:r w:rsidRPr="006F64C0">
        <w:rPr>
          <w:lang w:eastAsia="en-AU"/>
        </w:rPr>
        <w:t xml:space="preserve"> 29</w:t>
      </w:r>
      <w:r>
        <w:rPr>
          <w:lang w:eastAsia="en-AU"/>
        </w:rPr>
        <w:t>, 941–948</w:t>
      </w:r>
    </w:p>
    <w:p w:rsidR="00D85FAC" w:rsidRDefault="00D85FAC" w:rsidP="00D85FAC">
      <w:pPr>
        <w:pStyle w:val="referencelist1"/>
        <w:rPr>
          <w:lang w:eastAsia="en-AU"/>
        </w:rPr>
      </w:pPr>
      <w:r>
        <w:rPr>
          <w:lang w:eastAsia="en-AU"/>
        </w:rPr>
        <w:t>Hogan AC, van Dam RA, Markich SJ &amp; Camilleri C 2005. Chronic toxicity of uranium to a tropical green alga (</w:t>
      </w:r>
      <w:r>
        <w:rPr>
          <w:i/>
          <w:iCs/>
          <w:lang w:eastAsia="en-AU"/>
        </w:rPr>
        <w:t>Chlorella</w:t>
      </w:r>
      <w:r>
        <w:rPr>
          <w:lang w:eastAsia="en-AU"/>
        </w:rPr>
        <w:t xml:space="preserve"> sp.) in natural waters and the influence of dissolved organic carbon. </w:t>
      </w:r>
      <w:r w:rsidRPr="0060716B">
        <w:rPr>
          <w:i/>
          <w:lang w:eastAsia="en-AU"/>
        </w:rPr>
        <w:t>Aquatic Toxicology</w:t>
      </w:r>
      <w:r>
        <w:rPr>
          <w:lang w:eastAsia="en-AU"/>
        </w:rPr>
        <w:t xml:space="preserve"> 75, 343–353.</w:t>
      </w:r>
    </w:p>
    <w:p w:rsidR="00D85FAC" w:rsidRDefault="00D85FAC" w:rsidP="00D85FAC">
      <w:pPr>
        <w:pStyle w:val="referencelist1"/>
        <w:rPr>
          <w:lang w:eastAsia="en-AU"/>
        </w:rPr>
      </w:pPr>
      <w:proofErr w:type="gramStart"/>
      <w:r>
        <w:rPr>
          <w:lang w:eastAsia="en-AU"/>
        </w:rPr>
        <w:t>Invitrogen 2006.</w:t>
      </w:r>
      <w:proofErr w:type="gramEnd"/>
      <w:r>
        <w:rPr>
          <w:lang w:eastAsia="en-AU"/>
        </w:rPr>
        <w:t xml:space="preserve"> </w:t>
      </w:r>
      <w:proofErr w:type="gramStart"/>
      <w:r w:rsidRPr="00DC616D">
        <w:rPr>
          <w:lang w:eastAsia="en-AU"/>
        </w:rPr>
        <w:t>Reactive Oxygen Sp</w:t>
      </w:r>
      <w:r>
        <w:rPr>
          <w:lang w:eastAsia="en-AU"/>
        </w:rPr>
        <w:t>ecies (ROS) Detection Reagents.</w:t>
      </w:r>
      <w:proofErr w:type="gramEnd"/>
      <w:r w:rsidRPr="00DC616D">
        <w:rPr>
          <w:lang w:eastAsia="en-AU"/>
        </w:rPr>
        <w:t xml:space="preserve"> Available at: </w:t>
      </w:r>
      <w:hyperlink r:id="rId91" w:history="1">
        <w:r w:rsidRPr="00792DF5">
          <w:rPr>
            <w:rStyle w:val="Hyperlink"/>
            <w:rFonts w:eastAsiaTheme="majorEastAsia" w:cs="Arial"/>
            <w:lang w:eastAsia="en-AU"/>
          </w:rPr>
          <w:t>http://probes.invitrogen.com/media/pis/mp36103.pdf</w:t>
        </w:r>
      </w:hyperlink>
      <w:r>
        <w:rPr>
          <w:lang w:eastAsia="en-AU"/>
        </w:rPr>
        <w:t>. Accessed Jan 2011</w:t>
      </w:r>
    </w:p>
    <w:p w:rsidR="00D85FAC" w:rsidRPr="00F1706F" w:rsidRDefault="00D85FAC" w:rsidP="00D85FAC">
      <w:pPr>
        <w:pStyle w:val="referencelist1"/>
        <w:rPr>
          <w:lang w:eastAsia="en-AU"/>
        </w:rPr>
      </w:pPr>
      <w:proofErr w:type="gramStart"/>
      <w:r>
        <w:rPr>
          <w:lang w:eastAsia="en-AU"/>
        </w:rPr>
        <w:t xml:space="preserve">Koren LE &amp; Hutner SH </w:t>
      </w:r>
      <w:r w:rsidRPr="00F1706F">
        <w:rPr>
          <w:lang w:eastAsia="en-AU"/>
        </w:rPr>
        <w:t>1967</w:t>
      </w:r>
      <w:r>
        <w:rPr>
          <w:lang w:eastAsia="en-AU"/>
        </w:rPr>
        <w:t>.</w:t>
      </w:r>
      <w:proofErr w:type="gramEnd"/>
      <w:r w:rsidRPr="00F1706F">
        <w:rPr>
          <w:lang w:eastAsia="en-AU"/>
        </w:rPr>
        <w:t xml:space="preserve"> </w:t>
      </w:r>
      <w:proofErr w:type="gramStart"/>
      <w:r w:rsidRPr="00F1706F">
        <w:rPr>
          <w:lang w:eastAsia="en-AU"/>
        </w:rPr>
        <w:t xml:space="preserve">High-yield media for photosynthesizing </w:t>
      </w:r>
      <w:r w:rsidRPr="00F1706F">
        <w:rPr>
          <w:i/>
          <w:iCs/>
          <w:lang w:eastAsia="en-AU"/>
        </w:rPr>
        <w:t>Euglena gracilis</w:t>
      </w:r>
      <w:r w:rsidRPr="00F1706F">
        <w:rPr>
          <w:lang w:eastAsia="en-AU"/>
        </w:rPr>
        <w:t xml:space="preserve"> Z. </w:t>
      </w:r>
      <w:r w:rsidRPr="0060716B">
        <w:rPr>
          <w:i/>
          <w:iCs/>
          <w:lang w:eastAsia="en-AU"/>
        </w:rPr>
        <w:t>J. Protozool.</w:t>
      </w:r>
      <w:proofErr w:type="gramEnd"/>
      <w:r w:rsidRPr="0060716B">
        <w:rPr>
          <w:i/>
          <w:lang w:eastAsia="en-AU"/>
        </w:rPr>
        <w:t xml:space="preserve"> </w:t>
      </w:r>
      <w:proofErr w:type="gramStart"/>
      <w:r w:rsidRPr="0060716B">
        <w:rPr>
          <w:i/>
          <w:lang w:eastAsia="en-AU"/>
        </w:rPr>
        <w:t xml:space="preserve">(suppl.) </w:t>
      </w:r>
      <w:r>
        <w:rPr>
          <w:lang w:eastAsia="en-AU"/>
        </w:rPr>
        <w:t>14, 17.</w:t>
      </w:r>
      <w:proofErr w:type="gramEnd"/>
    </w:p>
    <w:p w:rsidR="00D85FAC" w:rsidRPr="00EC7916" w:rsidRDefault="00D85FAC" w:rsidP="00D85FAC">
      <w:pPr>
        <w:pStyle w:val="referencelist1"/>
        <w:rPr>
          <w:lang w:eastAsia="en-AU"/>
        </w:rPr>
      </w:pPr>
      <w:proofErr w:type="gramStart"/>
      <w:r>
        <w:rPr>
          <w:lang w:eastAsia="en-AU"/>
        </w:rPr>
        <w:t>Markich SJ, Brown</w:t>
      </w:r>
      <w:r w:rsidRPr="00EC7916">
        <w:rPr>
          <w:lang w:eastAsia="en-AU"/>
        </w:rPr>
        <w:t xml:space="preserve"> PL</w:t>
      </w:r>
      <w:r>
        <w:rPr>
          <w:lang w:eastAsia="en-AU"/>
        </w:rPr>
        <w:t>, Jeffree RA &amp; Lim RP 2000.</w:t>
      </w:r>
      <w:proofErr w:type="gramEnd"/>
      <w:r w:rsidRPr="00EC7916">
        <w:rPr>
          <w:lang w:eastAsia="en-AU"/>
        </w:rPr>
        <w:t xml:space="preserve"> Valve movement responses of </w:t>
      </w:r>
      <w:r w:rsidRPr="00EC7916">
        <w:rPr>
          <w:i/>
          <w:iCs/>
          <w:lang w:eastAsia="en-AU"/>
        </w:rPr>
        <w:t>Velesunio angasi</w:t>
      </w:r>
      <w:r w:rsidRPr="00EC7916">
        <w:rPr>
          <w:lang w:eastAsia="en-AU"/>
        </w:rPr>
        <w:t xml:space="preserve"> (Bivalvia: Hyriidae) to manganese and uranium: an exception to the free ion activity model. </w:t>
      </w:r>
      <w:r w:rsidRPr="0060716B">
        <w:rPr>
          <w:i/>
          <w:lang w:eastAsia="en-AU"/>
        </w:rPr>
        <w:t>Aquatic Toxicology</w:t>
      </w:r>
      <w:r>
        <w:rPr>
          <w:lang w:eastAsia="en-AU"/>
        </w:rPr>
        <w:t xml:space="preserve"> 51, 155–175.</w:t>
      </w:r>
    </w:p>
    <w:p w:rsidR="00D85FAC" w:rsidRDefault="00D85FAC" w:rsidP="00D85FAC">
      <w:pPr>
        <w:pStyle w:val="referencelist1"/>
        <w:rPr>
          <w:lang w:eastAsia="en-AU"/>
        </w:rPr>
      </w:pPr>
      <w:r>
        <w:rPr>
          <w:lang w:eastAsia="en-AU"/>
        </w:rPr>
        <w:t>Periyakaruppan</w:t>
      </w:r>
      <w:r w:rsidRPr="00492745">
        <w:rPr>
          <w:lang w:eastAsia="en-AU"/>
        </w:rPr>
        <w:t xml:space="preserve"> A</w:t>
      </w:r>
      <w:r>
        <w:rPr>
          <w:lang w:eastAsia="en-AU"/>
        </w:rPr>
        <w:t>, Kumar F</w:t>
      </w:r>
      <w:r w:rsidRPr="00492745">
        <w:rPr>
          <w:lang w:eastAsia="en-AU"/>
        </w:rPr>
        <w:t>, Sarkar</w:t>
      </w:r>
      <w:r>
        <w:rPr>
          <w:lang w:eastAsia="en-AU"/>
        </w:rPr>
        <w:t xml:space="preserve"> S</w:t>
      </w:r>
      <w:r w:rsidRPr="00492745">
        <w:rPr>
          <w:lang w:eastAsia="en-AU"/>
        </w:rPr>
        <w:t>, S</w:t>
      </w:r>
      <w:r>
        <w:rPr>
          <w:lang w:eastAsia="en-AU"/>
        </w:rPr>
        <w:t xml:space="preserve">harma CS &amp; Ramesh GT </w:t>
      </w:r>
      <w:r w:rsidRPr="00492745">
        <w:rPr>
          <w:lang w:eastAsia="en-AU"/>
        </w:rPr>
        <w:t>2007</w:t>
      </w:r>
      <w:r>
        <w:rPr>
          <w:lang w:eastAsia="en-AU"/>
        </w:rPr>
        <w:t>.</w:t>
      </w:r>
      <w:r w:rsidRPr="00492745">
        <w:rPr>
          <w:lang w:eastAsia="en-AU"/>
        </w:rPr>
        <w:t xml:space="preserve"> Uranium induces oxidative stress in lung epithelial cells. </w:t>
      </w:r>
      <w:r w:rsidRPr="007E7D77">
        <w:rPr>
          <w:i/>
          <w:iCs/>
          <w:lang w:eastAsia="en-AU"/>
        </w:rPr>
        <w:t xml:space="preserve">Archives of </w:t>
      </w:r>
      <w:r w:rsidRPr="0060716B">
        <w:rPr>
          <w:i/>
          <w:lang w:eastAsia="en-AU"/>
        </w:rPr>
        <w:t>Toxicology</w:t>
      </w:r>
      <w:r>
        <w:rPr>
          <w:lang w:eastAsia="en-AU"/>
        </w:rPr>
        <w:t xml:space="preserve"> 81, 389–395.</w:t>
      </w:r>
    </w:p>
    <w:p w:rsidR="00D85FAC" w:rsidRPr="00AF61C3" w:rsidRDefault="00D85FAC" w:rsidP="00D85FAC">
      <w:pPr>
        <w:pStyle w:val="referencelist1"/>
        <w:rPr>
          <w:lang w:eastAsia="en-AU"/>
        </w:rPr>
      </w:pPr>
      <w:r>
        <w:rPr>
          <w:lang w:eastAsia="en-AU"/>
        </w:rPr>
        <w:t>Ribera D, Labrot, F, Tisnerat G &amp;</w:t>
      </w:r>
      <w:r w:rsidRPr="00AF61C3">
        <w:rPr>
          <w:lang w:eastAsia="en-AU"/>
        </w:rPr>
        <w:t xml:space="preserve"> Narbonne</w:t>
      </w:r>
      <w:r>
        <w:rPr>
          <w:lang w:eastAsia="en-AU"/>
        </w:rPr>
        <w:t xml:space="preserve"> JF</w:t>
      </w:r>
      <w:r w:rsidRPr="00AF61C3">
        <w:rPr>
          <w:lang w:eastAsia="en-AU"/>
        </w:rPr>
        <w:t xml:space="preserve"> 1996</w:t>
      </w:r>
      <w:r>
        <w:rPr>
          <w:lang w:eastAsia="en-AU"/>
        </w:rPr>
        <w:t>.</w:t>
      </w:r>
      <w:r w:rsidRPr="00AF61C3">
        <w:rPr>
          <w:lang w:eastAsia="en-AU"/>
        </w:rPr>
        <w:t xml:space="preserve"> Uranium in the environment: occurrence, transfer and biological effects. </w:t>
      </w:r>
      <w:r w:rsidRPr="007E7D77">
        <w:rPr>
          <w:i/>
          <w:iCs/>
          <w:lang w:eastAsia="en-AU"/>
        </w:rPr>
        <w:t>Rev. Environ Contamin Toxicol</w:t>
      </w:r>
      <w:r>
        <w:rPr>
          <w:lang w:eastAsia="en-AU"/>
        </w:rPr>
        <w:t xml:space="preserve"> 146, 53–89.</w:t>
      </w:r>
    </w:p>
    <w:p w:rsidR="00D85FAC" w:rsidRDefault="00D85FAC" w:rsidP="00D85FAC">
      <w:pPr>
        <w:pStyle w:val="referencelist1"/>
        <w:rPr>
          <w:lang w:eastAsia="en-AU"/>
        </w:rPr>
      </w:pPr>
      <w:r>
        <w:rPr>
          <w:lang w:eastAsia="en-AU"/>
        </w:rPr>
        <w:t>Trenfield MA, Ng JC, Noller BN, Markich SJ &amp; van Dam</w:t>
      </w:r>
      <w:r>
        <w:rPr>
          <w:vertAlign w:val="superscript"/>
          <w:lang w:eastAsia="en-AU"/>
        </w:rPr>
        <w:t xml:space="preserve"> </w:t>
      </w:r>
      <w:r>
        <w:rPr>
          <w:lang w:eastAsia="en-AU"/>
        </w:rPr>
        <w:t xml:space="preserve">RA 2011. Dissolved organic carbon reduces uranium bioavailability and toxicity. 2. </w:t>
      </w:r>
      <w:proofErr w:type="gramStart"/>
      <w:r>
        <w:rPr>
          <w:lang w:eastAsia="en-AU"/>
        </w:rPr>
        <w:t>Uranium[</w:t>
      </w:r>
      <w:proofErr w:type="gramEnd"/>
      <w:r>
        <w:rPr>
          <w:lang w:eastAsia="en-AU"/>
        </w:rPr>
        <w:t xml:space="preserve">VI] speciation and toxicity to three tropical freshwater organisms. </w:t>
      </w:r>
      <w:r w:rsidRPr="007E7D77">
        <w:rPr>
          <w:i/>
          <w:iCs/>
          <w:lang w:eastAsia="en-AU"/>
        </w:rPr>
        <w:t>Environ Sci Technol</w:t>
      </w:r>
      <w:r>
        <w:rPr>
          <w:lang w:eastAsia="en-AU"/>
        </w:rPr>
        <w:t xml:space="preserve"> 45, 3082–3089.</w:t>
      </w:r>
    </w:p>
    <w:p w:rsidR="00D85FAC" w:rsidRDefault="00D85FAC" w:rsidP="00D85FAC">
      <w:pPr>
        <w:pStyle w:val="referencelist1"/>
        <w:rPr>
          <w:lang w:eastAsia="en-AU"/>
        </w:rPr>
      </w:pPr>
      <w:r>
        <w:rPr>
          <w:lang w:eastAsia="en-AU"/>
        </w:rPr>
        <w:t xml:space="preserve">Watanabe M, Suzuki T </w:t>
      </w:r>
      <w:r w:rsidRPr="002C0F5A">
        <w:rPr>
          <w:lang w:eastAsia="en-AU"/>
        </w:rPr>
        <w:t>2002</w:t>
      </w:r>
      <w:r>
        <w:rPr>
          <w:lang w:eastAsia="en-AU"/>
        </w:rPr>
        <w:t>.</w:t>
      </w:r>
      <w:r w:rsidRPr="002C0F5A">
        <w:rPr>
          <w:lang w:eastAsia="en-AU"/>
        </w:rPr>
        <w:t xml:space="preserve"> </w:t>
      </w:r>
      <w:proofErr w:type="gramStart"/>
      <w:r w:rsidRPr="002C0F5A">
        <w:rPr>
          <w:lang w:eastAsia="en-AU"/>
        </w:rPr>
        <w:t xml:space="preserve">Involvement of reactive oxygen stress in cadmium-induced cellular damage in </w:t>
      </w:r>
      <w:r w:rsidRPr="002C0F5A">
        <w:rPr>
          <w:i/>
          <w:iCs/>
          <w:lang w:eastAsia="en-AU"/>
        </w:rPr>
        <w:t>Euglena gracilis</w:t>
      </w:r>
      <w:r w:rsidRPr="002C0F5A">
        <w:rPr>
          <w:lang w:eastAsia="en-AU"/>
        </w:rPr>
        <w:t>.</w:t>
      </w:r>
      <w:proofErr w:type="gramEnd"/>
      <w:r w:rsidRPr="002C0F5A">
        <w:rPr>
          <w:lang w:eastAsia="en-AU"/>
        </w:rPr>
        <w:t xml:space="preserve"> </w:t>
      </w:r>
      <w:proofErr w:type="gramStart"/>
      <w:r w:rsidRPr="007E7D77">
        <w:rPr>
          <w:i/>
          <w:iCs/>
          <w:lang w:eastAsia="en-AU"/>
        </w:rPr>
        <w:t>Comp</w:t>
      </w:r>
      <w:proofErr w:type="gramEnd"/>
      <w:r w:rsidRPr="007E7D77">
        <w:rPr>
          <w:i/>
          <w:iCs/>
          <w:lang w:eastAsia="en-AU"/>
        </w:rPr>
        <w:t xml:space="preserve"> Biochem Phys</w:t>
      </w:r>
      <w:r w:rsidRPr="003F0CE4">
        <w:rPr>
          <w:iCs/>
          <w:lang w:eastAsia="en-AU"/>
        </w:rPr>
        <w:t xml:space="preserve"> C</w:t>
      </w:r>
      <w:r>
        <w:rPr>
          <w:lang w:eastAsia="en-AU"/>
        </w:rPr>
        <w:t xml:space="preserve"> 131, 491–500.</w:t>
      </w:r>
    </w:p>
    <w:p w:rsidR="00D85FAC" w:rsidRDefault="00D85FAC" w:rsidP="00D85FAC">
      <w:pPr>
        <w:pStyle w:val="referencelist1"/>
        <w:rPr>
          <w:lang w:eastAsia="en-AU"/>
        </w:rPr>
      </w:pPr>
      <w:r>
        <w:rPr>
          <w:lang w:eastAsia="en-AU"/>
        </w:rPr>
        <w:t>Zeman FA, Gilbin</w:t>
      </w:r>
      <w:r w:rsidRPr="000772D8">
        <w:rPr>
          <w:lang w:eastAsia="en-AU"/>
        </w:rPr>
        <w:t xml:space="preserve"> R</w:t>
      </w:r>
      <w:r>
        <w:rPr>
          <w:lang w:eastAsia="en-AU"/>
        </w:rPr>
        <w:t>, Alonzo F, Lecomte-Pradines C</w:t>
      </w:r>
      <w:r w:rsidRPr="000772D8">
        <w:rPr>
          <w:lang w:eastAsia="en-AU"/>
        </w:rPr>
        <w:t>, Garni</w:t>
      </w:r>
      <w:r>
        <w:rPr>
          <w:lang w:eastAsia="en-AU"/>
        </w:rPr>
        <w:t xml:space="preserve">er-Laplace J, Aliaume C </w:t>
      </w:r>
      <w:r w:rsidRPr="000772D8">
        <w:rPr>
          <w:lang w:eastAsia="en-AU"/>
        </w:rPr>
        <w:t>2008</w:t>
      </w:r>
      <w:r>
        <w:rPr>
          <w:lang w:eastAsia="en-AU"/>
        </w:rPr>
        <w:t>.</w:t>
      </w:r>
      <w:r w:rsidRPr="000772D8">
        <w:rPr>
          <w:lang w:eastAsia="en-AU"/>
        </w:rPr>
        <w:t xml:space="preserve"> </w:t>
      </w:r>
      <w:proofErr w:type="gramStart"/>
      <w:r w:rsidRPr="000772D8">
        <w:rPr>
          <w:lang w:eastAsia="en-AU"/>
        </w:rPr>
        <w:t xml:space="preserve">Effects of waterborne uranium on survival, growth, reproduction and physiological processes of the freshwater cladoceran </w:t>
      </w:r>
      <w:r w:rsidRPr="000772D8">
        <w:rPr>
          <w:i/>
          <w:iCs/>
          <w:lang w:eastAsia="en-AU"/>
        </w:rPr>
        <w:t>Daphnia magna</w:t>
      </w:r>
      <w:r w:rsidRPr="000772D8">
        <w:rPr>
          <w:lang w:eastAsia="en-AU"/>
        </w:rPr>
        <w:t>.</w:t>
      </w:r>
      <w:proofErr w:type="gramEnd"/>
      <w:r w:rsidRPr="000772D8">
        <w:rPr>
          <w:lang w:eastAsia="en-AU"/>
        </w:rPr>
        <w:t xml:space="preserve"> </w:t>
      </w:r>
      <w:r w:rsidRPr="00FC7DB8">
        <w:rPr>
          <w:i/>
          <w:iCs/>
          <w:lang w:eastAsia="en-AU"/>
        </w:rPr>
        <w:t>Aquatic Toxicology</w:t>
      </w:r>
      <w:r>
        <w:rPr>
          <w:lang w:eastAsia="en-AU"/>
        </w:rPr>
        <w:t xml:space="preserve"> 86, 370–378.</w:t>
      </w:r>
    </w:p>
    <w:p w:rsidR="00D85FAC" w:rsidRDefault="00D85FAC" w:rsidP="00D85FAC">
      <w:pPr>
        <w:pStyle w:val="referencelist1"/>
        <w:rPr>
          <w:lang w:eastAsia="en-AU"/>
        </w:rPr>
      </w:pPr>
    </w:p>
    <w:p w:rsidR="00D85FAC" w:rsidRDefault="00D85FAC" w:rsidP="00D85FAC">
      <w:pPr>
        <w:pStyle w:val="Heading2"/>
        <w:rPr>
          <w:lang w:eastAsia="en-AU"/>
        </w:rPr>
        <w:sectPr w:rsidR="00D85FAC" w:rsidSect="00D85FAC">
          <w:headerReference w:type="default" r:id="rId92"/>
          <w:footnotePr>
            <w:numRestart w:val="eachSect"/>
          </w:footnotePr>
          <w:pgSz w:w="11906" w:h="16838" w:code="9"/>
          <w:pgMar w:top="1440" w:right="1797" w:bottom="1440" w:left="1797" w:header="851" w:footer="833" w:gutter="0"/>
          <w:cols w:space="360"/>
          <w:noEndnote/>
          <w:titlePg/>
        </w:sectPr>
      </w:pPr>
      <w:bookmarkStart w:id="191" w:name="_Toc308710353"/>
      <w:bookmarkStart w:id="192" w:name="_Toc309215794"/>
    </w:p>
    <w:p w:rsidR="00D85FAC" w:rsidRDefault="00D85FAC" w:rsidP="00D85FAC">
      <w:pPr>
        <w:pStyle w:val="Heading1"/>
        <w:rPr>
          <w:lang w:val="en-US"/>
        </w:rPr>
      </w:pPr>
      <w:bookmarkStart w:id="193" w:name="_Toc309215796"/>
      <w:bookmarkStart w:id="194" w:name="_Toc319670719"/>
      <w:bookmarkEnd w:id="191"/>
      <w:bookmarkEnd w:id="192"/>
      <w:r>
        <w:rPr>
          <w:lang w:val="en-US"/>
        </w:rPr>
        <w:lastRenderedPageBreak/>
        <w:t xml:space="preserve">Recent developments in </w:t>
      </w:r>
      <w:r w:rsidRPr="00480590">
        <w:rPr>
          <w:lang w:val="en-US"/>
        </w:rPr>
        <w:t xml:space="preserve">Magela Creek </w:t>
      </w:r>
      <w:r>
        <w:rPr>
          <w:lang w:val="en-US"/>
        </w:rPr>
        <w:br/>
      </w:r>
      <w:r w:rsidRPr="00480590">
        <w:rPr>
          <w:lang w:val="en-US"/>
        </w:rPr>
        <w:t>solute load</w:t>
      </w:r>
      <w:bookmarkEnd w:id="193"/>
      <w:r>
        <w:rPr>
          <w:lang w:val="en-US"/>
        </w:rPr>
        <w:t>s</w:t>
      </w:r>
      <w:bookmarkEnd w:id="194"/>
    </w:p>
    <w:p w:rsidR="00D85FAC" w:rsidRPr="008E44C5" w:rsidRDefault="00D85FAC" w:rsidP="00D85FAC">
      <w:pPr>
        <w:pStyle w:val="authors"/>
        <w:spacing w:after="800"/>
      </w:pPr>
      <w:bookmarkStart w:id="195" w:name="_Toc316987222"/>
      <w:bookmarkStart w:id="196" w:name="_Toc319670720"/>
      <w:r>
        <w:t>K Turner, DR Jones &amp; WD Erskine</w:t>
      </w:r>
      <w:bookmarkEnd w:id="195"/>
      <w:bookmarkEnd w:id="196"/>
    </w:p>
    <w:p w:rsidR="00D85FAC" w:rsidRPr="00FC7DB8" w:rsidRDefault="00D85FAC" w:rsidP="00D85FAC">
      <w:pPr>
        <w:rPr>
          <w:spacing w:val="-2"/>
        </w:rPr>
      </w:pPr>
      <w:r w:rsidRPr="00FC7DB8">
        <w:rPr>
          <w:spacing w:val="-2"/>
        </w:rPr>
        <w:t>The Supervising Scientist Division (SSD) undertakes comprehensive water quality monitoring to ensure the protection of the Ramsar-listed Magela Creek wetlands and the people living semi-traditional livelihoods, downstream of the Ranger uranium mine (RUM). This leading practice program has been developed over a number of years, progressively incorporating improved methods and state-of-the-art technology. The most recent improvement has involved the implementation of routine continuous water quality monitoring. During the five year period of development of this method (</w:t>
      </w:r>
      <w:r>
        <w:rPr>
          <w:spacing w:val="-2"/>
        </w:rPr>
        <w:t>Turner et al 2008, Turner &amp; Jones 2009, 2010, Frostick et al 2011</w:t>
      </w:r>
      <w:r w:rsidRPr="00FC7DB8">
        <w:rPr>
          <w:spacing w:val="-2"/>
        </w:rPr>
        <w:t>) there was regular engagement with stakeholders to communicate the results, and to develop a shared understanding of the power of continuous monitoring compared with discrete, weekly grab sampling. Starting with the 2010–11 wet season, continuous monitoring, incorporating event-based collection of water samples (fully automate</w:t>
      </w:r>
      <w:r>
        <w:rPr>
          <w:spacing w:val="-2"/>
        </w:rPr>
        <w:t>d using programmed pump samplers</w:t>
      </w:r>
      <w:r w:rsidRPr="00FC7DB8">
        <w:rPr>
          <w:spacing w:val="-2"/>
        </w:rPr>
        <w:t>), has replaced grab sa</w:t>
      </w:r>
      <w:r>
        <w:rPr>
          <w:spacing w:val="-2"/>
        </w:rPr>
        <w:t>mpling as the primary method of</w:t>
      </w:r>
      <w:r w:rsidRPr="00FC7DB8">
        <w:rPr>
          <w:spacing w:val="-2"/>
        </w:rPr>
        <w:t xml:space="preserve"> measuring water quality in Magela and Gulungul Creeks. The validated monitoring data are posted weekly in arrears on the SSD website for viewing by both stakeholders and the general community. </w:t>
      </w:r>
    </w:p>
    <w:p w:rsidR="00D85FAC" w:rsidRDefault="00D85FAC" w:rsidP="00D85FAC">
      <w:r>
        <w:t>As well as providing primary water quality data (electrical conductivity, turbidity and pH) in Magela and Gulungul Creeks for impact assessment and community assurance purposes, the continuous monitoring data have been used to develop an annual mine ‘solute budget’ (Turner &amp; Jones 2009, 2010). In principle, this enables tracking and comparison from one year to the next of annual solute loads transported by Magela Creek upstream and downstream of the mine, allowing an assessment of the annual performance of the site’s mine water management system. The calculation of a robust and internally consistent solute budget depends on detailed analysis of the data from SSD’s upstream and downstream monitoring stations, used in conjunction with data from sites that are monitored by ERA.</w:t>
      </w:r>
    </w:p>
    <w:p w:rsidR="00D85FAC" w:rsidRDefault="00D85FAC" w:rsidP="00D85FAC">
      <w:r>
        <w:t xml:space="preserve">The anabranching Magela Creek channel (Nanson et al 1993) splits into three channels a short distance upstream of the location of SSD’s downstream site, with SSD’s monitoring station being located on the west anabranch. The west anabranch receives flow at all times with the central and east anabranches conveying water only during medium to high flows. Over the last three wet seasons the issue of flow splitting was systematically addressed by carrying out a number of stream gauging measurements to determine the relationship between total stream discharge and that which is conveyed by the west anabranch in which SSD’s monitoring pontoon is located. </w:t>
      </w:r>
    </w:p>
    <w:p w:rsidR="00D85FAC" w:rsidRPr="00524840" w:rsidRDefault="00D85FAC" w:rsidP="00D85FAC">
      <w:r w:rsidRPr="00524840">
        <w:t>Unfortunately at the time</w:t>
      </w:r>
      <w:r>
        <w:t xml:space="preserve"> of writing</w:t>
      </w:r>
      <w:r w:rsidRPr="00524840">
        <w:t xml:space="preserve"> this report</w:t>
      </w:r>
      <w:r>
        <w:t>,</w:t>
      </w:r>
      <w:r w:rsidRPr="00524840">
        <w:t xml:space="preserve"> SSD had not received the required on-site tributary data from ERA. As a result</w:t>
      </w:r>
      <w:r>
        <w:t>,</w:t>
      </w:r>
      <w:r w:rsidRPr="00524840">
        <w:t xml:space="preserve"> reporting of the most recent solute loads from the mine site itself, and comparison with previous years, will not be able to be </w:t>
      </w:r>
      <w:proofErr w:type="gramStart"/>
      <w:r>
        <w:t xml:space="preserve">completed </w:t>
      </w:r>
      <w:r w:rsidRPr="00524840">
        <w:t xml:space="preserve"> until</w:t>
      </w:r>
      <w:proofErr w:type="gramEnd"/>
      <w:r>
        <w:t xml:space="preserve"> 2012. This update</w:t>
      </w:r>
      <w:r w:rsidRPr="00524840">
        <w:t xml:space="preserve"> will therefore focus on the overall solute loads transported by Magela Creek, wi</w:t>
      </w:r>
      <w:r>
        <w:t>th comparison between the total</w:t>
      </w:r>
      <w:r w:rsidRPr="00524840">
        <w:t xml:space="preserve"> loads upstr</w:t>
      </w:r>
      <w:r>
        <w:t>eam and downstream of the mine.</w:t>
      </w:r>
    </w:p>
    <w:p w:rsidR="00D85FAC" w:rsidRDefault="00D85FAC" w:rsidP="00D85FAC">
      <w:pPr>
        <w:spacing w:after="0" w:line="240" w:lineRule="auto"/>
        <w:jc w:val="left"/>
        <w:rPr>
          <w:rFonts w:ascii="Arial" w:hAnsi="Arial"/>
          <w:b/>
          <w:sz w:val="28"/>
        </w:rPr>
      </w:pPr>
      <w:bookmarkStart w:id="197" w:name="_Toc303074381"/>
      <w:bookmarkStart w:id="198" w:name="_Toc308710355"/>
      <w:r>
        <w:br w:type="page"/>
      </w:r>
    </w:p>
    <w:p w:rsidR="00D85FAC" w:rsidRPr="00480590" w:rsidRDefault="00D85FAC" w:rsidP="00D85FAC">
      <w:pPr>
        <w:pStyle w:val="Heading2"/>
      </w:pPr>
      <w:bookmarkStart w:id="199" w:name="_Toc313523470"/>
      <w:bookmarkStart w:id="200" w:name="_Toc316985313"/>
      <w:r w:rsidRPr="00480590">
        <w:lastRenderedPageBreak/>
        <w:t>Electrical conductivity – magnesium relationships</w:t>
      </w:r>
      <w:bookmarkEnd w:id="197"/>
      <w:bookmarkEnd w:id="198"/>
      <w:bookmarkEnd w:id="199"/>
      <w:bookmarkEnd w:id="200"/>
    </w:p>
    <w:p w:rsidR="00D85FAC" w:rsidRDefault="00D85FAC" w:rsidP="00D85FAC">
      <w:r>
        <w:t xml:space="preserve">Relationships between electrical conductivity (EC) and magnesium (Mg) in Magela Creek have been derived by correlating Mg concentrations in grab water samples with concurrent measurements of in situ EC. Such relationships and the technical rationale for them have been reported previously for the upstream (MCUGT) and downstream (MCDW) sites on Magela Creek (Supervising Scientist 2009). See Map 2 for the locations of these sites. </w:t>
      </w:r>
    </w:p>
    <w:p w:rsidR="00D85FAC" w:rsidRDefault="00D85FAC" w:rsidP="00D85FAC">
      <w:r>
        <w:t>The previously reported relationships between EC and Mg have been revised by adding the most recent data from the 2009–10 and the 2010–11 wet seasons. A quadratic relationship was reported previously for MCDW (Turner &amp; Jones 2010). However, with the addition of the data from the more recent wet seasons the relationship is now better defined by a linear equation (Figure 1). This change in the relationship is due to the increased number of samples collected during high EC (and hence high Mg) events since the introduction of event-based automatic sampling, increasing the number of points in the upper end of the relationship where EC &gt; 50 µS/cm. The relationship in Figure 1 for MCUGT is similar to that reported previously.</w:t>
      </w:r>
    </w:p>
    <w:p w:rsidR="00D85FAC" w:rsidRDefault="00D85FAC" w:rsidP="00D85FAC">
      <w:pPr>
        <w:spacing w:after="0"/>
      </w:pPr>
    </w:p>
    <w:p w:rsidR="00D85FAC" w:rsidRDefault="00D85FAC" w:rsidP="00D85FAC">
      <w:pPr>
        <w:jc w:val="center"/>
      </w:pPr>
      <w:r>
        <w:rPr>
          <w:noProof/>
          <w:lang w:eastAsia="en-AU"/>
        </w:rPr>
        <w:drawing>
          <wp:inline distT="0" distB="0" distL="0" distR="0">
            <wp:extent cx="4861594" cy="3657600"/>
            <wp:effectExtent l="19050" t="0" r="0" b="0"/>
            <wp:docPr id="52" name="Picture 1" descr="Mg v EC_SPversion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 v EC_SPversion_colour.JPG"/>
                    <pic:cNvPicPr/>
                  </pic:nvPicPr>
                  <pic:blipFill>
                    <a:blip r:embed="rId93" cstate="screen"/>
                    <a:srcRect/>
                    <a:stretch>
                      <a:fillRect/>
                    </a:stretch>
                  </pic:blipFill>
                  <pic:spPr>
                    <a:xfrm>
                      <a:off x="0" y="0"/>
                      <a:ext cx="4870193" cy="3664070"/>
                    </a:xfrm>
                    <a:prstGeom prst="rect">
                      <a:avLst/>
                    </a:prstGeom>
                  </pic:spPr>
                </pic:pic>
              </a:graphicData>
            </a:graphic>
          </wp:inline>
        </w:drawing>
      </w:r>
    </w:p>
    <w:p w:rsidR="00D85FAC" w:rsidRDefault="00D85FAC" w:rsidP="00D85FAC">
      <w:pPr>
        <w:pStyle w:val="figurecaption"/>
        <w:spacing w:before="240"/>
      </w:pPr>
      <w:bookmarkStart w:id="201" w:name="_Toc240198307"/>
      <w:r>
        <w:rPr>
          <w:b/>
        </w:rPr>
        <w:t>Figure 1</w:t>
      </w:r>
      <w:r>
        <w:t xml:space="preserve">  Best fit relationships between electrical conductivity (EC) and magnesium (Mg) concentration for the upstream (R</w:t>
      </w:r>
      <w:r>
        <w:rPr>
          <w:snapToGrid w:val="0"/>
          <w:color w:val="000000"/>
          <w:position w:val="4"/>
          <w:sz w:val="11"/>
          <w:szCs w:val="0"/>
          <w:u w:color="000000"/>
        </w:rPr>
        <w:t>2</w:t>
      </w:r>
      <w:r>
        <w:rPr>
          <w:snapToGrid w:val="0"/>
          <w:color w:val="000000"/>
          <w:szCs w:val="0"/>
          <w:u w:color="000000"/>
        </w:rPr>
        <w:t xml:space="preserve"> = 0.84, P&lt;0.0001)</w:t>
      </w:r>
      <w:r>
        <w:t xml:space="preserve"> and downsteam (R</w:t>
      </w:r>
      <w:r>
        <w:rPr>
          <w:snapToGrid w:val="0"/>
          <w:color w:val="000000"/>
          <w:position w:val="4"/>
          <w:sz w:val="11"/>
          <w:szCs w:val="0"/>
          <w:u w:color="000000"/>
        </w:rPr>
        <w:t>2</w:t>
      </w:r>
      <w:r>
        <w:rPr>
          <w:snapToGrid w:val="0"/>
          <w:color w:val="000000"/>
          <w:szCs w:val="0"/>
          <w:u w:color="000000"/>
        </w:rPr>
        <w:t xml:space="preserve"> = 0.96, P&lt;0.0001) </w:t>
      </w:r>
      <w:r>
        <w:t>monitoring stations on Magela Creek, with the upper and lower 95% confidence limits shown</w:t>
      </w:r>
      <w:bookmarkEnd w:id="201"/>
    </w:p>
    <w:p w:rsidR="00D85FAC" w:rsidRDefault="00D85FAC" w:rsidP="00D85FAC">
      <w:pPr>
        <w:rPr>
          <w:lang w:val="en-US"/>
        </w:rPr>
      </w:pPr>
      <w:r>
        <w:rPr>
          <w:lang w:val="en-US"/>
        </w:rPr>
        <w:t>The uniform distribution of the residuals about the linear regression equation supports the use of the linear relationship for estimating Mg concentrations at the downstream site (Figure 2). The updated relationships shown in Figure 1 have been used to re-derive Mg concentration data from the continuous EC data measured at MCUGT (upstream) and MCDW (downstream) for all wet seasons between 2005–06 and 2010–11.</w:t>
      </w:r>
    </w:p>
    <w:p w:rsidR="00D85FAC" w:rsidRPr="002544A3" w:rsidRDefault="00D85FAC" w:rsidP="00D85FAC">
      <w:pPr>
        <w:jc w:val="center"/>
        <w:rPr>
          <w:lang w:val="en-US"/>
        </w:rPr>
      </w:pPr>
      <w:r>
        <w:rPr>
          <w:noProof/>
          <w:lang w:eastAsia="en-AU"/>
        </w:rPr>
        <w:lastRenderedPageBreak/>
        <w:drawing>
          <wp:inline distT="0" distB="0" distL="0" distR="0">
            <wp:extent cx="4631259" cy="2504661"/>
            <wp:effectExtent l="19050" t="0" r="0" b="0"/>
            <wp:docPr id="53" name="Picture 2" descr="Residual%20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dual%20Plot"/>
                    <pic:cNvPicPr>
                      <a:picLocks noChangeAspect="1" noChangeArrowheads="1"/>
                    </pic:cNvPicPr>
                  </pic:nvPicPr>
                  <pic:blipFill>
                    <a:blip r:embed="rId94" cstate="screen"/>
                    <a:srcRect/>
                    <a:stretch>
                      <a:fillRect/>
                    </a:stretch>
                  </pic:blipFill>
                  <pic:spPr bwMode="auto">
                    <a:xfrm>
                      <a:off x="0" y="0"/>
                      <a:ext cx="4640692" cy="2509762"/>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2</w:t>
      </w:r>
      <w:r>
        <w:t xml:space="preserve">  Residual</w:t>
      </w:r>
      <w:proofErr w:type="gramEnd"/>
      <w:r>
        <w:t xml:space="preserve"> plot for the relationship between electrical conductivity (EC) and magnesium (Mg) for the downstream site on Magela Creek. Least squares linear regression equation is </w:t>
      </w:r>
      <w:r>
        <w:rPr>
          <w:i/>
        </w:rPr>
        <w:t>y = 0.083x – 0.47.</w:t>
      </w:r>
    </w:p>
    <w:p w:rsidR="00D85FAC" w:rsidRPr="00480590" w:rsidRDefault="00D85FAC" w:rsidP="00D85FAC">
      <w:pPr>
        <w:pStyle w:val="Heading2"/>
        <w:rPr>
          <w:lang w:val="en-US"/>
        </w:rPr>
      </w:pPr>
      <w:bookmarkStart w:id="202" w:name="_Toc303074382"/>
      <w:bookmarkStart w:id="203" w:name="_Toc308710356"/>
      <w:bookmarkStart w:id="204" w:name="_Toc313523471"/>
      <w:bookmarkStart w:id="205" w:name="_Toc316985314"/>
      <w:r w:rsidRPr="00480590">
        <w:t>Magnesium loads</w:t>
      </w:r>
      <w:bookmarkEnd w:id="202"/>
      <w:bookmarkEnd w:id="203"/>
      <w:bookmarkEnd w:id="204"/>
      <w:bookmarkEnd w:id="205"/>
    </w:p>
    <w:p w:rsidR="00D85FAC" w:rsidRDefault="00D85FAC" w:rsidP="00D85FAC">
      <w:r>
        <w:rPr>
          <w:lang w:val="en-US"/>
        </w:rPr>
        <w:t xml:space="preserve">Previously, Mg loads downstream of the mine have been calculated using the continuous Mg concentration data estimated at MCDW and the total flow discharge (Q) for Magela Creek measured at the </w:t>
      </w:r>
      <w:r>
        <w:t xml:space="preserve">G8210009 gauging station (located ~400 m upstream of MCDW) </w:t>
      </w:r>
      <w:r>
        <w:rPr>
          <w:lang w:val="en-US"/>
        </w:rPr>
        <w:t>The approach is described in detail in the Supervising Scientist annual r</w:t>
      </w:r>
      <w:r w:rsidRPr="008B5DE1">
        <w:rPr>
          <w:lang w:val="en-US"/>
        </w:rPr>
        <w:t>eport for 2008</w:t>
      </w:r>
      <w:r>
        <w:rPr>
          <w:lang w:val="en-US"/>
        </w:rPr>
        <w:t>–</w:t>
      </w:r>
      <w:r w:rsidRPr="008B5DE1">
        <w:rPr>
          <w:lang w:val="en-US"/>
        </w:rPr>
        <w:t>09</w:t>
      </w:r>
      <w:r>
        <w:rPr>
          <w:lang w:val="en-US"/>
        </w:rPr>
        <w:t xml:space="preserve"> (Supervising Scientist 2009)</w:t>
      </w:r>
      <w:r w:rsidRPr="008B5DE1">
        <w:rPr>
          <w:lang w:val="en-US"/>
        </w:rPr>
        <w:t xml:space="preserve">. </w:t>
      </w:r>
      <w:r>
        <w:rPr>
          <w:lang w:val="en-US"/>
        </w:rPr>
        <w:t xml:space="preserve">However, </w:t>
      </w:r>
      <w:r>
        <w:t>this method overestimates the actual Mg load at the downstream site because it assumes that the EC measured in the western anabranch at the MCDW site is the same across the three anabranches, independent of flow conditions. This is incorrect, because the EC in the western anabranch is higher compared with the other two anabranches as a result of solutes from the minesite, which is located on the western side of Magela Creek, being preferentially conveyed down the west anabranch, especially by low flows. To more accurately calculate Mg load downstream of the minesite, the relative proportions of solutes and total stream discharge passing through each anabranch at the MCDW site at any given stream height must be determined.</w:t>
      </w:r>
    </w:p>
    <w:p w:rsidR="00D85FAC" w:rsidRDefault="00D85FAC" w:rsidP="00D85FAC">
      <w:r>
        <w:t>The EC in each anabranch (eastern, central and western) at the cross section at G8210009 was measured during the 2010–11 wet season by ERA, using continuous monitoring stations deployed in each anabranch. The hourly mean EC values for each anabranch at the downstream site and for the Magela Creek upstream site ( MCUGT) for reference, are plotted against hourly mean discharge values measured at G8210009 (Figure 3).</w:t>
      </w:r>
    </w:p>
    <w:p w:rsidR="00D85FAC" w:rsidRDefault="00D85FAC" w:rsidP="00D85FAC">
      <w:pPr>
        <w:rPr>
          <w:snapToGrid w:val="0"/>
          <w:color w:val="000000"/>
          <w:szCs w:val="0"/>
          <w:u w:color="000000"/>
        </w:rPr>
      </w:pPr>
      <w:r>
        <w:t>Figure 3 shows that the EC in the eastern anabranch is equivalent to the upstream EC under all flow conditions, with the high EC events (&gt; 20µS/cm) being confined to the central and western anabranches. These higher EC events only occur when the total stream discharge measured at G8210009 is &lt; 200 m</w:t>
      </w:r>
      <w:r>
        <w:rPr>
          <w:snapToGrid w:val="0"/>
          <w:color w:val="000000"/>
          <w:position w:val="5"/>
          <w:sz w:val="13"/>
          <w:szCs w:val="0"/>
          <w:u w:color="000000"/>
        </w:rPr>
        <w:t>3</w:t>
      </w:r>
      <w:r>
        <w:rPr>
          <w:snapToGrid w:val="0"/>
          <w:color w:val="000000"/>
          <w:szCs w:val="0"/>
          <w:u w:color="000000"/>
        </w:rPr>
        <w:t>/s which is greater than bankfull discharge (Nanson et al 1993). At higher discharges, the EC in each anabranch moves towards values that are measured at the upstream site. This is largely due to the fact that mine inputs to Magela Creek occur via Coonjimba and Georgetown creeks which become backwater affected during high flows in the main channel, effectively restricting outflow of higher EC mine-derived water from the tributaries (see Supervising Scientist 2009).</w:t>
      </w:r>
    </w:p>
    <w:p w:rsidR="00D85FAC" w:rsidRDefault="00D85FAC" w:rsidP="00D85FAC">
      <w:pPr>
        <w:jc w:val="center"/>
      </w:pPr>
      <w:r>
        <w:rPr>
          <w:noProof/>
          <w:lang w:eastAsia="en-AU"/>
        </w:rPr>
        <w:lastRenderedPageBreak/>
        <w:drawing>
          <wp:inline distT="0" distB="0" distL="0" distR="0">
            <wp:extent cx="4218967" cy="3033659"/>
            <wp:effectExtent l="19050" t="0" r="0" b="0"/>
            <wp:docPr id="55" name="Picture 3" descr="009Q v 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9Q v EC"/>
                    <pic:cNvPicPr>
                      <a:picLocks noChangeAspect="1" noChangeArrowheads="1"/>
                    </pic:cNvPicPr>
                  </pic:nvPicPr>
                  <pic:blipFill>
                    <a:blip r:embed="rId95" cstate="screen"/>
                    <a:srcRect/>
                    <a:stretch>
                      <a:fillRect/>
                    </a:stretch>
                  </pic:blipFill>
                  <pic:spPr bwMode="auto">
                    <a:xfrm>
                      <a:off x="0" y="0"/>
                      <a:ext cx="4220076" cy="3034457"/>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3</w:t>
      </w:r>
      <w:r>
        <w:t xml:space="preserve">  Plots</w:t>
      </w:r>
      <w:proofErr w:type="gramEnd"/>
      <w:r>
        <w:t xml:space="preserve"> showing mean hourly electrical conductivity for Magela Creek upstream (grey) and downstream sites (east, central and western anabranches at G821009, black) versus mean hourly discharge measured at G8210009. The dotted line indicates an EC value of 20</w:t>
      </w:r>
      <w:r>
        <w:rPr>
          <w:rFonts w:cs="Arial"/>
        </w:rPr>
        <w:t>µ</w:t>
      </w:r>
      <w:r>
        <w:t>S/cm.</w:t>
      </w:r>
    </w:p>
    <w:p w:rsidR="00D85FAC" w:rsidRDefault="00D85FAC" w:rsidP="00D85FAC">
      <w:pPr>
        <w:rPr>
          <w:spacing w:val="-2"/>
          <w:lang w:val="en-US"/>
        </w:rPr>
      </w:pPr>
      <w:r>
        <w:rPr>
          <w:spacing w:val="-2"/>
          <w:lang w:val="en-US"/>
        </w:rPr>
        <w:t xml:space="preserve">The proportion of the total stream discharge conveyed by the western anabranch at MCDW can be determined using the relationship between the </w:t>
      </w:r>
      <w:proofErr w:type="gramStart"/>
      <w:r>
        <w:rPr>
          <w:spacing w:val="-2"/>
          <w:lang w:val="en-US"/>
        </w:rPr>
        <w:t>discharge</w:t>
      </w:r>
      <w:proofErr w:type="gramEnd"/>
      <w:r>
        <w:rPr>
          <w:spacing w:val="-2"/>
          <w:lang w:val="en-US"/>
        </w:rPr>
        <w:t xml:space="preserve"> measured in the west anabranch alone and the total discharge measured concurrently at G8210009. These relationships for the 2008–09, 2009–10 and 2010–11 wet seasons are shown in Figures 4a, b and c, respectively. The data from the three wet seasons were combined to derive an average relationship (Figure 4d) which can be used to estimate the west anabranch discharge as a function of total flow for seasons prior to 2008–09. </w:t>
      </w:r>
    </w:p>
    <w:p w:rsidR="00D85FAC" w:rsidRPr="00513D97" w:rsidRDefault="00D85FAC" w:rsidP="00D85FAC">
      <w:pPr>
        <w:jc w:val="center"/>
      </w:pPr>
      <w:r>
        <w:rPr>
          <w:noProof/>
          <w:lang w:eastAsia="en-AU"/>
        </w:rPr>
        <w:drawing>
          <wp:inline distT="0" distB="0" distL="0" distR="0">
            <wp:extent cx="4129522" cy="3037398"/>
            <wp:effectExtent l="19050" t="0" r="4328" b="0"/>
            <wp:docPr id="58" name="Picture 4" descr="Combined discharge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bined discharge plots"/>
                    <pic:cNvPicPr>
                      <a:picLocks noChangeAspect="1" noChangeArrowheads="1"/>
                    </pic:cNvPicPr>
                  </pic:nvPicPr>
                  <pic:blipFill>
                    <a:blip r:embed="rId96" cstate="screen"/>
                    <a:srcRect/>
                    <a:stretch>
                      <a:fillRect/>
                    </a:stretch>
                  </pic:blipFill>
                  <pic:spPr bwMode="auto">
                    <a:xfrm>
                      <a:off x="0" y="0"/>
                      <a:ext cx="4127697" cy="3036055"/>
                    </a:xfrm>
                    <a:prstGeom prst="rect">
                      <a:avLst/>
                    </a:prstGeom>
                    <a:noFill/>
                    <a:ln w="9525">
                      <a:noFill/>
                      <a:miter lim="800000"/>
                      <a:headEnd/>
                      <a:tailEnd/>
                    </a:ln>
                  </pic:spPr>
                </pic:pic>
              </a:graphicData>
            </a:graphic>
          </wp:inline>
        </w:drawing>
      </w:r>
    </w:p>
    <w:p w:rsidR="00D85FAC" w:rsidRPr="0093421E" w:rsidRDefault="00D85FAC" w:rsidP="00D85FAC">
      <w:pPr>
        <w:pStyle w:val="figurecaption"/>
        <w:rPr>
          <w:b/>
          <w:spacing w:val="-2"/>
        </w:rPr>
      </w:pPr>
      <w:bookmarkStart w:id="206" w:name="_Toc240198308"/>
      <w:r w:rsidRPr="0093421E">
        <w:rPr>
          <w:b/>
          <w:spacing w:val="-2"/>
        </w:rPr>
        <w:t xml:space="preserve">Figure </w:t>
      </w:r>
      <w:r>
        <w:rPr>
          <w:b/>
          <w:spacing w:val="-2"/>
        </w:rPr>
        <w:t>4</w:t>
      </w:r>
      <w:r w:rsidRPr="0093421E">
        <w:rPr>
          <w:spacing w:val="-2"/>
        </w:rPr>
        <w:t xml:space="preserve">  Discharge (Q) in m</w:t>
      </w:r>
      <w:r w:rsidRPr="0093421E">
        <w:rPr>
          <w:snapToGrid w:val="0"/>
          <w:color w:val="000000"/>
          <w:spacing w:val="-2"/>
          <w:position w:val="4"/>
          <w:sz w:val="11"/>
          <w:szCs w:val="0"/>
          <w:u w:color="000000"/>
        </w:rPr>
        <w:t>3</w:t>
      </w:r>
      <w:r w:rsidRPr="0093421E">
        <w:rPr>
          <w:snapToGrid w:val="0"/>
          <w:color w:val="000000"/>
          <w:spacing w:val="-2"/>
          <w:szCs w:val="0"/>
          <w:u w:color="000000"/>
        </w:rPr>
        <w:t>/s</w:t>
      </w:r>
      <w:r w:rsidRPr="0093421E">
        <w:rPr>
          <w:spacing w:val="-2"/>
        </w:rPr>
        <w:t xml:space="preserve"> </w:t>
      </w:r>
      <w:r>
        <w:rPr>
          <w:spacing w:val="-2"/>
        </w:rPr>
        <w:t xml:space="preserve"> measured in the western anabranch</w:t>
      </w:r>
      <w:r w:rsidRPr="0093421E">
        <w:rPr>
          <w:spacing w:val="-2"/>
        </w:rPr>
        <w:t xml:space="preserve"> at MCDW versus total Magela Creek discharge measured at G8210009</w:t>
      </w:r>
      <w:bookmarkEnd w:id="206"/>
      <w:r w:rsidRPr="0093421E">
        <w:rPr>
          <w:spacing w:val="-2"/>
        </w:rPr>
        <w:t xml:space="preserve"> for the 2008</w:t>
      </w:r>
      <w:r>
        <w:rPr>
          <w:spacing w:val="-2"/>
        </w:rPr>
        <w:t>–</w:t>
      </w:r>
      <w:r w:rsidRPr="0093421E">
        <w:rPr>
          <w:spacing w:val="-2"/>
        </w:rPr>
        <w:t>09 (a), 2009</w:t>
      </w:r>
      <w:r>
        <w:rPr>
          <w:spacing w:val="-2"/>
        </w:rPr>
        <w:t>–</w:t>
      </w:r>
      <w:r w:rsidRPr="0093421E">
        <w:rPr>
          <w:spacing w:val="-2"/>
        </w:rPr>
        <w:t>10 (b), and 2010</w:t>
      </w:r>
      <w:r>
        <w:rPr>
          <w:spacing w:val="-2"/>
        </w:rPr>
        <w:t>–</w:t>
      </w:r>
      <w:r w:rsidRPr="0093421E">
        <w:rPr>
          <w:spacing w:val="-2"/>
        </w:rPr>
        <w:t xml:space="preserve">11 (c) wet seasons with the averages for the three seasons plotted in (d). The dashed lines are confidence limits </w:t>
      </w:r>
      <w:r>
        <w:rPr>
          <w:spacing w:val="-2"/>
        </w:rPr>
        <w:br/>
      </w:r>
      <w:r w:rsidRPr="0093421E">
        <w:rPr>
          <w:spacing w:val="-2"/>
        </w:rPr>
        <w:t>for the fitted relationship.</w:t>
      </w:r>
    </w:p>
    <w:p w:rsidR="00D85FAC" w:rsidRDefault="00D85FAC" w:rsidP="00D85FAC">
      <w:pPr>
        <w:rPr>
          <w:spacing w:val="-2"/>
          <w:lang w:val="en-US"/>
        </w:rPr>
      </w:pPr>
      <w:r>
        <w:rPr>
          <w:spacing w:val="-2"/>
          <w:lang w:val="en-US"/>
        </w:rPr>
        <w:lastRenderedPageBreak/>
        <w:t>The data show that as the total Magela Creek discharge increases, the proportion of the discharge conveyed by the western anabranch at MCDW decreases exponentially (reported previously in Supervising Scientist 2009). This occurs due to the steep sloping west bank of Magela Creek compared with the very low slope towards the east bank allowing the majority of overbank flow to spread to the east for up to 1 km under high flow conditions.</w:t>
      </w:r>
    </w:p>
    <w:p w:rsidR="00D85FAC" w:rsidRDefault="00D85FAC" w:rsidP="00D85FAC">
      <w:pPr>
        <w:rPr>
          <w:spacing w:val="-2"/>
          <w:lang w:val="en-US"/>
        </w:rPr>
      </w:pPr>
      <w:r w:rsidRPr="00DD63CF">
        <w:rPr>
          <w:spacing w:val="-2"/>
          <w:lang w:val="en-US"/>
        </w:rPr>
        <w:t>The Mg loads since the 2005</w:t>
      </w:r>
      <w:r>
        <w:rPr>
          <w:spacing w:val="-2"/>
          <w:lang w:val="en-US"/>
        </w:rPr>
        <w:t>–</w:t>
      </w:r>
      <w:r w:rsidRPr="00DD63CF">
        <w:rPr>
          <w:spacing w:val="-2"/>
          <w:lang w:val="en-US"/>
        </w:rPr>
        <w:t xml:space="preserve">06 wet season have </w:t>
      </w:r>
      <w:proofErr w:type="gramStart"/>
      <w:r w:rsidRPr="00DD63CF">
        <w:rPr>
          <w:spacing w:val="-2"/>
          <w:lang w:val="en-US"/>
        </w:rPr>
        <w:t>been</w:t>
      </w:r>
      <w:r>
        <w:rPr>
          <w:spacing w:val="-2"/>
          <w:lang w:val="en-US"/>
        </w:rPr>
        <w:t xml:space="preserve"> </w:t>
      </w:r>
      <w:r w:rsidRPr="00DD63CF">
        <w:rPr>
          <w:spacing w:val="-2"/>
          <w:lang w:val="en-US"/>
        </w:rPr>
        <w:t xml:space="preserve"> recalculated</w:t>
      </w:r>
      <w:proofErr w:type="gramEnd"/>
      <w:r w:rsidRPr="00DD63CF">
        <w:rPr>
          <w:spacing w:val="-2"/>
          <w:lang w:val="en-US"/>
        </w:rPr>
        <w:t xml:space="preserve"> using a new method that takes into consideration</w:t>
      </w:r>
      <w:r>
        <w:rPr>
          <w:spacing w:val="-2"/>
          <w:lang w:val="en-US"/>
        </w:rPr>
        <w:t xml:space="preserve"> </w:t>
      </w:r>
      <w:r w:rsidRPr="00DD63CF">
        <w:rPr>
          <w:spacing w:val="-2"/>
          <w:lang w:val="en-US"/>
        </w:rPr>
        <w:t>the cross channel gradient in EC. The total Mg load at the downstream site is estimated by combining the Mg load tr</w:t>
      </w:r>
      <w:r>
        <w:rPr>
          <w:spacing w:val="-2"/>
          <w:lang w:val="en-US"/>
        </w:rPr>
        <w:t>ansported in the western anabranch</w:t>
      </w:r>
      <w:r w:rsidRPr="00DD63CF">
        <w:rPr>
          <w:spacing w:val="-2"/>
          <w:lang w:val="en-US"/>
        </w:rPr>
        <w:t xml:space="preserve"> and the Mg load transported i</w:t>
      </w:r>
      <w:r>
        <w:rPr>
          <w:spacing w:val="-2"/>
          <w:lang w:val="en-US"/>
        </w:rPr>
        <w:t>n the central and eastern anabranches. The western anabranch</w:t>
      </w:r>
      <w:r w:rsidRPr="00DD63CF">
        <w:rPr>
          <w:spacing w:val="-2"/>
          <w:lang w:val="en-US"/>
        </w:rPr>
        <w:t xml:space="preserve"> Mg load was calculated using the Mg concentrations derived from the MCDW continuous EC trace and the west channel discharge estimated using the equations in Figure </w:t>
      </w:r>
      <w:r>
        <w:rPr>
          <w:spacing w:val="-2"/>
          <w:lang w:val="en-US"/>
        </w:rPr>
        <w:t>4</w:t>
      </w:r>
      <w:r w:rsidRPr="00DD63CF">
        <w:rPr>
          <w:spacing w:val="-2"/>
          <w:lang w:val="en-US"/>
        </w:rPr>
        <w:t>. The Mg loads in</w:t>
      </w:r>
      <w:r>
        <w:rPr>
          <w:spacing w:val="-2"/>
          <w:lang w:val="en-US"/>
        </w:rPr>
        <w:t xml:space="preserve"> the central and eastern anabranche</w:t>
      </w:r>
      <w:r w:rsidRPr="00DD63CF">
        <w:rPr>
          <w:spacing w:val="-2"/>
          <w:lang w:val="en-US"/>
        </w:rPr>
        <w:t>s were calculated by using the Mg concentrations derived from the upstream MCUGT EC data together with the residual discharge (ie total Magela Creek discharge measured at G821000</w:t>
      </w:r>
      <w:r>
        <w:rPr>
          <w:spacing w:val="-2"/>
          <w:lang w:val="en-US"/>
        </w:rPr>
        <w:t>9 minus the western anabranch</w:t>
      </w:r>
      <w:r w:rsidRPr="00DD63CF">
        <w:rPr>
          <w:spacing w:val="-2"/>
          <w:lang w:val="en-US"/>
        </w:rPr>
        <w:t xml:space="preserve"> discharge). It should be noted that this method will result in a slight underestimation</w:t>
      </w:r>
      <w:r>
        <w:rPr>
          <w:spacing w:val="-2"/>
          <w:lang w:val="en-US"/>
        </w:rPr>
        <w:t xml:space="preserve"> of the total load conveyed by the central anabranch</w:t>
      </w:r>
      <w:r w:rsidRPr="00DD63CF">
        <w:rPr>
          <w:spacing w:val="-2"/>
          <w:lang w:val="en-US"/>
        </w:rPr>
        <w:t xml:space="preserve"> for discharges &lt; 200</w:t>
      </w:r>
      <w:r>
        <w:rPr>
          <w:spacing w:val="-2"/>
          <w:lang w:val="en-US"/>
        </w:rPr>
        <w:t> </w:t>
      </w:r>
      <w:r w:rsidRPr="00DD63CF">
        <w:rPr>
          <w:spacing w:val="-2"/>
          <w:lang w:val="en-US"/>
        </w:rPr>
        <w:t>m</w:t>
      </w:r>
      <w:r w:rsidRPr="00DD63CF">
        <w:rPr>
          <w:snapToGrid w:val="0"/>
          <w:color w:val="000000"/>
          <w:spacing w:val="-2"/>
          <w:position w:val="5"/>
          <w:sz w:val="13"/>
          <w:szCs w:val="0"/>
          <w:u w:color="000000"/>
          <w:lang w:val="en-US"/>
        </w:rPr>
        <w:t>3</w:t>
      </w:r>
      <w:r w:rsidRPr="00DD63CF">
        <w:rPr>
          <w:snapToGrid w:val="0"/>
          <w:color w:val="000000"/>
          <w:spacing w:val="-2"/>
          <w:szCs w:val="0"/>
          <w:u w:color="000000"/>
          <w:lang w:val="en-US"/>
        </w:rPr>
        <w:t>/s</w:t>
      </w:r>
      <w:r w:rsidRPr="00DD63CF">
        <w:rPr>
          <w:spacing w:val="-2"/>
          <w:lang w:val="en-US"/>
        </w:rPr>
        <w:t xml:space="preserve"> (see Figure </w:t>
      </w:r>
      <w:r>
        <w:rPr>
          <w:spacing w:val="-2"/>
          <w:lang w:val="en-US"/>
        </w:rPr>
        <w:t>4</w:t>
      </w:r>
      <w:r w:rsidRPr="00DD63CF">
        <w:rPr>
          <w:spacing w:val="-2"/>
          <w:lang w:val="en-US"/>
        </w:rPr>
        <w:t xml:space="preserve">). The newly derived loads are compared to loads calculated using the </w:t>
      </w:r>
      <w:r>
        <w:rPr>
          <w:spacing w:val="-2"/>
          <w:lang w:val="en-US"/>
        </w:rPr>
        <w:t>original method in Table 1</w:t>
      </w:r>
      <w:r w:rsidRPr="00DD63CF">
        <w:rPr>
          <w:spacing w:val="-2"/>
          <w:lang w:val="en-US"/>
        </w:rPr>
        <w:t>.</w:t>
      </w:r>
    </w:p>
    <w:p w:rsidR="00D85FAC" w:rsidRDefault="00D85FAC" w:rsidP="00D85FAC">
      <w:pPr>
        <w:rPr>
          <w:lang w:val="en-US"/>
        </w:rPr>
      </w:pPr>
      <w:r>
        <w:rPr>
          <w:lang w:val="en-US"/>
        </w:rPr>
        <w:t>These data suggest that over the past six wet seasons, between 30–40% of the total Mg load transported by Magela Creek has been contributed by the mine site and that this seasonal contribution has (in proportional terms) been consistent over the years. There is certainly no evidence of an increase through time in loads of Mg being exported from the mine site. The low difference value in 2008–09 was the result of a relatively low rainfall year, with reduced loads coming from both upstream, and from the mine site.</w:t>
      </w:r>
    </w:p>
    <w:p w:rsidR="00D85FAC" w:rsidRPr="00DD63CF" w:rsidRDefault="00D85FAC" w:rsidP="00D85FAC">
      <w:pPr>
        <w:pStyle w:val="tablecaption"/>
        <w:rPr>
          <w:lang w:val="en-US"/>
        </w:rPr>
      </w:pPr>
      <w:bookmarkStart w:id="207" w:name="_Toc240198086"/>
      <w:bookmarkStart w:id="208" w:name="_Toc303074596"/>
      <w:r w:rsidRPr="00777476">
        <w:rPr>
          <w:b/>
        </w:rPr>
        <w:t xml:space="preserve">Table </w:t>
      </w:r>
      <w:proofErr w:type="gramStart"/>
      <w:r w:rsidRPr="00777476">
        <w:rPr>
          <w:b/>
        </w:rPr>
        <w:t>1</w:t>
      </w:r>
      <w:r>
        <w:t xml:space="preserve">  Mg</w:t>
      </w:r>
      <w:proofErr w:type="gramEnd"/>
      <w:r>
        <w:t xml:space="preserve"> loads (t) measured in Magela Creek upstream and downstream of the Ranger mine</w:t>
      </w:r>
      <w:bookmarkEnd w:id="207"/>
      <w:bookmarkEnd w:id="208"/>
    </w:p>
    <w:tbl>
      <w:tblPr>
        <w:tblW w:w="5000" w:type="pct"/>
        <w:tblLook w:val="0000"/>
      </w:tblPr>
      <w:tblGrid>
        <w:gridCol w:w="999"/>
        <w:gridCol w:w="955"/>
        <w:gridCol w:w="1177"/>
        <w:gridCol w:w="2119"/>
        <w:gridCol w:w="1177"/>
        <w:gridCol w:w="2101"/>
      </w:tblGrid>
      <w:tr w:rsidR="00D85FAC" w:rsidTr="00D85FAC">
        <w:trPr>
          <w:trHeight w:val="281"/>
        </w:trPr>
        <w:tc>
          <w:tcPr>
            <w:tcW w:w="647" w:type="pct"/>
            <w:tcBorders>
              <w:top w:val="single" w:sz="4" w:space="0" w:color="auto"/>
              <w:bottom w:val="single" w:sz="4" w:space="0" w:color="auto"/>
            </w:tcBorders>
            <w:vAlign w:val="center"/>
          </w:tcPr>
          <w:p w:rsidR="00D85FAC" w:rsidRDefault="00D85FAC" w:rsidP="00D85FAC">
            <w:pPr>
              <w:pStyle w:val="table1"/>
              <w:rPr>
                <w:b/>
              </w:rPr>
            </w:pPr>
          </w:p>
        </w:tc>
        <w:tc>
          <w:tcPr>
            <w:tcW w:w="574" w:type="pct"/>
            <w:tcBorders>
              <w:top w:val="single" w:sz="4" w:space="0" w:color="auto"/>
              <w:bottom w:val="single" w:sz="4" w:space="0" w:color="auto"/>
            </w:tcBorders>
            <w:vAlign w:val="center"/>
          </w:tcPr>
          <w:p w:rsidR="00D85FAC" w:rsidRDefault="00D85FAC" w:rsidP="00D85FAC">
            <w:pPr>
              <w:pStyle w:val="table1"/>
              <w:jc w:val="center"/>
              <w:rPr>
                <w:b/>
              </w:rPr>
            </w:pPr>
          </w:p>
        </w:tc>
        <w:tc>
          <w:tcPr>
            <w:tcW w:w="1866" w:type="pct"/>
            <w:gridSpan w:val="2"/>
            <w:tcBorders>
              <w:top w:val="single" w:sz="4" w:space="0" w:color="auto"/>
              <w:bottom w:val="single" w:sz="4" w:space="0" w:color="auto"/>
            </w:tcBorders>
          </w:tcPr>
          <w:p w:rsidR="00D85FAC" w:rsidRDefault="00D85FAC" w:rsidP="00D85FAC">
            <w:pPr>
              <w:pStyle w:val="table1"/>
              <w:jc w:val="center"/>
              <w:rPr>
                <w:b/>
              </w:rPr>
            </w:pPr>
            <w:r>
              <w:rPr>
                <w:b/>
              </w:rPr>
              <w:t>Loads calculated using the old method (</w:t>
            </w:r>
            <w:r>
              <w:rPr>
                <w:b/>
                <w:i/>
              </w:rPr>
              <w:t>overestimated)</w:t>
            </w:r>
          </w:p>
        </w:tc>
        <w:tc>
          <w:tcPr>
            <w:tcW w:w="1914" w:type="pct"/>
            <w:gridSpan w:val="2"/>
            <w:tcBorders>
              <w:top w:val="single" w:sz="4" w:space="0" w:color="auto"/>
              <w:bottom w:val="single" w:sz="4" w:space="0" w:color="auto"/>
            </w:tcBorders>
          </w:tcPr>
          <w:p w:rsidR="00D85FAC" w:rsidRDefault="00D85FAC" w:rsidP="00D85FAC">
            <w:pPr>
              <w:pStyle w:val="table1"/>
              <w:jc w:val="center"/>
              <w:rPr>
                <w:b/>
              </w:rPr>
            </w:pPr>
            <w:r>
              <w:rPr>
                <w:b/>
              </w:rPr>
              <w:t>Loads calculated using the new method (</w:t>
            </w:r>
            <w:r>
              <w:rPr>
                <w:b/>
                <w:i/>
              </w:rPr>
              <w:t>slightly underestimated)</w:t>
            </w:r>
          </w:p>
        </w:tc>
      </w:tr>
      <w:tr w:rsidR="00D85FAC" w:rsidTr="00D85FAC">
        <w:trPr>
          <w:trHeight w:val="281"/>
        </w:trPr>
        <w:tc>
          <w:tcPr>
            <w:tcW w:w="647" w:type="pct"/>
            <w:tcBorders>
              <w:top w:val="single" w:sz="4" w:space="0" w:color="auto"/>
              <w:bottom w:val="single" w:sz="4" w:space="0" w:color="C0C0C0"/>
            </w:tcBorders>
            <w:vAlign w:val="center"/>
          </w:tcPr>
          <w:p w:rsidR="00D85FAC" w:rsidRDefault="00D85FAC" w:rsidP="00D85FAC">
            <w:pPr>
              <w:pStyle w:val="table1"/>
              <w:spacing w:line="240" w:lineRule="auto"/>
              <w:rPr>
                <w:b/>
              </w:rPr>
            </w:pPr>
            <w:r>
              <w:rPr>
                <w:b/>
              </w:rPr>
              <w:t>Season</w:t>
            </w:r>
          </w:p>
        </w:tc>
        <w:tc>
          <w:tcPr>
            <w:tcW w:w="574" w:type="pct"/>
            <w:tcBorders>
              <w:top w:val="single" w:sz="4" w:space="0" w:color="auto"/>
              <w:bottom w:val="single" w:sz="4" w:space="0" w:color="C0C0C0"/>
            </w:tcBorders>
          </w:tcPr>
          <w:p w:rsidR="00D85FAC" w:rsidRPr="00B06A59" w:rsidRDefault="00D85FAC" w:rsidP="00D85FAC">
            <w:pPr>
              <w:pStyle w:val="table1"/>
              <w:spacing w:line="240" w:lineRule="auto"/>
              <w:jc w:val="center"/>
              <w:rPr>
                <w:b/>
                <w:i/>
              </w:rPr>
            </w:pPr>
            <w:r>
              <w:rPr>
                <w:b/>
                <w:i/>
              </w:rPr>
              <w:t>Upstream</w:t>
            </w:r>
          </w:p>
        </w:tc>
        <w:tc>
          <w:tcPr>
            <w:tcW w:w="516" w:type="pct"/>
            <w:tcBorders>
              <w:top w:val="single" w:sz="4" w:space="0" w:color="auto"/>
              <w:bottom w:val="single" w:sz="4" w:space="0" w:color="C0C0C0"/>
            </w:tcBorders>
          </w:tcPr>
          <w:p w:rsidR="00D85FAC" w:rsidRPr="00B06A59" w:rsidRDefault="00D85FAC" w:rsidP="00D85FAC">
            <w:pPr>
              <w:pStyle w:val="table1"/>
              <w:spacing w:line="240" w:lineRule="auto"/>
              <w:jc w:val="center"/>
              <w:rPr>
                <w:b/>
              </w:rPr>
            </w:pPr>
            <w:r>
              <w:rPr>
                <w:b/>
              </w:rPr>
              <w:t>Downstream</w:t>
            </w:r>
            <w:r w:rsidRPr="00B06A59">
              <w:rPr>
                <w:b/>
              </w:rPr>
              <w:t xml:space="preserve"> </w:t>
            </w:r>
          </w:p>
        </w:tc>
        <w:tc>
          <w:tcPr>
            <w:tcW w:w="1350" w:type="pct"/>
            <w:tcBorders>
              <w:top w:val="single" w:sz="4" w:space="0" w:color="auto"/>
              <w:bottom w:val="single" w:sz="4" w:space="0" w:color="C0C0C0"/>
            </w:tcBorders>
          </w:tcPr>
          <w:p w:rsidR="00D85FAC" w:rsidRPr="00DC14D8" w:rsidRDefault="00D85FAC" w:rsidP="00D85FAC">
            <w:pPr>
              <w:pStyle w:val="table1"/>
              <w:spacing w:line="240" w:lineRule="auto"/>
              <w:jc w:val="center"/>
              <w:rPr>
                <w:b/>
                <w:spacing w:val="-2"/>
              </w:rPr>
            </w:pPr>
            <w:r w:rsidRPr="00DC14D8">
              <w:rPr>
                <w:b/>
                <w:spacing w:val="-2"/>
              </w:rPr>
              <w:t>Minesite contribution (%)</w:t>
            </w:r>
          </w:p>
        </w:tc>
        <w:tc>
          <w:tcPr>
            <w:tcW w:w="620" w:type="pct"/>
            <w:tcBorders>
              <w:top w:val="single" w:sz="4" w:space="0" w:color="auto"/>
              <w:bottom w:val="single" w:sz="4" w:space="0" w:color="C0C0C0"/>
            </w:tcBorders>
          </w:tcPr>
          <w:p w:rsidR="00D85FAC" w:rsidRPr="00F6493E" w:rsidRDefault="00D85FAC" w:rsidP="00D85FAC">
            <w:pPr>
              <w:pStyle w:val="table1"/>
              <w:spacing w:line="240" w:lineRule="auto"/>
              <w:jc w:val="center"/>
              <w:rPr>
                <w:b/>
                <w:i/>
              </w:rPr>
            </w:pPr>
            <w:r>
              <w:rPr>
                <w:b/>
              </w:rPr>
              <w:t>Downstream</w:t>
            </w:r>
          </w:p>
        </w:tc>
        <w:tc>
          <w:tcPr>
            <w:tcW w:w="1294" w:type="pct"/>
            <w:tcBorders>
              <w:top w:val="single" w:sz="4" w:space="0" w:color="auto"/>
              <w:bottom w:val="single" w:sz="4" w:space="0" w:color="C0C0C0"/>
            </w:tcBorders>
          </w:tcPr>
          <w:p w:rsidR="00D85FAC" w:rsidRPr="00DC14D8" w:rsidRDefault="00D85FAC" w:rsidP="00D85FAC">
            <w:pPr>
              <w:pStyle w:val="table1"/>
              <w:spacing w:line="240" w:lineRule="auto"/>
              <w:jc w:val="center"/>
              <w:rPr>
                <w:b/>
                <w:spacing w:val="-2"/>
              </w:rPr>
            </w:pPr>
            <w:r w:rsidRPr="00DC14D8">
              <w:rPr>
                <w:b/>
                <w:spacing w:val="-2"/>
              </w:rPr>
              <w:t>Minesite contribution (%)</w:t>
            </w:r>
          </w:p>
        </w:tc>
      </w:tr>
      <w:tr w:rsidR="00D85FAC" w:rsidTr="00D85FAC">
        <w:tc>
          <w:tcPr>
            <w:tcW w:w="647" w:type="pct"/>
            <w:tcBorders>
              <w:top w:val="single" w:sz="4" w:space="0" w:color="C0C0C0"/>
            </w:tcBorders>
          </w:tcPr>
          <w:p w:rsidR="00D85FAC" w:rsidRDefault="00D85FAC" w:rsidP="00D85FAC">
            <w:pPr>
              <w:pStyle w:val="table1"/>
            </w:pPr>
            <w:r>
              <w:t>2005–06</w:t>
            </w:r>
          </w:p>
        </w:tc>
        <w:tc>
          <w:tcPr>
            <w:tcW w:w="574" w:type="pct"/>
            <w:tcBorders>
              <w:top w:val="single" w:sz="4" w:space="0" w:color="C0C0C0"/>
            </w:tcBorders>
          </w:tcPr>
          <w:p w:rsidR="00D85FAC" w:rsidRPr="00B06A59" w:rsidRDefault="00D85FAC" w:rsidP="00D85FAC">
            <w:pPr>
              <w:pStyle w:val="table1"/>
              <w:jc w:val="center"/>
              <w:rPr>
                <w:i/>
              </w:rPr>
            </w:pPr>
            <w:r w:rsidRPr="00B06A59">
              <w:rPr>
                <w:i/>
              </w:rPr>
              <w:t>184</w:t>
            </w:r>
          </w:p>
        </w:tc>
        <w:tc>
          <w:tcPr>
            <w:tcW w:w="516" w:type="pct"/>
            <w:tcBorders>
              <w:top w:val="single" w:sz="4" w:space="0" w:color="C0C0C0"/>
            </w:tcBorders>
          </w:tcPr>
          <w:p w:rsidR="00D85FAC" w:rsidRPr="00B06A59" w:rsidRDefault="00D85FAC" w:rsidP="00D85FAC">
            <w:pPr>
              <w:pStyle w:val="table1"/>
              <w:jc w:val="center"/>
            </w:pPr>
            <w:r w:rsidRPr="00B06A59">
              <w:t>404</w:t>
            </w:r>
          </w:p>
        </w:tc>
        <w:tc>
          <w:tcPr>
            <w:tcW w:w="1350" w:type="pct"/>
            <w:tcBorders>
              <w:top w:val="single" w:sz="4" w:space="0" w:color="C0C0C0"/>
            </w:tcBorders>
          </w:tcPr>
          <w:p w:rsidR="00D85FAC" w:rsidRPr="00AF1189" w:rsidRDefault="00D85FAC" w:rsidP="00D85FAC">
            <w:pPr>
              <w:pStyle w:val="table1"/>
              <w:jc w:val="center"/>
            </w:pPr>
            <w:r>
              <w:t>+55%</w:t>
            </w:r>
          </w:p>
        </w:tc>
        <w:tc>
          <w:tcPr>
            <w:tcW w:w="620" w:type="pct"/>
            <w:tcBorders>
              <w:top w:val="single" w:sz="4" w:space="0" w:color="C0C0C0"/>
            </w:tcBorders>
          </w:tcPr>
          <w:p w:rsidR="00D85FAC" w:rsidRPr="00AF1189" w:rsidRDefault="00D85FAC" w:rsidP="00D85FAC">
            <w:pPr>
              <w:pStyle w:val="table1"/>
              <w:jc w:val="center"/>
            </w:pPr>
            <w:r w:rsidRPr="00AF1189">
              <w:t xml:space="preserve">274 </w:t>
            </w:r>
          </w:p>
        </w:tc>
        <w:tc>
          <w:tcPr>
            <w:tcW w:w="1294" w:type="pct"/>
            <w:tcBorders>
              <w:top w:val="single" w:sz="4" w:space="0" w:color="C0C0C0"/>
            </w:tcBorders>
          </w:tcPr>
          <w:p w:rsidR="00D85FAC" w:rsidRPr="00AF1189" w:rsidRDefault="00D85FAC" w:rsidP="00D85FAC">
            <w:pPr>
              <w:pStyle w:val="table1"/>
              <w:jc w:val="center"/>
            </w:pPr>
            <w:r>
              <w:t>+</w:t>
            </w:r>
            <w:r w:rsidRPr="00AF1189">
              <w:t>33</w:t>
            </w:r>
            <w:r>
              <w:t>%</w:t>
            </w:r>
          </w:p>
        </w:tc>
      </w:tr>
      <w:tr w:rsidR="00D85FAC" w:rsidRPr="00AF1189" w:rsidTr="00D85FAC">
        <w:tc>
          <w:tcPr>
            <w:tcW w:w="647" w:type="pct"/>
          </w:tcPr>
          <w:p w:rsidR="00D85FAC" w:rsidRPr="00AF1189" w:rsidRDefault="00D85FAC" w:rsidP="00D85FAC">
            <w:pPr>
              <w:pStyle w:val="table1"/>
            </w:pPr>
            <w:r w:rsidRPr="00AF1189">
              <w:t>2006–07</w:t>
            </w:r>
          </w:p>
        </w:tc>
        <w:tc>
          <w:tcPr>
            <w:tcW w:w="574" w:type="pct"/>
          </w:tcPr>
          <w:p w:rsidR="00D85FAC" w:rsidRPr="00B06A59" w:rsidRDefault="00D85FAC" w:rsidP="00D85FAC">
            <w:pPr>
              <w:pStyle w:val="table1"/>
              <w:jc w:val="center"/>
              <w:rPr>
                <w:i/>
              </w:rPr>
            </w:pPr>
            <w:r w:rsidRPr="00B06A59">
              <w:rPr>
                <w:i/>
              </w:rPr>
              <w:t>152</w:t>
            </w:r>
          </w:p>
        </w:tc>
        <w:tc>
          <w:tcPr>
            <w:tcW w:w="516" w:type="pct"/>
          </w:tcPr>
          <w:p w:rsidR="00D85FAC" w:rsidRPr="00B06A59" w:rsidRDefault="00D85FAC" w:rsidP="00D85FAC">
            <w:pPr>
              <w:pStyle w:val="table1"/>
              <w:jc w:val="center"/>
            </w:pPr>
            <w:r w:rsidRPr="00B06A59">
              <w:t>531</w:t>
            </w:r>
          </w:p>
        </w:tc>
        <w:tc>
          <w:tcPr>
            <w:tcW w:w="1350" w:type="pct"/>
          </w:tcPr>
          <w:p w:rsidR="00D85FAC" w:rsidRPr="00AF1189" w:rsidRDefault="00D85FAC" w:rsidP="00D85FAC">
            <w:pPr>
              <w:pStyle w:val="table1"/>
              <w:jc w:val="center"/>
            </w:pPr>
            <w:r>
              <w:t>+71%</w:t>
            </w:r>
          </w:p>
        </w:tc>
        <w:tc>
          <w:tcPr>
            <w:tcW w:w="620" w:type="pct"/>
          </w:tcPr>
          <w:p w:rsidR="00D85FAC" w:rsidRPr="00AF1189" w:rsidRDefault="00D85FAC" w:rsidP="00D85FAC">
            <w:pPr>
              <w:pStyle w:val="table1"/>
              <w:jc w:val="center"/>
            </w:pPr>
            <w:r w:rsidRPr="00AF1189">
              <w:t xml:space="preserve">236 </w:t>
            </w:r>
          </w:p>
        </w:tc>
        <w:tc>
          <w:tcPr>
            <w:tcW w:w="1294" w:type="pct"/>
          </w:tcPr>
          <w:p w:rsidR="00D85FAC" w:rsidRPr="00AF1189" w:rsidRDefault="00D85FAC" w:rsidP="00D85FAC">
            <w:pPr>
              <w:pStyle w:val="table1"/>
              <w:jc w:val="center"/>
            </w:pPr>
            <w:r>
              <w:t>+</w:t>
            </w:r>
            <w:r w:rsidRPr="00AF1189">
              <w:t>36</w:t>
            </w:r>
            <w:r>
              <w:t>%</w:t>
            </w:r>
          </w:p>
        </w:tc>
      </w:tr>
      <w:tr w:rsidR="00D85FAC" w:rsidRPr="00AF1189" w:rsidTr="00D85FAC">
        <w:tc>
          <w:tcPr>
            <w:tcW w:w="647" w:type="pct"/>
          </w:tcPr>
          <w:p w:rsidR="00D85FAC" w:rsidRPr="00AF1189" w:rsidRDefault="00D85FAC" w:rsidP="00D85FAC">
            <w:pPr>
              <w:pStyle w:val="table1"/>
            </w:pPr>
            <w:r w:rsidRPr="00AF1189">
              <w:t>2007–08</w:t>
            </w:r>
          </w:p>
        </w:tc>
        <w:tc>
          <w:tcPr>
            <w:tcW w:w="574" w:type="pct"/>
          </w:tcPr>
          <w:p w:rsidR="00D85FAC" w:rsidRPr="00B06A59" w:rsidRDefault="00D85FAC" w:rsidP="00D85FAC">
            <w:pPr>
              <w:pStyle w:val="table1"/>
              <w:jc w:val="center"/>
              <w:rPr>
                <w:i/>
              </w:rPr>
            </w:pPr>
            <w:r w:rsidRPr="00B06A59">
              <w:rPr>
                <w:i/>
              </w:rPr>
              <w:t>150</w:t>
            </w:r>
          </w:p>
        </w:tc>
        <w:tc>
          <w:tcPr>
            <w:tcW w:w="516" w:type="pct"/>
          </w:tcPr>
          <w:p w:rsidR="00D85FAC" w:rsidRPr="00B06A59" w:rsidRDefault="00D85FAC" w:rsidP="00D85FAC">
            <w:pPr>
              <w:pStyle w:val="table1"/>
              <w:jc w:val="center"/>
            </w:pPr>
            <w:r w:rsidRPr="00B06A59">
              <w:t>364</w:t>
            </w:r>
          </w:p>
        </w:tc>
        <w:tc>
          <w:tcPr>
            <w:tcW w:w="1350" w:type="pct"/>
          </w:tcPr>
          <w:p w:rsidR="00D85FAC" w:rsidRPr="00AF1189" w:rsidRDefault="00D85FAC" w:rsidP="00D85FAC">
            <w:pPr>
              <w:pStyle w:val="table1"/>
              <w:jc w:val="center"/>
            </w:pPr>
            <w:r>
              <w:t>+59%</w:t>
            </w:r>
          </w:p>
        </w:tc>
        <w:tc>
          <w:tcPr>
            <w:tcW w:w="620" w:type="pct"/>
          </w:tcPr>
          <w:p w:rsidR="00D85FAC" w:rsidRPr="00AF1189" w:rsidRDefault="00D85FAC" w:rsidP="00D85FAC">
            <w:pPr>
              <w:pStyle w:val="table1"/>
              <w:jc w:val="center"/>
            </w:pPr>
            <w:r w:rsidRPr="00AF1189">
              <w:t xml:space="preserve">244 </w:t>
            </w:r>
          </w:p>
        </w:tc>
        <w:tc>
          <w:tcPr>
            <w:tcW w:w="1294" w:type="pct"/>
          </w:tcPr>
          <w:p w:rsidR="00D85FAC" w:rsidRPr="00AF1189" w:rsidRDefault="00D85FAC" w:rsidP="00D85FAC">
            <w:pPr>
              <w:pStyle w:val="table1"/>
              <w:jc w:val="center"/>
            </w:pPr>
            <w:r>
              <w:t>+</w:t>
            </w:r>
            <w:r w:rsidRPr="00AF1189">
              <w:t>39</w:t>
            </w:r>
            <w:r>
              <w:t>%</w:t>
            </w:r>
          </w:p>
        </w:tc>
      </w:tr>
      <w:tr w:rsidR="00D85FAC" w:rsidRPr="00AF1189" w:rsidTr="00D85FAC">
        <w:tc>
          <w:tcPr>
            <w:tcW w:w="647" w:type="pct"/>
          </w:tcPr>
          <w:p w:rsidR="00D85FAC" w:rsidRPr="00AF1189" w:rsidRDefault="00D85FAC" w:rsidP="00D85FAC">
            <w:pPr>
              <w:pStyle w:val="table1"/>
            </w:pPr>
            <w:r w:rsidRPr="00AF1189">
              <w:t>2008–09</w:t>
            </w:r>
          </w:p>
        </w:tc>
        <w:tc>
          <w:tcPr>
            <w:tcW w:w="574" w:type="pct"/>
          </w:tcPr>
          <w:p w:rsidR="00D85FAC" w:rsidRPr="00B06A59" w:rsidRDefault="00D85FAC" w:rsidP="00D85FAC">
            <w:pPr>
              <w:pStyle w:val="table1"/>
              <w:jc w:val="center"/>
              <w:rPr>
                <w:i/>
              </w:rPr>
            </w:pPr>
            <w:r w:rsidRPr="00B06A59">
              <w:rPr>
                <w:i/>
              </w:rPr>
              <w:t>78</w:t>
            </w:r>
          </w:p>
        </w:tc>
        <w:tc>
          <w:tcPr>
            <w:tcW w:w="516" w:type="pct"/>
          </w:tcPr>
          <w:p w:rsidR="00D85FAC" w:rsidRPr="00B06A59" w:rsidRDefault="00D85FAC" w:rsidP="00D85FAC">
            <w:pPr>
              <w:pStyle w:val="table1"/>
              <w:jc w:val="center"/>
            </w:pPr>
            <w:r w:rsidRPr="00B06A59">
              <w:t>175</w:t>
            </w:r>
          </w:p>
        </w:tc>
        <w:tc>
          <w:tcPr>
            <w:tcW w:w="1350" w:type="pct"/>
          </w:tcPr>
          <w:p w:rsidR="00D85FAC" w:rsidRPr="00AF1189" w:rsidRDefault="00D85FAC" w:rsidP="00D85FAC">
            <w:pPr>
              <w:pStyle w:val="table1"/>
              <w:jc w:val="center"/>
            </w:pPr>
            <w:r>
              <w:t>+55%</w:t>
            </w:r>
          </w:p>
        </w:tc>
        <w:tc>
          <w:tcPr>
            <w:tcW w:w="620" w:type="pct"/>
          </w:tcPr>
          <w:p w:rsidR="00D85FAC" w:rsidRPr="00AF1189" w:rsidRDefault="00D85FAC" w:rsidP="00D85FAC">
            <w:pPr>
              <w:pStyle w:val="table1"/>
              <w:jc w:val="center"/>
            </w:pPr>
            <w:r w:rsidRPr="00AF1189">
              <w:t xml:space="preserve">111 </w:t>
            </w:r>
          </w:p>
        </w:tc>
        <w:tc>
          <w:tcPr>
            <w:tcW w:w="1294" w:type="pct"/>
          </w:tcPr>
          <w:p w:rsidR="00D85FAC" w:rsidRPr="00AF1189" w:rsidRDefault="00D85FAC" w:rsidP="00D85FAC">
            <w:pPr>
              <w:pStyle w:val="table1"/>
              <w:jc w:val="center"/>
            </w:pPr>
            <w:r>
              <w:t>+</w:t>
            </w:r>
            <w:r w:rsidRPr="00AF1189">
              <w:t>30</w:t>
            </w:r>
            <w:r>
              <w:t>%</w:t>
            </w:r>
          </w:p>
        </w:tc>
      </w:tr>
      <w:tr w:rsidR="00D85FAC" w:rsidRPr="00AF1189" w:rsidTr="00D85FAC">
        <w:tc>
          <w:tcPr>
            <w:tcW w:w="647" w:type="pct"/>
          </w:tcPr>
          <w:p w:rsidR="00D85FAC" w:rsidRPr="00AF1189" w:rsidRDefault="00D85FAC" w:rsidP="00D85FAC">
            <w:pPr>
              <w:pStyle w:val="table1"/>
            </w:pPr>
            <w:r w:rsidRPr="00AF1189">
              <w:t>2009-10</w:t>
            </w:r>
          </w:p>
        </w:tc>
        <w:tc>
          <w:tcPr>
            <w:tcW w:w="574" w:type="pct"/>
          </w:tcPr>
          <w:p w:rsidR="00D85FAC" w:rsidRPr="00B06A59" w:rsidRDefault="00D85FAC" w:rsidP="00D85FAC">
            <w:pPr>
              <w:pStyle w:val="table1"/>
              <w:jc w:val="center"/>
              <w:rPr>
                <w:i/>
              </w:rPr>
            </w:pPr>
            <w:r w:rsidRPr="00B06A59">
              <w:rPr>
                <w:i/>
              </w:rPr>
              <w:t>131</w:t>
            </w:r>
          </w:p>
        </w:tc>
        <w:tc>
          <w:tcPr>
            <w:tcW w:w="516" w:type="pct"/>
          </w:tcPr>
          <w:p w:rsidR="00D85FAC" w:rsidRPr="00B06A59" w:rsidRDefault="00D85FAC" w:rsidP="00D85FAC">
            <w:pPr>
              <w:pStyle w:val="table1"/>
              <w:jc w:val="center"/>
            </w:pPr>
            <w:r w:rsidRPr="00B06A59">
              <w:t>276</w:t>
            </w:r>
          </w:p>
        </w:tc>
        <w:tc>
          <w:tcPr>
            <w:tcW w:w="1350" w:type="pct"/>
          </w:tcPr>
          <w:p w:rsidR="00D85FAC" w:rsidRPr="00AF1189" w:rsidRDefault="00D85FAC" w:rsidP="00D85FAC">
            <w:pPr>
              <w:pStyle w:val="table1"/>
              <w:jc w:val="center"/>
            </w:pPr>
            <w:r>
              <w:t>+53%</w:t>
            </w:r>
          </w:p>
        </w:tc>
        <w:tc>
          <w:tcPr>
            <w:tcW w:w="620" w:type="pct"/>
          </w:tcPr>
          <w:p w:rsidR="00D85FAC" w:rsidRPr="00AF1189" w:rsidRDefault="00D85FAC" w:rsidP="00D85FAC">
            <w:pPr>
              <w:pStyle w:val="table1"/>
              <w:jc w:val="center"/>
            </w:pPr>
            <w:r w:rsidRPr="00AF1189">
              <w:t xml:space="preserve">194 </w:t>
            </w:r>
          </w:p>
        </w:tc>
        <w:tc>
          <w:tcPr>
            <w:tcW w:w="1294" w:type="pct"/>
          </w:tcPr>
          <w:p w:rsidR="00D85FAC" w:rsidRPr="00AF1189" w:rsidRDefault="00D85FAC" w:rsidP="00D85FAC">
            <w:pPr>
              <w:pStyle w:val="table1"/>
              <w:tabs>
                <w:tab w:val="left" w:pos="1089"/>
                <w:tab w:val="center" w:pos="1259"/>
              </w:tabs>
              <w:jc w:val="center"/>
            </w:pPr>
            <w:r>
              <w:t>+</w:t>
            </w:r>
            <w:r w:rsidRPr="00AF1189">
              <w:t>33</w:t>
            </w:r>
            <w:r>
              <w:t>%</w:t>
            </w:r>
          </w:p>
        </w:tc>
      </w:tr>
      <w:tr w:rsidR="00D85FAC" w:rsidRPr="00AF1189" w:rsidTr="00D85FAC">
        <w:tc>
          <w:tcPr>
            <w:tcW w:w="647" w:type="pct"/>
            <w:tcBorders>
              <w:bottom w:val="single" w:sz="4" w:space="0" w:color="auto"/>
            </w:tcBorders>
          </w:tcPr>
          <w:p w:rsidR="00D85FAC" w:rsidRPr="00AF1189" w:rsidRDefault="00D85FAC" w:rsidP="00D85FAC">
            <w:pPr>
              <w:pStyle w:val="table1"/>
            </w:pPr>
            <w:r w:rsidRPr="00AF1189">
              <w:t>2010</w:t>
            </w:r>
            <w:r>
              <w:t>–</w:t>
            </w:r>
            <w:r w:rsidRPr="00AF1189">
              <w:t>11</w:t>
            </w:r>
          </w:p>
        </w:tc>
        <w:tc>
          <w:tcPr>
            <w:tcW w:w="574" w:type="pct"/>
            <w:tcBorders>
              <w:bottom w:val="single" w:sz="4" w:space="0" w:color="auto"/>
            </w:tcBorders>
          </w:tcPr>
          <w:p w:rsidR="00D85FAC" w:rsidRPr="00B06A59" w:rsidRDefault="00D85FAC" w:rsidP="00D85FAC">
            <w:pPr>
              <w:pStyle w:val="table1"/>
              <w:jc w:val="center"/>
              <w:rPr>
                <w:i/>
              </w:rPr>
            </w:pPr>
            <w:r w:rsidRPr="00B06A59">
              <w:rPr>
                <w:i/>
              </w:rPr>
              <w:t>188</w:t>
            </w:r>
          </w:p>
        </w:tc>
        <w:tc>
          <w:tcPr>
            <w:tcW w:w="516" w:type="pct"/>
            <w:tcBorders>
              <w:bottom w:val="single" w:sz="4" w:space="0" w:color="auto"/>
            </w:tcBorders>
          </w:tcPr>
          <w:p w:rsidR="00D85FAC" w:rsidRPr="00B06A59" w:rsidRDefault="00D85FAC" w:rsidP="00D85FAC">
            <w:pPr>
              <w:pStyle w:val="table1"/>
              <w:jc w:val="center"/>
            </w:pPr>
            <w:r w:rsidRPr="00B06A59">
              <w:t>398</w:t>
            </w:r>
          </w:p>
        </w:tc>
        <w:tc>
          <w:tcPr>
            <w:tcW w:w="1350" w:type="pct"/>
            <w:tcBorders>
              <w:bottom w:val="single" w:sz="4" w:space="0" w:color="auto"/>
            </w:tcBorders>
          </w:tcPr>
          <w:p w:rsidR="00D85FAC" w:rsidRPr="00AF1189" w:rsidRDefault="00D85FAC" w:rsidP="00D85FAC">
            <w:pPr>
              <w:pStyle w:val="table1"/>
              <w:jc w:val="center"/>
            </w:pPr>
            <w:r>
              <w:t>+53%</w:t>
            </w:r>
          </w:p>
        </w:tc>
        <w:tc>
          <w:tcPr>
            <w:tcW w:w="620" w:type="pct"/>
            <w:tcBorders>
              <w:bottom w:val="single" w:sz="4" w:space="0" w:color="auto"/>
            </w:tcBorders>
          </w:tcPr>
          <w:p w:rsidR="00D85FAC" w:rsidRPr="00AF1189" w:rsidRDefault="00D85FAC" w:rsidP="00D85FAC">
            <w:pPr>
              <w:pStyle w:val="table1"/>
              <w:jc w:val="center"/>
            </w:pPr>
            <w:r w:rsidRPr="00AF1189">
              <w:t xml:space="preserve">267 </w:t>
            </w:r>
          </w:p>
        </w:tc>
        <w:tc>
          <w:tcPr>
            <w:tcW w:w="1294" w:type="pct"/>
            <w:tcBorders>
              <w:bottom w:val="single" w:sz="4" w:space="0" w:color="auto"/>
            </w:tcBorders>
          </w:tcPr>
          <w:p w:rsidR="00D85FAC" w:rsidRPr="00AF1189" w:rsidRDefault="00D85FAC" w:rsidP="00D85FAC">
            <w:pPr>
              <w:pStyle w:val="table1"/>
              <w:tabs>
                <w:tab w:val="left" w:pos="1089"/>
                <w:tab w:val="center" w:pos="1259"/>
              </w:tabs>
              <w:jc w:val="center"/>
            </w:pPr>
            <w:r>
              <w:t>+</w:t>
            </w:r>
            <w:r w:rsidRPr="00AF1189">
              <w:t>30</w:t>
            </w:r>
            <w:r>
              <w:t>%</w:t>
            </w:r>
          </w:p>
        </w:tc>
      </w:tr>
    </w:tbl>
    <w:p w:rsidR="00D85FAC" w:rsidRDefault="00D85FAC" w:rsidP="00D85FAC">
      <w:pPr>
        <w:pStyle w:val="tablenote"/>
        <w:rPr>
          <w:lang w:val="en-US"/>
        </w:rPr>
      </w:pPr>
    </w:p>
    <w:p w:rsidR="00D85FAC" w:rsidRDefault="00D85FAC" w:rsidP="00D85FAC">
      <w:pPr>
        <w:rPr>
          <w:lang w:val="en-US"/>
        </w:rPr>
      </w:pPr>
      <w:r>
        <w:rPr>
          <w:lang w:val="en-US"/>
        </w:rPr>
        <w:t>The</w:t>
      </w:r>
      <w:r w:rsidRPr="00AF1189">
        <w:rPr>
          <w:lang w:val="en-US"/>
        </w:rPr>
        <w:t xml:space="preserve"> </w:t>
      </w:r>
      <w:r>
        <w:rPr>
          <w:lang w:val="en-US"/>
        </w:rPr>
        <w:t xml:space="preserve">improved </w:t>
      </w:r>
      <w:r w:rsidRPr="00AF1189">
        <w:rPr>
          <w:lang w:val="en-US"/>
        </w:rPr>
        <w:t xml:space="preserve">method </w:t>
      </w:r>
      <w:r>
        <w:rPr>
          <w:lang w:val="en-US"/>
        </w:rPr>
        <w:t>for</w:t>
      </w:r>
      <w:r w:rsidRPr="00AF1189">
        <w:rPr>
          <w:lang w:val="en-US"/>
        </w:rPr>
        <w:t xml:space="preserve"> </w:t>
      </w:r>
      <w:r>
        <w:rPr>
          <w:lang w:val="en-US"/>
        </w:rPr>
        <w:t>determining the downstream Mg loads in Magela Creek produced lower annual load estimates compared with the method used previously. Whilst the actual seasonal Mg load at the downstream site will fall somewhere between the loads calculated using these two methods, this will not change the conclusion that there is no evidence for an increase in annual loads coming from the mine site over the past five years of the continuous monitoring record. Additional flow gaugings are needed at flow rates greater than 250 cumecs (greater than bankfull discharge) to reduce the uncertainty in the upper regions of the regressions used to estimate the contribution of the west anabranch at MCDW to the total discharge.</w:t>
      </w:r>
    </w:p>
    <w:p w:rsidR="00D85FAC" w:rsidRPr="00480590" w:rsidRDefault="00D85FAC" w:rsidP="00D85FAC">
      <w:pPr>
        <w:pStyle w:val="Heading2"/>
      </w:pPr>
      <w:bookmarkStart w:id="209" w:name="_Toc303074383"/>
      <w:bookmarkStart w:id="210" w:name="_Toc308710357"/>
      <w:bookmarkStart w:id="211" w:name="_Toc313523472"/>
      <w:bookmarkStart w:id="212" w:name="_Toc316985315"/>
      <w:r w:rsidRPr="00480590">
        <w:lastRenderedPageBreak/>
        <w:t>Summary and future work</w:t>
      </w:r>
      <w:bookmarkEnd w:id="209"/>
      <w:bookmarkEnd w:id="210"/>
      <w:bookmarkEnd w:id="211"/>
      <w:bookmarkEnd w:id="212"/>
    </w:p>
    <w:p w:rsidR="00D85FAC" w:rsidRPr="00DC14D8" w:rsidRDefault="00D85FAC" w:rsidP="00D85FAC">
      <w:pPr>
        <w:rPr>
          <w:spacing w:val="-2"/>
          <w:lang w:val="en-US"/>
        </w:rPr>
      </w:pPr>
      <w:r w:rsidRPr="00DC14D8">
        <w:rPr>
          <w:spacing w:val="-2"/>
          <w:lang w:val="en-US"/>
        </w:rPr>
        <w:t>During the 2011 dr</w:t>
      </w:r>
      <w:r>
        <w:rPr>
          <w:spacing w:val="-2"/>
          <w:lang w:val="en-US"/>
        </w:rPr>
        <w:t>y season, detailed cross</w:t>
      </w:r>
      <w:r w:rsidRPr="00DC14D8">
        <w:rPr>
          <w:spacing w:val="-2"/>
          <w:lang w:val="en-US"/>
        </w:rPr>
        <w:t xml:space="preserve"> section surveys </w:t>
      </w:r>
      <w:r>
        <w:rPr>
          <w:spacing w:val="-2"/>
          <w:lang w:val="en-US"/>
        </w:rPr>
        <w:t xml:space="preserve">of the channel </w:t>
      </w:r>
      <w:r w:rsidRPr="00DC14D8">
        <w:rPr>
          <w:spacing w:val="-2"/>
          <w:lang w:val="en-US"/>
        </w:rPr>
        <w:t>will be ca</w:t>
      </w:r>
      <w:r>
        <w:rPr>
          <w:spacing w:val="-2"/>
          <w:lang w:val="en-US"/>
        </w:rPr>
        <w:t>rried out at</w:t>
      </w:r>
      <w:r w:rsidRPr="00DC14D8">
        <w:rPr>
          <w:spacing w:val="-2"/>
          <w:lang w:val="en-US"/>
        </w:rPr>
        <w:t xml:space="preserve"> both G8210009 and MCDW. These measurements will enable better characterisa</w:t>
      </w:r>
      <w:r>
        <w:rPr>
          <w:spacing w:val="-2"/>
          <w:lang w:val="en-US"/>
        </w:rPr>
        <w:t>tion of the</w:t>
      </w:r>
      <w:r w:rsidRPr="00DC14D8">
        <w:rPr>
          <w:spacing w:val="-2"/>
          <w:lang w:val="en-US"/>
        </w:rPr>
        <w:t xml:space="preserve"> distribution of flows </w:t>
      </w:r>
      <w:r>
        <w:rPr>
          <w:spacing w:val="-2"/>
          <w:lang w:val="en-US"/>
        </w:rPr>
        <w:t>between anabranches o</w:t>
      </w:r>
      <w:r w:rsidRPr="00DC14D8">
        <w:rPr>
          <w:spacing w:val="-2"/>
          <w:lang w:val="en-US"/>
        </w:rPr>
        <w:t>n Magela</w:t>
      </w:r>
      <w:r>
        <w:rPr>
          <w:spacing w:val="-2"/>
          <w:lang w:val="en-US"/>
        </w:rPr>
        <w:t xml:space="preserve"> Creek under high flow</w:t>
      </w:r>
      <w:r w:rsidRPr="00DC14D8">
        <w:rPr>
          <w:spacing w:val="-2"/>
          <w:lang w:val="en-US"/>
        </w:rPr>
        <w:t>s. The E</w:t>
      </w:r>
      <w:r>
        <w:rPr>
          <w:spacing w:val="-2"/>
          <w:lang w:val="en-US"/>
        </w:rPr>
        <w:t>RA discharge and EC data for Georgetown and Coonjimba creeks have been sought. When</w:t>
      </w:r>
      <w:r w:rsidRPr="00DC14D8">
        <w:rPr>
          <w:spacing w:val="-2"/>
          <w:lang w:val="en-US"/>
        </w:rPr>
        <w:t xml:space="preserve"> received they will be used to independently derive the mine solute contribution to Magela </w:t>
      </w:r>
      <w:r>
        <w:rPr>
          <w:spacing w:val="-2"/>
          <w:lang w:val="en-US"/>
        </w:rPr>
        <w:t>C</w:t>
      </w:r>
      <w:r w:rsidRPr="00DC14D8">
        <w:rPr>
          <w:spacing w:val="-2"/>
          <w:lang w:val="en-US"/>
        </w:rPr>
        <w:t>reek for each wet season over the past six years</w:t>
      </w:r>
      <w:r w:rsidRPr="00DC14D8">
        <w:rPr>
          <w:spacing w:val="-2"/>
        </w:rPr>
        <w:t xml:space="preserve">. These data will then be compared with the overall upstream/downstream differences reported in Table </w:t>
      </w:r>
      <w:r w:rsidRPr="00DC14D8">
        <w:rPr>
          <w:spacing w:val="-2"/>
          <w:lang w:val="en-US"/>
        </w:rPr>
        <w:t>1</w:t>
      </w:r>
      <w:r>
        <w:rPr>
          <w:spacing w:val="-2"/>
          <w:lang w:val="en-US"/>
        </w:rPr>
        <w:t>.</w:t>
      </w:r>
    </w:p>
    <w:p w:rsidR="00D85FAC" w:rsidRPr="00480590" w:rsidRDefault="00D85FAC" w:rsidP="00D85FAC">
      <w:pPr>
        <w:pStyle w:val="Heading2"/>
      </w:pPr>
      <w:bookmarkStart w:id="213" w:name="_Toc308710358"/>
      <w:bookmarkStart w:id="214" w:name="_Toc313523473"/>
      <w:bookmarkStart w:id="215" w:name="_Toc316985316"/>
      <w:r>
        <w:t>References</w:t>
      </w:r>
      <w:bookmarkEnd w:id="213"/>
      <w:bookmarkEnd w:id="214"/>
      <w:bookmarkEnd w:id="215"/>
    </w:p>
    <w:p w:rsidR="00D85FAC" w:rsidRDefault="00D85FAC" w:rsidP="00D85FAC">
      <w:pPr>
        <w:pStyle w:val="referencelist1"/>
      </w:pPr>
      <w:r>
        <w:t xml:space="preserve">Frostick A, Turner K, Tayler K &amp; Jones D 2011. </w:t>
      </w:r>
      <w:proofErr w:type="gramStart"/>
      <w:r>
        <w:t>Water chemistry monitoring program.</w:t>
      </w:r>
      <w:proofErr w:type="gramEnd"/>
      <w:r>
        <w:t xml:space="preserve"> </w:t>
      </w:r>
      <w:proofErr w:type="gramStart"/>
      <w:r>
        <w:t xml:space="preserve">In </w:t>
      </w:r>
      <w:r w:rsidRPr="001D3EAD">
        <w:rPr>
          <w:b/>
          <w:i/>
          <w:sz w:val="26"/>
          <w:szCs w:val="26"/>
        </w:rPr>
        <w:t>eriss</w:t>
      </w:r>
      <w:r w:rsidRPr="001D3EAD">
        <w:rPr>
          <w:i/>
        </w:rPr>
        <w:t xml:space="preserve"> research summary 2009–2010</w:t>
      </w:r>
      <w:r>
        <w:t>.</w:t>
      </w:r>
      <w:proofErr w:type="gramEnd"/>
      <w:r>
        <w:t xml:space="preserve"> </w:t>
      </w:r>
      <w:proofErr w:type="gramStart"/>
      <w:r>
        <w:t>eds</w:t>
      </w:r>
      <w:proofErr w:type="gramEnd"/>
      <w:r>
        <w:t xml:space="preserve"> Jones DR &amp; Webb A, Supervising Scientist Report 202, Supervising Scientist, Darwin NT, 48–55. </w:t>
      </w:r>
    </w:p>
    <w:p w:rsidR="00D85FAC" w:rsidRDefault="00D85FAC" w:rsidP="00D85FAC">
      <w:pPr>
        <w:pStyle w:val="referencelist1"/>
      </w:pPr>
      <w:proofErr w:type="gramStart"/>
      <w:r>
        <w:t>Nanson GC, East TJ &amp; Roberts RG 1993.</w:t>
      </w:r>
      <w:proofErr w:type="gramEnd"/>
      <w:r>
        <w:t xml:space="preserve"> </w:t>
      </w:r>
      <w:proofErr w:type="gramStart"/>
      <w:r>
        <w:t>Quaternary stratigraphy, geochronology and evolution of the Magela Creek catchment in the monsoon tropics of northern Australia.</w:t>
      </w:r>
      <w:proofErr w:type="gramEnd"/>
      <w:r>
        <w:t xml:space="preserve"> </w:t>
      </w:r>
      <w:r w:rsidRPr="00CA48D1">
        <w:rPr>
          <w:i/>
        </w:rPr>
        <w:t>Sedimentary Geology</w:t>
      </w:r>
      <w:r>
        <w:t xml:space="preserve"> 83, 277–302.</w:t>
      </w:r>
    </w:p>
    <w:p w:rsidR="00D85FAC" w:rsidRDefault="00D85FAC" w:rsidP="00D85FAC">
      <w:pPr>
        <w:pStyle w:val="referencelist1"/>
      </w:pPr>
      <w:proofErr w:type="gramStart"/>
      <w:r>
        <w:t>Supervising Scientist 2009.</w:t>
      </w:r>
      <w:proofErr w:type="gramEnd"/>
      <w:r>
        <w:t xml:space="preserve"> </w:t>
      </w:r>
      <w:r>
        <w:rPr>
          <w:i/>
        </w:rPr>
        <w:t>Annual Report 2008–2009</w:t>
      </w:r>
      <w:r>
        <w:t xml:space="preserve">. </w:t>
      </w:r>
      <w:proofErr w:type="gramStart"/>
      <w:r>
        <w:t>Supervising Scientist, Darwin.</w:t>
      </w:r>
      <w:proofErr w:type="gramEnd"/>
    </w:p>
    <w:p w:rsidR="00D85FAC" w:rsidRDefault="00D85FAC" w:rsidP="00D85FAC">
      <w:pPr>
        <w:pStyle w:val="referencelist1"/>
      </w:pPr>
      <w:proofErr w:type="gramStart"/>
      <w:r>
        <w:t>Turner K &amp; Jones D 2009.</w:t>
      </w:r>
      <w:proofErr w:type="gramEnd"/>
      <w:r>
        <w:t xml:space="preserve"> </w:t>
      </w:r>
      <w:proofErr w:type="gramStart"/>
      <w:r>
        <w:t>Development of Magela Catchment area solute budget using continuous monitoring systems.</w:t>
      </w:r>
      <w:proofErr w:type="gramEnd"/>
      <w:r>
        <w:t xml:space="preserve"> </w:t>
      </w:r>
      <w:proofErr w:type="gramStart"/>
      <w:r>
        <w:t xml:space="preserve">In </w:t>
      </w:r>
      <w:r w:rsidRPr="001D3EAD">
        <w:rPr>
          <w:b/>
          <w:i/>
          <w:sz w:val="26"/>
          <w:szCs w:val="26"/>
        </w:rPr>
        <w:t>eriss</w:t>
      </w:r>
      <w:r w:rsidRPr="001D3EAD">
        <w:rPr>
          <w:i/>
        </w:rPr>
        <w:t xml:space="preserve"> research summary 200</w:t>
      </w:r>
      <w:r>
        <w:rPr>
          <w:i/>
        </w:rPr>
        <w:t>7</w:t>
      </w:r>
      <w:r w:rsidRPr="001D3EAD">
        <w:rPr>
          <w:i/>
        </w:rPr>
        <w:t>–200</w:t>
      </w:r>
      <w:r>
        <w:rPr>
          <w:i/>
        </w:rPr>
        <w:t>8</w:t>
      </w:r>
      <w:r>
        <w:t>.</w:t>
      </w:r>
      <w:proofErr w:type="gramEnd"/>
      <w:r>
        <w:t xml:space="preserve"> </w:t>
      </w:r>
      <w:proofErr w:type="gramStart"/>
      <w:r>
        <w:t>eds</w:t>
      </w:r>
      <w:proofErr w:type="gramEnd"/>
      <w:r>
        <w:t xml:space="preserve"> Jones DR &amp; Webb A, Supervising Scientist Report 200, Supervising Scientist, Darwin NT, 75–85.</w:t>
      </w:r>
    </w:p>
    <w:p w:rsidR="00D85FAC" w:rsidRDefault="00D85FAC" w:rsidP="00D85FAC">
      <w:pPr>
        <w:pStyle w:val="referencelist1"/>
      </w:pPr>
      <w:proofErr w:type="gramStart"/>
      <w:r>
        <w:t>Turner K &amp; Jones D 2010.</w:t>
      </w:r>
      <w:proofErr w:type="gramEnd"/>
      <w:r>
        <w:t xml:space="preserve"> </w:t>
      </w:r>
      <w:proofErr w:type="gramStart"/>
      <w:r>
        <w:t>Surface water transport of mine-related solutes in the Magela Creek catchment using continuous monitoring techniques.</w:t>
      </w:r>
      <w:proofErr w:type="gramEnd"/>
      <w:r>
        <w:t xml:space="preserve"> </w:t>
      </w:r>
      <w:proofErr w:type="gramStart"/>
      <w:r>
        <w:t xml:space="preserve">In </w:t>
      </w:r>
      <w:r w:rsidRPr="00A84CCE">
        <w:rPr>
          <w:b/>
          <w:i/>
          <w:sz w:val="26"/>
          <w:szCs w:val="26"/>
        </w:rPr>
        <w:t>eriss</w:t>
      </w:r>
      <w:r w:rsidRPr="00A84CCE">
        <w:rPr>
          <w:i/>
        </w:rPr>
        <w:t xml:space="preserve"> research summary 200</w:t>
      </w:r>
      <w:r>
        <w:rPr>
          <w:i/>
        </w:rPr>
        <w:t>8</w:t>
      </w:r>
      <w:r w:rsidRPr="00A84CCE">
        <w:rPr>
          <w:i/>
        </w:rPr>
        <w:t>–200</w:t>
      </w:r>
      <w:r>
        <w:rPr>
          <w:i/>
        </w:rPr>
        <w:t>9</w:t>
      </w:r>
      <w:r>
        <w:t>.</w:t>
      </w:r>
      <w:proofErr w:type="gramEnd"/>
      <w:r>
        <w:t xml:space="preserve"> </w:t>
      </w:r>
      <w:proofErr w:type="gramStart"/>
      <w:r>
        <w:t>eds</w:t>
      </w:r>
      <w:proofErr w:type="gramEnd"/>
      <w:r>
        <w:t xml:space="preserve"> Jones DR &amp; Webb A, Supervising Scientist Report 201, Supervising Scientist, Darwin NT, 58–65.</w:t>
      </w:r>
    </w:p>
    <w:p w:rsidR="00D85FAC" w:rsidRDefault="00D85FAC" w:rsidP="00D85FAC">
      <w:pPr>
        <w:pStyle w:val="referencelist1"/>
      </w:pPr>
      <w:r>
        <w:t xml:space="preserve">Turner K, Moliere D, Humphrey C &amp; Jones D 2008. </w:t>
      </w:r>
      <w:proofErr w:type="gramStart"/>
      <w:r>
        <w:t>Continuous monitoring of water quality in Magela Creek.</w:t>
      </w:r>
      <w:proofErr w:type="gramEnd"/>
      <w:r>
        <w:t xml:space="preserve"> </w:t>
      </w:r>
      <w:proofErr w:type="gramStart"/>
      <w:r>
        <w:t xml:space="preserve">In </w:t>
      </w:r>
      <w:r w:rsidRPr="00CB0937">
        <w:rPr>
          <w:b/>
          <w:i/>
          <w:sz w:val="26"/>
          <w:szCs w:val="26"/>
        </w:rPr>
        <w:t>eriss</w:t>
      </w:r>
      <w:r w:rsidRPr="00CB0937">
        <w:rPr>
          <w:i/>
        </w:rPr>
        <w:t xml:space="preserve"> research summary 2006–2007</w:t>
      </w:r>
      <w:r>
        <w:t>.</w:t>
      </w:r>
      <w:proofErr w:type="gramEnd"/>
      <w:r>
        <w:t xml:space="preserve"> </w:t>
      </w:r>
      <w:proofErr w:type="gramStart"/>
      <w:r>
        <w:t>eds</w:t>
      </w:r>
      <w:proofErr w:type="gramEnd"/>
      <w:r>
        <w:t xml:space="preserve"> Jones DR &amp; Webb A, Supervising Scientist Report 196, Supervising Scientist, Darwin NT, 37–42. </w:t>
      </w:r>
    </w:p>
    <w:p w:rsidR="00D85FAC" w:rsidRDefault="00D85FAC" w:rsidP="00D85FAC"/>
    <w:p w:rsidR="00D85FAC" w:rsidRDefault="00D85FAC" w:rsidP="00D85FAC"/>
    <w:p w:rsidR="00D85FAC" w:rsidRDefault="00D85FAC" w:rsidP="00D85FAC">
      <w:pPr>
        <w:pStyle w:val="Heading4"/>
        <w:sectPr w:rsidR="00D85FAC" w:rsidSect="00D85FAC">
          <w:headerReference w:type="even" r:id="rId97"/>
          <w:headerReference w:type="default" r:id="rId98"/>
          <w:headerReference w:type="first" r:id="rId99"/>
          <w:footnotePr>
            <w:numRestart w:val="eachSect"/>
          </w:footnotePr>
          <w:pgSz w:w="11906" w:h="16838" w:code="9"/>
          <w:pgMar w:top="1440" w:right="1797" w:bottom="1440" w:left="1797" w:header="851" w:footer="833" w:gutter="0"/>
          <w:cols w:space="360"/>
          <w:noEndnote/>
          <w:titlePg/>
        </w:sectPr>
      </w:pPr>
      <w:bookmarkStart w:id="216" w:name="_Toc309215797"/>
    </w:p>
    <w:p w:rsidR="00D85FAC" w:rsidRDefault="00D85FAC" w:rsidP="00D85FAC">
      <w:pPr>
        <w:pStyle w:val="Heading1"/>
      </w:pPr>
      <w:bookmarkStart w:id="217" w:name="_Toc319670721"/>
      <w:r>
        <w:lastRenderedPageBreak/>
        <w:t>Atmospheric radioactivity monitoring in the vicinity of Ranger and Jabiluka</w:t>
      </w:r>
      <w:bookmarkEnd w:id="216"/>
      <w:bookmarkEnd w:id="217"/>
    </w:p>
    <w:p w:rsidR="00D85FAC" w:rsidRPr="008E44C5" w:rsidRDefault="00D85FAC" w:rsidP="00D85FAC">
      <w:pPr>
        <w:pStyle w:val="authors"/>
        <w:spacing w:after="800"/>
      </w:pPr>
      <w:bookmarkStart w:id="218" w:name="_Toc316987224"/>
      <w:bookmarkStart w:id="219" w:name="_Toc319670722"/>
      <w:r>
        <w:t xml:space="preserve">C Doering, R Cahill, J Pfitzner &amp; </w:t>
      </w:r>
      <w:proofErr w:type="gramStart"/>
      <w:r>
        <w:t>A</w:t>
      </w:r>
      <w:proofErr w:type="gramEnd"/>
      <w:r>
        <w:t xml:space="preserve"> Bollhöfer</w:t>
      </w:r>
      <w:bookmarkEnd w:id="218"/>
      <w:bookmarkEnd w:id="219"/>
    </w:p>
    <w:p w:rsidR="00D85FAC" w:rsidRDefault="00D85FAC" w:rsidP="00D85FAC">
      <w:pPr>
        <w:pStyle w:val="Heading2"/>
      </w:pPr>
      <w:bookmarkStart w:id="220" w:name="_Toc313523475"/>
      <w:bookmarkStart w:id="221" w:name="_Toc316985318"/>
      <w:r>
        <w:t>Introduction</w:t>
      </w:r>
      <w:bookmarkEnd w:id="220"/>
      <w:bookmarkEnd w:id="221"/>
    </w:p>
    <w:p w:rsidR="00D85FAC" w:rsidRDefault="00D85FAC" w:rsidP="00D85FAC">
      <w:r>
        <w:t xml:space="preserve">Uranium mining has the potential to release radon (a radioactive gas) and particulate-bound radionuclides to the atmosphere at levels above the natural background through ground disturbance and other activities. The inhalation of radon decay products (RDP) in air and long-lived alpha activity (LLAA) </w:t>
      </w:r>
      <w:proofErr w:type="gramStart"/>
      <w:r>
        <w:t>radionuclides contained in or on dust contributes</w:t>
      </w:r>
      <w:proofErr w:type="gramEnd"/>
      <w:r>
        <w:t xml:space="preserve"> to the radiation dose received by the public in the vicinity of a uranium mine.</w:t>
      </w:r>
    </w:p>
    <w:p w:rsidR="00D85FAC" w:rsidRDefault="00D85FAC" w:rsidP="00D85FAC">
      <w:r>
        <w:t xml:space="preserve">The Ranger uranium mine (RUM) in northern Australia is a planned exposure situation in the context of current recommendations of </w:t>
      </w:r>
      <w:r>
        <w:rPr>
          <w:snapToGrid w:val="0"/>
          <w:lang w:val="en-US"/>
        </w:rPr>
        <w:t xml:space="preserve">International Commission on </w:t>
      </w:r>
      <w:r w:rsidRPr="00A4594B">
        <w:t>Radiological</w:t>
      </w:r>
      <w:r>
        <w:rPr>
          <w:rFonts w:ascii="Arial" w:hAnsi="Arial" w:cs="Arial"/>
          <w:sz w:val="20"/>
          <w:lang w:eastAsia="en-AU"/>
        </w:rPr>
        <w:t xml:space="preserve"> </w:t>
      </w:r>
      <w:r>
        <w:rPr>
          <w:snapToGrid w:val="0"/>
          <w:lang w:val="en-US"/>
        </w:rPr>
        <w:t>Protection (ICRP)</w:t>
      </w:r>
      <w:r>
        <w:t xml:space="preserve"> (ICRP 2007). The ICRP recommended dose limit for public exposure in planned exposure situations is 1 mSv in a year. This limit applies to the sum of doses received by a member of the public from all exposure pathways and relevant practices. The same dose limit for public exposure has been prescribed in national radiation protection recommendations and standards (ARPANSA 2002 &amp; 2011).</w:t>
      </w:r>
    </w:p>
    <w:p w:rsidR="00D85FAC" w:rsidRDefault="00D85FAC" w:rsidP="00D85FAC">
      <w:r>
        <w:t xml:space="preserve">In addition to dose limitation, the ICRP recommends that the level of protection should be optimised so that the likelihood of incurring exposures, the number of people exposed and the magnitude of individual doses are kept as low as reasonably achievable, taking into account economic and societal factors (ICRP 2007). The concept of dose constraint is used in the optimisation process to provide an upper bound on the annual doses that people should receive from an individual practice. For planned situations involving public exposure, the ICRP recommends that the </w:t>
      </w:r>
      <w:r w:rsidRPr="00770850">
        <w:t xml:space="preserve">dose constraint should be less than 1 mSv </w:t>
      </w:r>
      <w:r>
        <w:t xml:space="preserve">in a year </w:t>
      </w:r>
      <w:r w:rsidRPr="00770850">
        <w:t>and a value of no more than about 0.3 mSv</w:t>
      </w:r>
      <w:r>
        <w:t xml:space="preserve"> in a year </w:t>
      </w:r>
      <w:r w:rsidRPr="00770850">
        <w:t>would be appropriate</w:t>
      </w:r>
      <w:r>
        <w:t xml:space="preserve"> (ICRP 2007)</w:t>
      </w:r>
      <w:r w:rsidRPr="00770850">
        <w:t>.</w:t>
      </w:r>
    </w:p>
    <w:p w:rsidR="00D85FAC" w:rsidRDefault="00D85FAC" w:rsidP="00D85FAC">
      <w:r>
        <w:t xml:space="preserve">The main areas of habitation in the vicinity of RUM and Jabiluka are Jabiru, Jabiru East and Mudginberri. </w:t>
      </w:r>
      <w:proofErr w:type="gramStart"/>
      <w:r w:rsidRPr="00777476">
        <w:rPr>
          <w:b/>
          <w:i/>
          <w:sz w:val="26"/>
          <w:szCs w:val="22"/>
        </w:rPr>
        <w:t>eriss</w:t>
      </w:r>
      <w:proofErr w:type="gramEnd"/>
      <w:r>
        <w:t xml:space="preserve"> undertakes atmospheric monitoring of RDP and LLAA concentrations at these locations (Figure 1) to provide independent assurance that there is no unacceptable radiation risk to the public from inhalation of radionuclides. This paper summarises the results of this monitoring. </w:t>
      </w:r>
    </w:p>
    <w:p w:rsidR="00D85FAC" w:rsidRDefault="00D85FAC" w:rsidP="00D85FAC">
      <w:pPr>
        <w:pStyle w:val="Heading2"/>
      </w:pPr>
      <w:bookmarkStart w:id="222" w:name="_Toc313523476"/>
      <w:bookmarkStart w:id="223" w:name="_Toc316985319"/>
      <w:r>
        <w:t>Methods</w:t>
      </w:r>
      <w:bookmarkEnd w:id="222"/>
      <w:bookmarkEnd w:id="223"/>
    </w:p>
    <w:p w:rsidR="00D85FAC" w:rsidRDefault="00D85FAC" w:rsidP="00D85FAC">
      <w:r>
        <w:t xml:space="preserve">Environmental Radon Daughter Monitors (ERDMs) acquired from Radiation Detection Systems in Adelaide have been used since 2009 for continuous monitoring of the potential alpha energy concentration (PAEC) of RDP in air. The ERDMs operate at a nominal flow rate of 0.3 l/min and draw air through a Whatman GF/C filter positioned above an alpha counter. Hourly PAEC data is logged in the internal memory of the unit, which was downloaded at approximately monthly intervals. </w:t>
      </w:r>
    </w:p>
    <w:p w:rsidR="00D85FAC" w:rsidRDefault="00D85FAC" w:rsidP="00D85FAC">
      <w:pPr>
        <w:spacing w:after="0" w:line="240" w:lineRule="auto"/>
        <w:jc w:val="left"/>
      </w:pPr>
      <w:r>
        <w:br w:type="page"/>
      </w:r>
    </w:p>
    <w:p w:rsidR="00D85FAC" w:rsidRDefault="00D85FAC" w:rsidP="00D85FAC">
      <w:r w:rsidRPr="0037624C">
        <w:lastRenderedPageBreak/>
        <w:t xml:space="preserve">EcoTech MicroVol-1100 low flow-rate air samplers fitted with Whatman GF/C glass fibre filters </w:t>
      </w:r>
      <w:r>
        <w:t xml:space="preserve">have been used for dust </w:t>
      </w:r>
      <w:r w:rsidRPr="0037624C">
        <w:t>collection</w:t>
      </w:r>
      <w:r>
        <w:t xml:space="preserve"> since </w:t>
      </w:r>
      <w:r w:rsidRPr="00D92438">
        <w:t>2007</w:t>
      </w:r>
      <w:r w:rsidRPr="0037624C">
        <w:t>.</w:t>
      </w:r>
      <w:r>
        <w:t xml:space="preserve"> Filters were changed at approximately monthly intervals and </w:t>
      </w:r>
      <w:r w:rsidRPr="0037624C">
        <w:t xml:space="preserve">analysed </w:t>
      </w:r>
      <w:r>
        <w:t xml:space="preserve">in </w:t>
      </w:r>
      <w:r w:rsidRPr="00A266F9">
        <w:rPr>
          <w:b/>
          <w:i/>
          <w:sz w:val="26"/>
          <w:szCs w:val="22"/>
        </w:rPr>
        <w:t>eriss</w:t>
      </w:r>
      <w:r>
        <w:t xml:space="preserve"> laboratories </w:t>
      </w:r>
      <w:r w:rsidRPr="0037624C">
        <w:t>for total alpha activity usi</w:t>
      </w:r>
      <w:r>
        <w:t xml:space="preserve">ng Daybreak 582 alpha counters. </w:t>
      </w:r>
      <w:r w:rsidRPr="0037624C">
        <w:t xml:space="preserve">Count times were typically three to four days </w:t>
      </w:r>
      <w:r>
        <w:t xml:space="preserve">to ensure </w:t>
      </w:r>
      <w:r w:rsidRPr="0037624C">
        <w:t xml:space="preserve">reasonable counting statistics. Measurement of the background alpha activity </w:t>
      </w:r>
      <w:r>
        <w:t xml:space="preserve">of the counting system </w:t>
      </w:r>
      <w:r w:rsidRPr="0037624C">
        <w:t>was made prior to analysis of each filter. The background count rate was subtracted from the filter count rate to determine the net count rate, with a correction factor for counter efficiency applied to determine the alpha activity on the filter.</w:t>
      </w:r>
      <w:r>
        <w:t xml:space="preserve"> </w:t>
      </w:r>
    </w:p>
    <w:p w:rsidR="00D85FAC" w:rsidRDefault="00D85FAC" w:rsidP="00D85FAC"/>
    <w:p w:rsidR="00D85FAC" w:rsidRDefault="00D85FAC" w:rsidP="00D85FAC">
      <w:pPr>
        <w:jc w:val="center"/>
      </w:pPr>
      <w:r>
        <w:rPr>
          <w:noProof/>
          <w:lang w:eastAsia="en-AU"/>
        </w:rPr>
        <w:drawing>
          <wp:inline distT="0" distB="0" distL="0" distR="0">
            <wp:extent cx="4340860" cy="5950316"/>
            <wp:effectExtent l="19050" t="0" r="254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screen"/>
                    <a:srcRect/>
                    <a:stretch>
                      <a:fillRect/>
                    </a:stretch>
                  </pic:blipFill>
                  <pic:spPr bwMode="auto">
                    <a:xfrm>
                      <a:off x="0" y="0"/>
                      <a:ext cx="4344687" cy="5955561"/>
                    </a:xfrm>
                    <a:prstGeom prst="rect">
                      <a:avLst/>
                    </a:prstGeom>
                    <a:noFill/>
                    <a:ln w="9525">
                      <a:noFill/>
                      <a:miter lim="800000"/>
                      <a:headEnd/>
                      <a:tailEnd/>
                    </a:ln>
                  </pic:spPr>
                </pic:pic>
              </a:graphicData>
            </a:graphic>
          </wp:inline>
        </w:drawing>
      </w:r>
    </w:p>
    <w:p w:rsidR="00D85FAC" w:rsidRDefault="00D85FAC" w:rsidP="00D85FAC">
      <w:pPr>
        <w:pStyle w:val="figurecaption"/>
      </w:pPr>
      <w:r w:rsidRPr="0024321E">
        <w:rPr>
          <w:b/>
        </w:rPr>
        <w:t xml:space="preserve">Figure </w:t>
      </w:r>
      <w:proofErr w:type="gramStart"/>
      <w:r w:rsidRPr="0024321E">
        <w:rPr>
          <w:b/>
        </w:rPr>
        <w:t>1</w:t>
      </w:r>
      <w:r>
        <w:t xml:space="preserve">  </w:t>
      </w:r>
      <w:r w:rsidRPr="00952137">
        <w:rPr>
          <w:b/>
          <w:i/>
        </w:rPr>
        <w:t>eriss</w:t>
      </w:r>
      <w:proofErr w:type="gramEnd"/>
      <w:r>
        <w:t xml:space="preserve"> atmospheric radioactivity monitoring sites in the vicinity of RUM</w:t>
      </w:r>
    </w:p>
    <w:p w:rsidR="00D85FAC" w:rsidRDefault="00D85FAC" w:rsidP="00D85FAC">
      <w:pPr>
        <w:pStyle w:val="Heading2"/>
      </w:pPr>
      <w:bookmarkStart w:id="224" w:name="_Toc313523477"/>
      <w:bookmarkStart w:id="225" w:name="_Toc316985320"/>
      <w:r>
        <w:lastRenderedPageBreak/>
        <w:t>Results</w:t>
      </w:r>
      <w:bookmarkEnd w:id="224"/>
      <w:bookmarkEnd w:id="225"/>
    </w:p>
    <w:p w:rsidR="00D85FAC" w:rsidRDefault="00D85FAC" w:rsidP="00D85FAC">
      <w:pPr>
        <w:pStyle w:val="Heading3"/>
      </w:pPr>
      <w:bookmarkStart w:id="226" w:name="_Toc313523478"/>
      <w:bookmarkStart w:id="227" w:name="_Toc316985321"/>
      <w:r>
        <w:t>RDP concentrations</w:t>
      </w:r>
      <w:bookmarkEnd w:id="226"/>
      <w:bookmarkEnd w:id="227"/>
    </w:p>
    <w:p w:rsidR="00D85FAC" w:rsidRDefault="00D85FAC" w:rsidP="00D85FAC">
      <w:r>
        <w:t>Figure</w:t>
      </w:r>
      <w:r w:rsidRPr="009E058B">
        <w:t xml:space="preserve"> </w:t>
      </w:r>
      <w:r>
        <w:t>2</w:t>
      </w:r>
      <w:r w:rsidRPr="00BD2D3D">
        <w:t xml:space="preserve"> </w:t>
      </w:r>
      <w:r>
        <w:t xml:space="preserve">shows </w:t>
      </w:r>
      <w:r w:rsidRPr="0024321E">
        <w:rPr>
          <w:b/>
          <w:i/>
          <w:sz w:val="26"/>
        </w:rPr>
        <w:t>eriss</w:t>
      </w:r>
      <w:r>
        <w:t xml:space="preserve"> quarterly averaged </w:t>
      </w:r>
      <w:r w:rsidRPr="00BD2D3D">
        <w:t xml:space="preserve">RDP </w:t>
      </w:r>
      <w:r>
        <w:t>concentration data</w:t>
      </w:r>
      <w:r w:rsidRPr="00BD2D3D">
        <w:t xml:space="preserve"> </w:t>
      </w:r>
      <w:r>
        <w:t xml:space="preserve">from </w:t>
      </w:r>
      <w:r w:rsidRPr="00BD2D3D">
        <w:t>Jabiru</w:t>
      </w:r>
      <w:r>
        <w:t>,</w:t>
      </w:r>
      <w:r w:rsidRPr="00BD2D3D">
        <w:t xml:space="preserve"> Jabiru East</w:t>
      </w:r>
      <w:r>
        <w:t xml:space="preserve"> and Mudginberri for measurements made since early 2003. The general trend in the data across the sites was for RDP concentrations to be higher in the dry season and lower in the wet season. Radon exhalation flux density from soils decreases with increasing soil moisture content (Lawrence et al 2009).</w:t>
      </w:r>
    </w:p>
    <w:p w:rsidR="00D85FAC" w:rsidRDefault="00D85FAC" w:rsidP="00D85FAC">
      <w:pPr>
        <w:spacing w:after="0"/>
      </w:pPr>
    </w:p>
    <w:p w:rsidR="00D85FAC" w:rsidRDefault="00D85FAC" w:rsidP="00D85FAC">
      <w:pPr>
        <w:jc w:val="center"/>
      </w:pPr>
      <w:r>
        <w:rPr>
          <w:noProof/>
          <w:lang w:eastAsia="en-AU"/>
        </w:rPr>
        <w:drawing>
          <wp:inline distT="0" distB="0" distL="0" distR="0">
            <wp:extent cx="5307705" cy="2308860"/>
            <wp:effectExtent l="19050" t="0" r="7245"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screen"/>
                    <a:srcRect l="1713" t="2381" r="1335"/>
                    <a:stretch>
                      <a:fillRect/>
                    </a:stretch>
                  </pic:blipFill>
                  <pic:spPr bwMode="auto">
                    <a:xfrm>
                      <a:off x="0" y="0"/>
                      <a:ext cx="5307705" cy="2308860"/>
                    </a:xfrm>
                    <a:prstGeom prst="rect">
                      <a:avLst/>
                    </a:prstGeom>
                    <a:noFill/>
                  </pic:spPr>
                </pic:pic>
              </a:graphicData>
            </a:graphic>
          </wp:inline>
        </w:drawing>
      </w:r>
    </w:p>
    <w:p w:rsidR="00D85FAC" w:rsidRPr="00F441D9" w:rsidRDefault="00D85FAC" w:rsidP="00D85FAC">
      <w:pPr>
        <w:pStyle w:val="figurecaption"/>
      </w:pPr>
      <w:r w:rsidRPr="00505E26">
        <w:rPr>
          <w:b/>
        </w:rPr>
        <w:t xml:space="preserve">Figure </w:t>
      </w:r>
      <w:proofErr w:type="gramStart"/>
      <w:r w:rsidRPr="00505E26">
        <w:rPr>
          <w:b/>
        </w:rPr>
        <w:t>2</w:t>
      </w:r>
      <w:r w:rsidRPr="00F441D9">
        <w:t xml:space="preserve">  </w:t>
      </w:r>
      <w:r w:rsidRPr="00E03F9A">
        <w:rPr>
          <w:b/>
          <w:i/>
        </w:rPr>
        <w:t>eriss</w:t>
      </w:r>
      <w:proofErr w:type="gramEnd"/>
      <w:r>
        <w:t xml:space="preserve"> quarterly averaged </w:t>
      </w:r>
      <w:r w:rsidRPr="00F441D9">
        <w:t>R</w:t>
      </w:r>
      <w:r>
        <w:t>DP</w:t>
      </w:r>
      <w:r w:rsidRPr="00F441D9">
        <w:t xml:space="preserve"> </w:t>
      </w:r>
      <w:r>
        <w:t>concentration</w:t>
      </w:r>
      <w:r w:rsidRPr="00F441D9">
        <w:t xml:space="preserve"> </w:t>
      </w:r>
      <w:r>
        <w:t>data from</w:t>
      </w:r>
      <w:r w:rsidRPr="00F441D9">
        <w:t xml:space="preserve"> Jabiru, Jabiru East and Mudginberri</w:t>
      </w:r>
      <w:r>
        <w:t xml:space="preserve"> </w:t>
      </w:r>
      <w:r>
        <w:br/>
        <w:t>for measurements made since early 2003</w:t>
      </w:r>
    </w:p>
    <w:p w:rsidR="00D85FAC" w:rsidRDefault="00D85FAC" w:rsidP="00D85FAC">
      <w:r w:rsidRPr="002A34A1">
        <w:t xml:space="preserve">Two sample t-test </w:t>
      </w:r>
      <w:proofErr w:type="gramStart"/>
      <w:r w:rsidRPr="002A34A1">
        <w:t>analysis</w:t>
      </w:r>
      <w:proofErr w:type="gramEnd"/>
      <w:r>
        <w:t xml:space="preserve"> of the </w:t>
      </w:r>
      <w:r w:rsidRPr="00505E26">
        <w:rPr>
          <w:b/>
          <w:i/>
          <w:sz w:val="26"/>
        </w:rPr>
        <w:t>eriss</w:t>
      </w:r>
      <w:r>
        <w:t xml:space="preserve"> quarterly averaged RDP concentration data was used to test for statistically significant differences (95% confidence level) in the mean values between Jabiru and Mudginberri and between Jabiru East and Mudginberri. The reason for testing both the Jabiru and Jabiru East results against the Mudginberri results is that the Mudginberri site is considered to be a background site due to its distance from the operational areas at RUM. The overall mean RDP concentrations at Jabiru, Jabiru East and Mudginberri were 0.043, 0.066 and </w:t>
      </w:r>
      <w:proofErr w:type="gramStart"/>
      <w:r>
        <w:t>0.041 µJ m</w:t>
      </w:r>
      <w:r w:rsidRPr="00BE76BE">
        <w:rPr>
          <w:snapToGrid w:val="0"/>
          <w:color w:val="000000"/>
          <w:position w:val="5"/>
          <w:sz w:val="15"/>
          <w:szCs w:val="0"/>
          <w:u w:color="000000"/>
        </w:rPr>
        <w:t>-3</w:t>
      </w:r>
      <w:r>
        <w:t>, respectively</w:t>
      </w:r>
      <w:proofErr w:type="gramEnd"/>
      <w:r>
        <w:t>. Whereas the difference in mean values between Jabiru and Mudginberri was not statistically significant (p&gt;0.05), there was a statistically significant difference in the mean values between Jabiru East and Mudginberri (p&lt;0.05). Measured RDP concentrations at Jabiru East are generally higher than the other two sites and show more variation due to the closer proximity of the monitoring site to the RUM pit and ore stock piles, which are the largest localised sources of radon in the area.</w:t>
      </w:r>
    </w:p>
    <w:p w:rsidR="00D85FAC" w:rsidRDefault="00D85FAC" w:rsidP="00D85FAC">
      <w:pPr>
        <w:rPr>
          <w:spacing w:val="-2"/>
        </w:rPr>
      </w:pPr>
      <w:r>
        <w:rPr>
          <w:spacing w:val="-2"/>
        </w:rPr>
        <w:t xml:space="preserve">In 2010, the dry season average RDP concentrations at all sites showed the suppressing effect of an unusually wet year (Figure 2).  In the 12-month period from July 2010 to June 2011 northern </w:t>
      </w:r>
      <w:smartTag w:uri="urn:schemas-microsoft-com:office:smarttags" w:element="place">
        <w:smartTag w:uri="urn:schemas-microsoft-com:office:smarttags" w:element="country-region">
          <w:r>
            <w:rPr>
              <w:spacing w:val="-2"/>
            </w:rPr>
            <w:t>Australia</w:t>
          </w:r>
        </w:smartTag>
      </w:smartTag>
      <w:r>
        <w:rPr>
          <w:spacing w:val="-2"/>
        </w:rPr>
        <w:t xml:space="preserve"> experienced one of the wettest years on record. Heavy and consistent rainfall kept the soil waterlogged for extended periods which inhibited radon exhalation from the ground surface, even during the dry season.</w:t>
      </w:r>
    </w:p>
    <w:p w:rsidR="00D85FAC" w:rsidRDefault="00D85FAC" w:rsidP="00D85FAC">
      <w:r w:rsidRPr="005A34CE">
        <w:rPr>
          <w:spacing w:val="-2"/>
        </w:rPr>
        <w:t>Figure 3</w:t>
      </w:r>
      <w:r>
        <w:rPr>
          <w:spacing w:val="-2"/>
        </w:rPr>
        <w:t xml:space="preserve"> shows continuous measurements of RDP concentration and daily rainfall at Mudginberri for the first quarter of 2011. In general, RDP concentrations were low when daily rainfall amount was high and vice-versa, indicating the suppressing effect of rainfall on radon exhalation from the ground surface. The influence of other factors on radon exhalation </w:t>
      </w:r>
      <w:r w:rsidRPr="00FE1A23">
        <w:t xml:space="preserve">such as soil </w:t>
      </w:r>
      <w:r w:rsidRPr="00FE1A23">
        <w:rPr>
          <w:vertAlign w:val="superscript"/>
        </w:rPr>
        <w:t>226</w:t>
      </w:r>
      <w:r w:rsidRPr="00FE1A23">
        <w:t>Ra activity concentration, soil morphology and vegetation cover have been investigated previously (</w:t>
      </w:r>
      <w:smartTag w:uri="urn:schemas-microsoft-com:office:smarttags" w:element="place">
        <w:smartTag w:uri="urn:schemas-microsoft-com:office:smarttags" w:element="City">
          <w:r w:rsidRPr="00FE1A23">
            <w:t>Lawrence</w:t>
          </w:r>
        </w:smartTag>
      </w:smartTag>
      <w:r w:rsidRPr="00FE1A23">
        <w:t xml:space="preserve"> </w:t>
      </w:r>
      <w:r>
        <w:t>et al</w:t>
      </w:r>
      <w:r w:rsidRPr="00FE1A23">
        <w:t xml:space="preserve"> 2009).</w:t>
      </w:r>
    </w:p>
    <w:p w:rsidR="00D85FAC" w:rsidRDefault="00D85FAC" w:rsidP="00D85FAC">
      <w:pPr>
        <w:jc w:val="center"/>
      </w:pPr>
      <w:r>
        <w:rPr>
          <w:noProof/>
          <w:lang w:eastAsia="en-AU"/>
        </w:rPr>
        <w:lastRenderedPageBreak/>
        <w:drawing>
          <wp:inline distT="0" distB="0" distL="0" distR="0">
            <wp:extent cx="5373567" cy="2476163"/>
            <wp:effectExtent l="1905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screen"/>
                    <a:srcRect l="1123" t="1608" r="1373"/>
                    <a:stretch>
                      <a:fillRect/>
                    </a:stretch>
                  </pic:blipFill>
                  <pic:spPr bwMode="auto">
                    <a:xfrm>
                      <a:off x="0" y="0"/>
                      <a:ext cx="5373567" cy="2476163"/>
                    </a:xfrm>
                    <a:prstGeom prst="rect">
                      <a:avLst/>
                    </a:prstGeom>
                    <a:noFill/>
                  </pic:spPr>
                </pic:pic>
              </a:graphicData>
            </a:graphic>
          </wp:inline>
        </w:drawing>
      </w:r>
    </w:p>
    <w:p w:rsidR="00D85FAC" w:rsidRPr="00893FB4" w:rsidRDefault="00D85FAC" w:rsidP="00D85FAC">
      <w:pPr>
        <w:pStyle w:val="figurecaption"/>
        <w:spacing w:after="400"/>
      </w:pPr>
      <w:r w:rsidRPr="00505E26">
        <w:rPr>
          <w:b/>
        </w:rPr>
        <w:t xml:space="preserve">Figure </w:t>
      </w:r>
      <w:proofErr w:type="gramStart"/>
      <w:r w:rsidRPr="00505E26">
        <w:rPr>
          <w:b/>
        </w:rPr>
        <w:t>3</w:t>
      </w:r>
      <w:r w:rsidRPr="00893FB4">
        <w:t xml:space="preserve">  RDP</w:t>
      </w:r>
      <w:proofErr w:type="gramEnd"/>
      <w:r w:rsidRPr="00893FB4">
        <w:t xml:space="preserve"> concentration and rainfall at Mudginberri in the first quarter of 2011</w:t>
      </w:r>
    </w:p>
    <w:p w:rsidR="00D85FAC" w:rsidRDefault="00D85FAC" w:rsidP="00D85FAC">
      <w:r>
        <w:t xml:space="preserve">Table 1 gives the annual averages of RDP concentrations measured by </w:t>
      </w:r>
      <w:r w:rsidRPr="00505E26">
        <w:rPr>
          <w:b/>
          <w:i/>
          <w:sz w:val="26"/>
        </w:rPr>
        <w:t>eriss</w:t>
      </w:r>
      <w:r>
        <w:t xml:space="preserve"> and those measured by the RUM operator (ERA 2009, 2010, 2011) in the past three years. It also gives the total annual dose to a member of the public at Jabiru from inhalation of RDP calculated by </w:t>
      </w:r>
      <w:r w:rsidRPr="00505E26">
        <w:rPr>
          <w:b/>
          <w:i/>
          <w:sz w:val="26"/>
        </w:rPr>
        <w:t>eriss</w:t>
      </w:r>
      <w:r>
        <w:t xml:space="preserve">. </w:t>
      </w:r>
    </w:p>
    <w:p w:rsidR="00D85FAC" w:rsidRPr="00473D82" w:rsidRDefault="00D85FAC" w:rsidP="00D85FAC">
      <w:pPr>
        <w:pStyle w:val="tablecaption"/>
        <w:spacing w:before="320"/>
      </w:pPr>
      <w:r w:rsidRPr="00505E26">
        <w:rPr>
          <w:b/>
        </w:rPr>
        <w:t xml:space="preserve">Table </w:t>
      </w:r>
      <w:proofErr w:type="gramStart"/>
      <w:r w:rsidRPr="00505E26">
        <w:rPr>
          <w:b/>
        </w:rPr>
        <w:t>1</w:t>
      </w:r>
      <w:r w:rsidRPr="00473D82">
        <w:t xml:space="preserve">  Annual</w:t>
      </w:r>
      <w:proofErr w:type="gramEnd"/>
      <w:r w:rsidRPr="00473D82">
        <w:t xml:space="preserve"> average RDP concentrations at Jabiru, Jabiru East and Mudginberri and total annual doses to the public from RDP inhalation at Jabiru from 2008 to 2010. The values in parantheses are those reported by the RUM operator</w:t>
      </w:r>
      <w:r>
        <w:t xml:space="preserve"> (ERA 2009; 2010; 2011)</w:t>
      </w:r>
      <w:r w:rsidRPr="00473D82">
        <w:t>.</w:t>
      </w:r>
    </w:p>
    <w:tbl>
      <w:tblPr>
        <w:tblW w:w="0" w:type="auto"/>
        <w:tblBorders>
          <w:top w:val="single" w:sz="4" w:space="0" w:color="000000" w:themeColor="text1"/>
          <w:bottom w:val="single" w:sz="4" w:space="0" w:color="000000" w:themeColor="text1"/>
        </w:tblBorders>
        <w:tblLook w:val="04A0"/>
      </w:tblPr>
      <w:tblGrid>
        <w:gridCol w:w="2943"/>
        <w:gridCol w:w="1560"/>
        <w:gridCol w:w="1417"/>
        <w:gridCol w:w="1418"/>
        <w:gridCol w:w="1184"/>
      </w:tblGrid>
      <w:tr w:rsidR="00D85FAC" w:rsidTr="00D85FAC">
        <w:tc>
          <w:tcPr>
            <w:tcW w:w="2943" w:type="dxa"/>
            <w:tcBorders>
              <w:top w:val="single" w:sz="4" w:space="0" w:color="000000" w:themeColor="text1"/>
              <w:bottom w:val="single" w:sz="4" w:space="0" w:color="000000" w:themeColor="text1"/>
            </w:tcBorders>
          </w:tcPr>
          <w:p w:rsidR="00D85FAC" w:rsidRDefault="00D85FAC" w:rsidP="00D85FAC">
            <w:pPr>
              <w:pStyle w:val="table1"/>
            </w:pPr>
          </w:p>
        </w:tc>
        <w:tc>
          <w:tcPr>
            <w:tcW w:w="1560" w:type="dxa"/>
            <w:tcBorders>
              <w:top w:val="single" w:sz="4" w:space="0" w:color="000000" w:themeColor="text1"/>
              <w:bottom w:val="single" w:sz="4" w:space="0" w:color="000000" w:themeColor="text1"/>
            </w:tcBorders>
          </w:tcPr>
          <w:p w:rsidR="00D85FAC" w:rsidRDefault="00D85FAC" w:rsidP="00D85FAC">
            <w:pPr>
              <w:pStyle w:val="table1"/>
            </w:pPr>
          </w:p>
        </w:tc>
        <w:tc>
          <w:tcPr>
            <w:tcW w:w="1417" w:type="dxa"/>
            <w:tcBorders>
              <w:top w:val="single" w:sz="4" w:space="0" w:color="000000" w:themeColor="text1"/>
              <w:bottom w:val="single" w:sz="4" w:space="0" w:color="000000" w:themeColor="text1"/>
            </w:tcBorders>
          </w:tcPr>
          <w:p w:rsidR="00D85FAC" w:rsidRDefault="00D85FAC" w:rsidP="00D85FAC">
            <w:pPr>
              <w:pStyle w:val="table1"/>
            </w:pPr>
            <w:r>
              <w:t>2008</w:t>
            </w:r>
          </w:p>
        </w:tc>
        <w:tc>
          <w:tcPr>
            <w:tcW w:w="1418" w:type="dxa"/>
            <w:tcBorders>
              <w:top w:val="single" w:sz="4" w:space="0" w:color="000000" w:themeColor="text1"/>
              <w:bottom w:val="single" w:sz="4" w:space="0" w:color="000000" w:themeColor="text1"/>
            </w:tcBorders>
          </w:tcPr>
          <w:p w:rsidR="00D85FAC" w:rsidRDefault="00D85FAC" w:rsidP="00D85FAC">
            <w:pPr>
              <w:pStyle w:val="table1"/>
            </w:pPr>
            <w:r>
              <w:t>2009</w:t>
            </w:r>
          </w:p>
        </w:tc>
        <w:tc>
          <w:tcPr>
            <w:tcW w:w="1184" w:type="dxa"/>
            <w:tcBorders>
              <w:top w:val="single" w:sz="4" w:space="0" w:color="000000" w:themeColor="text1"/>
              <w:bottom w:val="single" w:sz="4" w:space="0" w:color="000000" w:themeColor="text1"/>
            </w:tcBorders>
          </w:tcPr>
          <w:p w:rsidR="00D85FAC" w:rsidRDefault="00D85FAC" w:rsidP="00D85FAC">
            <w:pPr>
              <w:pStyle w:val="table1"/>
            </w:pPr>
            <w:r>
              <w:t>2010</w:t>
            </w:r>
          </w:p>
        </w:tc>
      </w:tr>
      <w:tr w:rsidR="00D85FAC" w:rsidTr="00D85FAC">
        <w:tc>
          <w:tcPr>
            <w:tcW w:w="2943" w:type="dxa"/>
            <w:tcBorders>
              <w:top w:val="single" w:sz="4" w:space="0" w:color="000000" w:themeColor="text1"/>
            </w:tcBorders>
          </w:tcPr>
          <w:p w:rsidR="00D85FAC" w:rsidRDefault="00D85FAC" w:rsidP="00D85FAC">
            <w:pPr>
              <w:pStyle w:val="table1"/>
            </w:pPr>
            <w:r>
              <w:t>RDP concentration (</w:t>
            </w:r>
            <w:r>
              <w:rPr>
                <w:rFonts w:cs="Arial"/>
              </w:rPr>
              <w:t>µ</w:t>
            </w:r>
            <w:r>
              <w:t>J m</w:t>
            </w:r>
            <w:r w:rsidRPr="00AE7F27">
              <w:rPr>
                <w:snapToGrid w:val="0"/>
                <w:color w:val="000000"/>
                <w:position w:val="4"/>
                <w:sz w:val="11"/>
                <w:szCs w:val="0"/>
                <w:u w:color="000000"/>
              </w:rPr>
              <w:t>-3</w:t>
            </w:r>
            <w:r>
              <w:t>)</w:t>
            </w:r>
          </w:p>
        </w:tc>
        <w:tc>
          <w:tcPr>
            <w:tcW w:w="1560" w:type="dxa"/>
            <w:tcBorders>
              <w:top w:val="single" w:sz="4" w:space="0" w:color="000000" w:themeColor="text1"/>
            </w:tcBorders>
          </w:tcPr>
          <w:p w:rsidR="00D85FAC" w:rsidRDefault="00D85FAC" w:rsidP="00D85FAC">
            <w:pPr>
              <w:pStyle w:val="table1"/>
            </w:pPr>
            <w:r>
              <w:t>Jabiru</w:t>
            </w:r>
          </w:p>
        </w:tc>
        <w:tc>
          <w:tcPr>
            <w:tcW w:w="1417" w:type="dxa"/>
            <w:tcBorders>
              <w:top w:val="single" w:sz="4" w:space="0" w:color="000000" w:themeColor="text1"/>
            </w:tcBorders>
          </w:tcPr>
          <w:p w:rsidR="00D85FAC" w:rsidRDefault="00D85FAC" w:rsidP="00D85FAC">
            <w:pPr>
              <w:pStyle w:val="table1"/>
            </w:pPr>
            <w:r>
              <w:t>0.038 (0.037)</w:t>
            </w:r>
          </w:p>
        </w:tc>
        <w:tc>
          <w:tcPr>
            <w:tcW w:w="1418" w:type="dxa"/>
            <w:tcBorders>
              <w:top w:val="single" w:sz="4" w:space="0" w:color="000000" w:themeColor="text1"/>
            </w:tcBorders>
          </w:tcPr>
          <w:p w:rsidR="00D85FAC" w:rsidRDefault="00D85FAC" w:rsidP="00D85FAC">
            <w:pPr>
              <w:pStyle w:val="table1"/>
            </w:pPr>
            <w:r>
              <w:t>0.039 (0.066)</w:t>
            </w:r>
          </w:p>
        </w:tc>
        <w:tc>
          <w:tcPr>
            <w:tcW w:w="1184" w:type="dxa"/>
            <w:tcBorders>
              <w:top w:val="single" w:sz="4" w:space="0" w:color="000000" w:themeColor="text1"/>
            </w:tcBorders>
          </w:tcPr>
          <w:p w:rsidR="00D85FAC" w:rsidRDefault="00D85FAC" w:rsidP="00D85FAC">
            <w:pPr>
              <w:pStyle w:val="table1"/>
            </w:pPr>
            <w:r>
              <w:t>0.028 (0.038)</w:t>
            </w:r>
          </w:p>
        </w:tc>
      </w:tr>
      <w:tr w:rsidR="00D85FAC" w:rsidTr="00D85FAC">
        <w:tc>
          <w:tcPr>
            <w:tcW w:w="2943" w:type="dxa"/>
          </w:tcPr>
          <w:p w:rsidR="00D85FAC" w:rsidRDefault="00D85FAC" w:rsidP="00D85FAC">
            <w:pPr>
              <w:pStyle w:val="table1"/>
            </w:pPr>
          </w:p>
        </w:tc>
        <w:tc>
          <w:tcPr>
            <w:tcW w:w="1560" w:type="dxa"/>
          </w:tcPr>
          <w:p w:rsidR="00D85FAC" w:rsidRDefault="00D85FAC" w:rsidP="00D85FAC">
            <w:pPr>
              <w:pStyle w:val="table1"/>
            </w:pPr>
            <w:r>
              <w:t>Jabiru East</w:t>
            </w:r>
          </w:p>
        </w:tc>
        <w:tc>
          <w:tcPr>
            <w:tcW w:w="1417" w:type="dxa"/>
          </w:tcPr>
          <w:p w:rsidR="00D85FAC" w:rsidRDefault="00D85FAC" w:rsidP="00D85FAC">
            <w:pPr>
              <w:pStyle w:val="table1"/>
            </w:pPr>
            <w:r>
              <w:t>0.046 (0.033)</w:t>
            </w:r>
          </w:p>
        </w:tc>
        <w:tc>
          <w:tcPr>
            <w:tcW w:w="1418" w:type="dxa"/>
          </w:tcPr>
          <w:p w:rsidR="00D85FAC" w:rsidRDefault="00D85FAC" w:rsidP="00D85FAC">
            <w:pPr>
              <w:pStyle w:val="table1"/>
            </w:pPr>
            <w:r>
              <w:t>0.057 (0.100)</w:t>
            </w:r>
          </w:p>
        </w:tc>
        <w:tc>
          <w:tcPr>
            <w:tcW w:w="1184" w:type="dxa"/>
          </w:tcPr>
          <w:p w:rsidR="00D85FAC" w:rsidRDefault="00D85FAC" w:rsidP="00D85FAC">
            <w:pPr>
              <w:pStyle w:val="table1"/>
            </w:pPr>
            <w:r>
              <w:t>0.030 (0.040)</w:t>
            </w:r>
          </w:p>
        </w:tc>
      </w:tr>
      <w:tr w:rsidR="00D85FAC" w:rsidTr="00D85FAC">
        <w:tc>
          <w:tcPr>
            <w:tcW w:w="2943" w:type="dxa"/>
          </w:tcPr>
          <w:p w:rsidR="00D85FAC" w:rsidRDefault="00D85FAC" w:rsidP="00D85FAC">
            <w:pPr>
              <w:pStyle w:val="table1"/>
            </w:pPr>
          </w:p>
        </w:tc>
        <w:tc>
          <w:tcPr>
            <w:tcW w:w="1560" w:type="dxa"/>
          </w:tcPr>
          <w:p w:rsidR="00D85FAC" w:rsidRDefault="00D85FAC" w:rsidP="00D85FAC">
            <w:pPr>
              <w:pStyle w:val="table1"/>
            </w:pPr>
            <w:r>
              <w:t>Mudginberri</w:t>
            </w:r>
          </w:p>
        </w:tc>
        <w:tc>
          <w:tcPr>
            <w:tcW w:w="1417" w:type="dxa"/>
          </w:tcPr>
          <w:p w:rsidR="00D85FAC" w:rsidRDefault="00D85FAC" w:rsidP="00D85FAC">
            <w:pPr>
              <w:pStyle w:val="table1"/>
            </w:pPr>
            <w:r>
              <w:t>0.029</w:t>
            </w:r>
          </w:p>
        </w:tc>
        <w:tc>
          <w:tcPr>
            <w:tcW w:w="1418" w:type="dxa"/>
          </w:tcPr>
          <w:p w:rsidR="00D85FAC" w:rsidRDefault="00D85FAC" w:rsidP="00D85FAC">
            <w:pPr>
              <w:pStyle w:val="table1"/>
            </w:pPr>
            <w:r>
              <w:t>0.037</w:t>
            </w:r>
          </w:p>
        </w:tc>
        <w:tc>
          <w:tcPr>
            <w:tcW w:w="1184" w:type="dxa"/>
          </w:tcPr>
          <w:p w:rsidR="00D85FAC" w:rsidRDefault="00D85FAC" w:rsidP="00D85FAC">
            <w:pPr>
              <w:pStyle w:val="table1"/>
            </w:pPr>
            <w:r>
              <w:t>0.024</w:t>
            </w:r>
          </w:p>
        </w:tc>
      </w:tr>
      <w:tr w:rsidR="00D85FAC" w:rsidTr="00D85FAC">
        <w:tc>
          <w:tcPr>
            <w:tcW w:w="4503" w:type="dxa"/>
            <w:gridSpan w:val="2"/>
          </w:tcPr>
          <w:p w:rsidR="00D85FAC" w:rsidRDefault="00D85FAC" w:rsidP="00D85FAC">
            <w:pPr>
              <w:pStyle w:val="table1"/>
            </w:pPr>
            <w:r>
              <w:t>RDP total annual dose (mSv) at Jabiru</w:t>
            </w:r>
          </w:p>
        </w:tc>
        <w:tc>
          <w:tcPr>
            <w:tcW w:w="1417" w:type="dxa"/>
          </w:tcPr>
          <w:p w:rsidR="00D85FAC" w:rsidRDefault="00D85FAC" w:rsidP="00D85FAC">
            <w:pPr>
              <w:pStyle w:val="table1"/>
            </w:pPr>
            <w:r>
              <w:t>0.37</w:t>
            </w:r>
          </w:p>
        </w:tc>
        <w:tc>
          <w:tcPr>
            <w:tcW w:w="1418" w:type="dxa"/>
          </w:tcPr>
          <w:p w:rsidR="00D85FAC" w:rsidRDefault="00D85FAC" w:rsidP="00D85FAC">
            <w:pPr>
              <w:pStyle w:val="table1"/>
            </w:pPr>
            <w:r>
              <w:t>0.38</w:t>
            </w:r>
          </w:p>
        </w:tc>
        <w:tc>
          <w:tcPr>
            <w:tcW w:w="1184" w:type="dxa"/>
          </w:tcPr>
          <w:p w:rsidR="00D85FAC" w:rsidRDefault="00D85FAC" w:rsidP="00D85FAC">
            <w:pPr>
              <w:pStyle w:val="table1"/>
            </w:pPr>
            <w:r>
              <w:t>0.27</w:t>
            </w:r>
          </w:p>
        </w:tc>
      </w:tr>
    </w:tbl>
    <w:p w:rsidR="00D85FAC" w:rsidRDefault="00D85FAC" w:rsidP="00D85FAC">
      <w:pPr>
        <w:pStyle w:val="tablenote"/>
      </w:pPr>
    </w:p>
    <w:p w:rsidR="00D85FAC" w:rsidRDefault="00D85FAC" w:rsidP="00D85FAC">
      <w:r>
        <w:t>The total annual dose comprises both the natural background and mine-related components of the RDP dose. The calculation uses the annual average RDP concentration at Jabiru, a dose conversion factor of 0.0011 mSv per μJ hr m</w:t>
      </w:r>
      <w:r w:rsidRPr="000400F2">
        <w:rPr>
          <w:snapToGrid w:val="0"/>
          <w:color w:val="000000"/>
          <w:position w:val="5"/>
          <w:sz w:val="15"/>
          <w:szCs w:val="0"/>
          <w:u w:color="000000"/>
        </w:rPr>
        <w:t>-3</w:t>
      </w:r>
      <w:r>
        <w:t xml:space="preserve"> and </w:t>
      </w:r>
      <w:proofErr w:type="gramStart"/>
      <w:r>
        <w:t>an occupancy</w:t>
      </w:r>
      <w:proofErr w:type="gramEnd"/>
      <w:r>
        <w:t xml:space="preserve"> of 8760 hours. The </w:t>
      </w:r>
      <w:r w:rsidRPr="00505E26">
        <w:rPr>
          <w:b/>
          <w:i/>
          <w:sz w:val="26"/>
        </w:rPr>
        <w:t>eriss</w:t>
      </w:r>
      <w:r>
        <w:t xml:space="preserve"> calculated total annual dose to the public at Jabiru from RDP in 2010 was approximately 0.27 mSv. Previous work by </w:t>
      </w:r>
      <w:r w:rsidRPr="00505E26">
        <w:rPr>
          <w:b/>
          <w:i/>
          <w:sz w:val="26"/>
        </w:rPr>
        <w:t>eriss</w:t>
      </w:r>
      <w:r>
        <w:t xml:space="preserve"> (Martin 2002</w:t>
      </w:r>
      <w:r w:rsidRPr="00201A9C">
        <w:t>)</w:t>
      </w:r>
      <w:r>
        <w:t xml:space="preserve"> suggests that the mine-related component of the RDP dose to the public at Jabiru is probably an order of magnitude less than the total annual dose value, though this estimate of the mine-related component was for a smaller mine footprint than the present situation.</w:t>
      </w:r>
    </w:p>
    <w:p w:rsidR="00D85FAC" w:rsidRDefault="00D85FAC" w:rsidP="00D85FAC">
      <w:pPr>
        <w:pStyle w:val="Heading3"/>
      </w:pPr>
      <w:bookmarkStart w:id="228" w:name="_Toc313523479"/>
      <w:bookmarkStart w:id="229" w:name="_Toc316985322"/>
      <w:r>
        <w:t>LLAA radionuclide concentrations</w:t>
      </w:r>
      <w:bookmarkEnd w:id="228"/>
      <w:bookmarkEnd w:id="229"/>
    </w:p>
    <w:p w:rsidR="00D85FAC" w:rsidRDefault="00D85FAC" w:rsidP="00D85FAC">
      <w:r>
        <w:t xml:space="preserve">Figure 4 shows </w:t>
      </w:r>
      <w:r w:rsidRPr="00505E26">
        <w:rPr>
          <w:b/>
          <w:i/>
          <w:sz w:val="26"/>
        </w:rPr>
        <w:t>eriss</w:t>
      </w:r>
      <w:r>
        <w:t xml:space="preserve"> quarterly averaged LLAA concentration data from Jabiru, Jabiru East and Mudginberri for measurements made since early 2003. Similar to the general trend in RDP concentrations, LLAA concentrations across the three sites tended to be higher in the dry season and lower in the wet season due to the higher soil moisture content in the wet season that suppresses dust generation.</w:t>
      </w:r>
    </w:p>
    <w:p w:rsidR="00D85FAC" w:rsidRDefault="00D85FAC" w:rsidP="00D85FAC">
      <w:pPr>
        <w:jc w:val="center"/>
      </w:pPr>
      <w:r>
        <w:rPr>
          <w:noProof/>
          <w:lang w:eastAsia="en-AU"/>
        </w:rPr>
        <w:lastRenderedPageBreak/>
        <w:drawing>
          <wp:inline distT="0" distB="0" distL="0" distR="0">
            <wp:extent cx="5349454" cy="2362874"/>
            <wp:effectExtent l="19050" t="0" r="3596"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screen"/>
                    <a:srcRect l="1860" t="2341" r="966"/>
                    <a:stretch>
                      <a:fillRect/>
                    </a:stretch>
                  </pic:blipFill>
                  <pic:spPr bwMode="auto">
                    <a:xfrm>
                      <a:off x="0" y="0"/>
                      <a:ext cx="5349454" cy="2362874"/>
                    </a:xfrm>
                    <a:prstGeom prst="rect">
                      <a:avLst/>
                    </a:prstGeom>
                    <a:noFill/>
                  </pic:spPr>
                </pic:pic>
              </a:graphicData>
            </a:graphic>
          </wp:inline>
        </w:drawing>
      </w:r>
    </w:p>
    <w:p w:rsidR="00D85FAC" w:rsidRDefault="00D85FAC" w:rsidP="00D85FAC">
      <w:pPr>
        <w:pStyle w:val="figurecaption"/>
      </w:pPr>
      <w:r w:rsidRPr="00505E26">
        <w:rPr>
          <w:b/>
        </w:rPr>
        <w:t xml:space="preserve">Figure </w:t>
      </w:r>
      <w:proofErr w:type="gramStart"/>
      <w:r w:rsidRPr="00505E26">
        <w:rPr>
          <w:b/>
        </w:rPr>
        <w:t>4</w:t>
      </w:r>
      <w:r>
        <w:t xml:space="preserve">  </w:t>
      </w:r>
      <w:r w:rsidRPr="004C05AA">
        <w:rPr>
          <w:b/>
          <w:i/>
        </w:rPr>
        <w:t>eriss</w:t>
      </w:r>
      <w:proofErr w:type="gramEnd"/>
      <w:r>
        <w:t xml:space="preserve"> quarterly averaged LLAA concentration data from Jabiru, Jabiru East and Mudginberri for measurements made since early 2003</w:t>
      </w:r>
    </w:p>
    <w:p w:rsidR="00D85FAC" w:rsidRDefault="00D85FAC" w:rsidP="00D85FAC">
      <w:r>
        <w:t xml:space="preserve">Two sample t-test </w:t>
      </w:r>
      <w:proofErr w:type="gramStart"/>
      <w:r>
        <w:t>analysis</w:t>
      </w:r>
      <w:proofErr w:type="gramEnd"/>
      <w:r>
        <w:t xml:space="preserve"> of </w:t>
      </w:r>
      <w:r w:rsidRPr="00505E26">
        <w:rPr>
          <w:b/>
          <w:i/>
          <w:sz w:val="26"/>
        </w:rPr>
        <w:t>eriss</w:t>
      </w:r>
      <w:r>
        <w:t xml:space="preserve"> quarterly averaged LLAA concentration data was used to test for statistically significant differences (95% confidence level) in the mean values between Jabiru and Mudginberri and between Jabiru East and Mudginberri. The overall mean LLAA concentrations at Jabiru, Jabiru East and Mudginberri were 0.00019, 0.00030 and 0.00016 Bq m</w:t>
      </w:r>
      <w:r w:rsidRPr="00786809">
        <w:rPr>
          <w:snapToGrid w:val="0"/>
          <w:color w:val="000000"/>
          <w:position w:val="5"/>
          <w:sz w:val="15"/>
          <w:szCs w:val="0"/>
          <w:u w:color="000000"/>
        </w:rPr>
        <w:t>-3</w:t>
      </w:r>
      <w:r>
        <w:t>, respectively. Whereas the difference in mean values between Jabiru and Mudginberri was not statistically significant (p&gt;0.05), there was a statistically significant difference in the mean values between Jabiru East and Mudginberri (p&lt;0.05). Similar to the RDP results, measured LLAA concentrations at Jabiru East are generally higher than the other two sites, particularly in the dry season, and show more variation due to the closer proximity of the monitoring site to operational areas at RUM.</w:t>
      </w:r>
    </w:p>
    <w:p w:rsidR="00D85FAC" w:rsidRDefault="00D85FAC" w:rsidP="00D85FAC">
      <w:r>
        <w:t xml:space="preserve">Table 2 gives the annual averages of LLAA radionuclide concentrations measured by </w:t>
      </w:r>
      <w:r w:rsidRPr="00505E26">
        <w:rPr>
          <w:b/>
          <w:i/>
          <w:sz w:val="26"/>
        </w:rPr>
        <w:t>eriss</w:t>
      </w:r>
      <w:r>
        <w:t xml:space="preserve"> and those reported by the RUM operator (ERA 2009; 2010; 2011) in the past three years. It also gives the total annual dose to a member of the public at Jabiru from inhalation of LLAA radionuclides calculated by </w:t>
      </w:r>
      <w:r w:rsidRPr="00505E26">
        <w:rPr>
          <w:b/>
          <w:i/>
          <w:sz w:val="26"/>
        </w:rPr>
        <w:t>eriss</w:t>
      </w:r>
      <w:r>
        <w:t xml:space="preserve">. The total annual dose comprises both the natural background and mine-related components of the LLAA dose. The calculation uses the annual average LLAA concentration at Jabiru, a dose conversion factor of 0.0057 mSv per alpha decays per second (Zapantis 2001) and a </w:t>
      </w:r>
      <w:smartTag w:uri="urn:schemas-microsoft-com:office:smarttags" w:element="City">
        <w:smartTag w:uri="urn:schemas-microsoft-com:office:smarttags" w:element="place">
          <w:r>
            <w:t>brea</w:t>
          </w:r>
        </w:smartTag>
      </w:smartTag>
      <w:r>
        <w:t xml:space="preserve">thing rate of </w:t>
      </w:r>
      <w:r w:rsidRPr="00201A9C">
        <w:t>7300 m</w:t>
      </w:r>
      <w:r w:rsidRPr="00201A9C">
        <w:rPr>
          <w:vertAlign w:val="superscript"/>
        </w:rPr>
        <w:t>3</w:t>
      </w:r>
      <w:r>
        <w:t xml:space="preserve"> per year for adults (UNSCEAR 2000). The </w:t>
      </w:r>
      <w:r w:rsidRPr="00505E26">
        <w:rPr>
          <w:b/>
          <w:i/>
          <w:sz w:val="26"/>
        </w:rPr>
        <w:t>eriss</w:t>
      </w:r>
      <w:r>
        <w:t xml:space="preserve"> calculated total annual dose to the public at Jabiru from LLAA radionuclides in 2010 was approximately 8 µSv. However, only a small fraction of that dose is considered to be mine-related (Bollhöfer et al 2006).</w:t>
      </w:r>
    </w:p>
    <w:p w:rsidR="00D85FAC" w:rsidRDefault="00D85FAC" w:rsidP="00D85FAC">
      <w:pPr>
        <w:pStyle w:val="tablecaption"/>
        <w:spacing w:before="320"/>
      </w:pPr>
      <w:r w:rsidRPr="00505E26">
        <w:rPr>
          <w:b/>
        </w:rPr>
        <w:t xml:space="preserve">Table </w:t>
      </w:r>
      <w:proofErr w:type="gramStart"/>
      <w:r w:rsidRPr="00505E26">
        <w:rPr>
          <w:b/>
        </w:rPr>
        <w:t>2</w:t>
      </w:r>
      <w:r>
        <w:t xml:space="preserve">  Annual</w:t>
      </w:r>
      <w:proofErr w:type="gramEnd"/>
      <w:r>
        <w:t xml:space="preserve"> average LLAA radionuclide concentrations at Jabiru, Jabiru East and Mudginberri and total annual dose to a member of the public at Jabiru from inhalation of LLAA radionuclides from 2008 to 2010. The values in parantheses are those reported by the RUM operator (ERA 2009; 2010; 2011).</w:t>
      </w:r>
    </w:p>
    <w:tbl>
      <w:tblPr>
        <w:tblW w:w="0" w:type="auto"/>
        <w:tblBorders>
          <w:top w:val="single" w:sz="4" w:space="0" w:color="000000" w:themeColor="text1"/>
          <w:bottom w:val="single" w:sz="4" w:space="0" w:color="000000" w:themeColor="text1"/>
        </w:tblBorders>
        <w:tblLook w:val="04A0"/>
      </w:tblPr>
      <w:tblGrid>
        <w:gridCol w:w="2235"/>
        <w:gridCol w:w="1275"/>
        <w:gridCol w:w="1701"/>
        <w:gridCol w:w="1701"/>
        <w:gridCol w:w="1610"/>
      </w:tblGrid>
      <w:tr w:rsidR="00D85FAC" w:rsidTr="00D85FAC">
        <w:tc>
          <w:tcPr>
            <w:tcW w:w="2235" w:type="dxa"/>
            <w:tcBorders>
              <w:top w:val="single" w:sz="4" w:space="0" w:color="000000" w:themeColor="text1"/>
              <w:bottom w:val="single" w:sz="4" w:space="0" w:color="000000" w:themeColor="text1"/>
            </w:tcBorders>
          </w:tcPr>
          <w:p w:rsidR="00D85FAC" w:rsidRDefault="00D85FAC" w:rsidP="00D85FAC">
            <w:pPr>
              <w:pStyle w:val="table1"/>
            </w:pPr>
          </w:p>
        </w:tc>
        <w:tc>
          <w:tcPr>
            <w:tcW w:w="1275" w:type="dxa"/>
            <w:tcBorders>
              <w:top w:val="single" w:sz="4" w:space="0" w:color="000000" w:themeColor="text1"/>
              <w:bottom w:val="single" w:sz="4" w:space="0" w:color="000000" w:themeColor="text1"/>
            </w:tcBorders>
          </w:tcPr>
          <w:p w:rsidR="00D85FAC" w:rsidRDefault="00D85FAC" w:rsidP="00D85FAC">
            <w:pPr>
              <w:pStyle w:val="table1"/>
            </w:pPr>
          </w:p>
        </w:tc>
        <w:tc>
          <w:tcPr>
            <w:tcW w:w="1701" w:type="dxa"/>
            <w:tcBorders>
              <w:top w:val="single" w:sz="4" w:space="0" w:color="000000" w:themeColor="text1"/>
              <w:bottom w:val="single" w:sz="4" w:space="0" w:color="000000" w:themeColor="text1"/>
            </w:tcBorders>
          </w:tcPr>
          <w:p w:rsidR="00D85FAC" w:rsidRDefault="00D85FAC" w:rsidP="00D85FAC">
            <w:pPr>
              <w:pStyle w:val="table1"/>
            </w:pPr>
            <w:r>
              <w:t>2008</w:t>
            </w:r>
          </w:p>
        </w:tc>
        <w:tc>
          <w:tcPr>
            <w:tcW w:w="1701" w:type="dxa"/>
            <w:tcBorders>
              <w:top w:val="single" w:sz="4" w:space="0" w:color="000000" w:themeColor="text1"/>
              <w:bottom w:val="single" w:sz="4" w:space="0" w:color="000000" w:themeColor="text1"/>
            </w:tcBorders>
          </w:tcPr>
          <w:p w:rsidR="00D85FAC" w:rsidRDefault="00D85FAC" w:rsidP="00D85FAC">
            <w:pPr>
              <w:pStyle w:val="table1"/>
            </w:pPr>
            <w:r>
              <w:t>2009</w:t>
            </w:r>
          </w:p>
        </w:tc>
        <w:tc>
          <w:tcPr>
            <w:tcW w:w="1610" w:type="dxa"/>
            <w:tcBorders>
              <w:top w:val="single" w:sz="4" w:space="0" w:color="000000" w:themeColor="text1"/>
              <w:bottom w:val="single" w:sz="4" w:space="0" w:color="000000" w:themeColor="text1"/>
            </w:tcBorders>
          </w:tcPr>
          <w:p w:rsidR="00D85FAC" w:rsidRDefault="00D85FAC" w:rsidP="00D85FAC">
            <w:pPr>
              <w:pStyle w:val="table1"/>
            </w:pPr>
            <w:r>
              <w:t>2010</w:t>
            </w:r>
          </w:p>
        </w:tc>
      </w:tr>
      <w:tr w:rsidR="00D85FAC" w:rsidTr="00D85FAC">
        <w:tc>
          <w:tcPr>
            <w:tcW w:w="2235" w:type="dxa"/>
            <w:tcBorders>
              <w:top w:val="single" w:sz="4" w:space="0" w:color="000000" w:themeColor="text1"/>
            </w:tcBorders>
          </w:tcPr>
          <w:p w:rsidR="00D85FAC" w:rsidRDefault="00D85FAC" w:rsidP="00D85FAC">
            <w:pPr>
              <w:pStyle w:val="table1"/>
            </w:pPr>
            <w:r>
              <w:t>LLAA concentration (Bq m</w:t>
            </w:r>
            <w:r w:rsidRPr="00764373">
              <w:rPr>
                <w:snapToGrid w:val="0"/>
                <w:color w:val="000000"/>
                <w:position w:val="4"/>
                <w:sz w:val="11"/>
                <w:szCs w:val="0"/>
                <w:u w:color="000000"/>
              </w:rPr>
              <w:t>-3</w:t>
            </w:r>
            <w:r>
              <w:t>)</w:t>
            </w:r>
          </w:p>
        </w:tc>
        <w:tc>
          <w:tcPr>
            <w:tcW w:w="1275" w:type="dxa"/>
            <w:tcBorders>
              <w:top w:val="single" w:sz="4" w:space="0" w:color="000000" w:themeColor="text1"/>
            </w:tcBorders>
          </w:tcPr>
          <w:p w:rsidR="00D85FAC" w:rsidRDefault="00D85FAC" w:rsidP="00D85FAC">
            <w:pPr>
              <w:pStyle w:val="table1"/>
            </w:pPr>
            <w:r>
              <w:t>Jabiru</w:t>
            </w:r>
          </w:p>
        </w:tc>
        <w:tc>
          <w:tcPr>
            <w:tcW w:w="1701" w:type="dxa"/>
            <w:tcBorders>
              <w:top w:val="single" w:sz="4" w:space="0" w:color="000000" w:themeColor="text1"/>
            </w:tcBorders>
          </w:tcPr>
          <w:p w:rsidR="00D85FAC" w:rsidRDefault="00D85FAC" w:rsidP="00D85FAC">
            <w:pPr>
              <w:pStyle w:val="table1"/>
            </w:pPr>
            <w:r>
              <w:t>0.00026 (0.00014)</w:t>
            </w:r>
          </w:p>
        </w:tc>
        <w:tc>
          <w:tcPr>
            <w:tcW w:w="1701" w:type="dxa"/>
            <w:tcBorders>
              <w:top w:val="single" w:sz="4" w:space="0" w:color="000000" w:themeColor="text1"/>
            </w:tcBorders>
          </w:tcPr>
          <w:p w:rsidR="00D85FAC" w:rsidRDefault="00D85FAC" w:rsidP="00D85FAC">
            <w:pPr>
              <w:pStyle w:val="table1"/>
            </w:pPr>
            <w:r>
              <w:t>0.00033 (0.00019)</w:t>
            </w:r>
          </w:p>
        </w:tc>
        <w:tc>
          <w:tcPr>
            <w:tcW w:w="1610" w:type="dxa"/>
            <w:tcBorders>
              <w:top w:val="single" w:sz="4" w:space="0" w:color="000000" w:themeColor="text1"/>
            </w:tcBorders>
          </w:tcPr>
          <w:p w:rsidR="00D85FAC" w:rsidRDefault="00D85FAC" w:rsidP="00D85FAC">
            <w:pPr>
              <w:pStyle w:val="table1"/>
            </w:pPr>
            <w:r>
              <w:t>0.00019 (0.00010)</w:t>
            </w:r>
          </w:p>
        </w:tc>
      </w:tr>
      <w:tr w:rsidR="00D85FAC" w:rsidTr="00D85FAC">
        <w:tc>
          <w:tcPr>
            <w:tcW w:w="2235" w:type="dxa"/>
          </w:tcPr>
          <w:p w:rsidR="00D85FAC" w:rsidRDefault="00D85FAC" w:rsidP="00D85FAC">
            <w:pPr>
              <w:pStyle w:val="table1"/>
            </w:pPr>
          </w:p>
        </w:tc>
        <w:tc>
          <w:tcPr>
            <w:tcW w:w="1275" w:type="dxa"/>
          </w:tcPr>
          <w:p w:rsidR="00D85FAC" w:rsidRDefault="00D85FAC" w:rsidP="00D85FAC">
            <w:pPr>
              <w:pStyle w:val="table1"/>
            </w:pPr>
            <w:r>
              <w:t>Jabiru East</w:t>
            </w:r>
          </w:p>
        </w:tc>
        <w:tc>
          <w:tcPr>
            <w:tcW w:w="1701" w:type="dxa"/>
          </w:tcPr>
          <w:p w:rsidR="00D85FAC" w:rsidRDefault="00D85FAC" w:rsidP="00D85FAC">
            <w:pPr>
              <w:pStyle w:val="table1"/>
            </w:pPr>
            <w:r>
              <w:t>0.00039 (0.00073)</w:t>
            </w:r>
          </w:p>
        </w:tc>
        <w:tc>
          <w:tcPr>
            <w:tcW w:w="1701" w:type="dxa"/>
          </w:tcPr>
          <w:p w:rsidR="00D85FAC" w:rsidRDefault="00D85FAC" w:rsidP="00D85FAC">
            <w:pPr>
              <w:pStyle w:val="table1"/>
            </w:pPr>
            <w:r>
              <w:t>0.00042 (0.00099)</w:t>
            </w:r>
          </w:p>
        </w:tc>
        <w:tc>
          <w:tcPr>
            <w:tcW w:w="1610" w:type="dxa"/>
          </w:tcPr>
          <w:p w:rsidR="00D85FAC" w:rsidRDefault="00D85FAC" w:rsidP="00D85FAC">
            <w:pPr>
              <w:pStyle w:val="table1"/>
            </w:pPr>
            <w:r>
              <w:t>0.00039 (0.00066)</w:t>
            </w:r>
          </w:p>
        </w:tc>
      </w:tr>
      <w:tr w:rsidR="00D85FAC" w:rsidTr="00D85FAC">
        <w:tc>
          <w:tcPr>
            <w:tcW w:w="2235" w:type="dxa"/>
          </w:tcPr>
          <w:p w:rsidR="00D85FAC" w:rsidRDefault="00D85FAC" w:rsidP="00D85FAC">
            <w:pPr>
              <w:pStyle w:val="table1"/>
            </w:pPr>
          </w:p>
        </w:tc>
        <w:tc>
          <w:tcPr>
            <w:tcW w:w="1275" w:type="dxa"/>
          </w:tcPr>
          <w:p w:rsidR="00D85FAC" w:rsidRDefault="00D85FAC" w:rsidP="00D85FAC">
            <w:pPr>
              <w:pStyle w:val="table1"/>
            </w:pPr>
            <w:r>
              <w:t>Mudginberri</w:t>
            </w:r>
          </w:p>
        </w:tc>
        <w:tc>
          <w:tcPr>
            <w:tcW w:w="1701" w:type="dxa"/>
          </w:tcPr>
          <w:p w:rsidR="00D85FAC" w:rsidRDefault="00D85FAC" w:rsidP="00D85FAC">
            <w:pPr>
              <w:pStyle w:val="table1"/>
            </w:pPr>
            <w:r>
              <w:t>0.00020</w:t>
            </w:r>
          </w:p>
        </w:tc>
        <w:tc>
          <w:tcPr>
            <w:tcW w:w="1701" w:type="dxa"/>
          </w:tcPr>
          <w:p w:rsidR="00D85FAC" w:rsidRPr="0043533B" w:rsidRDefault="00D85FAC" w:rsidP="00D85FAC">
            <w:pPr>
              <w:pStyle w:val="table1"/>
            </w:pPr>
            <w:r w:rsidRPr="0043533B">
              <w:t>0.00026</w:t>
            </w:r>
            <w:r w:rsidRPr="0043533B">
              <w:rPr>
                <w:snapToGrid w:val="0"/>
                <w:color w:val="000000"/>
                <w:position w:val="4"/>
                <w:sz w:val="11"/>
                <w:szCs w:val="0"/>
                <w:u w:color="000000"/>
              </w:rPr>
              <w:t>a</w:t>
            </w:r>
          </w:p>
        </w:tc>
        <w:tc>
          <w:tcPr>
            <w:tcW w:w="1610" w:type="dxa"/>
          </w:tcPr>
          <w:p w:rsidR="00D85FAC" w:rsidRDefault="00D85FAC" w:rsidP="00D85FAC">
            <w:pPr>
              <w:pStyle w:val="table1"/>
            </w:pPr>
            <w:r>
              <w:t>0.00019</w:t>
            </w:r>
          </w:p>
        </w:tc>
      </w:tr>
      <w:tr w:rsidR="00D85FAC" w:rsidTr="00D85FAC">
        <w:tc>
          <w:tcPr>
            <w:tcW w:w="3510" w:type="dxa"/>
            <w:gridSpan w:val="2"/>
          </w:tcPr>
          <w:p w:rsidR="00D85FAC" w:rsidRDefault="00D85FAC" w:rsidP="00D85FAC">
            <w:pPr>
              <w:pStyle w:val="table1"/>
            </w:pPr>
            <w:r>
              <w:t>LLAA total annual dose at Jabiru (mSv)</w:t>
            </w:r>
          </w:p>
        </w:tc>
        <w:tc>
          <w:tcPr>
            <w:tcW w:w="1701" w:type="dxa"/>
          </w:tcPr>
          <w:p w:rsidR="00D85FAC" w:rsidRDefault="00D85FAC" w:rsidP="00D85FAC">
            <w:pPr>
              <w:pStyle w:val="table1"/>
            </w:pPr>
            <w:r>
              <w:t>0.011</w:t>
            </w:r>
          </w:p>
        </w:tc>
        <w:tc>
          <w:tcPr>
            <w:tcW w:w="1701" w:type="dxa"/>
          </w:tcPr>
          <w:p w:rsidR="00D85FAC" w:rsidRDefault="00D85FAC" w:rsidP="00D85FAC">
            <w:pPr>
              <w:pStyle w:val="table1"/>
            </w:pPr>
            <w:r>
              <w:t>0.014</w:t>
            </w:r>
          </w:p>
        </w:tc>
        <w:tc>
          <w:tcPr>
            <w:tcW w:w="1610" w:type="dxa"/>
          </w:tcPr>
          <w:p w:rsidR="00D85FAC" w:rsidRDefault="00D85FAC" w:rsidP="00D85FAC">
            <w:pPr>
              <w:pStyle w:val="table1"/>
            </w:pPr>
            <w:r>
              <w:t>0.008</w:t>
            </w:r>
          </w:p>
        </w:tc>
      </w:tr>
    </w:tbl>
    <w:p w:rsidR="00D85FAC" w:rsidRDefault="00D85FAC" w:rsidP="00D85FAC">
      <w:pPr>
        <w:pStyle w:val="tablenote"/>
      </w:pPr>
      <w:proofErr w:type="gramStart"/>
      <w:r w:rsidRPr="0043533B">
        <w:rPr>
          <w:snapToGrid w:val="0"/>
          <w:color w:val="000000"/>
          <w:position w:val="3"/>
          <w:sz w:val="9"/>
          <w:szCs w:val="0"/>
          <w:u w:color="000000"/>
        </w:rPr>
        <w:t>a</w:t>
      </w:r>
      <w:r>
        <w:t>Data</w:t>
      </w:r>
      <w:proofErr w:type="gramEnd"/>
      <w:r>
        <w:t xml:space="preserve"> for first quarter 2009 not available for annual average calculation due to equipment malfunction</w:t>
      </w:r>
    </w:p>
    <w:p w:rsidR="00D85FAC" w:rsidRDefault="00D85FAC" w:rsidP="00D85FAC">
      <w:pPr>
        <w:pStyle w:val="Heading2"/>
      </w:pPr>
      <w:bookmarkStart w:id="230" w:name="_Toc313523480"/>
      <w:bookmarkStart w:id="231" w:name="_Toc316985323"/>
      <w:r>
        <w:lastRenderedPageBreak/>
        <w:t>Conclusions</w:t>
      </w:r>
      <w:bookmarkEnd w:id="230"/>
      <w:bookmarkEnd w:id="231"/>
    </w:p>
    <w:p w:rsidR="00D85FAC" w:rsidRPr="00AB3D31" w:rsidRDefault="00D85FAC" w:rsidP="00D85FAC">
      <w:pPr>
        <w:rPr>
          <w:spacing w:val="-2"/>
        </w:rPr>
      </w:pPr>
      <w:r w:rsidRPr="00AB3D31">
        <w:rPr>
          <w:spacing w:val="-2"/>
        </w:rPr>
        <w:t>The mine-related inhalation dose to the public at Jabiru from RDP and LLAA is likely to be a few tens of micro Sieverts (µSv) per year. In the context of recommended dose limits and dose constraints for planned exposure situations, this level of dose does not represent an unacceptable radiation risk to the public. Nevertheless, atmospheric radioactivity monitoring of RDP and LLAA should continue over the operational life of the RUM and afterwards to provide the evidence base needed to reassure the public that radiation risks via the inhalation pathway remain low.</w:t>
      </w:r>
    </w:p>
    <w:p w:rsidR="00D85FAC" w:rsidRDefault="00D85FAC" w:rsidP="00D85FAC">
      <w:pPr>
        <w:pStyle w:val="Heading2"/>
      </w:pPr>
      <w:bookmarkStart w:id="232" w:name="_Toc313523481"/>
      <w:bookmarkStart w:id="233" w:name="_Toc316985324"/>
      <w:r>
        <w:t>References</w:t>
      </w:r>
      <w:bookmarkEnd w:id="232"/>
      <w:bookmarkEnd w:id="233"/>
    </w:p>
    <w:p w:rsidR="00D85FAC" w:rsidRPr="00AB3D31" w:rsidRDefault="00D85FAC" w:rsidP="00D85FAC">
      <w:pPr>
        <w:pStyle w:val="referencelist1"/>
        <w:rPr>
          <w:spacing w:val="-2"/>
        </w:rPr>
      </w:pPr>
      <w:proofErr w:type="gramStart"/>
      <w:r w:rsidRPr="00AB3D31">
        <w:rPr>
          <w:spacing w:val="-2"/>
        </w:rPr>
        <w:t>ARPANSA 2002.</w:t>
      </w:r>
      <w:proofErr w:type="gramEnd"/>
      <w:r w:rsidRPr="00AB3D31">
        <w:rPr>
          <w:spacing w:val="-2"/>
        </w:rPr>
        <w:t xml:space="preserve"> </w:t>
      </w:r>
      <w:proofErr w:type="gramStart"/>
      <w:r w:rsidRPr="00AB3D31">
        <w:rPr>
          <w:i/>
          <w:spacing w:val="-2"/>
        </w:rPr>
        <w:t>Recommendations for limiting exposure to ionizing radiation (1995) and national standard for limiting occupational exposure to ionizing radiation</w:t>
      </w:r>
      <w:r w:rsidRPr="00AB3D31">
        <w:rPr>
          <w:spacing w:val="-2"/>
        </w:rPr>
        <w:t>.</w:t>
      </w:r>
      <w:proofErr w:type="gramEnd"/>
      <w:r w:rsidRPr="00AB3D31">
        <w:rPr>
          <w:spacing w:val="-2"/>
        </w:rPr>
        <w:t xml:space="preserve"> </w:t>
      </w:r>
      <w:proofErr w:type="gramStart"/>
      <w:r w:rsidRPr="00AB3D31">
        <w:rPr>
          <w:spacing w:val="-2"/>
        </w:rPr>
        <w:t>Radiation Protection Series No. 1, republished March 2002, Australian Radiation Protection and Nuclear Safety Agency.</w:t>
      </w:r>
      <w:proofErr w:type="gramEnd"/>
    </w:p>
    <w:p w:rsidR="00D85FAC" w:rsidRDefault="00D85FAC" w:rsidP="00D85FAC">
      <w:pPr>
        <w:pStyle w:val="referencelist1"/>
      </w:pPr>
      <w:proofErr w:type="gramStart"/>
      <w:r>
        <w:t>ARPANSA 2011.</w:t>
      </w:r>
      <w:proofErr w:type="gramEnd"/>
      <w:r>
        <w:t xml:space="preserve"> </w:t>
      </w:r>
      <w:proofErr w:type="gramStart"/>
      <w:r w:rsidRPr="00505E26">
        <w:rPr>
          <w:i/>
        </w:rPr>
        <w:t>National directory for radiation protection</w:t>
      </w:r>
      <w:r>
        <w:t>.</w:t>
      </w:r>
      <w:proofErr w:type="gramEnd"/>
      <w:r>
        <w:t xml:space="preserve"> Radiation Protection Series No. 6, republished July 2011 including amendments 1–5, Australian Radiation Protection and Nuclear Safety Agency.</w:t>
      </w:r>
    </w:p>
    <w:p w:rsidR="00D85FAC" w:rsidRDefault="00D85FAC" w:rsidP="00D85FAC">
      <w:pPr>
        <w:pStyle w:val="referencelist1"/>
        <w:rPr>
          <w:rFonts w:ascii="Times" w:hAnsi="Times"/>
        </w:rPr>
      </w:pPr>
      <w:r>
        <w:rPr>
          <w:rFonts w:ascii="Times" w:hAnsi="Times"/>
        </w:rPr>
        <w:t xml:space="preserve">Bollhöfer A, Honeybun R, Rosman KJR &amp; Martin P 2006. </w:t>
      </w:r>
      <w:proofErr w:type="gramStart"/>
      <w:r>
        <w:rPr>
          <w:rFonts w:ascii="Times" w:hAnsi="Times"/>
        </w:rPr>
        <w:t>The lead isotopic composition of dust in the vicinity of a uranium mine in northern Australia and its use for radiation dose assessment.</w:t>
      </w:r>
      <w:proofErr w:type="gramEnd"/>
      <w:r>
        <w:rPr>
          <w:rFonts w:ascii="Times" w:hAnsi="Times"/>
        </w:rPr>
        <w:t xml:space="preserve"> </w:t>
      </w:r>
      <w:r>
        <w:rPr>
          <w:rFonts w:ascii="Times" w:hAnsi="Times"/>
          <w:i/>
        </w:rPr>
        <w:t>Science of the Total Environment</w:t>
      </w:r>
      <w:r>
        <w:rPr>
          <w:rFonts w:ascii="Times" w:hAnsi="Times"/>
        </w:rPr>
        <w:t xml:space="preserve"> 366, 579–589.</w:t>
      </w:r>
    </w:p>
    <w:p w:rsidR="00D85FAC" w:rsidRDefault="00D85FAC" w:rsidP="00D85FAC">
      <w:pPr>
        <w:pStyle w:val="referencelist1"/>
        <w:rPr>
          <w:rFonts w:ascii="Times" w:hAnsi="Times"/>
        </w:rPr>
      </w:pPr>
      <w:proofErr w:type="gramStart"/>
      <w:r>
        <w:rPr>
          <w:rFonts w:ascii="Times" w:hAnsi="Times"/>
        </w:rPr>
        <w:t>ERA 2009.</w:t>
      </w:r>
      <w:proofErr w:type="gramEnd"/>
      <w:r>
        <w:rPr>
          <w:rFonts w:ascii="Times" w:hAnsi="Times"/>
        </w:rPr>
        <w:t xml:space="preserve"> Radiation protection and atmospheric monitoring program report for the year ending 31 December 2008. </w:t>
      </w:r>
      <w:proofErr w:type="gramStart"/>
      <w:r>
        <w:rPr>
          <w:rFonts w:ascii="Times" w:hAnsi="Times"/>
        </w:rPr>
        <w:t>RSRP-0903-01, Energy Resources of Australia Ltd.</w:t>
      </w:r>
      <w:proofErr w:type="gramEnd"/>
    </w:p>
    <w:p w:rsidR="00D85FAC" w:rsidRDefault="00D85FAC" w:rsidP="00D85FAC">
      <w:pPr>
        <w:pStyle w:val="referencelist1"/>
        <w:rPr>
          <w:rFonts w:ascii="Times" w:hAnsi="Times"/>
        </w:rPr>
      </w:pPr>
      <w:proofErr w:type="gramStart"/>
      <w:r>
        <w:rPr>
          <w:rFonts w:ascii="Times" w:hAnsi="Times"/>
        </w:rPr>
        <w:t>ERA 2010.</w:t>
      </w:r>
      <w:proofErr w:type="gramEnd"/>
      <w:r>
        <w:rPr>
          <w:rFonts w:ascii="Times" w:hAnsi="Times"/>
        </w:rPr>
        <w:t xml:space="preserve"> Radiation protection and atmospheric monitoring program report for the year ending 31 December 2009. </w:t>
      </w:r>
      <w:proofErr w:type="gramStart"/>
      <w:r>
        <w:rPr>
          <w:rFonts w:ascii="Times" w:hAnsi="Times"/>
        </w:rPr>
        <w:t>RSRP-1003-02, Energy Resources of Australia Ltd.</w:t>
      </w:r>
      <w:proofErr w:type="gramEnd"/>
    </w:p>
    <w:p w:rsidR="00D85FAC" w:rsidRDefault="00D85FAC" w:rsidP="00D85FAC">
      <w:pPr>
        <w:pStyle w:val="referencelist1"/>
        <w:rPr>
          <w:rFonts w:ascii="Times" w:hAnsi="Times"/>
        </w:rPr>
      </w:pPr>
      <w:proofErr w:type="gramStart"/>
      <w:r>
        <w:rPr>
          <w:rFonts w:ascii="Times" w:hAnsi="Times"/>
        </w:rPr>
        <w:t>ERA 2011.</w:t>
      </w:r>
      <w:proofErr w:type="gramEnd"/>
      <w:r>
        <w:rPr>
          <w:rFonts w:ascii="Times" w:hAnsi="Times"/>
        </w:rPr>
        <w:t xml:space="preserve"> Radiation protection and atmospheric monitoring program report for the year ending 31 December 2010. </w:t>
      </w:r>
      <w:proofErr w:type="gramStart"/>
      <w:r>
        <w:rPr>
          <w:rFonts w:ascii="Times" w:hAnsi="Times"/>
        </w:rPr>
        <w:t>RSRP-1103-02, Energy Resources of Australia Ltd.</w:t>
      </w:r>
      <w:proofErr w:type="gramEnd"/>
    </w:p>
    <w:p w:rsidR="00D85FAC" w:rsidRDefault="00D85FAC" w:rsidP="00D85FAC">
      <w:pPr>
        <w:pStyle w:val="referencelist1"/>
      </w:pPr>
      <w:proofErr w:type="gramStart"/>
      <w:r w:rsidRPr="00176A4A">
        <w:t>ICRP 2007.</w:t>
      </w:r>
      <w:proofErr w:type="gramEnd"/>
      <w:r w:rsidRPr="00176A4A">
        <w:t xml:space="preserve"> </w:t>
      </w:r>
      <w:r w:rsidRPr="00505E26">
        <w:rPr>
          <w:i/>
        </w:rPr>
        <w:t>The 2007 Recommendations of the International Commission on Radiological Protection</w:t>
      </w:r>
      <w:r w:rsidRPr="00176A4A">
        <w:t xml:space="preserve">. </w:t>
      </w:r>
      <w:proofErr w:type="gramStart"/>
      <w:r w:rsidRPr="00176A4A">
        <w:t>ICRP Publication 103.</w:t>
      </w:r>
      <w:proofErr w:type="gramEnd"/>
      <w:r w:rsidRPr="00176A4A">
        <w:t xml:space="preserve"> Annals of the ICRP 37 (2–4).</w:t>
      </w:r>
    </w:p>
    <w:p w:rsidR="00D85FAC" w:rsidRDefault="00D85FAC" w:rsidP="00D85FAC">
      <w:pPr>
        <w:pStyle w:val="referencelist1"/>
        <w:rPr>
          <w:rFonts w:ascii="Times" w:hAnsi="Times"/>
        </w:rPr>
      </w:pPr>
      <w:proofErr w:type="gramStart"/>
      <w:r>
        <w:rPr>
          <w:rFonts w:ascii="Times" w:hAnsi="Times"/>
        </w:rPr>
        <w:t>Lawrence CE, Akber RA, Bollhöfer A and Martin P 2009.</w:t>
      </w:r>
      <w:proofErr w:type="gramEnd"/>
      <w:r>
        <w:rPr>
          <w:rFonts w:ascii="Times" w:hAnsi="Times"/>
        </w:rPr>
        <w:t xml:space="preserve"> </w:t>
      </w:r>
      <w:proofErr w:type="gramStart"/>
      <w:r>
        <w:rPr>
          <w:rFonts w:ascii="Times" w:hAnsi="Times"/>
        </w:rPr>
        <w:t>Radon-222 exhalation from open ground on and around a uranium mine in the wet-dry tropics.</w:t>
      </w:r>
      <w:proofErr w:type="gramEnd"/>
      <w:r>
        <w:rPr>
          <w:rFonts w:ascii="Times" w:hAnsi="Times"/>
        </w:rPr>
        <w:t xml:space="preserve"> </w:t>
      </w:r>
      <w:r w:rsidRPr="00AB3CA9">
        <w:rPr>
          <w:rFonts w:ascii="Times" w:hAnsi="Times"/>
          <w:i/>
        </w:rPr>
        <w:t>Journal of Environmental Radioactivity</w:t>
      </w:r>
      <w:r>
        <w:rPr>
          <w:rFonts w:ascii="Times" w:hAnsi="Times"/>
        </w:rPr>
        <w:t xml:space="preserve"> 100, 1–8.</w:t>
      </w:r>
    </w:p>
    <w:p w:rsidR="00D85FAC" w:rsidRDefault="00D85FAC" w:rsidP="00D85FAC">
      <w:pPr>
        <w:pStyle w:val="referencelist1"/>
        <w:rPr>
          <w:rFonts w:ascii="Times" w:hAnsi="Times"/>
        </w:rPr>
      </w:pPr>
      <w:r>
        <w:rPr>
          <w:rFonts w:ascii="Times" w:hAnsi="Times"/>
        </w:rPr>
        <w:t xml:space="preserve">Martin P 2002. </w:t>
      </w:r>
      <w:proofErr w:type="gramStart"/>
      <w:r w:rsidRPr="006D1CE1">
        <w:rPr>
          <w:rFonts w:ascii="Times" w:hAnsi="Times"/>
        </w:rPr>
        <w:t>Development of a moving-grid dispersion</w:t>
      </w:r>
      <w:r>
        <w:rPr>
          <w:rFonts w:ascii="Times" w:hAnsi="Times"/>
        </w:rPr>
        <w:t xml:space="preserve"> </w:t>
      </w:r>
      <w:r w:rsidRPr="006D1CE1">
        <w:rPr>
          <w:rFonts w:ascii="Times" w:hAnsi="Times"/>
        </w:rPr>
        <w:t>model for radon and radon progeny</w:t>
      </w:r>
      <w:r>
        <w:rPr>
          <w:rFonts w:ascii="Times" w:hAnsi="Times"/>
        </w:rPr>
        <w:t>.</w:t>
      </w:r>
      <w:proofErr w:type="gramEnd"/>
      <w:r>
        <w:rPr>
          <w:rFonts w:ascii="Times" w:hAnsi="Times"/>
        </w:rPr>
        <w:t xml:space="preserve"> In </w:t>
      </w:r>
      <w:r w:rsidRPr="006D1CE1">
        <w:rPr>
          <w:rFonts w:ascii="Times" w:hAnsi="Times"/>
          <w:i/>
        </w:rPr>
        <w:t>Environmental Research Institute of the Supervising Scientist research summary 1995–2000</w:t>
      </w:r>
      <w:r>
        <w:rPr>
          <w:rFonts w:ascii="Times" w:hAnsi="Times"/>
        </w:rPr>
        <w:t xml:space="preserve">. eds </w:t>
      </w:r>
      <w:r w:rsidRPr="006D1CE1">
        <w:rPr>
          <w:rFonts w:ascii="Times" w:hAnsi="Times"/>
        </w:rPr>
        <w:t>Rovis-Hermann J, Evans KG, Webb AL &amp; Pidgeon RWJ</w:t>
      </w:r>
      <w:r>
        <w:rPr>
          <w:rFonts w:ascii="Times" w:hAnsi="Times"/>
        </w:rPr>
        <w:t>, Supervising Scientist Report 166, Supervising Scientist, Darwin NT, 13–17.</w:t>
      </w:r>
    </w:p>
    <w:p w:rsidR="00D85FAC" w:rsidRPr="00E61558" w:rsidRDefault="00D85FAC" w:rsidP="00D85FAC">
      <w:pPr>
        <w:pStyle w:val="referencelist1"/>
        <w:rPr>
          <w:rFonts w:ascii="Times" w:hAnsi="Times"/>
        </w:rPr>
      </w:pPr>
      <w:proofErr w:type="gramStart"/>
      <w:r>
        <w:rPr>
          <w:rFonts w:ascii="Times" w:hAnsi="Times"/>
        </w:rPr>
        <w:t>UNSCEAR 2000.</w:t>
      </w:r>
      <w:proofErr w:type="gramEnd"/>
      <w:r>
        <w:rPr>
          <w:rFonts w:ascii="Times" w:hAnsi="Times"/>
        </w:rPr>
        <w:t xml:space="preserve"> </w:t>
      </w:r>
      <w:r w:rsidRPr="00AB3D31">
        <w:rPr>
          <w:rFonts w:ascii="Times" w:hAnsi="Times"/>
          <w:i/>
        </w:rPr>
        <w:t xml:space="preserve">Source and </w:t>
      </w:r>
      <w:r>
        <w:rPr>
          <w:rFonts w:ascii="Times" w:hAnsi="Times"/>
          <w:i/>
        </w:rPr>
        <w:t>e</w:t>
      </w:r>
      <w:r w:rsidRPr="00AB3D31">
        <w:rPr>
          <w:rFonts w:ascii="Times" w:hAnsi="Times"/>
          <w:i/>
        </w:rPr>
        <w:t xml:space="preserve">ffects of </w:t>
      </w:r>
      <w:r>
        <w:rPr>
          <w:rFonts w:ascii="Times" w:hAnsi="Times"/>
          <w:i/>
        </w:rPr>
        <w:t>i</w:t>
      </w:r>
      <w:r w:rsidRPr="00AB3D31">
        <w:rPr>
          <w:rFonts w:ascii="Times" w:hAnsi="Times"/>
          <w:i/>
        </w:rPr>
        <w:t xml:space="preserve">onising </w:t>
      </w:r>
      <w:r>
        <w:rPr>
          <w:rFonts w:ascii="Times" w:hAnsi="Times"/>
          <w:i/>
        </w:rPr>
        <w:t>r</w:t>
      </w:r>
      <w:r w:rsidRPr="00AB3D31">
        <w:rPr>
          <w:rFonts w:ascii="Times" w:hAnsi="Times"/>
          <w:i/>
        </w:rPr>
        <w:t>adiation</w:t>
      </w:r>
      <w:r>
        <w:rPr>
          <w:rFonts w:ascii="Times" w:hAnsi="Times"/>
        </w:rPr>
        <w:t xml:space="preserve">, vol 1–2. </w:t>
      </w:r>
      <w:proofErr w:type="gramStart"/>
      <w:r w:rsidRPr="00E61558">
        <w:rPr>
          <w:rFonts w:ascii="Times" w:hAnsi="Times"/>
        </w:rPr>
        <w:t>United Nations Scientific Committee</w:t>
      </w:r>
      <w:r>
        <w:rPr>
          <w:rFonts w:ascii="Times" w:hAnsi="Times"/>
        </w:rPr>
        <w:t xml:space="preserve"> </w:t>
      </w:r>
      <w:r w:rsidRPr="00E61558">
        <w:rPr>
          <w:rFonts w:ascii="Times" w:hAnsi="Times"/>
        </w:rPr>
        <w:t>on the Effects of Atomic Radiation</w:t>
      </w:r>
      <w:r>
        <w:rPr>
          <w:rFonts w:ascii="Times" w:hAnsi="Times"/>
        </w:rPr>
        <w:t>.</w:t>
      </w:r>
      <w:proofErr w:type="gramEnd"/>
      <w:r>
        <w:rPr>
          <w:rFonts w:ascii="Times" w:hAnsi="Times"/>
        </w:rPr>
        <w:t xml:space="preserve"> United Nations, New York. </w:t>
      </w:r>
    </w:p>
    <w:p w:rsidR="00D85FAC" w:rsidRDefault="00D85FAC" w:rsidP="00D85FAC">
      <w:pPr>
        <w:pStyle w:val="referencelist1"/>
        <w:rPr>
          <w:rFonts w:ascii="Times" w:hAnsi="Times"/>
        </w:rPr>
      </w:pPr>
      <w:r>
        <w:rPr>
          <w:rFonts w:ascii="Times" w:hAnsi="Times"/>
        </w:rPr>
        <w:t xml:space="preserve">Zapantis A 2001. </w:t>
      </w:r>
      <w:proofErr w:type="gramStart"/>
      <w:r>
        <w:rPr>
          <w:rFonts w:ascii="Times" w:hAnsi="Times"/>
        </w:rPr>
        <w:t>Derivation of the dose conversion factor for the inhalation of uranium ore dust considering the effects of radon loss.</w:t>
      </w:r>
      <w:proofErr w:type="gramEnd"/>
      <w:r>
        <w:rPr>
          <w:rFonts w:ascii="Times" w:hAnsi="Times"/>
        </w:rPr>
        <w:t xml:space="preserve"> </w:t>
      </w:r>
      <w:r>
        <w:rPr>
          <w:rFonts w:ascii="Times" w:hAnsi="Times"/>
          <w:i/>
        </w:rPr>
        <w:t xml:space="preserve">Radiation Protection in </w:t>
      </w:r>
      <w:smartTag w:uri="urn:schemas-microsoft-com:office:smarttags" w:element="place">
        <w:r>
          <w:rPr>
            <w:rFonts w:ascii="Times" w:hAnsi="Times"/>
            <w:i/>
          </w:rPr>
          <w:t>Australasia</w:t>
        </w:r>
      </w:smartTag>
      <w:r>
        <w:rPr>
          <w:rFonts w:ascii="Times" w:hAnsi="Times"/>
        </w:rPr>
        <w:t xml:space="preserve"> 18, 35–41.</w:t>
      </w:r>
    </w:p>
    <w:p w:rsidR="00D85FAC" w:rsidRDefault="00D85FAC" w:rsidP="00D85FAC">
      <w:pPr>
        <w:pStyle w:val="referencelist1"/>
        <w:rPr>
          <w:rFonts w:ascii="Times" w:hAnsi="Times"/>
        </w:rPr>
      </w:pPr>
    </w:p>
    <w:p w:rsidR="00D85FAC" w:rsidRDefault="00D85FAC" w:rsidP="00D85FAC">
      <w:pPr>
        <w:pStyle w:val="Heading4"/>
        <w:spacing w:after="120"/>
        <w:sectPr w:rsidR="00D85FAC" w:rsidSect="00D85FAC">
          <w:headerReference w:type="default" r:id="rId104"/>
          <w:footnotePr>
            <w:numRestart w:val="eachSect"/>
          </w:footnotePr>
          <w:pgSz w:w="11906" w:h="16838" w:code="9"/>
          <w:pgMar w:top="1440" w:right="1797" w:bottom="1440" w:left="1797" w:header="851" w:footer="833" w:gutter="0"/>
          <w:cols w:space="360"/>
          <w:noEndnote/>
          <w:titlePg/>
        </w:sectPr>
      </w:pPr>
      <w:bookmarkStart w:id="234" w:name="_Toc309215798"/>
    </w:p>
    <w:p w:rsidR="00D85FAC" w:rsidRDefault="00D85FAC" w:rsidP="00D85FAC">
      <w:pPr>
        <w:pStyle w:val="Heading1"/>
        <w:rPr>
          <w:rFonts w:eastAsia="Arial Unicode MS"/>
        </w:rPr>
      </w:pPr>
      <w:bookmarkStart w:id="235" w:name="_Toc319670723"/>
      <w:r>
        <w:lastRenderedPageBreak/>
        <w:t xml:space="preserve">Results of the stream monitoring program in Magela Creek and Gulungul Creek catchments, </w:t>
      </w:r>
      <w:r>
        <w:rPr>
          <w:rFonts w:eastAsia="Arial Unicode MS"/>
        </w:rPr>
        <w:t>2010–11</w:t>
      </w:r>
      <w:bookmarkEnd w:id="234"/>
      <w:bookmarkEnd w:id="235"/>
    </w:p>
    <w:p w:rsidR="00D85FAC" w:rsidRPr="005A342D" w:rsidRDefault="00D85FAC" w:rsidP="00D85FAC">
      <w:pPr>
        <w:pStyle w:val="authors"/>
        <w:spacing w:after="800"/>
      </w:pPr>
      <w:bookmarkStart w:id="236" w:name="_Toc316987226"/>
      <w:bookmarkStart w:id="237" w:name="_Toc319670724"/>
      <w:r w:rsidRPr="005A342D">
        <w:rPr>
          <w:rFonts w:ascii="Arial-BoldMT" w:hAnsi="Arial-BoldMT" w:cs="Arial-BoldMT"/>
          <w:bCs/>
          <w:szCs w:val="24"/>
          <w:lang w:eastAsia="en-AU"/>
        </w:rPr>
        <w:t xml:space="preserve">C Humphrey, </w:t>
      </w:r>
      <w:proofErr w:type="gramStart"/>
      <w:r w:rsidRPr="005A342D">
        <w:rPr>
          <w:rFonts w:ascii="Arial-BoldMT" w:hAnsi="Arial-BoldMT" w:cs="Arial-BoldMT"/>
          <w:bCs/>
          <w:szCs w:val="24"/>
          <w:lang w:eastAsia="en-AU"/>
        </w:rPr>
        <w:t>A</w:t>
      </w:r>
      <w:proofErr w:type="gramEnd"/>
      <w:r w:rsidRPr="005A342D">
        <w:rPr>
          <w:rFonts w:ascii="Arial-BoldMT" w:hAnsi="Arial-BoldMT" w:cs="Arial-BoldMT"/>
          <w:bCs/>
          <w:szCs w:val="24"/>
          <w:lang w:eastAsia="en-AU"/>
        </w:rPr>
        <w:t xml:space="preserve"> Bollhöfer &amp; D Jones</w:t>
      </w:r>
      <w:bookmarkEnd w:id="236"/>
      <w:bookmarkEnd w:id="237"/>
    </w:p>
    <w:p w:rsidR="00D85FAC" w:rsidRPr="00AD33B8" w:rsidRDefault="00D85FAC" w:rsidP="00D85FAC">
      <w:pPr>
        <w:rPr>
          <w:rFonts w:eastAsia="Arial Unicode MS"/>
        </w:rPr>
      </w:pPr>
      <w:r>
        <w:rPr>
          <w:rFonts w:eastAsia="Arial Unicode MS"/>
        </w:rPr>
        <w:t>Progress under this KKN for the s</w:t>
      </w:r>
      <w:r>
        <w:t>tream monitoring program in the Magela Creek</w:t>
      </w:r>
      <w:r>
        <w:rPr>
          <w:rFonts w:eastAsia="Arial Unicode MS"/>
        </w:rPr>
        <w:t xml:space="preserve"> and Gulungul Creek catchments is reported by way of (i) results of </w:t>
      </w:r>
      <w:r w:rsidRPr="00AD33B8">
        <w:rPr>
          <w:rFonts w:eastAsia="Arial Unicode MS"/>
        </w:rPr>
        <w:t>the routine monitoring program conducted for the 2010–11 period, and (ii) monitoring support tasks for the same period, including research and development, reviews and reporting. The latter tasks are reported separately (</w:t>
      </w:r>
      <w:r w:rsidRPr="00AD33B8">
        <w:rPr>
          <w:spacing w:val="-2"/>
          <w:lang w:val="en-US"/>
        </w:rPr>
        <w:t>ARRTC paper KKN 1.3.1 Ranger stream monitoring research)</w:t>
      </w:r>
      <w:r w:rsidRPr="00AD33B8">
        <w:rPr>
          <w:rFonts w:eastAsia="Arial Unicode MS"/>
        </w:rPr>
        <w:t>.</w:t>
      </w:r>
    </w:p>
    <w:p w:rsidR="00D85FAC" w:rsidRDefault="00D85FAC" w:rsidP="00D85FAC">
      <w:pPr>
        <w:rPr>
          <w:lang w:val="en-US"/>
        </w:rPr>
      </w:pPr>
      <w:r w:rsidRPr="00AD33B8">
        <w:rPr>
          <w:lang w:val="en-US"/>
        </w:rPr>
        <w:t>Since 2001, routine water quality monitoring and ecotoxicity programs have been deployed by the SSD for environmental assessment of aquatic ecosystems in the ARR. The objective of this work has been to provide independent assurance that the aquatic environment remains</w:t>
      </w:r>
      <w:r>
        <w:rPr>
          <w:lang w:val="en-US"/>
        </w:rPr>
        <w:t xml:space="preserve"> protected from current and past mining-associated activities in the region. The monitoring program incorporates chemical, physical and biological components. </w:t>
      </w:r>
    </w:p>
    <w:p w:rsidR="00D85FAC" w:rsidRDefault="00D85FAC" w:rsidP="00D85FAC">
      <w:r>
        <w:rPr>
          <w:lang w:val="en-US"/>
        </w:rPr>
        <w:t xml:space="preserve">The techniques and ‘indicators’ used in the monitoring program satisfy two important needs of environmental protection: (i) the early detection of potential significant effects to avoid ecologically important impacts; and (ii) information on the ecological importance of any likely impact (biodiversity assessment). </w:t>
      </w:r>
      <w:r>
        <w:t>Monitoring techniques adopted by the SSD that meet these requirements are:</w:t>
      </w:r>
    </w:p>
    <w:p w:rsidR="00D85FAC" w:rsidRDefault="00D85FAC" w:rsidP="00D85FAC">
      <w:pPr>
        <w:pStyle w:val="Heading5"/>
        <w:rPr>
          <w:lang w:val="en-US"/>
        </w:rPr>
      </w:pPr>
      <w:r>
        <w:t>(i) Early detection of short or longer-term changes</w:t>
      </w:r>
    </w:p>
    <w:p w:rsidR="00D85FAC" w:rsidRDefault="00D85FAC" w:rsidP="00D85FAC">
      <w:pPr>
        <w:pStyle w:val="bulletlist1"/>
        <w:numPr>
          <w:ilvl w:val="0"/>
          <w:numId w:val="1"/>
        </w:numPr>
        <w:tabs>
          <w:tab w:val="clear" w:pos="720"/>
        </w:tabs>
        <w:ind w:left="357" w:hanging="357"/>
      </w:pPr>
      <w:r>
        <w:rPr>
          <w:i/>
        </w:rPr>
        <w:t>Water physico-chemistry</w:t>
      </w:r>
      <w:r>
        <w:t>:</w:t>
      </w:r>
    </w:p>
    <w:p w:rsidR="00D85FAC" w:rsidRDefault="00D85FAC" w:rsidP="00D85FAC">
      <w:pPr>
        <w:pStyle w:val="bulletlist2"/>
        <w:numPr>
          <w:ilvl w:val="1"/>
          <w:numId w:val="2"/>
        </w:numPr>
        <w:ind w:left="714" w:hanging="357"/>
      </w:pPr>
      <w:r>
        <w:t xml:space="preserve">Continuous monitoring: through the use of multi-probe loggers, continuous measurement of pH, electrical conductivity (EC), turbidity and temperature in Magela Creek, and EC, turbidity and termperature in Gulungul Creek; </w:t>
      </w:r>
    </w:p>
    <w:p w:rsidR="00D85FAC" w:rsidRDefault="00D85FAC" w:rsidP="00D85FAC">
      <w:pPr>
        <w:pStyle w:val="bulletlist2"/>
        <w:numPr>
          <w:ilvl w:val="1"/>
          <w:numId w:val="2"/>
        </w:numPr>
        <w:ind w:left="714" w:hanging="357"/>
      </w:pPr>
      <w:r>
        <w:t xml:space="preserve">Event-based automatic sampling: </w:t>
      </w:r>
      <w:r w:rsidRPr="00063039">
        <w:t>The downstream monitoring sites in both Magela and Gulungul Creeks are equipped with auto-samplers</w:t>
      </w:r>
      <w:r>
        <w:t>,</w:t>
      </w:r>
      <w:r w:rsidRPr="00063039">
        <w:t xml:space="preserve"> programmed to collect a 1 </w:t>
      </w:r>
      <w:r>
        <w:t>L</w:t>
      </w:r>
      <w:r w:rsidRPr="00063039">
        <w:t xml:space="preserve"> water sample in response to the occurrence of pre-specified EC or turbidity conditions.</w:t>
      </w:r>
      <w:r>
        <w:t xml:space="preserve"> The samples are analysed for total concentrations of uranium, magnesium, calcium, manganese and sulphate.</w:t>
      </w:r>
      <w:r w:rsidRPr="002A3E96" w:rsidDel="00063039">
        <w:t xml:space="preserve"> </w:t>
      </w:r>
    </w:p>
    <w:p w:rsidR="00D85FAC" w:rsidRDefault="00D85FAC" w:rsidP="00D85FAC">
      <w:pPr>
        <w:pStyle w:val="bulletlist2"/>
        <w:numPr>
          <w:ilvl w:val="1"/>
          <w:numId w:val="2"/>
        </w:numPr>
        <w:ind w:left="714" w:hanging="357"/>
      </w:pPr>
      <w:r>
        <w:t xml:space="preserve">Ongoing quality control sampling: Routine site visits for spot </w:t>
      </w:r>
      <w:r w:rsidRPr="00E521AD">
        <w:rPr>
          <w:i/>
        </w:rPr>
        <w:t>in situ</w:t>
      </w:r>
      <w:r>
        <w:t xml:space="preserve"> measurement of pH, EC, turbidity and temperature (fortnightly), periodic grab sampling for measurement of uranium, magnesium, calcium, manganese and sulfate (monthly) and radium (samples collected fortnightly but combined to make monthly composites).</w:t>
      </w:r>
    </w:p>
    <w:p w:rsidR="00D85FAC" w:rsidRDefault="00D85FAC" w:rsidP="00D85FAC">
      <w:pPr>
        <w:pStyle w:val="bulletlist1"/>
        <w:numPr>
          <w:ilvl w:val="0"/>
          <w:numId w:val="1"/>
        </w:numPr>
        <w:tabs>
          <w:tab w:val="clear" w:pos="720"/>
        </w:tabs>
        <w:ind w:left="357" w:hanging="357"/>
      </w:pPr>
      <w:r>
        <w:rPr>
          <w:i/>
        </w:rPr>
        <w:t>Toxicity monitoring</w:t>
      </w:r>
      <w:r>
        <w:t xml:space="preserve"> of reproduction in freshwater snails (four-day tests conducted </w:t>
      </w:r>
      <w:r w:rsidRPr="00E521AD">
        <w:rPr>
          <w:i/>
        </w:rPr>
        <w:t>in situ</w:t>
      </w:r>
      <w:r>
        <w:t>, at fortnightly intervals);</w:t>
      </w:r>
    </w:p>
    <w:p w:rsidR="00D85FAC" w:rsidRDefault="00D85FAC" w:rsidP="00D85FAC">
      <w:pPr>
        <w:pStyle w:val="bulletlist1"/>
        <w:numPr>
          <w:ilvl w:val="0"/>
          <w:numId w:val="1"/>
        </w:numPr>
        <w:tabs>
          <w:tab w:val="clear" w:pos="720"/>
        </w:tabs>
        <w:ind w:left="357" w:hanging="357"/>
      </w:pPr>
      <w:r>
        <w:rPr>
          <w:i/>
        </w:rPr>
        <w:t>Bioaccumulation</w:t>
      </w:r>
      <w:r>
        <w:t xml:space="preserve"> – concentrations of chemicals (including radionuclides) in the tissues of freshwater mussels in Mudginberri Billabong to detect far-field effects including those arising from any potential accumulation of mine-derived contaminants in sediments (mussels sampled every late-dry season).</w:t>
      </w:r>
    </w:p>
    <w:p w:rsidR="00D85FAC" w:rsidRDefault="00D85FAC" w:rsidP="00D85FAC">
      <w:pPr>
        <w:pStyle w:val="Heading5"/>
      </w:pPr>
      <w:r>
        <w:lastRenderedPageBreak/>
        <w:t>(ii)  Assessment of changes in biodiversity</w:t>
      </w:r>
    </w:p>
    <w:p w:rsidR="00D85FAC" w:rsidRPr="005E0FBC" w:rsidRDefault="00D85FAC" w:rsidP="00D85FAC">
      <w:pPr>
        <w:pStyle w:val="bulletlist1"/>
        <w:numPr>
          <w:ilvl w:val="0"/>
          <w:numId w:val="1"/>
        </w:numPr>
        <w:tabs>
          <w:tab w:val="clear" w:pos="720"/>
        </w:tabs>
        <w:ind w:left="357" w:hanging="357"/>
        <w:rPr>
          <w:spacing w:val="-2"/>
        </w:rPr>
      </w:pPr>
      <w:r w:rsidRPr="005E0FBC">
        <w:rPr>
          <w:i/>
          <w:spacing w:val="-2"/>
        </w:rPr>
        <w:t>Benthic macroinvertebrate communities</w:t>
      </w:r>
      <w:r w:rsidRPr="005E0FBC">
        <w:rPr>
          <w:spacing w:val="-2"/>
        </w:rPr>
        <w:t xml:space="preserve"> at stream sites (sampled at </w:t>
      </w:r>
      <w:r>
        <w:rPr>
          <w:spacing w:val="-2"/>
        </w:rPr>
        <w:t>end of each wet season);</w:t>
      </w:r>
    </w:p>
    <w:p w:rsidR="00D85FAC" w:rsidRDefault="00D85FAC" w:rsidP="00D85FAC">
      <w:pPr>
        <w:pStyle w:val="bulletlist1"/>
        <w:numPr>
          <w:ilvl w:val="0"/>
          <w:numId w:val="1"/>
        </w:numPr>
        <w:tabs>
          <w:tab w:val="clear" w:pos="720"/>
        </w:tabs>
        <w:ind w:left="357" w:hanging="357"/>
      </w:pPr>
      <w:r>
        <w:rPr>
          <w:i/>
        </w:rPr>
        <w:t>Fish communities in billabongs</w:t>
      </w:r>
      <w:r>
        <w:t xml:space="preserve"> (sampled at the end of each wet season).</w:t>
      </w:r>
    </w:p>
    <w:p w:rsidR="00D85FAC" w:rsidRDefault="00D85FAC" w:rsidP="00D85FAC">
      <w:pPr>
        <w:rPr>
          <w:rFonts w:eastAsia="Arial Unicode MS"/>
        </w:rPr>
      </w:pPr>
      <w:r>
        <w:rPr>
          <w:rFonts w:eastAsia="Arial Unicode MS"/>
        </w:rPr>
        <w:t>In accordance with the concepts of best practice and optimisation, the routine monitoring program has evolved through time as technologies (eg continuous physicochemical monitoring using datasondes and telemetry) have evolved, and improved methodologies for biological assessment (eg in situ monitoring using snails) have been developed under the SSD research program.</w:t>
      </w:r>
    </w:p>
    <w:p w:rsidR="00D85FAC" w:rsidRDefault="00D85FAC" w:rsidP="00D85FAC">
      <w:pPr>
        <w:rPr>
          <w:rFonts w:eastAsia="Arial Unicode MS"/>
        </w:rPr>
      </w:pPr>
      <w:r>
        <w:rPr>
          <w:rFonts w:eastAsia="Arial Unicode MS"/>
        </w:rPr>
        <w:t xml:space="preserve">The results from the stream chemical and biological monitoring program for 2010–11 are summarised below. </w:t>
      </w:r>
    </w:p>
    <w:p w:rsidR="00D85FAC" w:rsidRDefault="00D85FAC" w:rsidP="00D85FAC"/>
    <w:p w:rsidR="00D85FAC" w:rsidRDefault="00D85FAC" w:rsidP="00D85FAC">
      <w:pPr>
        <w:pStyle w:val="Heading5"/>
        <w:sectPr w:rsidR="00D85FAC" w:rsidSect="00D85FAC">
          <w:headerReference w:type="default" r:id="rId105"/>
          <w:footnotePr>
            <w:numRestart w:val="eachSect"/>
          </w:footnotePr>
          <w:pgSz w:w="11906" w:h="16838" w:code="9"/>
          <w:pgMar w:top="1440" w:right="1797" w:bottom="1440" w:left="1797" w:header="851" w:footer="833" w:gutter="0"/>
          <w:cols w:space="360"/>
          <w:noEndnote/>
          <w:titlePg/>
        </w:sectPr>
      </w:pPr>
    </w:p>
    <w:p w:rsidR="00D85FAC" w:rsidRDefault="00D85FAC" w:rsidP="00D85FAC">
      <w:pPr>
        <w:pStyle w:val="Heading1"/>
      </w:pPr>
      <w:bookmarkStart w:id="238" w:name="_Toc319670725"/>
      <w:r>
        <w:lastRenderedPageBreak/>
        <w:t xml:space="preserve">Chemical and physical monitoring </w:t>
      </w:r>
      <w:r>
        <w:br/>
        <w:t>of Magela Creek</w:t>
      </w:r>
      <w:bookmarkEnd w:id="238"/>
    </w:p>
    <w:p w:rsidR="00D85FAC" w:rsidRPr="008E44C5" w:rsidRDefault="00D85FAC" w:rsidP="00D85FAC">
      <w:pPr>
        <w:pStyle w:val="authors"/>
        <w:spacing w:after="800"/>
      </w:pPr>
      <w:bookmarkStart w:id="239" w:name="_Toc316987228"/>
      <w:bookmarkStart w:id="240" w:name="_Toc319670726"/>
      <w:r>
        <w:t>A Frostick, K Turner, L Curtis, S Fagan, L Chandler &amp; WD Erskine</w:t>
      </w:r>
      <w:bookmarkEnd w:id="239"/>
      <w:bookmarkEnd w:id="240"/>
    </w:p>
    <w:p w:rsidR="00D85FAC" w:rsidRDefault="00D85FAC" w:rsidP="00D85FAC">
      <w:pPr>
        <w:pStyle w:val="Heading2"/>
      </w:pPr>
      <w:bookmarkStart w:id="241" w:name="_Toc313523484"/>
      <w:bookmarkStart w:id="242" w:name="_Toc316985327"/>
      <w:r>
        <w:t>Introduction</w:t>
      </w:r>
      <w:bookmarkEnd w:id="241"/>
      <w:bookmarkEnd w:id="242"/>
    </w:p>
    <w:p w:rsidR="00D85FAC" w:rsidRDefault="00D85FAC" w:rsidP="00D85FAC">
      <w:r>
        <w:t>During 2010–11, SSD modified its routine wet season monitoring program by replacing weekly grab sampling and analysis of dissolved constituents</w:t>
      </w:r>
      <w:proofErr w:type="gramStart"/>
      <w:r>
        <w:t>,with</w:t>
      </w:r>
      <w:proofErr w:type="gramEnd"/>
      <w:r>
        <w:t xml:space="preserve"> continuous monitoring of stream height, electrical conductivity (EC), turbidity, pH and water temperature coupled with event-based automatic water sampling and analysis of total constituents as the primary water quality monitoring method (Turner 2009, Turner &amp; Jones 2010, Frostick et al 2011). This change substantially enhanced SSD’s ability to independently detect changes in water quality through time. In addition to continuous monitoring, manual grab samples were taken every two weeks from Magela Creek for radium analysis. </w:t>
      </w:r>
      <w:r w:rsidRPr="002647F8">
        <w:t>Map 2</w:t>
      </w:r>
      <w:r>
        <w:t xml:space="preserve"> shows the location of the upstream and downstream monitoring sites and key Ranger Mine features.</w:t>
      </w:r>
    </w:p>
    <w:p w:rsidR="00D85FAC" w:rsidRDefault="00D85FAC" w:rsidP="00D85FAC">
      <w:pPr>
        <w:pStyle w:val="Heading2"/>
      </w:pPr>
      <w:bookmarkStart w:id="243" w:name="_Toc313523485"/>
      <w:bookmarkStart w:id="244" w:name="_Toc316985328"/>
      <w:r>
        <w:t>Implications of event-based sampling</w:t>
      </w:r>
      <w:bookmarkEnd w:id="243"/>
      <w:bookmarkEnd w:id="244"/>
    </w:p>
    <w:p w:rsidR="00D85FAC" w:rsidRPr="00966000" w:rsidRDefault="00D85FAC" w:rsidP="00D85FAC">
      <w:pPr>
        <w:rPr>
          <w:spacing w:val="-2"/>
        </w:rPr>
      </w:pPr>
      <w:r w:rsidRPr="00966000">
        <w:rPr>
          <w:spacing w:val="-2"/>
        </w:rPr>
        <w:t xml:space="preserve">Analysis of event-based samples for total metal concentrations (dissolved metals plus those weakly bound to </w:t>
      </w:r>
      <w:proofErr w:type="gramStart"/>
      <w:r w:rsidRPr="00966000">
        <w:rPr>
          <w:spacing w:val="-2"/>
        </w:rPr>
        <w:t>suspended</w:t>
      </w:r>
      <w:proofErr w:type="gramEnd"/>
      <w:r w:rsidRPr="00966000">
        <w:rPr>
          <w:spacing w:val="-2"/>
        </w:rPr>
        <w:t xml:space="preserve"> particulate matter) contrasts with the previous weekly grab sample program where all samples were filtered in the field immediately after collection, and analysed for filterable (dissolved) metals only. The event-based samples will experience a variable period of standing (mostly less than 24 hours) before they are collected and processed in the laboratory. By analysing the total metal concentration as distinct from dissolved metal concentration, the proportion of dissolved metals that would typically become ‘lost’ due to adsorption to the surface of particulate matter during the standing period, will be determined. </w:t>
      </w:r>
    </w:p>
    <w:p w:rsidR="00D85FAC" w:rsidRDefault="00D85FAC" w:rsidP="00D85FAC">
      <w:r>
        <w:t>Over two wet seasons (2008–09 and 2009–10), the SSD analysed event-based water samples collected over a range of EC and turbidity values for both the total (dissolved metals as well as those weakly bound to suspended particulate matter) and filterable (dissolved metals only) metal concentrations.</w:t>
      </w:r>
      <w:r w:rsidRPr="008234BB">
        <w:t xml:space="preserve"> </w:t>
      </w:r>
      <w:r>
        <w:t>The results showed that concentrations of magnesium and sulfate were predominantly associated with the dissolved fraction, which is consistent with their chemically non-reactive nature. For uranium, approximately 30% was associated with the particulate fraction and approximately 70% with the dissolved fraction. During the 2010-11 wet season, grab samples were collected and analysed for dissolved and total concentrations of key analytes (Table 1). The results were compared to assess the percentage of each analyte that was present in dissolved form and these results are in close agreement with the results from the 2008–09 and 2009–10 wet season (Frostick et al 2011). Consequently, from the comparisons carried out between dissolved and total analyses it is possible to infer the approximate values for dissolved concentrations using the total concentration data.</w:t>
      </w:r>
    </w:p>
    <w:p w:rsidR="00D85FAC" w:rsidRDefault="00D85FAC" w:rsidP="00D85FAC">
      <w:pPr>
        <w:pStyle w:val="Heading2"/>
      </w:pPr>
      <w:bookmarkStart w:id="245" w:name="_Toc313523486"/>
      <w:bookmarkStart w:id="246" w:name="_Toc316985329"/>
      <w:r>
        <w:t>Summary of wet season water quality</w:t>
      </w:r>
      <w:bookmarkEnd w:id="245"/>
      <w:bookmarkEnd w:id="246"/>
    </w:p>
    <w:p w:rsidR="00D85FAC" w:rsidRDefault="00D85FAC" w:rsidP="00D85FAC">
      <w:r>
        <w:t xml:space="preserve">From early November 2010 until mid December, discharge in Magela Creek was intermittent with a peak of 3.4 cumecs on 29 November 2010. During this period the probes at the Magela Creek upstream station (MCUGT) were periodically out of the water resulting in no data for the period between 11 and 24 November 2010. The probes at the Magela Creek downstream </w:t>
      </w:r>
      <w:r>
        <w:lastRenderedPageBreak/>
        <w:t>station (MCDW) were inundated for the whole of this period but were frequently in stagnant water resulting in a stepped response in EC to individual flushing events (Figure 1).</w:t>
      </w:r>
    </w:p>
    <w:p w:rsidR="00D85FAC" w:rsidRDefault="00D85FAC" w:rsidP="00D85FAC">
      <w:pPr>
        <w:pStyle w:val="tablecaption"/>
        <w:spacing w:before="320"/>
      </w:pPr>
      <w:r w:rsidRPr="00026C96">
        <w:rPr>
          <w:b/>
        </w:rPr>
        <w:t xml:space="preserve">Table </w:t>
      </w:r>
      <w:proofErr w:type="gramStart"/>
      <w:r w:rsidRPr="00026C96">
        <w:rPr>
          <w:b/>
        </w:rPr>
        <w:t>1</w:t>
      </w:r>
      <w:r>
        <w:t xml:space="preserve">  Average</w:t>
      </w:r>
      <w:proofErr w:type="gramEnd"/>
      <w:r>
        <w:t xml:space="preserve"> percentage of total Mg, SO</w:t>
      </w:r>
      <w:r>
        <w:rPr>
          <w:snapToGrid w:val="0"/>
          <w:color w:val="000000"/>
          <w:position w:val="-4"/>
          <w:sz w:val="12"/>
          <w:szCs w:val="0"/>
          <w:u w:color="000000"/>
        </w:rPr>
        <w:t>4</w:t>
      </w:r>
      <w:r>
        <w:rPr>
          <w:snapToGrid w:val="0"/>
          <w:color w:val="000000"/>
          <w:szCs w:val="0"/>
          <w:u w:color="000000"/>
        </w:rPr>
        <w:t xml:space="preserve"> and U concentration that was present in dissolved form in samples collected from the upstream and downstream monitoring sites at Magela and Gulungul Creeks during the 2010–11 wet season. The standard deviation is shown in brackets. </w:t>
      </w:r>
    </w:p>
    <w:tbl>
      <w:tblPr>
        <w:tblW w:w="0" w:type="auto"/>
        <w:tblBorders>
          <w:top w:val="single" w:sz="4" w:space="0" w:color="auto"/>
          <w:bottom w:val="single" w:sz="4" w:space="0" w:color="auto"/>
        </w:tblBorders>
        <w:tblLook w:val="04A0"/>
      </w:tblPr>
      <w:tblGrid>
        <w:gridCol w:w="2130"/>
        <w:gridCol w:w="2130"/>
        <w:gridCol w:w="2131"/>
        <w:gridCol w:w="2131"/>
      </w:tblGrid>
      <w:tr w:rsidR="00D85FAC" w:rsidRPr="00972C8D" w:rsidTr="00D85FAC">
        <w:tc>
          <w:tcPr>
            <w:tcW w:w="2130" w:type="dxa"/>
            <w:vMerge w:val="restart"/>
            <w:tcBorders>
              <w:top w:val="single" w:sz="4" w:space="0" w:color="auto"/>
            </w:tcBorders>
            <w:vAlign w:val="center"/>
          </w:tcPr>
          <w:p w:rsidR="00D85FAC" w:rsidRPr="00972C8D" w:rsidRDefault="00D85FAC" w:rsidP="00D85FAC">
            <w:pPr>
              <w:pStyle w:val="table1"/>
              <w:rPr>
                <w:b/>
              </w:rPr>
            </w:pPr>
            <w:r>
              <w:rPr>
                <w:b/>
              </w:rPr>
              <w:t>Site</w:t>
            </w:r>
          </w:p>
        </w:tc>
        <w:tc>
          <w:tcPr>
            <w:tcW w:w="6392" w:type="dxa"/>
            <w:gridSpan w:val="3"/>
            <w:tcBorders>
              <w:top w:val="single" w:sz="4" w:space="0" w:color="auto"/>
              <w:bottom w:val="single" w:sz="4" w:space="0" w:color="auto"/>
            </w:tcBorders>
          </w:tcPr>
          <w:p w:rsidR="00D85FAC" w:rsidRPr="00972C8D" w:rsidRDefault="00D85FAC" w:rsidP="00D85FAC">
            <w:pPr>
              <w:pStyle w:val="table1"/>
              <w:jc w:val="center"/>
              <w:rPr>
                <w:b/>
              </w:rPr>
            </w:pPr>
            <w:r>
              <w:rPr>
                <w:b/>
              </w:rPr>
              <w:t xml:space="preserve">Percentage of total concentration in dissolved (&lt;0.45 </w:t>
            </w:r>
            <w:r>
              <w:rPr>
                <w:rFonts w:cs="Arial"/>
                <w:b/>
              </w:rPr>
              <w:t>µ</w:t>
            </w:r>
            <w:r>
              <w:rPr>
                <w:b/>
              </w:rPr>
              <w:t>m filtered) form</w:t>
            </w:r>
          </w:p>
        </w:tc>
      </w:tr>
      <w:tr w:rsidR="00D85FAC" w:rsidRPr="00972C8D" w:rsidTr="00D85FAC">
        <w:tc>
          <w:tcPr>
            <w:tcW w:w="2130" w:type="dxa"/>
            <w:vMerge/>
            <w:tcBorders>
              <w:bottom w:val="single" w:sz="4" w:space="0" w:color="auto"/>
            </w:tcBorders>
          </w:tcPr>
          <w:p w:rsidR="00D85FAC" w:rsidRPr="00972C8D" w:rsidRDefault="00D85FAC" w:rsidP="00D85FAC">
            <w:pPr>
              <w:pStyle w:val="table1"/>
              <w:rPr>
                <w:b/>
              </w:rPr>
            </w:pPr>
          </w:p>
        </w:tc>
        <w:tc>
          <w:tcPr>
            <w:tcW w:w="2130" w:type="dxa"/>
            <w:tcBorders>
              <w:top w:val="single" w:sz="4" w:space="0" w:color="auto"/>
              <w:bottom w:val="single" w:sz="4" w:space="0" w:color="auto"/>
            </w:tcBorders>
          </w:tcPr>
          <w:p w:rsidR="00D85FAC" w:rsidRPr="00972C8D" w:rsidRDefault="00D85FAC" w:rsidP="00D85FAC">
            <w:pPr>
              <w:pStyle w:val="table1"/>
              <w:rPr>
                <w:b/>
              </w:rPr>
            </w:pPr>
            <w:r w:rsidRPr="00972C8D">
              <w:rPr>
                <w:b/>
              </w:rPr>
              <w:t>Mg</w:t>
            </w:r>
          </w:p>
        </w:tc>
        <w:tc>
          <w:tcPr>
            <w:tcW w:w="2131" w:type="dxa"/>
            <w:tcBorders>
              <w:top w:val="single" w:sz="4" w:space="0" w:color="auto"/>
              <w:bottom w:val="single" w:sz="4" w:space="0" w:color="auto"/>
            </w:tcBorders>
          </w:tcPr>
          <w:p w:rsidR="00D85FAC" w:rsidRPr="00972C8D" w:rsidRDefault="00D85FAC" w:rsidP="00D85FAC">
            <w:pPr>
              <w:pStyle w:val="table1"/>
              <w:rPr>
                <w:b/>
              </w:rPr>
            </w:pPr>
            <w:r w:rsidRPr="00972C8D">
              <w:rPr>
                <w:b/>
              </w:rPr>
              <w:t>SO</w:t>
            </w:r>
            <w:r w:rsidRPr="00972C8D">
              <w:rPr>
                <w:b/>
                <w:snapToGrid w:val="0"/>
                <w:color w:val="000000"/>
                <w:position w:val="-5"/>
                <w:sz w:val="13"/>
                <w:szCs w:val="0"/>
                <w:u w:color="000000"/>
              </w:rPr>
              <w:t>4</w:t>
            </w:r>
          </w:p>
        </w:tc>
        <w:tc>
          <w:tcPr>
            <w:tcW w:w="2131" w:type="dxa"/>
            <w:tcBorders>
              <w:top w:val="single" w:sz="4" w:space="0" w:color="auto"/>
              <w:bottom w:val="single" w:sz="4" w:space="0" w:color="auto"/>
            </w:tcBorders>
          </w:tcPr>
          <w:p w:rsidR="00D85FAC" w:rsidRPr="00972C8D" w:rsidRDefault="00D85FAC" w:rsidP="00D85FAC">
            <w:pPr>
              <w:pStyle w:val="table1"/>
              <w:rPr>
                <w:b/>
              </w:rPr>
            </w:pPr>
            <w:r w:rsidRPr="00972C8D">
              <w:rPr>
                <w:b/>
              </w:rPr>
              <w:t>U</w:t>
            </w:r>
          </w:p>
        </w:tc>
      </w:tr>
      <w:tr w:rsidR="00D85FAC" w:rsidTr="00D85FAC">
        <w:tc>
          <w:tcPr>
            <w:tcW w:w="2130" w:type="dxa"/>
            <w:tcBorders>
              <w:top w:val="single" w:sz="4" w:space="0" w:color="auto"/>
            </w:tcBorders>
          </w:tcPr>
          <w:p w:rsidR="00D85FAC" w:rsidRPr="00A43D4F" w:rsidRDefault="00D85FAC" w:rsidP="00D85FAC">
            <w:pPr>
              <w:pStyle w:val="table1"/>
            </w:pPr>
            <w:r w:rsidRPr="00A43D4F">
              <w:t>MCUGT (</w:t>
            </w:r>
            <w:r w:rsidRPr="00A43D4F">
              <w:rPr>
                <w:i/>
              </w:rPr>
              <w:t>n = 7</w:t>
            </w:r>
            <w:r w:rsidRPr="00A43D4F">
              <w:t>)</w:t>
            </w:r>
          </w:p>
        </w:tc>
        <w:tc>
          <w:tcPr>
            <w:tcW w:w="2130" w:type="dxa"/>
            <w:tcBorders>
              <w:top w:val="single" w:sz="4" w:space="0" w:color="auto"/>
            </w:tcBorders>
          </w:tcPr>
          <w:p w:rsidR="00D85FAC" w:rsidRDefault="00D85FAC" w:rsidP="00D85FAC">
            <w:pPr>
              <w:pStyle w:val="table1"/>
            </w:pPr>
            <w:r>
              <w:t>100 (</w:t>
            </w:r>
            <w:r>
              <w:rPr>
                <w:rFonts w:cs="Arial"/>
              </w:rPr>
              <w:t>±</w:t>
            </w:r>
            <w:r>
              <w:t xml:space="preserve"> 8)</w:t>
            </w:r>
          </w:p>
        </w:tc>
        <w:tc>
          <w:tcPr>
            <w:tcW w:w="2131" w:type="dxa"/>
            <w:tcBorders>
              <w:top w:val="single" w:sz="4" w:space="0" w:color="auto"/>
            </w:tcBorders>
          </w:tcPr>
          <w:p w:rsidR="00D85FAC" w:rsidRDefault="00D85FAC" w:rsidP="00D85FAC">
            <w:pPr>
              <w:pStyle w:val="table1"/>
            </w:pPr>
            <w:r>
              <w:t>93 (</w:t>
            </w:r>
            <w:r>
              <w:rPr>
                <w:rFonts w:cs="Arial"/>
              </w:rPr>
              <w:t>±</w:t>
            </w:r>
            <w:r>
              <w:t xml:space="preserve"> 37)</w:t>
            </w:r>
          </w:p>
        </w:tc>
        <w:tc>
          <w:tcPr>
            <w:tcW w:w="2131" w:type="dxa"/>
            <w:tcBorders>
              <w:top w:val="single" w:sz="4" w:space="0" w:color="auto"/>
            </w:tcBorders>
          </w:tcPr>
          <w:p w:rsidR="00D85FAC" w:rsidRDefault="00D85FAC" w:rsidP="00D85FAC">
            <w:pPr>
              <w:pStyle w:val="table1"/>
            </w:pPr>
            <w:r>
              <w:t>70 (</w:t>
            </w:r>
            <w:r>
              <w:rPr>
                <w:rFonts w:cs="Arial"/>
              </w:rPr>
              <w:t>±</w:t>
            </w:r>
            <w:r>
              <w:t xml:space="preserve"> 24)</w:t>
            </w:r>
          </w:p>
        </w:tc>
      </w:tr>
      <w:tr w:rsidR="00D85FAC" w:rsidTr="00D85FAC">
        <w:tc>
          <w:tcPr>
            <w:tcW w:w="2130" w:type="dxa"/>
          </w:tcPr>
          <w:p w:rsidR="00D85FAC" w:rsidRPr="00A43D4F" w:rsidRDefault="00D85FAC" w:rsidP="00D85FAC">
            <w:pPr>
              <w:pStyle w:val="table1"/>
            </w:pPr>
            <w:r w:rsidRPr="00A43D4F">
              <w:t>MCDW (</w:t>
            </w:r>
            <w:r w:rsidRPr="00A43D4F">
              <w:rPr>
                <w:i/>
              </w:rPr>
              <w:t>n = 7</w:t>
            </w:r>
            <w:r w:rsidRPr="00A43D4F">
              <w:t>)</w:t>
            </w:r>
          </w:p>
        </w:tc>
        <w:tc>
          <w:tcPr>
            <w:tcW w:w="2130" w:type="dxa"/>
          </w:tcPr>
          <w:p w:rsidR="00D85FAC" w:rsidRDefault="00D85FAC" w:rsidP="00D85FAC">
            <w:pPr>
              <w:pStyle w:val="table1"/>
            </w:pPr>
            <w:r>
              <w:t>96 (</w:t>
            </w:r>
            <w:r>
              <w:rPr>
                <w:rFonts w:cs="Arial"/>
              </w:rPr>
              <w:t>±</w:t>
            </w:r>
            <w:r>
              <w:t xml:space="preserve"> 9)</w:t>
            </w:r>
          </w:p>
        </w:tc>
        <w:tc>
          <w:tcPr>
            <w:tcW w:w="2131" w:type="dxa"/>
          </w:tcPr>
          <w:p w:rsidR="00D85FAC" w:rsidRDefault="00D85FAC" w:rsidP="00D85FAC">
            <w:pPr>
              <w:pStyle w:val="table1"/>
            </w:pPr>
            <w:r>
              <w:t>92 (</w:t>
            </w:r>
            <w:r>
              <w:rPr>
                <w:rFonts w:cs="Arial"/>
              </w:rPr>
              <w:t>±</w:t>
            </w:r>
            <w:r>
              <w:t xml:space="preserve"> 12)</w:t>
            </w:r>
          </w:p>
        </w:tc>
        <w:tc>
          <w:tcPr>
            <w:tcW w:w="2131" w:type="dxa"/>
          </w:tcPr>
          <w:p w:rsidR="00D85FAC" w:rsidRDefault="00D85FAC" w:rsidP="00D85FAC">
            <w:pPr>
              <w:pStyle w:val="table1"/>
            </w:pPr>
            <w:r>
              <w:t>74 (</w:t>
            </w:r>
            <w:r>
              <w:rPr>
                <w:rFonts w:cs="Arial"/>
              </w:rPr>
              <w:t>±</w:t>
            </w:r>
            <w:r>
              <w:t xml:space="preserve"> 20)</w:t>
            </w:r>
          </w:p>
        </w:tc>
      </w:tr>
      <w:tr w:rsidR="00D85FAC" w:rsidTr="00D85FAC">
        <w:tc>
          <w:tcPr>
            <w:tcW w:w="2130" w:type="dxa"/>
          </w:tcPr>
          <w:p w:rsidR="00D85FAC" w:rsidRPr="00A43D4F" w:rsidRDefault="00D85FAC" w:rsidP="00D85FAC">
            <w:pPr>
              <w:pStyle w:val="table1"/>
            </w:pPr>
            <w:r w:rsidRPr="00A43D4F">
              <w:t>GCUS (</w:t>
            </w:r>
            <w:r w:rsidRPr="00A43D4F">
              <w:rPr>
                <w:i/>
              </w:rPr>
              <w:t>n = 5</w:t>
            </w:r>
            <w:r w:rsidRPr="00A43D4F">
              <w:t>)</w:t>
            </w:r>
          </w:p>
        </w:tc>
        <w:tc>
          <w:tcPr>
            <w:tcW w:w="2130" w:type="dxa"/>
          </w:tcPr>
          <w:p w:rsidR="00D85FAC" w:rsidRDefault="00D85FAC" w:rsidP="00D85FAC">
            <w:pPr>
              <w:pStyle w:val="table1"/>
            </w:pPr>
            <w:r>
              <w:t>96 (</w:t>
            </w:r>
            <w:r>
              <w:rPr>
                <w:rFonts w:cs="Arial"/>
              </w:rPr>
              <w:t>±</w:t>
            </w:r>
            <w:r>
              <w:t xml:space="preserve"> 6)</w:t>
            </w:r>
          </w:p>
        </w:tc>
        <w:tc>
          <w:tcPr>
            <w:tcW w:w="2131" w:type="dxa"/>
          </w:tcPr>
          <w:p w:rsidR="00D85FAC" w:rsidRDefault="00D85FAC" w:rsidP="00D85FAC">
            <w:pPr>
              <w:pStyle w:val="table1"/>
            </w:pPr>
            <w:r>
              <w:t>85 (</w:t>
            </w:r>
            <w:r>
              <w:rPr>
                <w:rFonts w:cs="Arial"/>
              </w:rPr>
              <w:t>±</w:t>
            </w:r>
            <w:r>
              <w:t xml:space="preserve"> 27)</w:t>
            </w:r>
          </w:p>
        </w:tc>
        <w:tc>
          <w:tcPr>
            <w:tcW w:w="2131" w:type="dxa"/>
          </w:tcPr>
          <w:p w:rsidR="00D85FAC" w:rsidRDefault="00D85FAC" w:rsidP="00D85FAC">
            <w:pPr>
              <w:pStyle w:val="table1"/>
            </w:pPr>
            <w:r>
              <w:t>80 (</w:t>
            </w:r>
            <w:r>
              <w:rPr>
                <w:rFonts w:cs="Arial"/>
              </w:rPr>
              <w:t>±</w:t>
            </w:r>
            <w:r>
              <w:t xml:space="preserve"> 6)</w:t>
            </w:r>
          </w:p>
        </w:tc>
      </w:tr>
      <w:tr w:rsidR="00D85FAC" w:rsidTr="00D85FAC">
        <w:tc>
          <w:tcPr>
            <w:tcW w:w="2130" w:type="dxa"/>
          </w:tcPr>
          <w:p w:rsidR="00D85FAC" w:rsidRPr="00A43D4F" w:rsidRDefault="00D85FAC" w:rsidP="00D85FAC">
            <w:pPr>
              <w:pStyle w:val="table1"/>
            </w:pPr>
            <w:r w:rsidRPr="00A43D4F">
              <w:t>GCDS (</w:t>
            </w:r>
            <w:r w:rsidRPr="00A43D4F">
              <w:rPr>
                <w:i/>
              </w:rPr>
              <w:t>n = 5</w:t>
            </w:r>
            <w:r w:rsidRPr="00A43D4F">
              <w:t>)</w:t>
            </w:r>
          </w:p>
        </w:tc>
        <w:tc>
          <w:tcPr>
            <w:tcW w:w="2130" w:type="dxa"/>
          </w:tcPr>
          <w:p w:rsidR="00D85FAC" w:rsidRDefault="00D85FAC" w:rsidP="00D85FAC">
            <w:pPr>
              <w:pStyle w:val="table1"/>
            </w:pPr>
            <w:r>
              <w:t>97 (</w:t>
            </w:r>
            <w:r>
              <w:rPr>
                <w:rFonts w:cs="Arial"/>
              </w:rPr>
              <w:t>±</w:t>
            </w:r>
            <w:r>
              <w:t xml:space="preserve"> 4)</w:t>
            </w:r>
          </w:p>
        </w:tc>
        <w:tc>
          <w:tcPr>
            <w:tcW w:w="2131" w:type="dxa"/>
          </w:tcPr>
          <w:p w:rsidR="00D85FAC" w:rsidRDefault="00D85FAC" w:rsidP="00D85FAC">
            <w:pPr>
              <w:pStyle w:val="table1"/>
            </w:pPr>
            <w:r>
              <w:t>95 (</w:t>
            </w:r>
            <w:r>
              <w:rPr>
                <w:rFonts w:cs="Arial"/>
              </w:rPr>
              <w:t>±</w:t>
            </w:r>
            <w:r>
              <w:t xml:space="preserve"> 7)</w:t>
            </w:r>
          </w:p>
        </w:tc>
        <w:tc>
          <w:tcPr>
            <w:tcW w:w="2131" w:type="dxa"/>
          </w:tcPr>
          <w:p w:rsidR="00D85FAC" w:rsidRDefault="00D85FAC" w:rsidP="00D85FAC">
            <w:pPr>
              <w:pStyle w:val="table1"/>
            </w:pPr>
            <w:r>
              <w:t>64 (</w:t>
            </w:r>
            <w:r>
              <w:rPr>
                <w:rFonts w:cs="Arial"/>
              </w:rPr>
              <w:t>±</w:t>
            </w:r>
            <w:r>
              <w:t xml:space="preserve"> 17)</w:t>
            </w:r>
          </w:p>
        </w:tc>
      </w:tr>
    </w:tbl>
    <w:p w:rsidR="00D85FAC" w:rsidRDefault="00D85FAC" w:rsidP="00D85FAC">
      <w:pPr>
        <w:pStyle w:val="tablenote"/>
      </w:pPr>
    </w:p>
    <w:p w:rsidR="00D85FAC" w:rsidRDefault="00D85FAC" w:rsidP="00D85FAC">
      <w:r>
        <w:rPr>
          <w:noProof/>
          <w:lang w:eastAsia="en-AU"/>
        </w:rPr>
        <w:drawing>
          <wp:inline distT="0" distB="0" distL="0" distR="0">
            <wp:extent cx="4717415" cy="252158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screen"/>
                    <a:srcRect/>
                    <a:stretch>
                      <a:fillRect/>
                    </a:stretch>
                  </pic:blipFill>
                  <pic:spPr bwMode="auto">
                    <a:xfrm>
                      <a:off x="0" y="0"/>
                      <a:ext cx="4717415" cy="2521585"/>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1</w:t>
      </w:r>
      <w:r>
        <w:t xml:space="preserve">  Electrical</w:t>
      </w:r>
      <w:proofErr w:type="gramEnd"/>
      <w:r>
        <w:t xml:space="preserve"> conductivity and discharge at the upstream (MCUGT) and downstream (MCDW) sites on Magela Creek between November 2010 and July 2011</w:t>
      </w:r>
    </w:p>
    <w:p w:rsidR="00D85FAC" w:rsidRPr="005E0FBC" w:rsidRDefault="00D85FAC" w:rsidP="00D85FAC">
      <w:pPr>
        <w:rPr>
          <w:spacing w:val="-2"/>
        </w:rPr>
      </w:pPr>
      <w:r>
        <w:rPr>
          <w:spacing w:val="-2"/>
        </w:rPr>
        <w:t>Discharge</w:t>
      </w:r>
      <w:r w:rsidRPr="005E0FBC">
        <w:rPr>
          <w:spacing w:val="-2"/>
        </w:rPr>
        <w:t xml:space="preserve"> remained very low un</w:t>
      </w:r>
      <w:r>
        <w:rPr>
          <w:spacing w:val="-2"/>
        </w:rPr>
        <w:t>til mid-December 2010 when it</w:t>
      </w:r>
      <w:r w:rsidRPr="005E0FBC">
        <w:rPr>
          <w:spacing w:val="-2"/>
        </w:rPr>
        <w:t xml:space="preserve"> increased due to rainfall events, which resulted in severa</w:t>
      </w:r>
      <w:r>
        <w:rPr>
          <w:spacing w:val="-2"/>
        </w:rPr>
        <w:t>l peaks in turbidity at both</w:t>
      </w:r>
      <w:r w:rsidRPr="005E0FBC">
        <w:rPr>
          <w:spacing w:val="-2"/>
        </w:rPr>
        <w:t xml:space="preserve"> </w:t>
      </w:r>
      <w:r>
        <w:rPr>
          <w:spacing w:val="-2"/>
        </w:rPr>
        <w:t>upstream and downstream</w:t>
      </w:r>
      <w:r w:rsidRPr="005E0FBC">
        <w:rPr>
          <w:spacing w:val="-2"/>
        </w:rPr>
        <w:t xml:space="preserve"> stations (Figure 2) typical of first flush conditions. During December 2010, EC remained &lt; 20 μS/cm at both monitoring stations</w:t>
      </w:r>
      <w:r>
        <w:rPr>
          <w:spacing w:val="-2"/>
        </w:rPr>
        <w:t>,</w:t>
      </w:r>
      <w:r w:rsidRPr="005E0FBC">
        <w:rPr>
          <w:spacing w:val="-2"/>
        </w:rPr>
        <w:t xml:space="preserve"> except for a small peak </w:t>
      </w:r>
      <w:proofErr w:type="gramStart"/>
      <w:r w:rsidRPr="005E0FBC">
        <w:rPr>
          <w:spacing w:val="-2"/>
        </w:rPr>
        <w:t>of 23.3 μS/cm at MCDW on 31 December 2010</w:t>
      </w:r>
      <w:proofErr w:type="gramEnd"/>
      <w:r w:rsidRPr="005E0FBC">
        <w:rPr>
          <w:spacing w:val="-2"/>
        </w:rPr>
        <w:t xml:space="preserve">. Several more small EC peaks were recorded during early January 2011, but these were all below the statistically derived EC guideline value for grab samples. </w:t>
      </w:r>
    </w:p>
    <w:p w:rsidR="00D85FAC" w:rsidRPr="00815AF5" w:rsidRDefault="00D85FAC" w:rsidP="00D85FAC">
      <w:pPr>
        <w:rPr>
          <w:spacing w:val="-2"/>
        </w:rPr>
      </w:pPr>
      <w:r w:rsidRPr="00A848F6">
        <w:t xml:space="preserve">On 15–16 January, EC peaked </w:t>
      </w:r>
      <w:proofErr w:type="gramStart"/>
      <w:r w:rsidRPr="00A848F6">
        <w:t>at 50 μS/cm</w:t>
      </w:r>
      <w:proofErr w:type="gramEnd"/>
      <w:r w:rsidRPr="00A848F6">
        <w:t xml:space="preserve"> during a 12 hour event, with EC remaining above the guideline of 43 μS/c</w:t>
      </w:r>
      <w:r>
        <w:t>m for 2.5 hours</w:t>
      </w:r>
      <w:r w:rsidRPr="00A848F6">
        <w:t xml:space="preserve">. Uranium concentrations in automatic </w:t>
      </w:r>
      <w:r>
        <w:t>samples collected during this</w:t>
      </w:r>
      <w:r w:rsidRPr="00A848F6">
        <w:t xml:space="preserve"> event remained below 0.3 μg/L, less than 5% of the 6.0 μg/L uranium limit (Figure </w:t>
      </w:r>
      <w:r>
        <w:t>3</w:t>
      </w:r>
      <w:r w:rsidRPr="00A848F6">
        <w:t xml:space="preserve">). Manganese peaked at 19.3 μg/L during the beginning of this event (Figure </w:t>
      </w:r>
      <w:r>
        <w:t>4</w:t>
      </w:r>
      <w:r w:rsidRPr="00A848F6">
        <w:t>), which lies within the h</w:t>
      </w:r>
      <w:r>
        <w:t>istoric grab sample range</w:t>
      </w:r>
      <w:r w:rsidRPr="00A848F6">
        <w:t xml:space="preserve"> for this site (2.08</w:t>
      </w:r>
      <w:r>
        <w:t>–</w:t>
      </w:r>
      <w:r w:rsidRPr="00A848F6">
        <w:t>48.1</w:t>
      </w:r>
      <w:r>
        <w:t> </w:t>
      </w:r>
      <w:r w:rsidRPr="00A848F6">
        <w:t>μg/L)</w:t>
      </w:r>
      <w:r>
        <w:t>,</w:t>
      </w:r>
      <w:r w:rsidRPr="00A848F6">
        <w:t xml:space="preserve"> and is below the guideline of 26 μg/L. Magnesium and sulfate </w:t>
      </w:r>
      <w:r w:rsidRPr="00381B27">
        <w:rPr>
          <w:spacing w:val="-2"/>
        </w:rPr>
        <w:t>concentrations closely followed the EC continuous monitoring peak with concentrations peaking at 3.4 mg/L and 12.6 mg/L, respectively.</w:t>
      </w:r>
      <w:r>
        <w:rPr>
          <w:spacing w:val="-2"/>
        </w:rPr>
        <w:t xml:space="preserve"> These concentrations are slightly higher by no more 0.5mg/L than the maximum concentrations previously recorded during the grab sample monitoring program at this site. </w:t>
      </w:r>
      <w:r w:rsidRPr="00815AF5">
        <w:rPr>
          <w:spacing w:val="-2"/>
        </w:rPr>
        <w:t xml:space="preserve">EC levels were stable at the upstream monitoring site through late January and early February, and showed some minor fluctuations at MCDW with a maximum EC </w:t>
      </w:r>
      <w:proofErr w:type="gramStart"/>
      <w:r w:rsidRPr="00815AF5">
        <w:rPr>
          <w:spacing w:val="-2"/>
        </w:rPr>
        <w:t>of around 30 μS/cm</w:t>
      </w:r>
      <w:proofErr w:type="gramEnd"/>
      <w:r w:rsidRPr="00815AF5">
        <w:rPr>
          <w:spacing w:val="-2"/>
        </w:rPr>
        <w:t xml:space="preserve">. </w:t>
      </w:r>
    </w:p>
    <w:p w:rsidR="00D85FAC" w:rsidRDefault="00D85FAC" w:rsidP="00D85FAC">
      <w:r>
        <w:lastRenderedPageBreak/>
        <w:t xml:space="preserve">On 13–14 February, EC peaked </w:t>
      </w:r>
      <w:proofErr w:type="gramStart"/>
      <w:r>
        <w:t>at 46 μS/cm</w:t>
      </w:r>
      <w:proofErr w:type="gramEnd"/>
      <w:r>
        <w:t xml:space="preserve"> during a 14 hour period with EC remaining above the guideline of 43 μS/cm for 1.7 hours. Two samples were collected </w:t>
      </w:r>
      <w:r w:rsidRPr="00400C2A">
        <w:t xml:space="preserve">by autosampler, </w:t>
      </w:r>
      <w:r>
        <w:t>which contained</w:t>
      </w:r>
      <w:r w:rsidRPr="00400C2A">
        <w:t xml:space="preserve"> uranium and manganese concentrations </w:t>
      </w:r>
      <w:r>
        <w:t xml:space="preserve">of </w:t>
      </w:r>
      <w:proofErr w:type="gramStart"/>
      <w:r w:rsidRPr="00400C2A">
        <w:t xml:space="preserve">up to 0.498 </w:t>
      </w:r>
      <w:r>
        <w:t>μ</w:t>
      </w:r>
      <w:r w:rsidRPr="00400C2A">
        <w:t>g/L</w:t>
      </w:r>
      <w:proofErr w:type="gramEnd"/>
      <w:r w:rsidRPr="00400C2A">
        <w:t xml:space="preserve"> and 26.3</w:t>
      </w:r>
      <w:r>
        <w:t> μ</w:t>
      </w:r>
      <w:r w:rsidRPr="00400C2A">
        <w:t>g/L</w:t>
      </w:r>
      <w:r>
        <w:t>,</w:t>
      </w:r>
      <w:r w:rsidRPr="00400C2A">
        <w:t xml:space="preserve"> respectively. Concentrations of magnesium (3.4 mg/L) and sulfate (11.8 mg/L)</w:t>
      </w:r>
      <w:r>
        <w:t xml:space="preserve"> closely follow EC (Figures 5 &amp; 6). As EC declined on 14 February before a discharge peak in Magela Creek of 709 cumecs there was a turbidity peak of 42 NTU at MCDW (Figure 2).</w:t>
      </w:r>
    </w:p>
    <w:p w:rsidR="00D85FAC" w:rsidRDefault="00D85FAC" w:rsidP="00D85FAC"/>
    <w:p w:rsidR="00D85FAC" w:rsidRDefault="00D85FAC" w:rsidP="00D85FAC">
      <w:pPr>
        <w:spacing w:after="0"/>
        <w:jc w:val="center"/>
      </w:pPr>
      <w:r>
        <w:rPr>
          <w:noProof/>
          <w:lang w:eastAsia="en-AU"/>
        </w:rPr>
        <w:drawing>
          <wp:inline distT="0" distB="0" distL="0" distR="0">
            <wp:extent cx="5266444" cy="2655651"/>
            <wp:effectExtent l="0" t="0" r="0"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screen"/>
                    <a:srcRect t="5503"/>
                    <a:stretch>
                      <a:fillRect/>
                    </a:stretch>
                  </pic:blipFill>
                  <pic:spPr bwMode="auto">
                    <a:xfrm>
                      <a:off x="0" y="0"/>
                      <a:ext cx="5274921" cy="2659925"/>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2</w:t>
      </w:r>
      <w:r>
        <w:t xml:space="preserve">  Turbidity</w:t>
      </w:r>
      <w:proofErr w:type="gramEnd"/>
      <w:r>
        <w:t xml:space="preserve"> and discharge at the upstream (MCUGT) and downstream (MCDW) sites on Magela Creek between November 2010 and July 2011</w:t>
      </w:r>
    </w:p>
    <w:p w:rsidR="00D85FAC" w:rsidRDefault="00D85FAC" w:rsidP="00D85FAC">
      <w:pPr>
        <w:jc w:val="center"/>
      </w:pPr>
      <w:r>
        <w:rPr>
          <w:noProof/>
          <w:lang w:eastAsia="en-AU"/>
        </w:rPr>
        <w:drawing>
          <wp:inline distT="0" distB="0" distL="0" distR="0">
            <wp:extent cx="5262664" cy="2681150"/>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screen"/>
                    <a:srcRect t="4163"/>
                    <a:stretch>
                      <a:fillRect/>
                    </a:stretch>
                  </pic:blipFill>
                  <pic:spPr bwMode="auto">
                    <a:xfrm>
                      <a:off x="0" y="0"/>
                      <a:ext cx="5269362" cy="2684562"/>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3</w:t>
      </w:r>
      <w:r>
        <w:t xml:space="preserve">  Electrical</w:t>
      </w:r>
      <w:proofErr w:type="gramEnd"/>
      <w:r>
        <w:t xml:space="preserve"> conductivity and total uranium concentrations at the upstream (MCUGT) and downstream (MCDW) sites on Magela Creek between November 2010 and July 2011</w:t>
      </w:r>
    </w:p>
    <w:p w:rsidR="00D85FAC" w:rsidRDefault="00D85FAC" w:rsidP="00D85FAC">
      <w:pPr>
        <w:spacing w:after="0"/>
        <w:jc w:val="center"/>
        <w:rPr>
          <w:lang w:val="en-US"/>
        </w:rPr>
      </w:pPr>
      <w:r w:rsidRPr="007E2C98">
        <w:rPr>
          <w:noProof/>
          <w:lang w:eastAsia="en-AU"/>
        </w:rPr>
        <w:lastRenderedPageBreak/>
        <w:drawing>
          <wp:inline distT="0" distB="0" distL="0" distR="0">
            <wp:extent cx="5041105" cy="2452255"/>
            <wp:effectExtent l="19050" t="0" r="7145" b="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screen"/>
                    <a:srcRect/>
                    <a:stretch>
                      <a:fillRect/>
                    </a:stretch>
                  </pic:blipFill>
                  <pic:spPr bwMode="auto">
                    <a:xfrm>
                      <a:off x="0" y="0"/>
                      <a:ext cx="5052607" cy="2457850"/>
                    </a:xfrm>
                    <a:prstGeom prst="rect">
                      <a:avLst/>
                    </a:prstGeom>
                    <a:noFill/>
                  </pic:spPr>
                </pic:pic>
              </a:graphicData>
            </a:graphic>
          </wp:inline>
        </w:drawing>
      </w:r>
    </w:p>
    <w:p w:rsidR="00D85FAC" w:rsidRDefault="00D85FAC" w:rsidP="00D85FAC">
      <w:pPr>
        <w:pStyle w:val="figurecaption"/>
      </w:pPr>
      <w:r>
        <w:rPr>
          <w:b/>
        </w:rPr>
        <w:t xml:space="preserve">Figure </w:t>
      </w:r>
      <w:proofErr w:type="gramStart"/>
      <w:r>
        <w:rPr>
          <w:b/>
        </w:rPr>
        <w:t>4</w:t>
      </w:r>
      <w:r>
        <w:t xml:space="preserve">  Electrical</w:t>
      </w:r>
      <w:proofErr w:type="gramEnd"/>
      <w:r>
        <w:t xml:space="preserve"> conductivity and total manganese concentrations at the upstream (MCUGT) and downstream (MCDW) sites on Magela Creek between November 2010 and July 2011</w:t>
      </w:r>
    </w:p>
    <w:p w:rsidR="00D85FAC" w:rsidRDefault="00D85FAC" w:rsidP="00D85FAC">
      <w:pPr>
        <w:spacing w:after="0"/>
      </w:pPr>
    </w:p>
    <w:p w:rsidR="00D85FAC" w:rsidRDefault="00D85FAC" w:rsidP="00D85FAC">
      <w:pPr>
        <w:jc w:val="center"/>
      </w:pPr>
      <w:r>
        <w:rPr>
          <w:noProof/>
          <w:lang w:eastAsia="en-AU"/>
        </w:rPr>
        <w:drawing>
          <wp:inline distT="0" distB="0" distL="0" distR="0">
            <wp:extent cx="5027349" cy="2535381"/>
            <wp:effectExtent l="0" t="0" r="0" b="0"/>
            <wp:docPr id="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screen"/>
                    <a:srcRect t="4080" b="1678"/>
                    <a:stretch>
                      <a:fillRect/>
                    </a:stretch>
                  </pic:blipFill>
                  <pic:spPr bwMode="auto">
                    <a:xfrm>
                      <a:off x="0" y="0"/>
                      <a:ext cx="5044693" cy="2544128"/>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5</w:t>
      </w:r>
      <w:r>
        <w:t xml:space="preserve">  Electrical</w:t>
      </w:r>
      <w:proofErr w:type="gramEnd"/>
      <w:r>
        <w:t xml:space="preserve"> conductivity and total magnesium concentrations</w:t>
      </w:r>
      <w:r w:rsidRPr="00317BB3">
        <w:t xml:space="preserve"> </w:t>
      </w:r>
      <w:r>
        <w:t>at the upstream (MCUGT) and downstream (MCDW) sites on Magela Creek between November 2010 and July 2011.</w:t>
      </w:r>
    </w:p>
    <w:p w:rsidR="00D85FAC" w:rsidRPr="004F2BAC" w:rsidRDefault="00D85FAC" w:rsidP="00D85FAC">
      <w:pPr>
        <w:spacing w:after="0"/>
        <w:jc w:val="center"/>
      </w:pPr>
      <w:r>
        <w:rPr>
          <w:noProof/>
          <w:lang w:eastAsia="en-AU"/>
        </w:rPr>
        <w:drawing>
          <wp:inline distT="0" distB="0" distL="0" distR="0">
            <wp:extent cx="4728513" cy="2382982"/>
            <wp:effectExtent l="0" t="0" r="0" b="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screen"/>
                    <a:srcRect t="3615" b="2209"/>
                    <a:stretch>
                      <a:fillRect/>
                    </a:stretch>
                  </pic:blipFill>
                  <pic:spPr bwMode="auto">
                    <a:xfrm>
                      <a:off x="0" y="0"/>
                      <a:ext cx="4743069" cy="2390318"/>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6</w:t>
      </w:r>
      <w:r>
        <w:t xml:space="preserve">  Electrical</w:t>
      </w:r>
      <w:proofErr w:type="gramEnd"/>
      <w:r>
        <w:t xml:space="preserve"> conductivity and total sulfate concentrations at the upstream (MCUGT) and downstream (MCDW) sites on Magela Creek between November 2010 and July 2011</w:t>
      </w:r>
    </w:p>
    <w:p w:rsidR="00D85FAC" w:rsidRPr="00D51C63" w:rsidRDefault="00D85FAC" w:rsidP="00D85FAC">
      <w:pPr>
        <w:rPr>
          <w:spacing w:val="-2"/>
        </w:rPr>
      </w:pPr>
      <w:r>
        <w:rPr>
          <w:spacing w:val="-2"/>
        </w:rPr>
        <w:lastRenderedPageBreak/>
        <w:t>On 22 February, EC at MCDW</w:t>
      </w:r>
      <w:r w:rsidRPr="00D51C63">
        <w:rPr>
          <w:spacing w:val="-2"/>
        </w:rPr>
        <w:t xml:space="preserve"> peaked </w:t>
      </w:r>
      <w:proofErr w:type="gramStart"/>
      <w:r w:rsidRPr="00D51C63">
        <w:rPr>
          <w:spacing w:val="-2"/>
        </w:rPr>
        <w:t>at 57 μS/cm</w:t>
      </w:r>
      <w:proofErr w:type="gramEnd"/>
      <w:r w:rsidRPr="00D51C63">
        <w:rPr>
          <w:spacing w:val="-2"/>
        </w:rPr>
        <w:t xml:space="preserve"> during a 4 hour event with EC remaining above the guideline of 43 μS/cm</w:t>
      </w:r>
      <w:r>
        <w:rPr>
          <w:spacing w:val="-2"/>
        </w:rPr>
        <w:t xml:space="preserve"> for 1.75 hours</w:t>
      </w:r>
      <w:r w:rsidRPr="00D51C63">
        <w:rPr>
          <w:spacing w:val="-2"/>
        </w:rPr>
        <w:t xml:space="preserve">. Two autosamples were triggered, which contained uranium and manganese concentrations up to </w:t>
      </w:r>
      <w:proofErr w:type="gramStart"/>
      <w:r w:rsidRPr="00D51C63">
        <w:rPr>
          <w:spacing w:val="-2"/>
        </w:rPr>
        <w:t>1.01 μg/L</w:t>
      </w:r>
      <w:proofErr w:type="gramEnd"/>
      <w:r w:rsidRPr="00D51C63">
        <w:rPr>
          <w:spacing w:val="-2"/>
        </w:rPr>
        <w:t xml:space="preserve"> and 16.5</w:t>
      </w:r>
      <w:r>
        <w:rPr>
          <w:spacing w:val="-2"/>
        </w:rPr>
        <w:t> </w:t>
      </w:r>
      <w:r w:rsidRPr="00D51C63">
        <w:rPr>
          <w:spacing w:val="-2"/>
        </w:rPr>
        <w:t>μg/L, respectively. This would equate to a filtered uranium value of between 0.6–0.8 μg/L, given that approximately 70% of the total concentration appears to be pre</w:t>
      </w:r>
      <w:r>
        <w:rPr>
          <w:spacing w:val="-2"/>
        </w:rPr>
        <w:t>sent in dissolved form (Table 1</w:t>
      </w:r>
      <w:r w:rsidRPr="00D51C63">
        <w:rPr>
          <w:spacing w:val="-2"/>
        </w:rPr>
        <w:t>)</w:t>
      </w:r>
      <w:r>
        <w:rPr>
          <w:spacing w:val="-2"/>
        </w:rPr>
        <w:t>.</w:t>
      </w:r>
      <w:r w:rsidRPr="00D51C63">
        <w:rPr>
          <w:spacing w:val="-2"/>
        </w:rPr>
        <w:t xml:space="preserve"> While there is a level of uncertainty surrounding this estimate the total concentration of U is well below the the limit of 6 μg/L. Concentrations of the major ions magnesium and sulfate were 4.2 mg/L and 15.8 mg/L, respectively. </w:t>
      </w:r>
    </w:p>
    <w:p w:rsidR="00D85FAC" w:rsidRDefault="00D85FAC" w:rsidP="00D85FAC">
      <w:r>
        <w:t>As EC decreased at MCDW due to an increase in flow, there was a peak in turbidity. The turbidity peak occurred following a 190 mm rainfall event and was caused by surface runoff from areas both on and off the mine site.</w:t>
      </w:r>
    </w:p>
    <w:p w:rsidR="00D85FAC" w:rsidRDefault="00D85FAC" w:rsidP="00D85FAC">
      <w:pPr>
        <w:spacing w:after="0"/>
      </w:pPr>
      <w:r>
        <w:t xml:space="preserve">Water levels decreased during March, with EC and turbidity being relatively stable. This continued through April with EC remaining </w:t>
      </w:r>
      <w:proofErr w:type="gramStart"/>
      <w:r>
        <w:t>below 30 μS/cm</w:t>
      </w:r>
      <w:proofErr w:type="gramEnd"/>
      <w:r>
        <w:t>. A brief increase in flow was noted on 6 April in response to a 22 mm rainfall event. Another local rainfall event on 23 April caused minor peaks in EC and turbidity at both monitoring sites.</w:t>
      </w:r>
    </w:p>
    <w:p w:rsidR="00D85FAC" w:rsidRDefault="00D85FAC" w:rsidP="00D85FAC">
      <w:r>
        <w:t>SSD completed an investigation into a low magnitude EC spike recorded at the upstream site in the early hours of 22 February 2011 (Figure 7), which was not detected at the ERA site further upstream (data not shown). Such an occurrence had not been observed before and it was important to investigate the source of the EC in the context of the robustness of our upstream reference site and the integrity of the data collected.</w:t>
      </w:r>
    </w:p>
    <w:p w:rsidR="00D85FAC" w:rsidRDefault="00D85FAC" w:rsidP="00D85FAC"/>
    <w:p w:rsidR="00D85FAC" w:rsidRDefault="00D85FAC" w:rsidP="00D85FAC">
      <w:pPr>
        <w:pStyle w:val="figurecaption"/>
      </w:pPr>
      <w:r>
        <w:rPr>
          <w:noProof/>
          <w:lang w:eastAsia="en-AU"/>
        </w:rPr>
        <w:drawing>
          <wp:inline distT="0" distB="0" distL="0" distR="0">
            <wp:extent cx="4499787" cy="2179674"/>
            <wp:effectExtent l="19050" t="0" r="0" b="0"/>
            <wp:docPr id="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screen"/>
                    <a:srcRect/>
                    <a:stretch>
                      <a:fillRect/>
                    </a:stretch>
                  </pic:blipFill>
                  <pic:spPr bwMode="auto">
                    <a:xfrm>
                      <a:off x="0" y="0"/>
                      <a:ext cx="4499787" cy="2179674"/>
                    </a:xfrm>
                    <a:prstGeom prst="rect">
                      <a:avLst/>
                    </a:prstGeom>
                    <a:noFill/>
                  </pic:spPr>
                </pic:pic>
              </a:graphicData>
            </a:graphic>
          </wp:inline>
        </w:drawing>
      </w:r>
    </w:p>
    <w:p w:rsidR="00D85FAC" w:rsidRDefault="00D85FAC" w:rsidP="00D85FAC">
      <w:pPr>
        <w:pStyle w:val="figurecaption"/>
        <w:rPr>
          <w:spacing w:val="-2"/>
        </w:rPr>
      </w:pPr>
      <w:r>
        <w:rPr>
          <w:b/>
        </w:rPr>
        <w:t>Figure</w:t>
      </w:r>
      <w:r w:rsidRPr="004F2BAC">
        <w:rPr>
          <w:b/>
        </w:rPr>
        <w:t xml:space="preserve"> </w:t>
      </w:r>
      <w:proofErr w:type="gramStart"/>
      <w:r>
        <w:rPr>
          <w:b/>
        </w:rPr>
        <w:t>7</w:t>
      </w:r>
      <w:r>
        <w:t xml:space="preserve">  Magela</w:t>
      </w:r>
      <w:proofErr w:type="gramEnd"/>
      <w:r>
        <w:t xml:space="preserve"> Creek continuous monitoring data at the upstream (MCUGT) and downstream (MCDW) sites for the period 21–23 February 2011</w:t>
      </w:r>
    </w:p>
    <w:p w:rsidR="00D85FAC" w:rsidRPr="00C051EE" w:rsidRDefault="00D85FAC" w:rsidP="00D85FAC">
      <w:pPr>
        <w:rPr>
          <w:spacing w:val="-2"/>
        </w:rPr>
      </w:pPr>
      <w:r w:rsidRPr="00C051EE">
        <w:rPr>
          <w:spacing w:val="-2"/>
        </w:rPr>
        <w:t xml:space="preserve">A field inspection showed that discharge from Georgetown Billabong had overtopped the sand-bar separating the billabong and Magela Creek, thereby causing an elevated EC response at the upstream monitoring station. This was generated by an unusual localised high intensity rainfall event which delivered approximately 170 mm in just over 2 hours. This caused a rapid increase in discharge from the </w:t>
      </w:r>
      <w:smartTag w:uri="urn:schemas-microsoft-com:office:smarttags" w:element="City">
        <w:smartTag w:uri="urn:schemas-microsoft-com:office:smarttags" w:element="place">
          <w:r w:rsidRPr="00C051EE">
            <w:rPr>
              <w:spacing w:val="-2"/>
            </w:rPr>
            <w:t>Georgetown</w:t>
          </w:r>
        </w:smartTag>
      </w:smartTag>
      <w:r w:rsidRPr="00C051EE">
        <w:rPr>
          <w:spacing w:val="-2"/>
        </w:rPr>
        <w:t xml:space="preserve"> Creek catchment before the water level rose in Magela Creek. Overbank flows from Georgetown Billabong reached the Magela central anabranch.</w:t>
      </w:r>
    </w:p>
    <w:p w:rsidR="00D85FAC" w:rsidRPr="00966000" w:rsidRDefault="00D85FAC" w:rsidP="00D85FAC">
      <w:pPr>
        <w:rPr>
          <w:spacing w:val="-2"/>
        </w:rPr>
      </w:pPr>
      <w:r w:rsidRPr="00966000">
        <w:rPr>
          <w:spacing w:val="-2"/>
        </w:rPr>
        <w:t xml:space="preserve">Given that such incidents are very rare, and their occurrence readily identified, SSD does not consider relocation of the upstream monitoring station to be warranted. The ability of the upstream monitoring site to detect these types of unusual events is considered to be advantageous and should assist with future interpretations of extreme conditions in Magela Creek. </w:t>
      </w:r>
    </w:p>
    <w:p w:rsidR="00D85FAC" w:rsidRDefault="00D85FAC" w:rsidP="00D85FAC">
      <w:proofErr w:type="gramStart"/>
      <w:r>
        <w:lastRenderedPageBreak/>
        <w:t>Recessional flow conditions commenced in Magela Creek in late April.</w:t>
      </w:r>
      <w:proofErr w:type="gramEnd"/>
      <w:r>
        <w:t xml:space="preserve"> These conditions are typified by a falling hydrograph, with EC stabilising and then rising slowly as groundwater input becomes the dominant source of flow. Continuous monitoring was maintained until cease-to-flow was agreed by stakeholders on 15 August 2010.</w:t>
      </w:r>
    </w:p>
    <w:p w:rsidR="00D85FAC" w:rsidRDefault="00D85FAC" w:rsidP="00D85FAC">
      <w:r>
        <w:t xml:space="preserve">Overall, the water quality measured in Magela Creek for the 2010–11 wet </w:t>
      </w:r>
      <w:proofErr w:type="gramStart"/>
      <w:r>
        <w:t>season</w:t>
      </w:r>
      <w:proofErr w:type="gramEnd"/>
      <w:r>
        <w:t xml:space="preserve"> was comparable to previous wet seasons (Figure 8).</w:t>
      </w:r>
    </w:p>
    <w:p w:rsidR="00D85FAC" w:rsidRDefault="00D85FAC" w:rsidP="00D85FAC"/>
    <w:p w:rsidR="00D85FAC" w:rsidRDefault="00D85FAC" w:rsidP="00D85FAC">
      <w:pPr>
        <w:jc w:val="center"/>
      </w:pPr>
      <w:r>
        <w:rPr>
          <w:noProof/>
          <w:lang w:eastAsia="en-AU"/>
        </w:rPr>
        <w:drawing>
          <wp:inline distT="0" distB="0" distL="0" distR="0">
            <wp:extent cx="5016282" cy="2469823"/>
            <wp:effectExtent l="0" t="0" r="0" b="0"/>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screen"/>
                    <a:srcRect t="6091" b="1680"/>
                    <a:stretch>
                      <a:fillRect/>
                    </a:stretch>
                  </pic:blipFill>
                  <pic:spPr bwMode="auto">
                    <a:xfrm>
                      <a:off x="0" y="0"/>
                      <a:ext cx="5028099" cy="2475641"/>
                    </a:xfrm>
                    <a:prstGeom prst="rect">
                      <a:avLst/>
                    </a:prstGeom>
                    <a:noFill/>
                    <a:ln w="9525">
                      <a:noFill/>
                      <a:miter lim="800000"/>
                      <a:headEnd/>
                      <a:tailEnd/>
                    </a:ln>
                  </pic:spPr>
                </pic:pic>
              </a:graphicData>
            </a:graphic>
          </wp:inline>
        </w:drawing>
      </w:r>
    </w:p>
    <w:p w:rsidR="00D85FAC" w:rsidRDefault="00D85FAC" w:rsidP="00D85FAC">
      <w:pPr>
        <w:pStyle w:val="figurecaption"/>
      </w:pPr>
      <w:bookmarkStart w:id="247" w:name="_Toc272855298"/>
      <w:r>
        <w:rPr>
          <w:b/>
        </w:rPr>
        <w:t xml:space="preserve">Figure </w:t>
      </w:r>
      <w:proofErr w:type="gramStart"/>
      <w:r>
        <w:rPr>
          <w:b/>
        </w:rPr>
        <w:t>8</w:t>
      </w:r>
      <w:r>
        <w:t xml:space="preserve">  Electrical</w:t>
      </w:r>
      <w:proofErr w:type="gramEnd"/>
      <w:r>
        <w:t xml:space="preserve"> conductivity measurements at the upstream (MCUGT) and downstream (MCDW) sites and discharge (lower trace) in Magela Creek between December 2007 and July 2011</w:t>
      </w:r>
      <w:bookmarkEnd w:id="247"/>
      <w:r>
        <w:t xml:space="preserve"> (this chart uses 1 hour mean values)</w:t>
      </w:r>
    </w:p>
    <w:p w:rsidR="00D85FAC" w:rsidRDefault="00D85FAC" w:rsidP="00D85FAC">
      <w:pPr>
        <w:pStyle w:val="Heading2"/>
      </w:pPr>
      <w:bookmarkStart w:id="248" w:name="_Toc316985330"/>
      <w:r>
        <w:t>References</w:t>
      </w:r>
      <w:bookmarkEnd w:id="248"/>
    </w:p>
    <w:p w:rsidR="00D85FAC" w:rsidRDefault="00D85FAC" w:rsidP="00D85FAC">
      <w:pPr>
        <w:pStyle w:val="referencelist1"/>
      </w:pPr>
      <w:r>
        <w:t xml:space="preserve">Frostick A, Turner K, Tayler K &amp; Jones D 2011. </w:t>
      </w:r>
      <w:proofErr w:type="gramStart"/>
      <w:r>
        <w:t>Water chemistry monitoring program.</w:t>
      </w:r>
      <w:proofErr w:type="gramEnd"/>
      <w:r>
        <w:t xml:space="preserve"> </w:t>
      </w:r>
      <w:proofErr w:type="gramStart"/>
      <w:r>
        <w:t xml:space="preserve">In </w:t>
      </w:r>
      <w:r w:rsidRPr="00C051EE">
        <w:rPr>
          <w:b/>
          <w:i/>
          <w:sz w:val="26"/>
          <w:szCs w:val="26"/>
        </w:rPr>
        <w:t>eriss</w:t>
      </w:r>
      <w:r w:rsidRPr="00C051EE">
        <w:rPr>
          <w:i/>
        </w:rPr>
        <w:t xml:space="preserve"> research summary 2009–2010</w:t>
      </w:r>
      <w:r>
        <w:t>.</w:t>
      </w:r>
      <w:proofErr w:type="gramEnd"/>
      <w:r>
        <w:t xml:space="preserve"> </w:t>
      </w:r>
      <w:proofErr w:type="gramStart"/>
      <w:r>
        <w:t>eds</w:t>
      </w:r>
      <w:proofErr w:type="gramEnd"/>
      <w:r>
        <w:t xml:space="preserve"> Jones DR &amp; Webb A, Supervising Scientist Report 202, Supervising Scientist, Darwin NT, 48–55. </w:t>
      </w:r>
    </w:p>
    <w:p w:rsidR="00D85FAC" w:rsidRDefault="00D85FAC" w:rsidP="00D85FAC">
      <w:pPr>
        <w:pStyle w:val="referencelist1"/>
      </w:pPr>
      <w:proofErr w:type="gramStart"/>
      <w:r>
        <w:t>Turner K 2009.</w:t>
      </w:r>
      <w:proofErr w:type="gramEnd"/>
      <w:r>
        <w:t xml:space="preserve"> </w:t>
      </w:r>
      <w:proofErr w:type="gramStart"/>
      <w:r>
        <w:t>Continuous monitoring of water quality in Magela Creek.</w:t>
      </w:r>
      <w:proofErr w:type="gramEnd"/>
      <w:r>
        <w:t xml:space="preserve"> </w:t>
      </w:r>
      <w:proofErr w:type="gramStart"/>
      <w:r>
        <w:t xml:space="preserve">In </w:t>
      </w:r>
      <w:r w:rsidRPr="00C051EE">
        <w:rPr>
          <w:b/>
          <w:i/>
          <w:sz w:val="26"/>
          <w:szCs w:val="26"/>
        </w:rPr>
        <w:t>eriss</w:t>
      </w:r>
      <w:r w:rsidRPr="00C051EE">
        <w:rPr>
          <w:i/>
        </w:rPr>
        <w:t xml:space="preserve"> research summary 200</w:t>
      </w:r>
      <w:r>
        <w:rPr>
          <w:i/>
        </w:rPr>
        <w:t>7–</w:t>
      </w:r>
      <w:r w:rsidRPr="00C051EE">
        <w:rPr>
          <w:i/>
        </w:rPr>
        <w:t>200</w:t>
      </w:r>
      <w:r>
        <w:rPr>
          <w:i/>
        </w:rPr>
        <w:t>8</w:t>
      </w:r>
      <w:r>
        <w:t>.</w:t>
      </w:r>
      <w:proofErr w:type="gramEnd"/>
      <w:r>
        <w:t xml:space="preserve"> </w:t>
      </w:r>
      <w:proofErr w:type="gramStart"/>
      <w:r>
        <w:t>eds</w:t>
      </w:r>
      <w:proofErr w:type="gramEnd"/>
      <w:r>
        <w:t xml:space="preserve"> Jones DR &amp; Webb A, Supervising Scientist Report 200, Supervising Scientist, Darwin NT, 71–74.</w:t>
      </w:r>
    </w:p>
    <w:p w:rsidR="00D85FAC" w:rsidRPr="0076180D" w:rsidRDefault="00D85FAC" w:rsidP="00D85FAC">
      <w:pPr>
        <w:pStyle w:val="referencelist1"/>
      </w:pPr>
      <w:proofErr w:type="gramStart"/>
      <w:r>
        <w:t>Turner K &amp; Jones D 2010.</w:t>
      </w:r>
      <w:proofErr w:type="gramEnd"/>
      <w:r>
        <w:t xml:space="preserve"> </w:t>
      </w:r>
      <w:proofErr w:type="gramStart"/>
      <w:r>
        <w:t>Surface water transport of mine-related solutes in the Magela Creek catchment using continuous monitoring techniques.</w:t>
      </w:r>
      <w:proofErr w:type="gramEnd"/>
      <w:r>
        <w:t xml:space="preserve"> </w:t>
      </w:r>
      <w:proofErr w:type="gramStart"/>
      <w:r>
        <w:t xml:space="preserve">In </w:t>
      </w:r>
      <w:r w:rsidRPr="005A5257">
        <w:rPr>
          <w:b/>
          <w:i/>
          <w:sz w:val="26"/>
          <w:szCs w:val="26"/>
        </w:rPr>
        <w:t>eriss</w:t>
      </w:r>
      <w:r>
        <w:rPr>
          <w:i/>
        </w:rPr>
        <w:t xml:space="preserve"> research summary 2008–</w:t>
      </w:r>
      <w:r w:rsidRPr="005A5257">
        <w:rPr>
          <w:i/>
        </w:rPr>
        <w:t>200</w:t>
      </w:r>
      <w:r>
        <w:rPr>
          <w:i/>
        </w:rPr>
        <w:t>9</w:t>
      </w:r>
      <w:r>
        <w:t>.</w:t>
      </w:r>
      <w:proofErr w:type="gramEnd"/>
      <w:r>
        <w:t xml:space="preserve"> </w:t>
      </w:r>
      <w:proofErr w:type="gramStart"/>
      <w:r>
        <w:t>eds</w:t>
      </w:r>
      <w:proofErr w:type="gramEnd"/>
      <w:r>
        <w:t xml:space="preserve"> Jones DR &amp; Webb A, Supervising Scientist Report 201, Supervising Scientist, Darwin NT, 58–65.</w:t>
      </w:r>
    </w:p>
    <w:p w:rsidR="00D85FAC" w:rsidRPr="006B21D7" w:rsidRDefault="00D85FAC" w:rsidP="00D85FAC"/>
    <w:p w:rsidR="00D85FAC" w:rsidRDefault="00D85FAC" w:rsidP="00D85FAC">
      <w:pPr>
        <w:pStyle w:val="Heading5"/>
        <w:sectPr w:rsidR="00D85FAC" w:rsidSect="00D85FAC">
          <w:headerReference w:type="default" r:id="rId114"/>
          <w:footnotePr>
            <w:numRestart w:val="eachSect"/>
          </w:footnotePr>
          <w:pgSz w:w="11906" w:h="16838" w:code="9"/>
          <w:pgMar w:top="1440" w:right="1797" w:bottom="1440" w:left="1797" w:header="851" w:footer="833" w:gutter="0"/>
          <w:cols w:space="360"/>
          <w:noEndnote/>
          <w:titlePg/>
        </w:sectPr>
      </w:pPr>
    </w:p>
    <w:p w:rsidR="00D85FAC" w:rsidRDefault="00D85FAC" w:rsidP="00D85FAC">
      <w:pPr>
        <w:pStyle w:val="Heading1"/>
      </w:pPr>
      <w:bookmarkStart w:id="249" w:name="_Toc319670727"/>
      <w:r>
        <w:lastRenderedPageBreak/>
        <w:t xml:space="preserve">Chemical and physical monitoring </w:t>
      </w:r>
      <w:r>
        <w:br/>
        <w:t>of Gulungul Creek</w:t>
      </w:r>
      <w:bookmarkEnd w:id="249"/>
    </w:p>
    <w:p w:rsidR="00D85FAC" w:rsidRPr="00C06B06" w:rsidRDefault="00D85FAC" w:rsidP="00D85FAC">
      <w:pPr>
        <w:pStyle w:val="authors"/>
        <w:spacing w:after="800"/>
      </w:pPr>
      <w:bookmarkStart w:id="250" w:name="_Toc316987230"/>
      <w:bookmarkStart w:id="251" w:name="_Toc319670728"/>
      <w:r>
        <w:t>A Frostick, K Turner, L Curtis &amp; WD Erskine</w:t>
      </w:r>
      <w:bookmarkEnd w:id="250"/>
      <w:bookmarkEnd w:id="251"/>
    </w:p>
    <w:p w:rsidR="00D85FAC" w:rsidRDefault="00D85FAC" w:rsidP="00D85FAC">
      <w:r w:rsidRPr="000834CE">
        <w:t xml:space="preserve">Flow was </w:t>
      </w:r>
      <w:r>
        <w:t xml:space="preserve">first </w:t>
      </w:r>
      <w:r w:rsidRPr="000834CE">
        <w:t>observed at the Gulungul Creek downstream monitoring station (GCDS) on 14 December 2010. Continuous monitoring commenced on 15 Decembe</w:t>
      </w:r>
      <w:r>
        <w:t>r 2010 because</w:t>
      </w:r>
      <w:r w:rsidRPr="000834CE">
        <w:t xml:space="preserve"> wa</w:t>
      </w:r>
      <w:r>
        <w:t>ter depths</w:t>
      </w:r>
      <w:r w:rsidRPr="000834CE">
        <w:t xml:space="preserve"> were sufficient for dep</w:t>
      </w:r>
      <w:r>
        <w:t xml:space="preserve">loyment of the monitoring </w:t>
      </w:r>
      <w:r w:rsidRPr="000834CE">
        <w:t xml:space="preserve">probes. Water levels gradually increased due to </w:t>
      </w:r>
      <w:r>
        <w:t xml:space="preserve">successive </w:t>
      </w:r>
      <w:r w:rsidRPr="000834CE">
        <w:t>rainfall events, which resulted in peaks in turbidity at both monitor</w:t>
      </w:r>
      <w:r>
        <w:t>ing stations</w:t>
      </w:r>
      <w:r w:rsidRPr="000834CE">
        <w:t xml:space="preserve"> during late December </w:t>
      </w:r>
      <w:r>
        <w:t>2010 and early January 2011</w:t>
      </w:r>
      <w:r w:rsidRPr="000834CE">
        <w:t xml:space="preserve">. </w:t>
      </w:r>
    </w:p>
    <w:p w:rsidR="00D85FAC" w:rsidRDefault="00D85FAC" w:rsidP="00D85FAC">
      <w:r>
        <w:t>Electrical conductivity (</w:t>
      </w:r>
      <w:r w:rsidRPr="000834CE">
        <w:t>EC</w:t>
      </w:r>
      <w:r>
        <w:t>)</w:t>
      </w:r>
      <w:r w:rsidRPr="000834CE">
        <w:t xml:space="preserve"> increased </w:t>
      </w:r>
      <w:r>
        <w:t>from</w:t>
      </w:r>
      <w:r w:rsidRPr="000834CE">
        <w:t xml:space="preserve"> the end of December and peaked at the upstream </w:t>
      </w:r>
      <w:r>
        <w:t xml:space="preserve">(GCUS) </w:t>
      </w:r>
      <w:r w:rsidRPr="000834CE">
        <w:t xml:space="preserve">and </w:t>
      </w:r>
      <w:r>
        <w:t>GCDS</w:t>
      </w:r>
      <w:r w:rsidRPr="000834CE">
        <w:t xml:space="preserve"> monitoring stations </w:t>
      </w:r>
      <w:proofErr w:type="gramStart"/>
      <w:r w:rsidRPr="000834CE">
        <w:t>at 27.7 μS/cm</w:t>
      </w:r>
      <w:proofErr w:type="gramEnd"/>
      <w:r w:rsidRPr="000834CE">
        <w:t xml:space="preserve"> on 4 and 5 January 2011, respectively. EC peaks were recorded at both the up</w:t>
      </w:r>
      <w:r>
        <w:t>stream and downstream</w:t>
      </w:r>
      <w:r w:rsidRPr="000834CE">
        <w:t xml:space="preserve"> sites </w:t>
      </w:r>
      <w:r>
        <w:t>between</w:t>
      </w:r>
      <w:r w:rsidRPr="000834CE">
        <w:t xml:space="preserve"> 7</w:t>
      </w:r>
      <w:r>
        <w:t xml:space="preserve"> and </w:t>
      </w:r>
      <w:r w:rsidRPr="000834CE">
        <w:t>11 January 2011</w:t>
      </w:r>
      <w:r>
        <w:t xml:space="preserve"> (see insert in Figure 1). H</w:t>
      </w:r>
      <w:r w:rsidRPr="000834CE">
        <w:t xml:space="preserve">owever, the magnitude of the EC increase </w:t>
      </w:r>
      <w:r>
        <w:t>was</w:t>
      </w:r>
      <w:r w:rsidRPr="000834CE">
        <w:t xml:space="preserve"> much greater at GCDS. Continuous monitoring data from SSD</w:t>
      </w:r>
      <w:r>
        <w:t>’</w:t>
      </w:r>
      <w:r w:rsidRPr="000834CE">
        <w:t xml:space="preserve">s Gulungul Creek </w:t>
      </w:r>
      <w:r>
        <w:t>G8210012 station (not shown) indicate</w:t>
      </w:r>
      <w:r w:rsidRPr="000834CE">
        <w:t>s the source of the</w:t>
      </w:r>
      <w:r>
        <w:t xml:space="preserve"> increased EC lies between G8210012</w:t>
      </w:r>
      <w:r w:rsidRPr="000834CE">
        <w:t xml:space="preserve"> and GCDS. </w:t>
      </w:r>
    </w:p>
    <w:p w:rsidR="00D85FAC" w:rsidRDefault="00D85FAC" w:rsidP="00D85FAC">
      <w:pPr>
        <w:jc w:val="center"/>
      </w:pPr>
      <w:r>
        <w:rPr>
          <w:noProof/>
          <w:lang w:eastAsia="en-AU"/>
        </w:rPr>
        <w:drawing>
          <wp:anchor distT="0" distB="0" distL="114300" distR="114300" simplePos="0" relativeHeight="251654656" behindDoc="0" locked="0" layoutInCell="1" allowOverlap="1">
            <wp:simplePos x="0" y="0"/>
            <wp:positionH relativeFrom="column">
              <wp:posOffset>1916430</wp:posOffset>
            </wp:positionH>
            <wp:positionV relativeFrom="paragraph">
              <wp:posOffset>152400</wp:posOffset>
            </wp:positionV>
            <wp:extent cx="1341120" cy="920750"/>
            <wp:effectExtent l="19050" t="0" r="0" b="0"/>
            <wp:wrapNone/>
            <wp:docPr id="13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15" cstate="screen"/>
                    <a:srcRect l="-1595" t="-3891" r="-4536" b="-3777"/>
                    <a:stretch>
                      <a:fillRect/>
                    </a:stretch>
                  </pic:blipFill>
                  <pic:spPr bwMode="auto">
                    <a:xfrm>
                      <a:off x="0" y="0"/>
                      <a:ext cx="1341120" cy="920750"/>
                    </a:xfrm>
                    <a:prstGeom prst="rect">
                      <a:avLst/>
                    </a:prstGeom>
                    <a:noFill/>
                    <a:ln w="9525">
                      <a:noFill/>
                      <a:miter lim="800000"/>
                      <a:headEnd/>
                      <a:tailEnd/>
                    </a:ln>
                  </pic:spPr>
                </pic:pic>
              </a:graphicData>
            </a:graphic>
          </wp:anchor>
        </w:drawing>
      </w:r>
      <w:r>
        <w:rPr>
          <w:noProof/>
          <w:lang w:eastAsia="en-AU"/>
        </w:rPr>
        <w:drawing>
          <wp:inline distT="0" distB="0" distL="0" distR="0">
            <wp:extent cx="4845231" cy="2403835"/>
            <wp:effectExtent l="0" t="0" r="0" b="0"/>
            <wp:docPr id="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screen"/>
                    <a:srcRect t="2900" b="4295"/>
                    <a:stretch>
                      <a:fillRect/>
                    </a:stretch>
                  </pic:blipFill>
                  <pic:spPr bwMode="auto">
                    <a:xfrm>
                      <a:off x="0" y="0"/>
                      <a:ext cx="4844042" cy="2403245"/>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1</w:t>
      </w:r>
      <w:r>
        <w:t xml:space="preserve">  Electrical</w:t>
      </w:r>
      <w:proofErr w:type="gramEnd"/>
      <w:r>
        <w:t xml:space="preserve"> conductivity at the upstream (GCUS) and downstream (GCDS) sites and water level on Gulungul Creek between December 2010 and July 2011</w:t>
      </w:r>
    </w:p>
    <w:p w:rsidR="00D85FAC" w:rsidRDefault="00D85FAC" w:rsidP="00D85FAC">
      <w:r w:rsidRPr="000834CE">
        <w:t xml:space="preserve">Uranium </w:t>
      </w:r>
      <w:r>
        <w:t>concentrations from samples collected by the autosampler at GCDS during these EC events remained</w:t>
      </w:r>
      <w:r w:rsidRPr="000834CE">
        <w:t xml:space="preserve"> </w:t>
      </w:r>
      <w:proofErr w:type="gramStart"/>
      <w:r w:rsidRPr="000834CE">
        <w:t>below 0.6 μg/L</w:t>
      </w:r>
      <w:r>
        <w:t>, one order of magnitude</w:t>
      </w:r>
      <w:proofErr w:type="gramEnd"/>
      <w:r>
        <w:t xml:space="preserve"> less than</w:t>
      </w:r>
      <w:r w:rsidRPr="000834CE">
        <w:t xml:space="preserve"> the 6.0 μg/L uranium limit for Magela Creek</w:t>
      </w:r>
      <w:r>
        <w:t xml:space="preserve"> (Figure 2)</w:t>
      </w:r>
      <w:r w:rsidRPr="000834CE">
        <w:t xml:space="preserve">. Manganese concentration peaked </w:t>
      </w:r>
      <w:proofErr w:type="gramStart"/>
      <w:r w:rsidRPr="000834CE">
        <w:t>at 17.8 μg/L</w:t>
      </w:r>
      <w:r>
        <w:t xml:space="preserve"> (Figure 3)</w:t>
      </w:r>
      <w:r w:rsidRPr="000834CE">
        <w:t>, which lies within the historic grab sample range</w:t>
      </w:r>
      <w:proofErr w:type="gramEnd"/>
      <w:r w:rsidRPr="000834CE">
        <w:t xml:space="preserve"> for this site (0.68</w:t>
      </w:r>
      <w:r>
        <w:t>–</w:t>
      </w:r>
      <w:r w:rsidRPr="000834CE">
        <w:t>18.1 μg/L). Magnesium and sulfate concentrations closely followed the EC continuous monitoring peak</w:t>
      </w:r>
      <w:r>
        <w:t xml:space="preserve"> (Figures 4 &amp; 5)</w:t>
      </w:r>
      <w:r w:rsidRPr="000834CE">
        <w:t xml:space="preserve">. </w:t>
      </w:r>
      <w:r>
        <w:t xml:space="preserve">Investigations by </w:t>
      </w:r>
      <w:r w:rsidRPr="000834CE">
        <w:t xml:space="preserve">ERA </w:t>
      </w:r>
      <w:r>
        <w:t>suggest the</w:t>
      </w:r>
      <w:r w:rsidRPr="000834CE">
        <w:t xml:space="preserve"> source of the increased EC</w:t>
      </w:r>
      <w:r>
        <w:t xml:space="preserve"> is salts leached from the fresh rock used in recent Tailings Storage Facility (TSF) wall raises</w:t>
      </w:r>
      <w:r w:rsidRPr="000834CE">
        <w:t>.</w:t>
      </w:r>
      <w:r>
        <w:t xml:space="preserve"> Recent improvements that have been made to the water management system around the base of the TSF mean that water shed from the western and southern walls of the TSF is now being contained in constructed ponds and pumped back to the pond water system.</w:t>
      </w:r>
    </w:p>
    <w:p w:rsidR="00D85FAC" w:rsidRDefault="00D85FAC" w:rsidP="00D85FAC">
      <w:pPr>
        <w:rPr>
          <w:spacing w:val="-2"/>
        </w:rPr>
      </w:pPr>
      <w:r w:rsidRPr="00E37F97">
        <w:rPr>
          <w:spacing w:val="-2"/>
        </w:rPr>
        <w:t xml:space="preserve">A rise in EC levels at both monitoring sites occurred in late January and early February as water levels decreased. Turbidity peaks which occurred at the upstream site on 15 and 24 January </w:t>
      </w:r>
      <w:r w:rsidRPr="00E37F97">
        <w:rPr>
          <w:spacing w:val="-2"/>
        </w:rPr>
        <w:lastRenderedPageBreak/>
        <w:t>2011 were also observed at the downstream site but at a much lower ma</w:t>
      </w:r>
      <w:r>
        <w:rPr>
          <w:spacing w:val="-2"/>
        </w:rPr>
        <w:t>gnitude.</w:t>
      </w:r>
      <w:r w:rsidRPr="00E37F97">
        <w:rPr>
          <w:spacing w:val="-2"/>
        </w:rPr>
        <w:t xml:space="preserve"> On 14 February</w:t>
      </w:r>
      <w:r>
        <w:rPr>
          <w:spacing w:val="-2"/>
        </w:rPr>
        <w:t>,</w:t>
      </w:r>
      <w:r w:rsidRPr="00E37F97">
        <w:rPr>
          <w:spacing w:val="-2"/>
        </w:rPr>
        <w:t xml:space="preserve"> there was a turbidity peak</w:t>
      </w:r>
      <w:r>
        <w:rPr>
          <w:spacing w:val="-2"/>
        </w:rPr>
        <w:t xml:space="preserve"> of 84 NTU at GCUS before</w:t>
      </w:r>
      <w:r w:rsidRPr="00E37F97">
        <w:rPr>
          <w:spacing w:val="-2"/>
        </w:rPr>
        <w:t xml:space="preserve"> a peak in water level due to heavy rainfall (Figure </w:t>
      </w:r>
      <w:r>
        <w:rPr>
          <w:spacing w:val="-2"/>
        </w:rPr>
        <w:t>6</w:t>
      </w:r>
      <w:r w:rsidRPr="00E37F97">
        <w:rPr>
          <w:spacing w:val="-2"/>
        </w:rPr>
        <w:t xml:space="preserve">). </w:t>
      </w:r>
      <w:proofErr w:type="gramStart"/>
      <w:r w:rsidRPr="00E37F97">
        <w:rPr>
          <w:spacing w:val="-2"/>
        </w:rPr>
        <w:t>At GCDS</w:t>
      </w:r>
      <w:r>
        <w:rPr>
          <w:spacing w:val="-2"/>
        </w:rPr>
        <w:t>,</w:t>
      </w:r>
      <w:r w:rsidRPr="00E37F97">
        <w:rPr>
          <w:spacing w:val="-2"/>
        </w:rPr>
        <w:t xml:space="preserve"> the turbidity remained relatively low, peaking at 15 NTU.</w:t>
      </w:r>
      <w:proofErr w:type="gramEnd"/>
      <w:r w:rsidRPr="00E37F97">
        <w:rPr>
          <w:spacing w:val="-2"/>
        </w:rPr>
        <w:t xml:space="preserve"> During this time EC decreased at both monitoring points to &lt;10 μS/cm. During late February and Marc</w:t>
      </w:r>
      <w:r>
        <w:rPr>
          <w:spacing w:val="-2"/>
        </w:rPr>
        <w:t>h EC gradually increased as discharge</w:t>
      </w:r>
      <w:r w:rsidRPr="00E37F97">
        <w:rPr>
          <w:spacing w:val="-2"/>
        </w:rPr>
        <w:t xml:space="preserve"> decreased.</w:t>
      </w:r>
    </w:p>
    <w:p w:rsidR="00D85FAC" w:rsidRPr="00AC7797" w:rsidRDefault="00D85FAC" w:rsidP="00D85FAC">
      <w:pPr>
        <w:rPr>
          <w:lang w:val="en-US"/>
        </w:rPr>
      </w:pPr>
    </w:p>
    <w:p w:rsidR="00D85FAC" w:rsidRDefault="00D85FAC" w:rsidP="00D85FAC">
      <w:pPr>
        <w:jc w:val="center"/>
      </w:pPr>
      <w:r>
        <w:rPr>
          <w:noProof/>
          <w:lang w:eastAsia="en-AU"/>
        </w:rPr>
        <w:drawing>
          <wp:inline distT="0" distB="0" distL="0" distR="0">
            <wp:extent cx="5360670" cy="2601798"/>
            <wp:effectExtent l="0" t="0" r="0" b="0"/>
            <wp:docPr id="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screen"/>
                    <a:srcRect t="4417" b="4819"/>
                    <a:stretch>
                      <a:fillRect/>
                    </a:stretch>
                  </pic:blipFill>
                  <pic:spPr bwMode="auto">
                    <a:xfrm>
                      <a:off x="0" y="0"/>
                      <a:ext cx="5365986" cy="2604378"/>
                    </a:xfrm>
                    <a:prstGeom prst="rect">
                      <a:avLst/>
                    </a:prstGeom>
                    <a:noFill/>
                    <a:ln w="9525">
                      <a:noFill/>
                      <a:miter lim="800000"/>
                      <a:headEnd/>
                      <a:tailEnd/>
                    </a:ln>
                  </pic:spPr>
                </pic:pic>
              </a:graphicData>
            </a:graphic>
          </wp:inline>
        </w:drawing>
      </w:r>
    </w:p>
    <w:p w:rsidR="00D85FAC" w:rsidRDefault="00D85FAC" w:rsidP="00D85FAC">
      <w:pPr>
        <w:pStyle w:val="figurecaption"/>
        <w:spacing w:after="440"/>
      </w:pPr>
      <w:r>
        <w:rPr>
          <w:b/>
        </w:rPr>
        <w:t xml:space="preserve">Figure </w:t>
      </w:r>
      <w:proofErr w:type="gramStart"/>
      <w:r>
        <w:rPr>
          <w:b/>
        </w:rPr>
        <w:t>2</w:t>
      </w:r>
      <w:r>
        <w:t xml:space="preserve">  Electrical</w:t>
      </w:r>
      <w:proofErr w:type="gramEnd"/>
      <w:r>
        <w:t xml:space="preserve"> conductivity and total uranium concentrations at the upstream (GCUS) and downstream (GCDS) sites on Gulungul Creek between December 2010 and July 2011.</w:t>
      </w:r>
    </w:p>
    <w:p w:rsidR="00D85FAC" w:rsidRPr="00D00373" w:rsidRDefault="00D85FAC" w:rsidP="00D85FAC">
      <w:pPr>
        <w:jc w:val="center"/>
      </w:pPr>
      <w:r>
        <w:rPr>
          <w:noProof/>
          <w:lang w:eastAsia="en-AU"/>
        </w:rPr>
        <w:drawing>
          <wp:inline distT="0" distB="0" distL="0" distR="0">
            <wp:extent cx="5273629" cy="2582944"/>
            <wp:effectExtent l="0" t="0" r="0" b="0"/>
            <wp:docPr id="1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screen"/>
                    <a:srcRect t="4016" b="4619"/>
                    <a:stretch>
                      <a:fillRect/>
                    </a:stretch>
                  </pic:blipFill>
                  <pic:spPr bwMode="auto">
                    <a:xfrm>
                      <a:off x="0" y="0"/>
                      <a:ext cx="5283614" cy="2587835"/>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3</w:t>
      </w:r>
      <w:r>
        <w:t xml:space="preserve">  Electrical</w:t>
      </w:r>
      <w:proofErr w:type="gramEnd"/>
      <w:r>
        <w:t xml:space="preserve"> conductivity and total manganese concentrations at the upstream (GCUS) and downstream (GCDS) sites on Gulungul Creek between December 2010 and July 2011.</w:t>
      </w:r>
    </w:p>
    <w:p w:rsidR="00D85FAC" w:rsidRPr="00D00373" w:rsidRDefault="00D85FAC" w:rsidP="00D85FAC">
      <w:pPr>
        <w:spacing w:after="0"/>
        <w:jc w:val="center"/>
      </w:pPr>
      <w:r>
        <w:rPr>
          <w:noProof/>
          <w:lang w:eastAsia="en-AU"/>
        </w:rPr>
        <w:lastRenderedPageBreak/>
        <w:drawing>
          <wp:inline distT="0" distB="0" distL="0" distR="0">
            <wp:extent cx="5055613" cy="2446638"/>
            <wp:effectExtent l="0" t="0" r="0" b="0"/>
            <wp:docPr id="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screen"/>
                    <a:srcRect t="4308" b="5222"/>
                    <a:stretch>
                      <a:fillRect/>
                    </a:stretch>
                  </pic:blipFill>
                  <pic:spPr bwMode="auto">
                    <a:xfrm>
                      <a:off x="0" y="0"/>
                      <a:ext cx="5068026" cy="2452645"/>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4</w:t>
      </w:r>
      <w:r>
        <w:t xml:space="preserve">  Electrical</w:t>
      </w:r>
      <w:proofErr w:type="gramEnd"/>
      <w:r>
        <w:t xml:space="preserve"> conductivity and total magnesium concentrations at the upstream (GCUS) and downstream (GCDS) sites on Gulungul Creek between December 2010 and July 2011.</w:t>
      </w:r>
    </w:p>
    <w:p w:rsidR="00D85FAC" w:rsidRPr="00D00373" w:rsidRDefault="00D85FAC" w:rsidP="00D85FAC">
      <w:pPr>
        <w:spacing w:after="0"/>
        <w:jc w:val="center"/>
      </w:pPr>
      <w:r>
        <w:rPr>
          <w:noProof/>
          <w:lang w:eastAsia="en-AU"/>
        </w:rPr>
        <w:drawing>
          <wp:inline distT="0" distB="0" distL="0" distR="0">
            <wp:extent cx="5166758" cy="2458994"/>
            <wp:effectExtent l="0" t="0" r="0" b="0"/>
            <wp:docPr id="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screen"/>
                    <a:srcRect t="4826" b="6226"/>
                    <a:stretch>
                      <a:fillRect/>
                    </a:stretch>
                  </pic:blipFill>
                  <pic:spPr bwMode="auto">
                    <a:xfrm>
                      <a:off x="0" y="0"/>
                      <a:ext cx="5172065" cy="2461520"/>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5</w:t>
      </w:r>
      <w:r>
        <w:t xml:space="preserve">  Electrical</w:t>
      </w:r>
      <w:proofErr w:type="gramEnd"/>
      <w:r>
        <w:t xml:space="preserve"> conductivity and total sulfate concentrations at the upstream (GCUS) and downstream (GCDS) sites on Gulungul Creek between December 2010 and July 2011</w:t>
      </w:r>
    </w:p>
    <w:p w:rsidR="00D85FAC" w:rsidRPr="00CB15E8" w:rsidRDefault="00D85FAC" w:rsidP="00D85FAC">
      <w:pPr>
        <w:jc w:val="center"/>
      </w:pPr>
      <w:r>
        <w:rPr>
          <w:noProof/>
          <w:lang w:eastAsia="en-AU"/>
        </w:rPr>
        <w:drawing>
          <wp:inline distT="0" distB="0" distL="0" distR="0">
            <wp:extent cx="5069386" cy="2644346"/>
            <wp:effectExtent l="19050" t="0" r="0" b="0"/>
            <wp:docPr id="1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screen"/>
                    <a:srcRect l="2258" t="3815" r="4408" b="5222"/>
                    <a:stretch>
                      <a:fillRect/>
                    </a:stretch>
                  </pic:blipFill>
                  <pic:spPr bwMode="auto">
                    <a:xfrm>
                      <a:off x="0" y="0"/>
                      <a:ext cx="5065032" cy="2642075"/>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6</w:t>
      </w:r>
      <w:r>
        <w:t xml:space="preserve">  Turbidity</w:t>
      </w:r>
      <w:proofErr w:type="gramEnd"/>
      <w:r>
        <w:t xml:space="preserve"> at the upstream (GCUS) and downstream (GCDS) sites and water level on Gulungul Creek between December 2010 and July 2011</w:t>
      </w:r>
    </w:p>
    <w:p w:rsidR="00D85FAC" w:rsidRDefault="00D85FAC" w:rsidP="00D85FAC">
      <w:r w:rsidRPr="000834CE">
        <w:lastRenderedPageBreak/>
        <w:t>During early April</w:t>
      </w:r>
      <w:r>
        <w:t>,</w:t>
      </w:r>
      <w:r w:rsidRPr="000834CE">
        <w:t xml:space="preserve"> EC at GCDS remained comparable </w:t>
      </w:r>
      <w:r>
        <w:t>with the upstream site at less than</w:t>
      </w:r>
      <w:r w:rsidRPr="000834CE">
        <w:t xml:space="preserve"> 20</w:t>
      </w:r>
      <w:r>
        <w:t> μS/cm. Turbidity also</w:t>
      </w:r>
      <w:r w:rsidRPr="000834CE">
        <w:t xml:space="preserve"> remained relatively low and stable. A local rainfall event on 23</w:t>
      </w:r>
      <w:r>
        <w:t> </w:t>
      </w:r>
      <w:r w:rsidRPr="000834CE">
        <w:t xml:space="preserve">April caused minor peaks in EC and turbidity at both monitoring sites. </w:t>
      </w:r>
    </w:p>
    <w:p w:rsidR="00D85FAC" w:rsidRDefault="00D85FAC" w:rsidP="00D85FAC">
      <w:proofErr w:type="gramStart"/>
      <w:r w:rsidRPr="000834CE">
        <w:t>Recessional flow</w:t>
      </w:r>
      <w:r>
        <w:t xml:space="preserve"> conditions commenced o</w:t>
      </w:r>
      <w:r w:rsidRPr="000834CE">
        <w:t>n Gulungul Creek in late April.</w:t>
      </w:r>
      <w:proofErr w:type="gramEnd"/>
      <w:r w:rsidRPr="000834CE">
        <w:t xml:space="preserve"> These conditions are typified by a falling hydrograph with EC stabilising and </w:t>
      </w:r>
      <w:r>
        <w:t xml:space="preserve">then </w:t>
      </w:r>
      <w:r w:rsidRPr="000834CE">
        <w:t>rising slowly as groundwater input becomes th</w:t>
      </w:r>
      <w:r>
        <w:t>e dominant source of flow. Monitoring ceased</w:t>
      </w:r>
      <w:r w:rsidRPr="000834CE">
        <w:t xml:space="preserve"> in Gulungul Creek in the week o</w:t>
      </w:r>
      <w:r>
        <w:t>f the 22 June because</w:t>
      </w:r>
      <w:r w:rsidRPr="000834CE">
        <w:t xml:space="preserve"> the sensors </w:t>
      </w:r>
      <w:r>
        <w:t>were exposed</w:t>
      </w:r>
      <w:r w:rsidRPr="000834CE">
        <w:t>.</w:t>
      </w:r>
    </w:p>
    <w:p w:rsidR="00D85FAC" w:rsidRDefault="00D85FAC" w:rsidP="00D85FAC">
      <w:r>
        <w:t>Overall, the water quality measured in Gulungul Creek for the 2010–11 wet season (Figure 7) was comparable with results from previous wet seasons (Frostick et al 2011).</w:t>
      </w:r>
    </w:p>
    <w:p w:rsidR="00D85FAC" w:rsidRPr="00D96505" w:rsidRDefault="00D85FAC" w:rsidP="00D85FAC"/>
    <w:p w:rsidR="00D85FAC" w:rsidRPr="000834CE" w:rsidRDefault="00D85FAC" w:rsidP="00D85FAC">
      <w:pPr>
        <w:jc w:val="center"/>
      </w:pPr>
      <w:r>
        <w:rPr>
          <w:noProof/>
          <w:lang w:eastAsia="en-AU"/>
        </w:rPr>
        <w:drawing>
          <wp:inline distT="0" distB="0" distL="0" distR="0">
            <wp:extent cx="5206109" cy="2631990"/>
            <wp:effectExtent l="0" t="0" r="0"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screen"/>
                    <a:srcRect t="5409" r="4234" b="2478"/>
                    <a:stretch>
                      <a:fillRect/>
                    </a:stretch>
                  </pic:blipFill>
                  <pic:spPr bwMode="auto">
                    <a:xfrm>
                      <a:off x="0" y="0"/>
                      <a:ext cx="5207384" cy="2632635"/>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7</w:t>
      </w:r>
      <w:r>
        <w:t xml:space="preserve">  Electrical</w:t>
      </w:r>
      <w:proofErr w:type="gramEnd"/>
      <w:r>
        <w:t xml:space="preserve"> conductivity measurements at the upstream (GCUS) and downstream (GCDS) sites and discharge (lower trace) on Gulungul Creek between December 2007 and July 2011 (this chart uses 1 hour mean values)</w:t>
      </w:r>
    </w:p>
    <w:p w:rsidR="00D85FAC" w:rsidRDefault="00D85FAC" w:rsidP="00D85FAC">
      <w:pPr>
        <w:pStyle w:val="Heading2"/>
      </w:pPr>
      <w:bookmarkStart w:id="252" w:name="_Toc316985332"/>
      <w:r>
        <w:t>References</w:t>
      </w:r>
      <w:bookmarkEnd w:id="252"/>
    </w:p>
    <w:p w:rsidR="00D85FAC" w:rsidRDefault="00D85FAC" w:rsidP="00D85FAC">
      <w:pPr>
        <w:pStyle w:val="referencelist1"/>
      </w:pPr>
      <w:r>
        <w:t xml:space="preserve">Frostick A, Turner K, Tayler K &amp; Jones D 2011. </w:t>
      </w:r>
      <w:proofErr w:type="gramStart"/>
      <w:r>
        <w:t>Water chemistry monitoring program.</w:t>
      </w:r>
      <w:proofErr w:type="gramEnd"/>
      <w:r>
        <w:t xml:space="preserve"> </w:t>
      </w:r>
      <w:proofErr w:type="gramStart"/>
      <w:r>
        <w:t xml:space="preserve">In </w:t>
      </w:r>
      <w:r w:rsidRPr="00090399">
        <w:rPr>
          <w:b/>
          <w:i/>
          <w:sz w:val="26"/>
          <w:szCs w:val="26"/>
        </w:rPr>
        <w:t>eriss</w:t>
      </w:r>
      <w:r>
        <w:t xml:space="preserve"> </w:t>
      </w:r>
      <w:r w:rsidRPr="00B72AF9">
        <w:rPr>
          <w:i/>
        </w:rPr>
        <w:t>research summary 200</w:t>
      </w:r>
      <w:r>
        <w:rPr>
          <w:i/>
        </w:rPr>
        <w:t>9</w:t>
      </w:r>
      <w:r w:rsidRPr="00B72AF9">
        <w:rPr>
          <w:i/>
        </w:rPr>
        <w:t>–20</w:t>
      </w:r>
      <w:r>
        <w:rPr>
          <w:i/>
        </w:rPr>
        <w:t>1</w:t>
      </w:r>
      <w:r w:rsidRPr="00B72AF9">
        <w:rPr>
          <w:i/>
        </w:rPr>
        <w:t>0</w:t>
      </w:r>
      <w:r>
        <w:t>.</w:t>
      </w:r>
      <w:proofErr w:type="gramEnd"/>
      <w:r>
        <w:t xml:space="preserve"> </w:t>
      </w:r>
      <w:proofErr w:type="gramStart"/>
      <w:r>
        <w:t>eds</w:t>
      </w:r>
      <w:proofErr w:type="gramEnd"/>
      <w:r>
        <w:t xml:space="preserve"> Jones DR &amp; </w:t>
      </w:r>
      <w:r w:rsidRPr="0044788D">
        <w:t>Webb</w:t>
      </w:r>
      <w:r>
        <w:t xml:space="preserve"> A, Supervising Scientist Report 202, Supervising Scientist, Darwin NT, 48–55.</w:t>
      </w:r>
    </w:p>
    <w:p w:rsidR="00D85FAC" w:rsidRPr="00B253BF" w:rsidRDefault="00D85FAC" w:rsidP="00D85FAC"/>
    <w:p w:rsidR="00D85FAC" w:rsidRPr="0035321F" w:rsidRDefault="00D85FAC" w:rsidP="00D85FAC"/>
    <w:p w:rsidR="00D85FAC" w:rsidRDefault="00D85FAC" w:rsidP="00D85FAC">
      <w:pPr>
        <w:pStyle w:val="Heading5"/>
        <w:sectPr w:rsidR="00D85FAC" w:rsidSect="00D85FAC">
          <w:headerReference w:type="default" r:id="rId123"/>
          <w:footnotePr>
            <w:numRestart w:val="eachSect"/>
          </w:footnotePr>
          <w:pgSz w:w="11906" w:h="16838" w:code="9"/>
          <w:pgMar w:top="1440" w:right="1797" w:bottom="1440" w:left="1797" w:header="851" w:footer="833" w:gutter="0"/>
          <w:cols w:space="360"/>
          <w:noEndnote/>
          <w:titlePg/>
        </w:sectPr>
      </w:pPr>
    </w:p>
    <w:p w:rsidR="00D85FAC" w:rsidRDefault="00D85FAC" w:rsidP="00D85FAC">
      <w:pPr>
        <w:pStyle w:val="Heading1"/>
      </w:pPr>
      <w:bookmarkStart w:id="253" w:name="_Toc319670729"/>
      <w:r>
        <w:lastRenderedPageBreak/>
        <w:t>Surface water radiological monitoring in the vicinity of Ranger and Jabiluka</w:t>
      </w:r>
      <w:bookmarkEnd w:id="253"/>
    </w:p>
    <w:p w:rsidR="00D85FAC" w:rsidRPr="008E44C5" w:rsidRDefault="00D85FAC" w:rsidP="00D85FAC">
      <w:pPr>
        <w:pStyle w:val="authors"/>
        <w:spacing w:after="800"/>
      </w:pPr>
      <w:bookmarkStart w:id="254" w:name="_Toc316987232"/>
      <w:bookmarkStart w:id="255" w:name="_Toc319670730"/>
      <w:r>
        <w:t xml:space="preserve">P Medley, F Evans &amp; </w:t>
      </w:r>
      <w:proofErr w:type="gramStart"/>
      <w:r>
        <w:t>A</w:t>
      </w:r>
      <w:proofErr w:type="gramEnd"/>
      <w:r>
        <w:t xml:space="preserve"> Bollhöfer</w:t>
      </w:r>
      <w:bookmarkEnd w:id="254"/>
      <w:bookmarkEnd w:id="255"/>
    </w:p>
    <w:p w:rsidR="00D85FAC" w:rsidRDefault="00D85FAC" w:rsidP="00D85FAC">
      <w:pPr>
        <w:pStyle w:val="Heading2"/>
      </w:pPr>
      <w:bookmarkStart w:id="256" w:name="_Toc282084590"/>
      <w:bookmarkStart w:id="257" w:name="_Toc313523489"/>
      <w:bookmarkStart w:id="258" w:name="_Toc316985334"/>
      <w:bookmarkStart w:id="259" w:name="_Toc223950979"/>
      <w:r>
        <w:t>Introduction</w:t>
      </w:r>
      <w:bookmarkEnd w:id="256"/>
      <w:bookmarkEnd w:id="257"/>
      <w:bookmarkEnd w:id="258"/>
    </w:p>
    <w:bookmarkEnd w:id="259"/>
    <w:p w:rsidR="00D85FAC" w:rsidRDefault="00D85FAC" w:rsidP="00D85FAC">
      <w:r>
        <w:t>Surface water samples in the vicinity of the Ranger project area are routinely collected and measured for their radium-226 (</w:t>
      </w:r>
      <w:r>
        <w:rPr>
          <w:snapToGrid w:val="0"/>
          <w:color w:val="000000"/>
          <w:position w:val="6"/>
          <w:sz w:val="16"/>
          <w:szCs w:val="0"/>
          <w:u w:color="000000"/>
        </w:rPr>
        <w:t>226</w:t>
      </w:r>
      <w:r>
        <w:t xml:space="preserve">Ra) activity concentrations to check for any significant increase in </w:t>
      </w:r>
      <w:r>
        <w:rPr>
          <w:snapToGrid w:val="0"/>
          <w:color w:val="000000"/>
          <w:position w:val="6"/>
          <w:sz w:val="16"/>
          <w:szCs w:val="0"/>
          <w:u w:color="000000"/>
        </w:rPr>
        <w:t>226</w:t>
      </w:r>
      <w:r>
        <w:t xml:space="preserve">Ra levels downstream of the impacted areas. This is due to the potential risk of increased exposure to radiation via the biophysical pathway due to mining activities. </w:t>
      </w:r>
      <w:proofErr w:type="gramStart"/>
      <w:r>
        <w:t xml:space="preserve">Mussels, in particular, bioaccumulate </w:t>
      </w:r>
      <w:r>
        <w:rPr>
          <w:snapToGrid w:val="0"/>
          <w:color w:val="000000"/>
          <w:position w:val="6"/>
          <w:sz w:val="16"/>
          <w:szCs w:val="0"/>
          <w:u w:color="000000"/>
        </w:rPr>
        <w:t>226</w:t>
      </w:r>
      <w:r>
        <w:t>Ra, which may then be incorporated into the human body upon consumption (Martin et al 1998, Bollhöfer et al 2011).</w:t>
      </w:r>
      <w:proofErr w:type="gramEnd"/>
      <w:r>
        <w:t xml:space="preserve"> Water samples are collected weekly in Magela Creek (Ranger) from both upstream and downstream sites. Samples are not collected during periods of no contiguous surface water flow (ie during the dry season). Water samples have also been collected monthly from the Ngarradj Creek (Jabiluka) downstream site, but sampling has now ceased with the last samples collected in the 2008–09 wet season. Jabiluka has been in long-term care and maintenance since 2003 and sufficient baseline data have been accrued. </w:t>
      </w:r>
    </w:p>
    <w:p w:rsidR="00D85FAC" w:rsidRDefault="00D85FAC" w:rsidP="00D85FAC">
      <w:r>
        <w:t xml:space="preserve">Measuring the activity concentrations of </w:t>
      </w:r>
      <w:r>
        <w:rPr>
          <w:position w:val="5"/>
          <w:sz w:val="15"/>
        </w:rPr>
        <w:t>226</w:t>
      </w:r>
      <w:r>
        <w:t xml:space="preserve">Ra does not by itself identify the source of radium in the environment. However, the activity concentration ratio of </w:t>
      </w:r>
      <w:r>
        <w:rPr>
          <w:position w:val="5"/>
          <w:sz w:val="15"/>
        </w:rPr>
        <w:t>226</w:t>
      </w:r>
      <w:r>
        <w:t xml:space="preserve">Ra and </w:t>
      </w:r>
      <w:r>
        <w:rPr>
          <w:position w:val="5"/>
          <w:sz w:val="15"/>
        </w:rPr>
        <w:t>228</w:t>
      </w:r>
      <w:r>
        <w:t xml:space="preserve">Ra can potentially be used as a signature to pinpoint the source of radium (Bollhöfer &amp; Martin 2003, Medley et al 2011). This is the case since </w:t>
      </w:r>
      <w:r>
        <w:rPr>
          <w:snapToGrid w:val="0"/>
          <w:color w:val="000000"/>
          <w:position w:val="5"/>
          <w:sz w:val="15"/>
          <w:szCs w:val="0"/>
          <w:u w:color="000000"/>
        </w:rPr>
        <w:t>226</w:t>
      </w:r>
      <w:r>
        <w:t xml:space="preserve">Ra is a member of the </w:t>
      </w:r>
      <w:r>
        <w:rPr>
          <w:snapToGrid w:val="0"/>
          <w:color w:val="000000"/>
          <w:position w:val="5"/>
          <w:sz w:val="15"/>
          <w:szCs w:val="0"/>
          <w:u w:color="000000"/>
        </w:rPr>
        <w:t>238</w:t>
      </w:r>
      <w:r>
        <w:t xml:space="preserve">U decay series while </w:t>
      </w:r>
      <w:r>
        <w:rPr>
          <w:position w:val="5"/>
          <w:sz w:val="15"/>
        </w:rPr>
        <w:t>228</w:t>
      </w:r>
      <w:r>
        <w:t>Ra comes from the decay of thorium-232 (</w:t>
      </w:r>
      <w:r>
        <w:rPr>
          <w:position w:val="5"/>
          <w:sz w:val="15"/>
        </w:rPr>
        <w:t>232</w:t>
      </w:r>
      <w:r>
        <w:t xml:space="preserve">Th). Consequently, increases in the </w:t>
      </w:r>
      <w:r>
        <w:rPr>
          <w:position w:val="5"/>
          <w:sz w:val="15"/>
        </w:rPr>
        <w:t>226</w:t>
      </w:r>
      <w:r>
        <w:t>Ra/</w:t>
      </w:r>
      <w:r>
        <w:rPr>
          <w:position w:val="5"/>
          <w:sz w:val="15"/>
        </w:rPr>
        <w:t>228</w:t>
      </w:r>
      <w:r>
        <w:t>Ra activity concentration ratios could imply that relatively more radium is derived from a uraniferous (uranium rich) source, such as a uranium mine or ore body, although differences</w:t>
      </w:r>
      <w:r w:rsidRPr="00A461FD">
        <w:t xml:space="preserve"> </w:t>
      </w:r>
      <w:r>
        <w:t xml:space="preserve">in this ratio also exist between clays and natural sands, with sands exhibiting relatively low </w:t>
      </w:r>
      <w:r>
        <w:rPr>
          <w:position w:val="5"/>
          <w:sz w:val="15"/>
        </w:rPr>
        <w:t>226</w:t>
      </w:r>
      <w:r>
        <w:t>Ra/</w:t>
      </w:r>
      <w:r>
        <w:rPr>
          <w:position w:val="5"/>
          <w:sz w:val="15"/>
        </w:rPr>
        <w:t>228</w:t>
      </w:r>
      <w:r>
        <w:t xml:space="preserve">Ra activity concentration ratios (Bollhöfer &amp; Martin 2003). </w:t>
      </w:r>
    </w:p>
    <w:p w:rsidR="00D85FAC" w:rsidRDefault="00D85FAC" w:rsidP="00D85FAC">
      <w:r>
        <w:t xml:space="preserve">The differences in </w:t>
      </w:r>
      <w:r>
        <w:rPr>
          <w:position w:val="5"/>
          <w:sz w:val="15"/>
        </w:rPr>
        <w:t>226</w:t>
      </w:r>
      <w:r>
        <w:t>Ra/</w:t>
      </w:r>
      <w:r>
        <w:rPr>
          <w:position w:val="5"/>
          <w:sz w:val="15"/>
        </w:rPr>
        <w:t>228</w:t>
      </w:r>
      <w:r>
        <w:t xml:space="preserve">Ra activity concentration ratios between upstream and downstream sites in Magela Ck can potentially also be used to indicate the proportion of </w:t>
      </w:r>
      <w:r>
        <w:rPr>
          <w:position w:val="5"/>
          <w:sz w:val="15"/>
        </w:rPr>
        <w:t>226</w:t>
      </w:r>
      <w:r>
        <w:t xml:space="preserve">Ra at the downstream site that is coming from the Ranger mine. This will be especially important in the event that elevated downstream levels are detected. Some results from </w:t>
      </w:r>
      <w:r>
        <w:rPr>
          <w:position w:val="5"/>
          <w:sz w:val="15"/>
        </w:rPr>
        <w:t>228</w:t>
      </w:r>
      <w:r>
        <w:t xml:space="preserve">Ra determination in Magela Creek samples collected during March to July 2007, including </w:t>
      </w:r>
      <w:r>
        <w:rPr>
          <w:position w:val="5"/>
          <w:sz w:val="15"/>
        </w:rPr>
        <w:t>226</w:t>
      </w:r>
      <w:r>
        <w:t>Ra/</w:t>
      </w:r>
      <w:r>
        <w:rPr>
          <w:position w:val="5"/>
          <w:sz w:val="15"/>
        </w:rPr>
        <w:t>228</w:t>
      </w:r>
      <w:r>
        <w:t>Ra activity concentration ratios, are presented here. Further analysis is being undertaken on remaining samples.</w:t>
      </w:r>
    </w:p>
    <w:p w:rsidR="00D85FAC" w:rsidRDefault="00D85FAC" w:rsidP="00D85FAC">
      <w:pPr>
        <w:pStyle w:val="Heading2"/>
      </w:pPr>
      <w:bookmarkStart w:id="260" w:name="_Toc313523490"/>
      <w:bookmarkStart w:id="261" w:name="_Toc316985335"/>
      <w:r>
        <w:t>Methods</w:t>
      </w:r>
      <w:bookmarkEnd w:id="260"/>
      <w:bookmarkEnd w:id="261"/>
    </w:p>
    <w:p w:rsidR="00D85FAC" w:rsidRDefault="00D85FAC" w:rsidP="00D85FAC">
      <w:bookmarkStart w:id="262" w:name="_Toc282084591"/>
      <w:r>
        <w:t xml:space="preserve">Prior to the 2006–07 wet </w:t>
      </w:r>
      <w:proofErr w:type="gramStart"/>
      <w:r>
        <w:t>season</w:t>
      </w:r>
      <w:proofErr w:type="gramEnd"/>
      <w:r>
        <w:t xml:space="preserve">, weekly samples obtained from Magela Creek were combined to provide monthly averages. From the 2006–2007 wet season to the 2009–2010, wet season the weekly samples collected from Magela Creek have been increased in size from 1 L to 5 L. This was done to improve the detection capability and to enable higher precision in measurement of </w:t>
      </w:r>
      <w:r>
        <w:rPr>
          <w:position w:val="5"/>
          <w:sz w:val="15"/>
        </w:rPr>
        <w:t>228</w:t>
      </w:r>
      <w:r>
        <w:t xml:space="preserve">Ra on four combined weekly samples (20L) giving a monthly average. </w:t>
      </w:r>
      <w:smartTag w:uri="urn:schemas-microsoft-com:office:smarttags" w:element="State">
        <w:smartTag w:uri="urn:schemas-microsoft-com:office:smarttags" w:element="place">
          <w:r>
            <w:t>Col</w:t>
          </w:r>
        </w:smartTag>
      </w:smartTag>
      <w:r>
        <w:t xml:space="preserve">lection of the higher volume samples was discontinued for the 2010–2011 wet season and 1 L samples were collected fortnightly from Magela Creek and combined to provide the </w:t>
      </w:r>
      <w:smartTag w:uri="urn:schemas-microsoft-com:office:smarttags" w:element="State">
        <w:smartTag w:uri="urn:schemas-microsoft-com:office:smarttags" w:element="place">
          <w:r>
            <w:t>mont</w:t>
          </w:r>
        </w:smartTag>
      </w:smartTag>
      <w:r>
        <w:t xml:space="preserve">hly averages. The 4 year collection period from the 2006–2007 wet </w:t>
      </w:r>
      <w:proofErr w:type="gramStart"/>
      <w:r>
        <w:t>season</w:t>
      </w:r>
      <w:proofErr w:type="gramEnd"/>
      <w:r>
        <w:t xml:space="preserve"> to the 2009–</w:t>
      </w:r>
      <w:r>
        <w:lastRenderedPageBreak/>
        <w:t xml:space="preserve">2010 wet season is considered sufficient to produce a baseline dataset for </w:t>
      </w:r>
      <w:r>
        <w:rPr>
          <w:position w:val="5"/>
          <w:sz w:val="15"/>
        </w:rPr>
        <w:t>228</w:t>
      </w:r>
      <w:r>
        <w:t xml:space="preserve">Ra in Magela Creek and to determine the usefulness of the </w:t>
      </w:r>
      <w:r>
        <w:rPr>
          <w:position w:val="5"/>
          <w:sz w:val="15"/>
        </w:rPr>
        <w:t>226</w:t>
      </w:r>
      <w:r>
        <w:t>Ra/</w:t>
      </w:r>
      <w:r>
        <w:rPr>
          <w:position w:val="5"/>
          <w:sz w:val="15"/>
        </w:rPr>
        <w:t>228</w:t>
      </w:r>
      <w:r>
        <w:t>Ra activity concentration ratios as a signature to pinpoint sources of radium in Magela Creek.</w:t>
      </w:r>
    </w:p>
    <w:p w:rsidR="00D85FAC" w:rsidRDefault="00D85FAC" w:rsidP="00D85FAC">
      <w:r>
        <w:t xml:space="preserve">Since 2011, radium analyses of composites from samples collected by autosampler during EC-triggered events have also been included in the radium analysis. The higher radium concentrations seen in Figure 1 are a consequence of the new automated sampling method which allows </w:t>
      </w:r>
      <w:proofErr w:type="gramStart"/>
      <w:r>
        <w:t>the  capture</w:t>
      </w:r>
      <w:proofErr w:type="gramEnd"/>
      <w:r>
        <w:t xml:space="preserve"> of  specific EC events.</w:t>
      </w:r>
      <w:r w:rsidRPr="009D64FC">
        <w:t xml:space="preserve"> </w:t>
      </w:r>
      <w:r>
        <w:t xml:space="preserve">These events are short-lived and their impact on seasonal </w:t>
      </w:r>
      <w:r>
        <w:rPr>
          <w:vertAlign w:val="superscript"/>
        </w:rPr>
        <w:t>226</w:t>
      </w:r>
      <w:r>
        <w:t>Ra loads is likely to be small. C</w:t>
      </w:r>
      <w:r w:rsidRPr="004F2BAC">
        <w:t xml:space="preserve">omposite samples from </w:t>
      </w:r>
      <w:r>
        <w:t>MCDW</w:t>
      </w:r>
      <w:r w:rsidRPr="004F2BAC">
        <w:t xml:space="preserve"> were collected </w:t>
      </w:r>
      <w:r>
        <w:t xml:space="preserve">by autosampler </w:t>
      </w:r>
      <w:r w:rsidRPr="004F2BAC">
        <w:t>during EC</w:t>
      </w:r>
      <w:r>
        <w:t xml:space="preserve">-triggered </w:t>
      </w:r>
      <w:r w:rsidRPr="004F2BAC">
        <w:t>events on</w:t>
      </w:r>
      <w:r>
        <w:t xml:space="preserve"> 10 and 15 April 2010, and on</w:t>
      </w:r>
      <w:r w:rsidRPr="004F2BAC">
        <w:t xml:space="preserve"> 15</w:t>
      </w:r>
      <w:r>
        <w:t>–</w:t>
      </w:r>
      <w:r w:rsidRPr="004F2BAC">
        <w:t>16 January</w:t>
      </w:r>
      <w:r>
        <w:t xml:space="preserve">, </w:t>
      </w:r>
      <w:r w:rsidRPr="004F2BAC">
        <w:t>14 and 22 February 2011.</w:t>
      </w:r>
      <w:r>
        <w:t xml:space="preserve"> </w:t>
      </w:r>
    </w:p>
    <w:p w:rsidR="00D85FAC" w:rsidRDefault="00D85FAC" w:rsidP="00D85FAC">
      <w:r>
        <w:t xml:space="preserve">Samples are analysed for total </w:t>
      </w:r>
      <w:r>
        <w:rPr>
          <w:snapToGrid w:val="0"/>
          <w:color w:val="000000"/>
          <w:position w:val="6"/>
          <w:sz w:val="16"/>
          <w:szCs w:val="0"/>
          <w:u w:color="000000"/>
        </w:rPr>
        <w:t>226</w:t>
      </w:r>
      <w:r>
        <w:t>Ra (</w:t>
      </w:r>
      <w:r>
        <w:rPr>
          <w:iCs/>
        </w:rPr>
        <w:t>ie</w:t>
      </w:r>
      <w:r>
        <w:t xml:space="preserve"> dissolved plus particulate phase) via alpha spectrometry in the </w:t>
      </w:r>
      <w:r>
        <w:rPr>
          <w:b/>
          <w:bCs/>
          <w:i/>
          <w:iCs/>
          <w:sz w:val="26"/>
        </w:rPr>
        <w:t>eriss</w:t>
      </w:r>
      <w:r>
        <w:rPr>
          <w:b/>
          <w:bCs/>
          <w:i/>
          <w:iCs/>
        </w:rPr>
        <w:t xml:space="preserve"> </w:t>
      </w:r>
      <w:r>
        <w:t xml:space="preserve">environmental radioactivity laboratory using a method described in Medley </w:t>
      </w:r>
      <w:r>
        <w:rPr>
          <w:iCs/>
        </w:rPr>
        <w:t>et al</w:t>
      </w:r>
      <w:r>
        <w:t xml:space="preserve"> (2005). Alpha spectrometry is also used for </w:t>
      </w:r>
      <w:r>
        <w:rPr>
          <w:position w:val="5"/>
          <w:sz w:val="15"/>
        </w:rPr>
        <w:t>228</w:t>
      </w:r>
      <w:r>
        <w:t xml:space="preserve">Ra determination after allowing for ingrowth of the </w:t>
      </w:r>
      <w:r>
        <w:rPr>
          <w:position w:val="5"/>
          <w:sz w:val="15"/>
        </w:rPr>
        <w:t>228</w:t>
      </w:r>
      <w:r>
        <w:t xml:space="preserve">Th daughter (Medley 2010). In low-level samples it can take several years for sufficient </w:t>
      </w:r>
      <w:r>
        <w:rPr>
          <w:position w:val="5"/>
          <w:sz w:val="15"/>
        </w:rPr>
        <w:t>228</w:t>
      </w:r>
      <w:r>
        <w:t xml:space="preserve">Th activity to accumulate for a reliable determination of </w:t>
      </w:r>
      <w:r>
        <w:rPr>
          <w:snapToGrid w:val="0"/>
          <w:color w:val="000000"/>
          <w:position w:val="5"/>
          <w:sz w:val="15"/>
          <w:szCs w:val="0"/>
          <w:u w:color="000000"/>
        </w:rPr>
        <w:t>228</w:t>
      </w:r>
      <w:r>
        <w:t xml:space="preserve">Ra activity concentration. However, </w:t>
      </w:r>
      <w:r>
        <w:rPr>
          <w:position w:val="5"/>
          <w:sz w:val="15"/>
        </w:rPr>
        <w:t>228</w:t>
      </w:r>
      <w:r>
        <w:t xml:space="preserve">Ra activity concentrations can be determined retrospectively in all samples prepared for analysis for </w:t>
      </w:r>
      <w:r>
        <w:rPr>
          <w:position w:val="5"/>
          <w:sz w:val="15"/>
        </w:rPr>
        <w:t>226</w:t>
      </w:r>
      <w:r>
        <w:t xml:space="preserve">Ra. </w:t>
      </w:r>
    </w:p>
    <w:p w:rsidR="00D85FAC" w:rsidRDefault="00D85FAC" w:rsidP="00D85FAC">
      <w:pPr>
        <w:spacing w:after="0"/>
      </w:pPr>
    </w:p>
    <w:bookmarkEnd w:id="262"/>
    <w:p w:rsidR="00D85FAC" w:rsidRDefault="00D85FAC" w:rsidP="00D85FAC">
      <w:r w:rsidRPr="009747BD">
        <w:rPr>
          <w:noProof/>
          <w:lang w:eastAsia="en-AU"/>
        </w:rPr>
        <w:drawing>
          <wp:inline distT="0" distB="0" distL="0" distR="0">
            <wp:extent cx="5274310" cy="3223875"/>
            <wp:effectExtent l="19050" t="0" r="254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screen"/>
                    <a:srcRect/>
                    <a:stretch>
                      <a:fillRect/>
                    </a:stretch>
                  </pic:blipFill>
                  <pic:spPr bwMode="auto">
                    <a:xfrm>
                      <a:off x="0" y="0"/>
                      <a:ext cx="5274310" cy="3223875"/>
                    </a:xfrm>
                    <a:prstGeom prst="rect">
                      <a:avLst/>
                    </a:prstGeom>
                    <a:noFill/>
                    <a:ln w="9525">
                      <a:noFill/>
                      <a:miter lim="800000"/>
                      <a:headEnd/>
                      <a:tailEnd/>
                    </a:ln>
                  </pic:spPr>
                </pic:pic>
              </a:graphicData>
            </a:graphic>
          </wp:inline>
        </w:drawing>
      </w:r>
    </w:p>
    <w:p w:rsidR="00D85FAC" w:rsidRDefault="00D85FAC" w:rsidP="00D85FAC">
      <w:pPr>
        <w:pStyle w:val="figurecaption"/>
      </w:pPr>
      <w:r>
        <w:rPr>
          <w:b/>
        </w:rPr>
        <w:t xml:space="preserve">Figure </w:t>
      </w:r>
      <w:proofErr w:type="gramStart"/>
      <w:r>
        <w:rPr>
          <w:b/>
        </w:rPr>
        <w:t xml:space="preserve">1 </w:t>
      </w:r>
      <w:r>
        <w:t xml:space="preserve"> Total</w:t>
      </w:r>
      <w:proofErr w:type="gramEnd"/>
      <w:r>
        <w:t xml:space="preserve"> Radium-226 in Magela Creek for the 2001–2011 wet seasons</w:t>
      </w:r>
    </w:p>
    <w:p w:rsidR="00D85FAC" w:rsidRDefault="00D85FAC" w:rsidP="00D85FAC">
      <w:pPr>
        <w:pStyle w:val="Heading2"/>
      </w:pPr>
      <w:bookmarkStart w:id="263" w:name="_Toc313523491"/>
      <w:bookmarkStart w:id="264" w:name="_Toc316985336"/>
      <w:r>
        <w:t>Results</w:t>
      </w:r>
      <w:bookmarkEnd w:id="263"/>
      <w:bookmarkEnd w:id="264"/>
    </w:p>
    <w:p w:rsidR="00D85FAC" w:rsidRPr="00A920C5" w:rsidRDefault="00D85FAC" w:rsidP="00D85FAC">
      <w:pPr>
        <w:rPr>
          <w:spacing w:val="-2"/>
          <w:lang w:eastAsia="en-AU"/>
        </w:rPr>
      </w:pPr>
      <w:r w:rsidRPr="00A920C5">
        <w:rPr>
          <w:spacing w:val="-2"/>
        </w:rPr>
        <w:t xml:space="preserve">The </w:t>
      </w:r>
      <w:r w:rsidRPr="00A920C5">
        <w:rPr>
          <w:spacing w:val="-2"/>
          <w:vertAlign w:val="superscript"/>
        </w:rPr>
        <w:t>226</w:t>
      </w:r>
      <w:r w:rsidRPr="00A920C5">
        <w:rPr>
          <w:spacing w:val="-2"/>
        </w:rPr>
        <w:t xml:space="preserve">Ra activity concentration data in Magela Creek for the 2009–10 wet </w:t>
      </w:r>
      <w:proofErr w:type="gramStart"/>
      <w:r w:rsidRPr="00A920C5">
        <w:rPr>
          <w:spacing w:val="-2"/>
        </w:rPr>
        <w:t>season</w:t>
      </w:r>
      <w:proofErr w:type="gramEnd"/>
      <w:r w:rsidRPr="00A920C5">
        <w:rPr>
          <w:spacing w:val="-2"/>
        </w:rPr>
        <w:t xml:space="preserve"> are compared with the previous wet seasons in Figure 1. In addition the w</w:t>
      </w:r>
      <w:r w:rsidRPr="00A920C5">
        <w:rPr>
          <w:spacing w:val="-2"/>
          <w:lang w:eastAsia="en-AU"/>
        </w:rPr>
        <w:t xml:space="preserve">et season median values for each location and the wet season median differences between locations are reported in Table 1. </w:t>
      </w:r>
    </w:p>
    <w:p w:rsidR="00D85FAC" w:rsidRDefault="00D85FAC" w:rsidP="00D85FAC">
      <w:pPr>
        <w:rPr>
          <w:color w:val="000000"/>
        </w:rPr>
      </w:pPr>
      <w:r>
        <w:t>Each wet season, the difference value</w:t>
      </w:r>
      <w:r>
        <w:rPr>
          <w:color w:val="000000"/>
        </w:rPr>
        <w:t xml:space="preserve"> is calculated by subtracting the downstream median from the upstream median. This difference is called the wet season median difference (shown by the solid black lines in Figure 1) and should not be more than the limit </w:t>
      </w:r>
      <w:proofErr w:type="gramStart"/>
      <w:r>
        <w:rPr>
          <w:color w:val="000000"/>
        </w:rPr>
        <w:t>of 10 mBq/L.</w:t>
      </w:r>
      <w:proofErr w:type="gramEnd"/>
      <w:r>
        <w:rPr>
          <w:color w:val="000000"/>
        </w:rPr>
        <w:t xml:space="preserve"> This limit has been defined for the purpose of human radiological protection</w:t>
      </w:r>
      <w:r>
        <w:t xml:space="preserve"> (Klessa 2001) and was inferred from the potential dose received from the ingestion of </w:t>
      </w:r>
      <w:r>
        <w:rPr>
          <w:snapToGrid w:val="0"/>
          <w:color w:val="000000"/>
          <w:position w:val="6"/>
          <w:sz w:val="16"/>
          <w:szCs w:val="0"/>
          <w:u w:color="000000"/>
        </w:rPr>
        <w:t>226</w:t>
      </w:r>
      <w:r>
        <w:t xml:space="preserve">Ra in the freshwater </w:t>
      </w:r>
      <w:r>
        <w:lastRenderedPageBreak/>
        <w:t xml:space="preserve">mussel </w:t>
      </w:r>
      <w:r>
        <w:rPr>
          <w:i/>
        </w:rPr>
        <w:t>Velesunio angasi</w:t>
      </w:r>
      <w:r>
        <w:t xml:space="preserve">, taking into account the uptake factor for radium from the water column (Martin </w:t>
      </w:r>
      <w:r>
        <w:rPr>
          <w:iCs/>
        </w:rPr>
        <w:t>et al</w:t>
      </w:r>
      <w:r>
        <w:rPr>
          <w:i/>
          <w:iCs/>
        </w:rPr>
        <w:t xml:space="preserve"> </w:t>
      </w:r>
      <w:r>
        <w:t xml:space="preserve">1998). </w:t>
      </w:r>
    </w:p>
    <w:p w:rsidR="00D85FAC" w:rsidRPr="00AD33B8" w:rsidRDefault="00D85FAC" w:rsidP="00D85FAC">
      <w:pPr>
        <w:rPr>
          <w:lang w:eastAsia="en-AU"/>
        </w:rPr>
      </w:pPr>
      <w:r>
        <w:t xml:space="preserve">The data for Magela Creek show that not only are the levels of </w:t>
      </w:r>
      <w:r>
        <w:rPr>
          <w:snapToGrid w:val="0"/>
          <w:position w:val="6"/>
          <w:sz w:val="16"/>
          <w:szCs w:val="0"/>
          <w:u w:color="000000"/>
        </w:rPr>
        <w:t>226</w:t>
      </w:r>
      <w:r>
        <w:t xml:space="preserve">Ra very low, both upstream as well as downstream of the Ranger mine, but there is also no statistically significant difference between average </w:t>
      </w:r>
      <w:r>
        <w:rPr>
          <w:vertAlign w:val="superscript"/>
        </w:rPr>
        <w:t>226</w:t>
      </w:r>
      <w:r>
        <w:t xml:space="preserve">Ra activity concentrations at the upstream and downstream sites in the 2010–11 wet season (two sample t-test; </w:t>
      </w:r>
      <w:r w:rsidRPr="004C4F5F">
        <w:t>p = 0.</w:t>
      </w:r>
      <w:r>
        <w:t>42</w:t>
      </w:r>
      <w:r w:rsidRPr="004C4F5F">
        <w:t>).</w:t>
      </w:r>
      <w:r>
        <w:t xml:space="preserve"> In addition, ANOVA (using a </w:t>
      </w:r>
      <w:r w:rsidRPr="00AD33B8">
        <w:t xml:space="preserve">general linear model) was performed on the measured upstream-downstream </w:t>
      </w:r>
      <w:r w:rsidRPr="00AD33B8">
        <w:rPr>
          <w:vertAlign w:val="superscript"/>
        </w:rPr>
        <w:t>226</w:t>
      </w:r>
      <w:r w:rsidRPr="00AD33B8">
        <w:t>Ra activity concentrations over the past 10 wet seasons. The analysis shows that there is no statistically significant difference between individual wet seasons (p = 0.19), between the 2010</w:t>
      </w:r>
      <w:r>
        <w:t>–</w:t>
      </w:r>
      <w:r w:rsidRPr="00AD33B8">
        <w:t>2011 wet season and the previous years (p = 0.15) and between sites (p = 0.68), respectively.</w:t>
      </w:r>
    </w:p>
    <w:p w:rsidR="00D85FAC" w:rsidRPr="00AD33B8" w:rsidRDefault="00D85FAC" w:rsidP="00D85FAC">
      <w:pPr>
        <w:pStyle w:val="tablecaption"/>
      </w:pPr>
      <w:r w:rsidRPr="00AD33B8">
        <w:rPr>
          <w:b/>
        </w:rPr>
        <w:t xml:space="preserve">Table </w:t>
      </w:r>
      <w:proofErr w:type="gramStart"/>
      <w:r w:rsidRPr="00AD33B8">
        <w:rPr>
          <w:b/>
        </w:rPr>
        <w:t>1</w:t>
      </w:r>
      <w:r w:rsidRPr="00AD33B8">
        <w:t xml:space="preserve">  Median</w:t>
      </w:r>
      <w:proofErr w:type="gramEnd"/>
      <w:r w:rsidRPr="00AD33B8">
        <w:t xml:space="preserve"> and standard deviations of the </w:t>
      </w:r>
      <w:r w:rsidRPr="00AD33B8">
        <w:rPr>
          <w:vertAlign w:val="superscript"/>
        </w:rPr>
        <w:t>226</w:t>
      </w:r>
      <w:r w:rsidRPr="00AD33B8">
        <w:t xml:space="preserve">Ra activity concentration in Magela Creek (mBq/L) </w:t>
      </w:r>
      <w:r>
        <w:br/>
      </w:r>
      <w:r w:rsidRPr="00AD33B8">
        <w:t>for individual wet seasons (2001–11)</w:t>
      </w:r>
    </w:p>
    <w:tbl>
      <w:tblPr>
        <w:tblW w:w="6379" w:type="dxa"/>
        <w:tblLook w:val="0000"/>
      </w:tblPr>
      <w:tblGrid>
        <w:gridCol w:w="1616"/>
        <w:gridCol w:w="1503"/>
        <w:gridCol w:w="1417"/>
        <w:gridCol w:w="1843"/>
      </w:tblGrid>
      <w:tr w:rsidR="00D85FAC" w:rsidTr="00D85FAC">
        <w:trPr>
          <w:trHeight w:val="359"/>
        </w:trPr>
        <w:tc>
          <w:tcPr>
            <w:tcW w:w="1616" w:type="dxa"/>
            <w:vMerge w:val="restart"/>
            <w:tcBorders>
              <w:top w:val="single" w:sz="4" w:space="0" w:color="auto"/>
              <w:left w:val="nil"/>
              <w:right w:val="nil"/>
            </w:tcBorders>
            <w:shd w:val="clear" w:color="auto" w:fill="auto"/>
            <w:noWrap/>
          </w:tcPr>
          <w:p w:rsidR="00D85FAC" w:rsidRPr="00AD33B8" w:rsidRDefault="00D85FAC" w:rsidP="00D85FAC">
            <w:pPr>
              <w:pStyle w:val="table1"/>
              <w:jc w:val="center"/>
              <w:rPr>
                <w:b/>
                <w:lang w:eastAsia="en-AU"/>
              </w:rPr>
            </w:pPr>
            <w:r w:rsidRPr="00AD33B8">
              <w:rPr>
                <w:b/>
                <w:lang w:eastAsia="en-AU"/>
              </w:rPr>
              <w:t>Wet season</w:t>
            </w:r>
          </w:p>
        </w:tc>
        <w:tc>
          <w:tcPr>
            <w:tcW w:w="2920" w:type="dxa"/>
            <w:gridSpan w:val="2"/>
            <w:tcBorders>
              <w:top w:val="single" w:sz="4" w:space="0" w:color="auto"/>
              <w:left w:val="nil"/>
              <w:bottom w:val="single" w:sz="4" w:space="0" w:color="auto"/>
              <w:right w:val="nil"/>
            </w:tcBorders>
            <w:shd w:val="clear" w:color="auto" w:fill="auto"/>
            <w:noWrap/>
          </w:tcPr>
          <w:p w:rsidR="00D85FAC" w:rsidRPr="00AD33B8" w:rsidRDefault="00D85FAC" w:rsidP="00D85FAC">
            <w:pPr>
              <w:pStyle w:val="table1"/>
              <w:jc w:val="center"/>
              <w:rPr>
                <w:b/>
                <w:lang w:eastAsia="en-AU"/>
              </w:rPr>
            </w:pPr>
            <w:r w:rsidRPr="00AD33B8">
              <w:rPr>
                <w:b/>
                <w:lang w:eastAsia="en-AU"/>
              </w:rPr>
              <w:t>Median and standard deviation</w:t>
            </w:r>
          </w:p>
        </w:tc>
        <w:tc>
          <w:tcPr>
            <w:tcW w:w="1843" w:type="dxa"/>
            <w:vMerge w:val="restart"/>
            <w:tcBorders>
              <w:top w:val="single" w:sz="4" w:space="0" w:color="auto"/>
              <w:left w:val="nil"/>
              <w:right w:val="nil"/>
            </w:tcBorders>
            <w:shd w:val="clear" w:color="auto" w:fill="auto"/>
          </w:tcPr>
          <w:p w:rsidR="00D85FAC" w:rsidRDefault="00D85FAC" w:rsidP="00D85FAC">
            <w:pPr>
              <w:pStyle w:val="table1"/>
              <w:jc w:val="center"/>
              <w:rPr>
                <w:b/>
                <w:lang w:eastAsia="en-AU"/>
              </w:rPr>
            </w:pPr>
            <w:r w:rsidRPr="00AD33B8">
              <w:rPr>
                <w:b/>
                <w:lang w:eastAsia="en-AU"/>
              </w:rPr>
              <w:t>Median difference</w:t>
            </w:r>
          </w:p>
        </w:tc>
      </w:tr>
      <w:tr w:rsidR="00D85FAC" w:rsidTr="00D85FAC">
        <w:trPr>
          <w:trHeight w:val="235"/>
        </w:trPr>
        <w:tc>
          <w:tcPr>
            <w:tcW w:w="1616" w:type="dxa"/>
            <w:vMerge/>
            <w:tcBorders>
              <w:left w:val="nil"/>
              <w:bottom w:val="single" w:sz="4" w:space="0" w:color="auto"/>
              <w:right w:val="nil"/>
            </w:tcBorders>
            <w:shd w:val="clear" w:color="auto" w:fill="auto"/>
          </w:tcPr>
          <w:p w:rsidR="00D85FAC" w:rsidRDefault="00D85FAC" w:rsidP="00D85FAC">
            <w:pPr>
              <w:pStyle w:val="table1"/>
              <w:jc w:val="center"/>
              <w:rPr>
                <w:b/>
                <w:lang w:eastAsia="en-AU"/>
              </w:rPr>
            </w:pPr>
          </w:p>
        </w:tc>
        <w:tc>
          <w:tcPr>
            <w:tcW w:w="1503" w:type="dxa"/>
            <w:tcBorders>
              <w:top w:val="single" w:sz="4" w:space="0" w:color="auto"/>
              <w:left w:val="nil"/>
              <w:bottom w:val="single" w:sz="4" w:space="0" w:color="auto"/>
              <w:right w:val="nil"/>
            </w:tcBorders>
            <w:shd w:val="clear" w:color="auto" w:fill="auto"/>
          </w:tcPr>
          <w:p w:rsidR="00D85FAC" w:rsidRDefault="00D85FAC" w:rsidP="00D85FAC">
            <w:pPr>
              <w:pStyle w:val="table1"/>
              <w:jc w:val="center"/>
              <w:rPr>
                <w:b/>
                <w:lang w:eastAsia="en-AU"/>
              </w:rPr>
            </w:pPr>
            <w:r>
              <w:rPr>
                <w:b/>
                <w:lang w:eastAsia="en-AU"/>
              </w:rPr>
              <w:t>Upstream</w:t>
            </w:r>
          </w:p>
        </w:tc>
        <w:tc>
          <w:tcPr>
            <w:tcW w:w="1417" w:type="dxa"/>
            <w:tcBorders>
              <w:top w:val="single" w:sz="4" w:space="0" w:color="auto"/>
              <w:left w:val="nil"/>
              <w:bottom w:val="single" w:sz="4" w:space="0" w:color="auto"/>
              <w:right w:val="nil"/>
            </w:tcBorders>
            <w:shd w:val="clear" w:color="auto" w:fill="auto"/>
          </w:tcPr>
          <w:p w:rsidR="00D85FAC" w:rsidRDefault="00D85FAC" w:rsidP="00D85FAC">
            <w:pPr>
              <w:pStyle w:val="table1"/>
              <w:jc w:val="center"/>
              <w:rPr>
                <w:b/>
                <w:lang w:eastAsia="en-AU"/>
              </w:rPr>
            </w:pPr>
            <w:r>
              <w:rPr>
                <w:b/>
                <w:lang w:eastAsia="en-AU"/>
              </w:rPr>
              <w:t>Downstream</w:t>
            </w:r>
          </w:p>
        </w:tc>
        <w:tc>
          <w:tcPr>
            <w:tcW w:w="1843" w:type="dxa"/>
            <w:vMerge/>
            <w:tcBorders>
              <w:left w:val="nil"/>
              <w:bottom w:val="single" w:sz="4" w:space="0" w:color="auto"/>
              <w:right w:val="nil"/>
            </w:tcBorders>
            <w:shd w:val="clear" w:color="auto" w:fill="auto"/>
            <w:noWrap/>
          </w:tcPr>
          <w:p w:rsidR="00D85FAC" w:rsidRDefault="00D85FAC" w:rsidP="00D85FAC">
            <w:pPr>
              <w:pStyle w:val="table1"/>
              <w:jc w:val="center"/>
              <w:rPr>
                <w:b/>
                <w:lang w:eastAsia="en-AU"/>
              </w:rPr>
            </w:pPr>
          </w:p>
        </w:tc>
      </w:tr>
      <w:tr w:rsidR="00D85FAC" w:rsidTr="00D85FAC">
        <w:trPr>
          <w:trHeight w:val="264"/>
        </w:trPr>
        <w:tc>
          <w:tcPr>
            <w:tcW w:w="1616" w:type="dxa"/>
            <w:tcBorders>
              <w:top w:val="single" w:sz="4" w:space="0" w:color="auto"/>
              <w:left w:val="nil"/>
              <w:bottom w:val="nil"/>
              <w:right w:val="nil"/>
            </w:tcBorders>
            <w:shd w:val="clear" w:color="auto" w:fill="auto"/>
          </w:tcPr>
          <w:p w:rsidR="00D85FAC" w:rsidRDefault="00D85FAC" w:rsidP="00D85FAC">
            <w:pPr>
              <w:pStyle w:val="table1"/>
              <w:jc w:val="center"/>
              <w:rPr>
                <w:lang w:eastAsia="en-AU"/>
              </w:rPr>
            </w:pPr>
            <w:r>
              <w:rPr>
                <w:lang w:eastAsia="en-AU"/>
              </w:rPr>
              <w:t>2001–2002</w:t>
            </w:r>
          </w:p>
        </w:tc>
        <w:tc>
          <w:tcPr>
            <w:tcW w:w="1503" w:type="dxa"/>
            <w:tcBorders>
              <w:top w:val="single" w:sz="4" w:space="0" w:color="auto"/>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2.3 ± 1</w:t>
            </w:r>
            <w:r>
              <w:rPr>
                <w:lang w:eastAsia="en-AU"/>
              </w:rPr>
              <w:t>.0</w:t>
            </w:r>
          </w:p>
        </w:tc>
        <w:tc>
          <w:tcPr>
            <w:tcW w:w="1417" w:type="dxa"/>
            <w:tcBorders>
              <w:top w:val="single" w:sz="4" w:space="0" w:color="auto"/>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2.5 ± 0.6</w:t>
            </w:r>
          </w:p>
        </w:tc>
        <w:tc>
          <w:tcPr>
            <w:tcW w:w="1843" w:type="dxa"/>
            <w:tcBorders>
              <w:top w:val="single" w:sz="4" w:space="0" w:color="auto"/>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0.2</w:t>
            </w:r>
          </w:p>
        </w:tc>
      </w:tr>
      <w:tr w:rsidR="00D85FAC" w:rsidTr="00D85FAC">
        <w:trPr>
          <w:trHeight w:val="264"/>
        </w:trPr>
        <w:tc>
          <w:tcPr>
            <w:tcW w:w="1616" w:type="dxa"/>
            <w:tcBorders>
              <w:top w:val="nil"/>
              <w:left w:val="nil"/>
              <w:bottom w:val="nil"/>
              <w:right w:val="nil"/>
            </w:tcBorders>
            <w:shd w:val="clear" w:color="auto" w:fill="auto"/>
          </w:tcPr>
          <w:p w:rsidR="00D85FAC" w:rsidRDefault="00D85FAC" w:rsidP="00D85FAC">
            <w:pPr>
              <w:pStyle w:val="table1"/>
              <w:jc w:val="center"/>
              <w:rPr>
                <w:lang w:eastAsia="en-AU"/>
              </w:rPr>
            </w:pPr>
            <w:r>
              <w:rPr>
                <w:lang w:eastAsia="en-AU"/>
              </w:rPr>
              <w:t>2002–2003</w:t>
            </w:r>
          </w:p>
        </w:tc>
        <w:tc>
          <w:tcPr>
            <w:tcW w:w="150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2</w:t>
            </w:r>
            <w:r>
              <w:rPr>
                <w:lang w:eastAsia="en-AU"/>
              </w:rPr>
              <w:t>.0</w:t>
            </w:r>
            <w:r w:rsidRPr="000961D1">
              <w:rPr>
                <w:lang w:eastAsia="en-AU"/>
              </w:rPr>
              <w:t xml:space="preserve"> ± 0.5</w:t>
            </w:r>
          </w:p>
        </w:tc>
        <w:tc>
          <w:tcPr>
            <w:tcW w:w="1417"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1.8 ± 0.5</w:t>
            </w:r>
          </w:p>
        </w:tc>
        <w:tc>
          <w:tcPr>
            <w:tcW w:w="184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-0.2</w:t>
            </w:r>
          </w:p>
        </w:tc>
      </w:tr>
      <w:tr w:rsidR="00D85FAC" w:rsidTr="00D85FAC">
        <w:trPr>
          <w:trHeight w:val="264"/>
        </w:trPr>
        <w:tc>
          <w:tcPr>
            <w:tcW w:w="1616" w:type="dxa"/>
            <w:tcBorders>
              <w:top w:val="nil"/>
              <w:left w:val="nil"/>
              <w:bottom w:val="nil"/>
              <w:right w:val="nil"/>
            </w:tcBorders>
            <w:shd w:val="clear" w:color="auto" w:fill="auto"/>
          </w:tcPr>
          <w:p w:rsidR="00D85FAC" w:rsidRDefault="00D85FAC" w:rsidP="00D85FAC">
            <w:pPr>
              <w:pStyle w:val="table1"/>
              <w:jc w:val="center"/>
              <w:rPr>
                <w:lang w:eastAsia="en-AU"/>
              </w:rPr>
            </w:pPr>
            <w:r>
              <w:rPr>
                <w:lang w:eastAsia="en-AU"/>
              </w:rPr>
              <w:t>2003–2004</w:t>
            </w:r>
          </w:p>
        </w:tc>
        <w:tc>
          <w:tcPr>
            <w:tcW w:w="150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1.8 ± 0.4</w:t>
            </w:r>
          </w:p>
        </w:tc>
        <w:tc>
          <w:tcPr>
            <w:tcW w:w="1417"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2</w:t>
            </w:r>
            <w:r>
              <w:rPr>
                <w:lang w:eastAsia="en-AU"/>
              </w:rPr>
              <w:t>.0</w:t>
            </w:r>
            <w:r w:rsidRPr="000961D1">
              <w:rPr>
                <w:lang w:eastAsia="en-AU"/>
              </w:rPr>
              <w:t xml:space="preserve"> ± 0.5</w:t>
            </w:r>
          </w:p>
        </w:tc>
        <w:tc>
          <w:tcPr>
            <w:tcW w:w="184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0.2</w:t>
            </w:r>
          </w:p>
        </w:tc>
      </w:tr>
      <w:tr w:rsidR="00D85FAC" w:rsidTr="00D85FAC">
        <w:trPr>
          <w:trHeight w:val="264"/>
        </w:trPr>
        <w:tc>
          <w:tcPr>
            <w:tcW w:w="1616" w:type="dxa"/>
            <w:tcBorders>
              <w:top w:val="nil"/>
              <w:left w:val="nil"/>
              <w:bottom w:val="nil"/>
              <w:right w:val="nil"/>
            </w:tcBorders>
            <w:shd w:val="clear" w:color="auto" w:fill="auto"/>
            <w:noWrap/>
          </w:tcPr>
          <w:p w:rsidR="00D85FAC" w:rsidRDefault="00D85FAC" w:rsidP="00D85FAC">
            <w:pPr>
              <w:pStyle w:val="table1"/>
              <w:jc w:val="center"/>
              <w:rPr>
                <w:lang w:eastAsia="en-AU"/>
              </w:rPr>
            </w:pPr>
            <w:r>
              <w:rPr>
                <w:lang w:eastAsia="en-AU"/>
              </w:rPr>
              <w:t>2004–2005</w:t>
            </w:r>
          </w:p>
        </w:tc>
        <w:tc>
          <w:tcPr>
            <w:tcW w:w="150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1.7 ± 2.1</w:t>
            </w:r>
          </w:p>
        </w:tc>
        <w:tc>
          <w:tcPr>
            <w:tcW w:w="1417"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1.6 ± 0.7</w:t>
            </w:r>
          </w:p>
        </w:tc>
        <w:tc>
          <w:tcPr>
            <w:tcW w:w="184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-0.2</w:t>
            </w:r>
          </w:p>
        </w:tc>
      </w:tr>
      <w:tr w:rsidR="00D85FAC" w:rsidTr="00D85FAC">
        <w:trPr>
          <w:trHeight w:val="264"/>
        </w:trPr>
        <w:tc>
          <w:tcPr>
            <w:tcW w:w="1616" w:type="dxa"/>
            <w:tcBorders>
              <w:top w:val="nil"/>
              <w:left w:val="nil"/>
              <w:bottom w:val="nil"/>
              <w:right w:val="nil"/>
            </w:tcBorders>
            <w:shd w:val="clear" w:color="auto" w:fill="auto"/>
          </w:tcPr>
          <w:p w:rsidR="00D85FAC" w:rsidRDefault="00D85FAC" w:rsidP="00D85FAC">
            <w:pPr>
              <w:pStyle w:val="table1"/>
              <w:jc w:val="center"/>
              <w:rPr>
                <w:lang w:eastAsia="en-AU"/>
              </w:rPr>
            </w:pPr>
            <w:r>
              <w:rPr>
                <w:lang w:eastAsia="en-AU"/>
              </w:rPr>
              <w:t>2005–2006</w:t>
            </w:r>
          </w:p>
        </w:tc>
        <w:tc>
          <w:tcPr>
            <w:tcW w:w="150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2</w:t>
            </w:r>
            <w:r>
              <w:rPr>
                <w:lang w:eastAsia="en-AU"/>
              </w:rPr>
              <w:t>.0</w:t>
            </w:r>
            <w:r w:rsidRPr="000961D1">
              <w:rPr>
                <w:lang w:eastAsia="en-AU"/>
              </w:rPr>
              <w:t xml:space="preserve"> ± 0.8</w:t>
            </w:r>
          </w:p>
        </w:tc>
        <w:tc>
          <w:tcPr>
            <w:tcW w:w="1417"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2.3 ± 0.6</w:t>
            </w:r>
          </w:p>
        </w:tc>
        <w:tc>
          <w:tcPr>
            <w:tcW w:w="184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0.3</w:t>
            </w:r>
          </w:p>
        </w:tc>
      </w:tr>
      <w:tr w:rsidR="00D85FAC" w:rsidTr="00D85FAC">
        <w:trPr>
          <w:trHeight w:val="264"/>
        </w:trPr>
        <w:tc>
          <w:tcPr>
            <w:tcW w:w="1616" w:type="dxa"/>
            <w:tcBorders>
              <w:top w:val="nil"/>
              <w:left w:val="nil"/>
              <w:bottom w:val="nil"/>
              <w:right w:val="nil"/>
            </w:tcBorders>
            <w:shd w:val="clear" w:color="auto" w:fill="auto"/>
          </w:tcPr>
          <w:p w:rsidR="00D85FAC" w:rsidRDefault="00D85FAC" w:rsidP="00D85FAC">
            <w:pPr>
              <w:pStyle w:val="table1"/>
              <w:jc w:val="center"/>
              <w:rPr>
                <w:lang w:eastAsia="en-AU"/>
              </w:rPr>
            </w:pPr>
            <w:r>
              <w:rPr>
                <w:lang w:eastAsia="en-AU"/>
              </w:rPr>
              <w:t>2006–2007</w:t>
            </w:r>
          </w:p>
        </w:tc>
        <w:tc>
          <w:tcPr>
            <w:tcW w:w="150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1.7 ± 0.4</w:t>
            </w:r>
          </w:p>
        </w:tc>
        <w:tc>
          <w:tcPr>
            <w:tcW w:w="1417"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1.9 ± 0.7</w:t>
            </w:r>
          </w:p>
        </w:tc>
        <w:tc>
          <w:tcPr>
            <w:tcW w:w="184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0.2</w:t>
            </w:r>
          </w:p>
        </w:tc>
      </w:tr>
      <w:tr w:rsidR="00D85FAC" w:rsidTr="00D85FAC">
        <w:trPr>
          <w:trHeight w:val="264"/>
        </w:trPr>
        <w:tc>
          <w:tcPr>
            <w:tcW w:w="1616" w:type="dxa"/>
            <w:tcBorders>
              <w:top w:val="nil"/>
              <w:left w:val="nil"/>
              <w:bottom w:val="nil"/>
              <w:right w:val="nil"/>
            </w:tcBorders>
            <w:shd w:val="clear" w:color="auto" w:fill="auto"/>
          </w:tcPr>
          <w:p w:rsidR="00D85FAC" w:rsidRDefault="00D85FAC" w:rsidP="00D85FAC">
            <w:pPr>
              <w:pStyle w:val="table1"/>
              <w:jc w:val="center"/>
              <w:rPr>
                <w:lang w:eastAsia="en-AU"/>
              </w:rPr>
            </w:pPr>
            <w:r>
              <w:rPr>
                <w:lang w:eastAsia="en-AU"/>
              </w:rPr>
              <w:t>2007–2008</w:t>
            </w:r>
          </w:p>
        </w:tc>
        <w:tc>
          <w:tcPr>
            <w:tcW w:w="150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1.8 ± 0.4</w:t>
            </w:r>
          </w:p>
        </w:tc>
        <w:tc>
          <w:tcPr>
            <w:tcW w:w="1417"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1.8 ± 0.4</w:t>
            </w:r>
          </w:p>
        </w:tc>
        <w:tc>
          <w:tcPr>
            <w:tcW w:w="184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0.1</w:t>
            </w:r>
          </w:p>
        </w:tc>
      </w:tr>
      <w:tr w:rsidR="00D85FAC" w:rsidTr="00D85FAC">
        <w:trPr>
          <w:trHeight w:val="264"/>
        </w:trPr>
        <w:tc>
          <w:tcPr>
            <w:tcW w:w="1616" w:type="dxa"/>
            <w:tcBorders>
              <w:top w:val="nil"/>
              <w:left w:val="nil"/>
              <w:bottom w:val="nil"/>
              <w:right w:val="nil"/>
            </w:tcBorders>
            <w:shd w:val="clear" w:color="auto" w:fill="auto"/>
          </w:tcPr>
          <w:p w:rsidR="00D85FAC" w:rsidRDefault="00D85FAC" w:rsidP="00D85FAC">
            <w:pPr>
              <w:pStyle w:val="table1"/>
              <w:jc w:val="center"/>
              <w:rPr>
                <w:lang w:eastAsia="en-AU"/>
              </w:rPr>
            </w:pPr>
            <w:r>
              <w:rPr>
                <w:lang w:eastAsia="en-AU"/>
              </w:rPr>
              <w:t>2008–2009</w:t>
            </w:r>
          </w:p>
        </w:tc>
        <w:tc>
          <w:tcPr>
            <w:tcW w:w="150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1.5 ± 0.6</w:t>
            </w:r>
          </w:p>
        </w:tc>
        <w:tc>
          <w:tcPr>
            <w:tcW w:w="1417"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1.9 ± 0.6</w:t>
            </w:r>
          </w:p>
        </w:tc>
        <w:tc>
          <w:tcPr>
            <w:tcW w:w="1843" w:type="dxa"/>
            <w:tcBorders>
              <w:top w:val="nil"/>
              <w:left w:val="nil"/>
              <w:bottom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0.4</w:t>
            </w:r>
          </w:p>
        </w:tc>
      </w:tr>
      <w:tr w:rsidR="00D85FAC" w:rsidTr="00D85FAC">
        <w:trPr>
          <w:trHeight w:val="264"/>
        </w:trPr>
        <w:tc>
          <w:tcPr>
            <w:tcW w:w="1616" w:type="dxa"/>
            <w:tcBorders>
              <w:top w:val="nil"/>
              <w:left w:val="nil"/>
              <w:right w:val="nil"/>
            </w:tcBorders>
            <w:shd w:val="clear" w:color="auto" w:fill="auto"/>
            <w:noWrap/>
          </w:tcPr>
          <w:p w:rsidR="00D85FAC" w:rsidRDefault="00D85FAC" w:rsidP="00D85FAC">
            <w:pPr>
              <w:pStyle w:val="table1"/>
              <w:jc w:val="center"/>
              <w:rPr>
                <w:lang w:eastAsia="en-AU"/>
              </w:rPr>
            </w:pPr>
            <w:r>
              <w:rPr>
                <w:lang w:eastAsia="en-AU"/>
              </w:rPr>
              <w:t>2009–2010</w:t>
            </w:r>
          </w:p>
        </w:tc>
        <w:tc>
          <w:tcPr>
            <w:tcW w:w="1503" w:type="dxa"/>
            <w:tcBorders>
              <w:top w:val="nil"/>
              <w:left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1.6 ± 0.5</w:t>
            </w:r>
          </w:p>
        </w:tc>
        <w:tc>
          <w:tcPr>
            <w:tcW w:w="1417" w:type="dxa"/>
            <w:tcBorders>
              <w:top w:val="nil"/>
              <w:left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1.9 ± 0.6</w:t>
            </w:r>
          </w:p>
        </w:tc>
        <w:tc>
          <w:tcPr>
            <w:tcW w:w="1843" w:type="dxa"/>
            <w:tcBorders>
              <w:top w:val="nil"/>
              <w:left w:val="nil"/>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0.3</w:t>
            </w:r>
          </w:p>
        </w:tc>
      </w:tr>
      <w:tr w:rsidR="00D85FAC" w:rsidTr="00D85FAC">
        <w:trPr>
          <w:trHeight w:val="264"/>
        </w:trPr>
        <w:tc>
          <w:tcPr>
            <w:tcW w:w="1616" w:type="dxa"/>
            <w:tcBorders>
              <w:top w:val="nil"/>
              <w:left w:val="nil"/>
              <w:bottom w:val="single" w:sz="4" w:space="0" w:color="auto"/>
              <w:right w:val="nil"/>
            </w:tcBorders>
            <w:shd w:val="clear" w:color="auto" w:fill="auto"/>
          </w:tcPr>
          <w:p w:rsidR="00D85FAC" w:rsidRDefault="00D85FAC" w:rsidP="00D85FAC">
            <w:pPr>
              <w:pStyle w:val="table1"/>
              <w:jc w:val="center"/>
              <w:rPr>
                <w:lang w:eastAsia="en-AU"/>
              </w:rPr>
            </w:pPr>
            <w:r>
              <w:rPr>
                <w:lang w:eastAsia="en-AU"/>
              </w:rPr>
              <w:t>2010–2011</w:t>
            </w:r>
          </w:p>
        </w:tc>
        <w:tc>
          <w:tcPr>
            <w:tcW w:w="1503" w:type="dxa"/>
            <w:tcBorders>
              <w:top w:val="nil"/>
              <w:left w:val="nil"/>
              <w:bottom w:val="single" w:sz="4" w:space="0" w:color="auto"/>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1.6 ± 0.3</w:t>
            </w:r>
          </w:p>
        </w:tc>
        <w:tc>
          <w:tcPr>
            <w:tcW w:w="1417" w:type="dxa"/>
            <w:tcBorders>
              <w:top w:val="nil"/>
              <w:left w:val="nil"/>
              <w:bottom w:val="single" w:sz="4" w:space="0" w:color="auto"/>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1.8 ± 0.4</w:t>
            </w:r>
          </w:p>
        </w:tc>
        <w:tc>
          <w:tcPr>
            <w:tcW w:w="1843" w:type="dxa"/>
            <w:tcBorders>
              <w:top w:val="nil"/>
              <w:left w:val="nil"/>
              <w:bottom w:val="single" w:sz="4" w:space="0" w:color="auto"/>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0.2</w:t>
            </w:r>
          </w:p>
        </w:tc>
      </w:tr>
      <w:tr w:rsidR="00D85FAC" w:rsidTr="00D85FAC">
        <w:trPr>
          <w:trHeight w:val="264"/>
        </w:trPr>
        <w:tc>
          <w:tcPr>
            <w:tcW w:w="1616" w:type="dxa"/>
            <w:tcBorders>
              <w:top w:val="nil"/>
              <w:left w:val="nil"/>
              <w:bottom w:val="single" w:sz="4" w:space="0" w:color="auto"/>
              <w:right w:val="nil"/>
            </w:tcBorders>
            <w:shd w:val="clear" w:color="auto" w:fill="auto"/>
          </w:tcPr>
          <w:p w:rsidR="00D85FAC" w:rsidRPr="00684903" w:rsidRDefault="00D85FAC" w:rsidP="00D85FAC">
            <w:pPr>
              <w:pStyle w:val="table1"/>
              <w:jc w:val="center"/>
              <w:rPr>
                <w:lang w:eastAsia="en-AU"/>
              </w:rPr>
            </w:pPr>
            <w:r w:rsidRPr="00684903">
              <w:rPr>
                <w:lang w:eastAsia="en-AU"/>
              </w:rPr>
              <w:t>All years</w:t>
            </w:r>
          </w:p>
        </w:tc>
        <w:tc>
          <w:tcPr>
            <w:tcW w:w="1503" w:type="dxa"/>
            <w:tcBorders>
              <w:top w:val="nil"/>
              <w:left w:val="nil"/>
              <w:bottom w:val="single" w:sz="4" w:space="0" w:color="auto"/>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1.8 ± 0.9</w:t>
            </w:r>
          </w:p>
        </w:tc>
        <w:tc>
          <w:tcPr>
            <w:tcW w:w="1417" w:type="dxa"/>
            <w:tcBorders>
              <w:top w:val="nil"/>
              <w:left w:val="nil"/>
              <w:bottom w:val="single" w:sz="4" w:space="0" w:color="auto"/>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1.9 ± 0.6</w:t>
            </w:r>
          </w:p>
        </w:tc>
        <w:tc>
          <w:tcPr>
            <w:tcW w:w="1843" w:type="dxa"/>
            <w:tcBorders>
              <w:top w:val="nil"/>
              <w:left w:val="nil"/>
              <w:bottom w:val="single" w:sz="4" w:space="0" w:color="auto"/>
              <w:right w:val="nil"/>
            </w:tcBorders>
            <w:shd w:val="clear" w:color="auto" w:fill="auto"/>
            <w:noWrap/>
            <w:vAlign w:val="bottom"/>
          </w:tcPr>
          <w:p w:rsidR="00D85FAC" w:rsidRPr="000961D1" w:rsidRDefault="00D85FAC" w:rsidP="00D85FAC">
            <w:pPr>
              <w:pStyle w:val="table1"/>
              <w:jc w:val="center"/>
              <w:rPr>
                <w:lang w:eastAsia="en-AU"/>
              </w:rPr>
            </w:pPr>
            <w:r w:rsidRPr="000961D1">
              <w:rPr>
                <w:lang w:eastAsia="en-AU"/>
              </w:rPr>
              <w:t>0.1</w:t>
            </w:r>
          </w:p>
        </w:tc>
      </w:tr>
    </w:tbl>
    <w:p w:rsidR="00D85FAC" w:rsidRDefault="00D85FAC" w:rsidP="00D85FAC">
      <w:pPr>
        <w:pStyle w:val="tablenote"/>
      </w:pPr>
      <w:bookmarkStart w:id="265" w:name="_Toc282084592"/>
    </w:p>
    <w:p w:rsidR="00D85FAC" w:rsidRDefault="00D85FAC" w:rsidP="00D85FAC">
      <w:pPr>
        <w:pStyle w:val="Heading3"/>
      </w:pPr>
      <w:bookmarkStart w:id="266" w:name="_Toc313523492"/>
      <w:bookmarkStart w:id="267" w:name="_Toc316985337"/>
      <w:r>
        <w:rPr>
          <w:position w:val="5"/>
          <w:sz w:val="15"/>
        </w:rPr>
        <w:t>228</w:t>
      </w:r>
      <w:r>
        <w:t xml:space="preserve">Ra and </w:t>
      </w:r>
      <w:r>
        <w:rPr>
          <w:position w:val="5"/>
          <w:sz w:val="15"/>
        </w:rPr>
        <w:t>226</w:t>
      </w:r>
      <w:r>
        <w:t>Ra/</w:t>
      </w:r>
      <w:r>
        <w:rPr>
          <w:position w:val="5"/>
          <w:sz w:val="15"/>
        </w:rPr>
        <w:t>228</w:t>
      </w:r>
      <w:r>
        <w:t>Ra activity concentration ratios in Magela Creek</w:t>
      </w:r>
      <w:bookmarkEnd w:id="265"/>
      <w:bookmarkEnd w:id="266"/>
      <w:bookmarkEnd w:id="267"/>
    </w:p>
    <w:p w:rsidR="00D85FAC" w:rsidRDefault="00D85FAC" w:rsidP="00D85FAC">
      <w:r>
        <w:rPr>
          <w:position w:val="5"/>
          <w:sz w:val="15"/>
        </w:rPr>
        <w:t>228</w:t>
      </w:r>
      <w:r>
        <w:t xml:space="preserve">Ra analyses were started in 2009–10 using alpha spectrometric measurement after allowing a suitable time for ingrowth of the </w:t>
      </w:r>
      <w:r>
        <w:rPr>
          <w:position w:val="5"/>
          <w:sz w:val="15"/>
        </w:rPr>
        <w:t>228</w:t>
      </w:r>
      <w:r>
        <w:t xml:space="preserve">Th daughter in the samples prepared for </w:t>
      </w:r>
      <w:r>
        <w:rPr>
          <w:snapToGrid w:val="0"/>
          <w:color w:val="000000"/>
          <w:position w:val="5"/>
          <w:sz w:val="15"/>
          <w:szCs w:val="0"/>
          <w:u w:color="000000"/>
        </w:rPr>
        <w:t>226</w:t>
      </w:r>
      <w:r>
        <w:t>Ra analyses (Medley 2010). The dataset is still incomplete, but some results are shown in Table 2.</w:t>
      </w:r>
    </w:p>
    <w:p w:rsidR="00D85FAC" w:rsidRDefault="00D85FAC" w:rsidP="00D85FAC">
      <w:r>
        <w:t xml:space="preserve">The data presented for filtered </w:t>
      </w:r>
      <w:r>
        <w:rPr>
          <w:position w:val="5"/>
          <w:sz w:val="15"/>
        </w:rPr>
        <w:t>228</w:t>
      </w:r>
      <w:r>
        <w:t xml:space="preserve">Ra (Table 2) consistently show a lower activity concentration than for </w:t>
      </w:r>
      <w:r>
        <w:rPr>
          <w:position w:val="5"/>
          <w:sz w:val="15"/>
        </w:rPr>
        <w:t>226</w:t>
      </w:r>
      <w:r>
        <w:t xml:space="preserve">Ra but no significant difference in </w:t>
      </w:r>
      <w:r w:rsidRPr="00915BAB">
        <w:rPr>
          <w:position w:val="5"/>
          <w:sz w:val="15"/>
        </w:rPr>
        <w:t>228</w:t>
      </w:r>
      <w:r w:rsidRPr="00915BAB">
        <w:t xml:space="preserve">Ra </w:t>
      </w:r>
      <w:r>
        <w:t xml:space="preserve">activity concentration between upstream and downstream sites (two sample t-test; </w:t>
      </w:r>
      <w:r w:rsidRPr="00682B7F">
        <w:t>p = 0.</w:t>
      </w:r>
      <w:r>
        <w:t>19</w:t>
      </w:r>
      <w:r w:rsidRPr="00682B7F">
        <w:t>).</w:t>
      </w:r>
      <w:r>
        <w:t xml:space="preserve"> </w:t>
      </w:r>
      <w:r w:rsidRPr="00894DBC">
        <w:t xml:space="preserve">Although </w:t>
      </w:r>
      <w:r>
        <w:t xml:space="preserve">downstream </w:t>
      </w:r>
      <w:r>
        <w:rPr>
          <w:snapToGrid w:val="0"/>
          <w:color w:val="000000"/>
          <w:position w:val="5"/>
          <w:sz w:val="15"/>
          <w:szCs w:val="0"/>
          <w:u w:color="000000"/>
        </w:rPr>
        <w:t>226</w:t>
      </w:r>
      <w:r>
        <w:t>Ra/</w:t>
      </w:r>
      <w:r>
        <w:rPr>
          <w:snapToGrid w:val="0"/>
          <w:color w:val="000000"/>
          <w:position w:val="5"/>
          <w:sz w:val="15"/>
          <w:szCs w:val="0"/>
          <w:u w:color="000000"/>
        </w:rPr>
        <w:t>228</w:t>
      </w:r>
      <w:r>
        <w:t>Ra activity ratios are slightly higher than upstream ratios, this difference is not</w:t>
      </w:r>
      <w:r w:rsidRPr="00894DBC">
        <w:t xml:space="preserve"> statistically significant</w:t>
      </w:r>
      <w:r>
        <w:t xml:space="preserve"> difference</w:t>
      </w:r>
      <w:r w:rsidRPr="00894DBC">
        <w:t xml:space="preserve"> </w:t>
      </w:r>
      <w:r w:rsidRPr="00DA583A">
        <w:t>(two sample t-test; p = 0.</w:t>
      </w:r>
      <w:r>
        <w:t>97</w:t>
      </w:r>
      <w:r w:rsidRPr="00DA583A">
        <w:t>)</w:t>
      </w:r>
      <w:r>
        <w:t xml:space="preserve">. </w:t>
      </w:r>
    </w:p>
    <w:p w:rsidR="00D85FAC" w:rsidRDefault="00D85FAC" w:rsidP="00D85FAC">
      <w:r>
        <w:t xml:space="preserve">More data are required to improve the signal to noise ratio, and to complete an investigation of the usefulness of </w:t>
      </w:r>
      <w:r>
        <w:rPr>
          <w:snapToGrid w:val="0"/>
          <w:color w:val="000000"/>
          <w:position w:val="5"/>
          <w:sz w:val="15"/>
          <w:szCs w:val="0"/>
          <w:u w:color="000000"/>
        </w:rPr>
        <w:t>226</w:t>
      </w:r>
      <w:r>
        <w:t>Ra/</w:t>
      </w:r>
      <w:r>
        <w:rPr>
          <w:snapToGrid w:val="0"/>
          <w:color w:val="000000"/>
          <w:position w:val="5"/>
          <w:sz w:val="15"/>
          <w:szCs w:val="0"/>
          <w:u w:color="000000"/>
        </w:rPr>
        <w:t>228</w:t>
      </w:r>
      <w:r>
        <w:t xml:space="preserve">Ra activity concentration ratio measurements to pinpoint sources of radium in Magela Creek water. Sufficient samples were collected to produce a baseline dataset for </w:t>
      </w:r>
      <w:r>
        <w:rPr>
          <w:snapToGrid w:val="0"/>
          <w:color w:val="000000"/>
          <w:position w:val="5"/>
          <w:sz w:val="15"/>
          <w:szCs w:val="0"/>
          <w:u w:color="000000"/>
        </w:rPr>
        <w:t>226</w:t>
      </w:r>
      <w:r>
        <w:t>Ra/</w:t>
      </w:r>
      <w:r>
        <w:rPr>
          <w:snapToGrid w:val="0"/>
          <w:color w:val="000000"/>
          <w:position w:val="5"/>
          <w:sz w:val="15"/>
          <w:szCs w:val="0"/>
          <w:u w:color="000000"/>
        </w:rPr>
        <w:t>228</w:t>
      </w:r>
      <w:r>
        <w:t xml:space="preserve">Ra activity concentration ratios in Magela Creek over four wet seasons. However, the relatively high uncertainty associated with the measurement of the very low levels of </w:t>
      </w:r>
      <w:r>
        <w:rPr>
          <w:snapToGrid w:val="0"/>
          <w:color w:val="000000"/>
          <w:position w:val="5"/>
          <w:sz w:val="15"/>
          <w:szCs w:val="0"/>
          <w:u w:color="000000"/>
        </w:rPr>
        <w:t>228</w:t>
      </w:r>
      <w:r>
        <w:t xml:space="preserve">Ra in typcial 1 L routine grab samples (compared to 20 L samples used for this project) and the long time required for the ingrowth of </w:t>
      </w:r>
      <w:r w:rsidRPr="00177211">
        <w:rPr>
          <w:vertAlign w:val="superscript"/>
        </w:rPr>
        <w:t>228</w:t>
      </w:r>
      <w:r>
        <w:t xml:space="preserve">Th for </w:t>
      </w:r>
      <w:r w:rsidRPr="00177211">
        <w:rPr>
          <w:vertAlign w:val="superscript"/>
        </w:rPr>
        <w:t>228</w:t>
      </w:r>
      <w:r>
        <w:t xml:space="preserve">Ra analysis, may preclude the ratio method from being used to reliably detect any change in conditions other than a major downstream excursion. Should a major downstream excursion occur, an increase will </w:t>
      </w:r>
      <w:r>
        <w:lastRenderedPageBreak/>
        <w:t xml:space="preserve">immediately be detected in water </w:t>
      </w:r>
      <w:r>
        <w:rPr>
          <w:snapToGrid w:val="0"/>
          <w:color w:val="000000"/>
          <w:position w:val="5"/>
          <w:sz w:val="15"/>
          <w:szCs w:val="0"/>
          <w:u w:color="000000"/>
        </w:rPr>
        <w:t>226</w:t>
      </w:r>
      <w:r>
        <w:t xml:space="preserve">Ra activity concentration, and the </w:t>
      </w:r>
      <w:r>
        <w:rPr>
          <w:snapToGrid w:val="0"/>
          <w:color w:val="000000"/>
          <w:position w:val="5"/>
          <w:sz w:val="15"/>
          <w:szCs w:val="0"/>
          <w:u w:color="000000"/>
        </w:rPr>
        <w:t>226</w:t>
      </w:r>
      <w:r>
        <w:t>Ra/</w:t>
      </w:r>
      <w:r>
        <w:rPr>
          <w:snapToGrid w:val="0"/>
          <w:color w:val="000000"/>
          <w:position w:val="5"/>
          <w:sz w:val="15"/>
          <w:szCs w:val="0"/>
          <w:u w:color="000000"/>
        </w:rPr>
        <w:t>228</w:t>
      </w:r>
      <w:r>
        <w:t xml:space="preserve">Ra activity concentration ratio may give an indication of the source of this radium, after sufficient time has been allowed for the ingrowth of </w:t>
      </w:r>
      <w:proofErr w:type="gramStart"/>
      <w:r w:rsidRPr="00177211">
        <w:rPr>
          <w:vertAlign w:val="superscript"/>
        </w:rPr>
        <w:t>228</w:t>
      </w:r>
      <w:r>
        <w:t>Th.</w:t>
      </w:r>
      <w:proofErr w:type="gramEnd"/>
      <w:r>
        <w:t xml:space="preserve"> </w:t>
      </w:r>
    </w:p>
    <w:p w:rsidR="00D85FAC" w:rsidRDefault="00D85FAC" w:rsidP="00D85FAC">
      <w:pPr>
        <w:pStyle w:val="tablecaption"/>
      </w:pPr>
      <w:r>
        <w:rPr>
          <w:b/>
        </w:rPr>
        <w:t xml:space="preserve">Table </w:t>
      </w:r>
      <w:proofErr w:type="gramStart"/>
      <w:r>
        <w:rPr>
          <w:b/>
        </w:rPr>
        <w:t>2</w:t>
      </w:r>
      <w:r>
        <w:t xml:space="preserve">  Results</w:t>
      </w:r>
      <w:proofErr w:type="gramEnd"/>
      <w:r>
        <w:t xml:space="preserve"> of </w:t>
      </w:r>
      <w:r>
        <w:rPr>
          <w:vertAlign w:val="superscript"/>
        </w:rPr>
        <w:t>226</w:t>
      </w:r>
      <w:r>
        <w:t xml:space="preserve">Ra, </w:t>
      </w:r>
      <w:r>
        <w:rPr>
          <w:vertAlign w:val="superscript"/>
        </w:rPr>
        <w:t>228</w:t>
      </w:r>
      <w:r>
        <w:t xml:space="preserve">Ra activity concentration and </w:t>
      </w:r>
      <w:r>
        <w:rPr>
          <w:vertAlign w:val="superscript"/>
        </w:rPr>
        <w:t>226</w:t>
      </w:r>
      <w:r>
        <w:t>Ra/</w:t>
      </w:r>
      <w:r>
        <w:rPr>
          <w:vertAlign w:val="superscript"/>
        </w:rPr>
        <w:t>228</w:t>
      </w:r>
      <w:r>
        <w:t>Ra activity concentration ratios for composite samples collected from March to July 2007. Data for both dissolved and particulate fractions are shown where available.</w:t>
      </w:r>
    </w:p>
    <w:tbl>
      <w:tblPr>
        <w:tblW w:w="8364" w:type="dxa"/>
        <w:tblInd w:w="108" w:type="dxa"/>
        <w:tblLayout w:type="fixed"/>
        <w:tblLook w:val="0000"/>
      </w:tblPr>
      <w:tblGrid>
        <w:gridCol w:w="2268"/>
        <w:gridCol w:w="1985"/>
        <w:gridCol w:w="1417"/>
        <w:gridCol w:w="1418"/>
        <w:gridCol w:w="1276"/>
      </w:tblGrid>
      <w:tr w:rsidR="00D85FAC" w:rsidTr="00D85FAC">
        <w:tc>
          <w:tcPr>
            <w:tcW w:w="2268" w:type="dxa"/>
            <w:tcBorders>
              <w:top w:val="single" w:sz="4" w:space="0" w:color="auto"/>
              <w:bottom w:val="single" w:sz="4" w:space="0" w:color="auto"/>
            </w:tcBorders>
          </w:tcPr>
          <w:p w:rsidR="00D85FAC" w:rsidRDefault="00D85FAC" w:rsidP="00D85FAC">
            <w:pPr>
              <w:pStyle w:val="table1"/>
              <w:spacing w:after="0"/>
              <w:rPr>
                <w:b/>
              </w:rPr>
            </w:pPr>
            <w:r>
              <w:rPr>
                <w:b/>
              </w:rPr>
              <w:t>Site</w:t>
            </w:r>
          </w:p>
        </w:tc>
        <w:tc>
          <w:tcPr>
            <w:tcW w:w="1985" w:type="dxa"/>
            <w:tcBorders>
              <w:top w:val="single" w:sz="4" w:space="0" w:color="auto"/>
              <w:bottom w:val="single" w:sz="4" w:space="0" w:color="auto"/>
            </w:tcBorders>
          </w:tcPr>
          <w:p w:rsidR="00D85FAC" w:rsidRDefault="00D85FAC" w:rsidP="00D85FAC">
            <w:pPr>
              <w:pStyle w:val="table1"/>
              <w:spacing w:after="0"/>
              <w:rPr>
                <w:b/>
              </w:rPr>
            </w:pPr>
            <w:r>
              <w:rPr>
                <w:b/>
              </w:rPr>
              <w:t>Collection dates</w:t>
            </w:r>
          </w:p>
        </w:tc>
        <w:tc>
          <w:tcPr>
            <w:tcW w:w="1417" w:type="dxa"/>
            <w:tcBorders>
              <w:top w:val="single" w:sz="4" w:space="0" w:color="auto"/>
              <w:bottom w:val="single" w:sz="4" w:space="0" w:color="auto"/>
            </w:tcBorders>
          </w:tcPr>
          <w:p w:rsidR="00D85FAC" w:rsidRDefault="00D85FAC" w:rsidP="00D85FAC">
            <w:pPr>
              <w:pStyle w:val="table1"/>
              <w:spacing w:after="0"/>
              <w:jc w:val="center"/>
              <w:rPr>
                <w:b/>
                <w:position w:val="5"/>
                <w:sz w:val="14"/>
                <w:szCs w:val="14"/>
              </w:rPr>
            </w:pPr>
            <w:r>
              <w:rPr>
                <w:b/>
                <w:position w:val="5"/>
                <w:sz w:val="14"/>
                <w:szCs w:val="14"/>
              </w:rPr>
              <w:t>226</w:t>
            </w:r>
            <w:r>
              <w:rPr>
                <w:b/>
              </w:rPr>
              <w:t>Ra (mBq/L)</w:t>
            </w:r>
          </w:p>
        </w:tc>
        <w:tc>
          <w:tcPr>
            <w:tcW w:w="1418" w:type="dxa"/>
            <w:tcBorders>
              <w:top w:val="single" w:sz="4" w:space="0" w:color="auto"/>
              <w:bottom w:val="single" w:sz="4" w:space="0" w:color="auto"/>
            </w:tcBorders>
          </w:tcPr>
          <w:p w:rsidR="00D85FAC" w:rsidRDefault="00D85FAC" w:rsidP="00D85FAC">
            <w:pPr>
              <w:pStyle w:val="table1"/>
              <w:spacing w:after="0"/>
              <w:jc w:val="center"/>
              <w:rPr>
                <w:b/>
              </w:rPr>
            </w:pPr>
            <w:r>
              <w:rPr>
                <w:b/>
                <w:position w:val="5"/>
                <w:sz w:val="14"/>
                <w:szCs w:val="14"/>
              </w:rPr>
              <w:t>228</w:t>
            </w:r>
            <w:r>
              <w:rPr>
                <w:b/>
              </w:rPr>
              <w:t>Ra (mBq/L)</w:t>
            </w:r>
          </w:p>
        </w:tc>
        <w:tc>
          <w:tcPr>
            <w:tcW w:w="1276" w:type="dxa"/>
            <w:tcBorders>
              <w:top w:val="single" w:sz="4" w:space="0" w:color="auto"/>
              <w:bottom w:val="single" w:sz="4" w:space="0" w:color="auto"/>
            </w:tcBorders>
            <w:vAlign w:val="center"/>
          </w:tcPr>
          <w:p w:rsidR="00D85FAC" w:rsidRDefault="00D85FAC" w:rsidP="00D85FAC">
            <w:pPr>
              <w:pStyle w:val="table1"/>
              <w:spacing w:after="0"/>
              <w:jc w:val="center"/>
              <w:rPr>
                <w:b/>
              </w:rPr>
            </w:pPr>
            <w:r>
              <w:rPr>
                <w:b/>
                <w:position w:val="5"/>
                <w:sz w:val="14"/>
                <w:szCs w:val="14"/>
              </w:rPr>
              <w:t>226</w:t>
            </w:r>
            <w:r>
              <w:rPr>
                <w:b/>
              </w:rPr>
              <w:t>Ra:</w:t>
            </w:r>
            <w:r>
              <w:rPr>
                <w:b/>
                <w:position w:val="5"/>
                <w:sz w:val="14"/>
                <w:szCs w:val="14"/>
              </w:rPr>
              <w:t xml:space="preserve"> 228</w:t>
            </w:r>
            <w:r>
              <w:rPr>
                <w:b/>
              </w:rPr>
              <w:t>Ra</w:t>
            </w:r>
          </w:p>
        </w:tc>
      </w:tr>
      <w:tr w:rsidR="00D85FAC" w:rsidTr="00D85FAC">
        <w:tc>
          <w:tcPr>
            <w:tcW w:w="2268" w:type="dxa"/>
            <w:tcBorders>
              <w:top w:val="single" w:sz="4" w:space="0" w:color="auto"/>
            </w:tcBorders>
            <w:vAlign w:val="bottom"/>
          </w:tcPr>
          <w:p w:rsidR="00D85FAC" w:rsidRDefault="00D85FAC" w:rsidP="00D85FAC">
            <w:pPr>
              <w:pStyle w:val="table1"/>
            </w:pPr>
            <w:r>
              <w:t>Upstream (Particulate)</w:t>
            </w:r>
          </w:p>
        </w:tc>
        <w:tc>
          <w:tcPr>
            <w:tcW w:w="1985" w:type="dxa"/>
            <w:tcBorders>
              <w:top w:val="single" w:sz="4" w:space="0" w:color="auto"/>
            </w:tcBorders>
            <w:vAlign w:val="bottom"/>
          </w:tcPr>
          <w:p w:rsidR="00D85FAC" w:rsidRDefault="00D85FAC" w:rsidP="00D85FAC">
            <w:pPr>
              <w:pStyle w:val="table1"/>
            </w:pPr>
            <w:r>
              <w:t>22/03/2007–04/04/2007</w:t>
            </w:r>
          </w:p>
        </w:tc>
        <w:tc>
          <w:tcPr>
            <w:tcW w:w="1417" w:type="dxa"/>
            <w:tcBorders>
              <w:top w:val="single" w:sz="4" w:space="0" w:color="auto"/>
            </w:tcBorders>
            <w:vAlign w:val="bottom"/>
          </w:tcPr>
          <w:p w:rsidR="00D85FAC" w:rsidRDefault="00D85FAC" w:rsidP="00D85FAC">
            <w:pPr>
              <w:pStyle w:val="table1"/>
              <w:jc w:val="center"/>
            </w:pPr>
            <w:r>
              <w:t>0.69 ± 0.04</w:t>
            </w:r>
          </w:p>
        </w:tc>
        <w:tc>
          <w:tcPr>
            <w:tcW w:w="1418" w:type="dxa"/>
            <w:tcBorders>
              <w:top w:val="single" w:sz="4" w:space="0" w:color="auto"/>
            </w:tcBorders>
            <w:vAlign w:val="bottom"/>
          </w:tcPr>
          <w:p w:rsidR="00D85FAC" w:rsidRDefault="00D85FAC" w:rsidP="00D85FAC">
            <w:pPr>
              <w:pStyle w:val="table1"/>
              <w:jc w:val="center"/>
            </w:pPr>
            <w:r>
              <w:t>0.33 ± 0.04</w:t>
            </w:r>
          </w:p>
        </w:tc>
        <w:tc>
          <w:tcPr>
            <w:tcW w:w="1276" w:type="dxa"/>
            <w:tcBorders>
              <w:top w:val="single" w:sz="4" w:space="0" w:color="auto"/>
            </w:tcBorders>
            <w:vAlign w:val="bottom"/>
          </w:tcPr>
          <w:p w:rsidR="00D85FAC" w:rsidRDefault="00D85FAC" w:rsidP="00D85FAC">
            <w:pPr>
              <w:pStyle w:val="table1"/>
              <w:jc w:val="center"/>
            </w:pPr>
            <w:r>
              <w:t>2.1 ± 0.1</w:t>
            </w:r>
          </w:p>
        </w:tc>
      </w:tr>
      <w:tr w:rsidR="00D85FAC" w:rsidTr="00D85FAC">
        <w:tc>
          <w:tcPr>
            <w:tcW w:w="2268" w:type="dxa"/>
            <w:vAlign w:val="bottom"/>
          </w:tcPr>
          <w:p w:rsidR="00D85FAC" w:rsidRDefault="00D85FAC" w:rsidP="00D85FAC">
            <w:pPr>
              <w:pStyle w:val="table1"/>
            </w:pPr>
            <w:r>
              <w:t>Downstream (Particulate)</w:t>
            </w:r>
          </w:p>
        </w:tc>
        <w:tc>
          <w:tcPr>
            <w:tcW w:w="1985" w:type="dxa"/>
            <w:vAlign w:val="bottom"/>
          </w:tcPr>
          <w:p w:rsidR="00D85FAC" w:rsidRDefault="00D85FAC" w:rsidP="00D85FAC">
            <w:pPr>
              <w:pStyle w:val="table1"/>
            </w:pPr>
            <w:r>
              <w:t>22/03/2007–04/04/2007</w:t>
            </w:r>
          </w:p>
        </w:tc>
        <w:tc>
          <w:tcPr>
            <w:tcW w:w="1417" w:type="dxa"/>
            <w:vAlign w:val="bottom"/>
          </w:tcPr>
          <w:p w:rsidR="00D85FAC" w:rsidRDefault="00D85FAC" w:rsidP="00D85FAC">
            <w:pPr>
              <w:pStyle w:val="table1"/>
              <w:jc w:val="center"/>
            </w:pPr>
            <w:r>
              <w:t>1.03 ± 0.05</w:t>
            </w:r>
          </w:p>
        </w:tc>
        <w:tc>
          <w:tcPr>
            <w:tcW w:w="1418" w:type="dxa"/>
            <w:vAlign w:val="bottom"/>
          </w:tcPr>
          <w:p w:rsidR="00D85FAC" w:rsidRDefault="00D85FAC" w:rsidP="00D85FAC">
            <w:pPr>
              <w:pStyle w:val="table1"/>
              <w:jc w:val="center"/>
            </w:pPr>
            <w:r>
              <w:t>0.56 ± 0.04</w:t>
            </w:r>
          </w:p>
        </w:tc>
        <w:tc>
          <w:tcPr>
            <w:tcW w:w="1276" w:type="dxa"/>
            <w:vAlign w:val="bottom"/>
          </w:tcPr>
          <w:p w:rsidR="00D85FAC" w:rsidRDefault="00D85FAC" w:rsidP="00D85FAC">
            <w:pPr>
              <w:pStyle w:val="table1"/>
              <w:jc w:val="center"/>
            </w:pPr>
            <w:r>
              <w:t>1.8 ± 0.1</w:t>
            </w:r>
          </w:p>
        </w:tc>
      </w:tr>
      <w:tr w:rsidR="00D85FAC" w:rsidTr="00D85FAC">
        <w:tc>
          <w:tcPr>
            <w:tcW w:w="2268" w:type="dxa"/>
            <w:vAlign w:val="bottom"/>
          </w:tcPr>
          <w:p w:rsidR="00D85FAC" w:rsidRDefault="00D85FAC" w:rsidP="00D85FAC">
            <w:pPr>
              <w:pStyle w:val="table1"/>
            </w:pPr>
            <w:r>
              <w:t>Upstream (Filtrate)</w:t>
            </w:r>
          </w:p>
        </w:tc>
        <w:tc>
          <w:tcPr>
            <w:tcW w:w="1985" w:type="dxa"/>
            <w:vAlign w:val="bottom"/>
          </w:tcPr>
          <w:p w:rsidR="00D85FAC" w:rsidRDefault="00D85FAC" w:rsidP="00D85FAC">
            <w:pPr>
              <w:pStyle w:val="table1"/>
            </w:pPr>
            <w:r>
              <w:t>12/04/2007–03/05/2007</w:t>
            </w:r>
          </w:p>
        </w:tc>
        <w:tc>
          <w:tcPr>
            <w:tcW w:w="1417" w:type="dxa"/>
            <w:vAlign w:val="bottom"/>
          </w:tcPr>
          <w:p w:rsidR="00D85FAC" w:rsidRDefault="00D85FAC" w:rsidP="00D85FAC">
            <w:pPr>
              <w:pStyle w:val="table1"/>
              <w:jc w:val="center"/>
            </w:pPr>
            <w:r>
              <w:t>0.86 ± 0.05</w:t>
            </w:r>
          </w:p>
        </w:tc>
        <w:tc>
          <w:tcPr>
            <w:tcW w:w="1418" w:type="dxa"/>
            <w:vAlign w:val="bottom"/>
          </w:tcPr>
          <w:p w:rsidR="00D85FAC" w:rsidRDefault="00D85FAC" w:rsidP="00D85FAC">
            <w:pPr>
              <w:pStyle w:val="table1"/>
              <w:jc w:val="center"/>
            </w:pPr>
            <w:r>
              <w:t>0.49 ± 0.04</w:t>
            </w:r>
          </w:p>
        </w:tc>
        <w:tc>
          <w:tcPr>
            <w:tcW w:w="1276" w:type="dxa"/>
            <w:vAlign w:val="bottom"/>
          </w:tcPr>
          <w:p w:rsidR="00D85FAC" w:rsidRDefault="00D85FAC" w:rsidP="00D85FAC">
            <w:pPr>
              <w:pStyle w:val="table1"/>
              <w:jc w:val="center"/>
            </w:pPr>
            <w:r>
              <w:t>1.8 ± 0.1</w:t>
            </w:r>
          </w:p>
        </w:tc>
      </w:tr>
      <w:tr w:rsidR="00D85FAC" w:rsidTr="00D85FAC">
        <w:tc>
          <w:tcPr>
            <w:tcW w:w="2268" w:type="dxa"/>
            <w:vAlign w:val="bottom"/>
          </w:tcPr>
          <w:p w:rsidR="00D85FAC" w:rsidRDefault="00D85FAC" w:rsidP="00D85FAC">
            <w:pPr>
              <w:pStyle w:val="table1"/>
            </w:pPr>
            <w:r>
              <w:t>Downstream (Filtrate)</w:t>
            </w:r>
          </w:p>
        </w:tc>
        <w:tc>
          <w:tcPr>
            <w:tcW w:w="1985" w:type="dxa"/>
            <w:vAlign w:val="bottom"/>
          </w:tcPr>
          <w:p w:rsidR="00D85FAC" w:rsidRDefault="00D85FAC" w:rsidP="00D85FAC">
            <w:pPr>
              <w:pStyle w:val="table1"/>
            </w:pPr>
            <w:r>
              <w:t>12/04/2007–03/05/2007</w:t>
            </w:r>
          </w:p>
        </w:tc>
        <w:tc>
          <w:tcPr>
            <w:tcW w:w="1417" w:type="dxa"/>
            <w:vAlign w:val="bottom"/>
          </w:tcPr>
          <w:p w:rsidR="00D85FAC" w:rsidRDefault="00D85FAC" w:rsidP="00D85FAC">
            <w:pPr>
              <w:pStyle w:val="table1"/>
              <w:jc w:val="center"/>
            </w:pPr>
            <w:r>
              <w:t>1.03 ± 0.04</w:t>
            </w:r>
          </w:p>
        </w:tc>
        <w:tc>
          <w:tcPr>
            <w:tcW w:w="1418" w:type="dxa"/>
            <w:vAlign w:val="bottom"/>
          </w:tcPr>
          <w:p w:rsidR="00D85FAC" w:rsidRDefault="00D85FAC" w:rsidP="00D85FAC">
            <w:pPr>
              <w:pStyle w:val="table1"/>
              <w:jc w:val="center"/>
            </w:pPr>
            <w:r>
              <w:t>0.59 ± 0.05</w:t>
            </w:r>
          </w:p>
        </w:tc>
        <w:tc>
          <w:tcPr>
            <w:tcW w:w="1276" w:type="dxa"/>
            <w:vAlign w:val="bottom"/>
          </w:tcPr>
          <w:p w:rsidR="00D85FAC" w:rsidRDefault="00D85FAC" w:rsidP="00D85FAC">
            <w:pPr>
              <w:pStyle w:val="table1"/>
              <w:jc w:val="center"/>
            </w:pPr>
            <w:r>
              <w:t>1.7 ± 0.1</w:t>
            </w:r>
          </w:p>
        </w:tc>
      </w:tr>
      <w:tr w:rsidR="00D85FAC" w:rsidTr="00D85FAC">
        <w:tc>
          <w:tcPr>
            <w:tcW w:w="2268" w:type="dxa"/>
            <w:vAlign w:val="bottom"/>
          </w:tcPr>
          <w:p w:rsidR="00D85FAC" w:rsidRDefault="00D85FAC" w:rsidP="00D85FAC">
            <w:pPr>
              <w:pStyle w:val="table1"/>
            </w:pPr>
            <w:r>
              <w:t>Upstream (Filtrate) – dup</w:t>
            </w:r>
          </w:p>
        </w:tc>
        <w:tc>
          <w:tcPr>
            <w:tcW w:w="1985" w:type="dxa"/>
            <w:vAlign w:val="bottom"/>
          </w:tcPr>
          <w:p w:rsidR="00D85FAC" w:rsidRDefault="00D85FAC" w:rsidP="00D85FAC">
            <w:pPr>
              <w:pStyle w:val="table1"/>
            </w:pPr>
            <w:r>
              <w:t>12/04/2007–03/05/2007</w:t>
            </w:r>
          </w:p>
        </w:tc>
        <w:tc>
          <w:tcPr>
            <w:tcW w:w="1417" w:type="dxa"/>
            <w:vAlign w:val="bottom"/>
          </w:tcPr>
          <w:p w:rsidR="00D85FAC" w:rsidRDefault="00D85FAC" w:rsidP="00D85FAC">
            <w:pPr>
              <w:pStyle w:val="table1"/>
              <w:jc w:val="center"/>
            </w:pPr>
            <w:r>
              <w:t>1.03 ± 0.07</w:t>
            </w:r>
          </w:p>
        </w:tc>
        <w:tc>
          <w:tcPr>
            <w:tcW w:w="1418" w:type="dxa"/>
            <w:vAlign w:val="bottom"/>
          </w:tcPr>
          <w:p w:rsidR="00D85FAC" w:rsidRDefault="00D85FAC" w:rsidP="00D85FAC">
            <w:pPr>
              <w:pStyle w:val="table1"/>
              <w:jc w:val="center"/>
            </w:pPr>
            <w:r>
              <w:t>0.65 ± 0.05</w:t>
            </w:r>
          </w:p>
        </w:tc>
        <w:tc>
          <w:tcPr>
            <w:tcW w:w="1276" w:type="dxa"/>
            <w:vAlign w:val="bottom"/>
          </w:tcPr>
          <w:p w:rsidR="00D85FAC" w:rsidRDefault="00D85FAC" w:rsidP="00D85FAC">
            <w:pPr>
              <w:pStyle w:val="table1"/>
              <w:jc w:val="center"/>
            </w:pPr>
            <w:r>
              <w:t>1.6 ± 0.1</w:t>
            </w:r>
          </w:p>
        </w:tc>
      </w:tr>
      <w:tr w:rsidR="00D85FAC" w:rsidTr="00D85FAC">
        <w:tc>
          <w:tcPr>
            <w:tcW w:w="2268" w:type="dxa"/>
            <w:vAlign w:val="bottom"/>
          </w:tcPr>
          <w:p w:rsidR="00D85FAC" w:rsidRDefault="00D85FAC" w:rsidP="00D85FAC">
            <w:pPr>
              <w:pStyle w:val="table1"/>
            </w:pPr>
            <w:r>
              <w:t>Downstream (Filtrate) - dup</w:t>
            </w:r>
          </w:p>
        </w:tc>
        <w:tc>
          <w:tcPr>
            <w:tcW w:w="1985" w:type="dxa"/>
            <w:vAlign w:val="bottom"/>
          </w:tcPr>
          <w:p w:rsidR="00D85FAC" w:rsidRDefault="00D85FAC" w:rsidP="00D85FAC">
            <w:pPr>
              <w:pStyle w:val="table1"/>
            </w:pPr>
            <w:r>
              <w:t>12/04/2007–03/05/2007</w:t>
            </w:r>
          </w:p>
        </w:tc>
        <w:tc>
          <w:tcPr>
            <w:tcW w:w="1417" w:type="dxa"/>
            <w:vAlign w:val="bottom"/>
          </w:tcPr>
          <w:p w:rsidR="00D85FAC" w:rsidRDefault="00D85FAC" w:rsidP="00D85FAC">
            <w:pPr>
              <w:pStyle w:val="table1"/>
              <w:jc w:val="center"/>
            </w:pPr>
            <w:r>
              <w:t>1.00 ± 0.06</w:t>
            </w:r>
          </w:p>
        </w:tc>
        <w:tc>
          <w:tcPr>
            <w:tcW w:w="1418" w:type="dxa"/>
            <w:vAlign w:val="bottom"/>
          </w:tcPr>
          <w:p w:rsidR="00D85FAC" w:rsidRDefault="00D85FAC" w:rsidP="00D85FAC">
            <w:pPr>
              <w:pStyle w:val="table1"/>
              <w:jc w:val="center"/>
            </w:pPr>
            <w:r>
              <w:t>0.52 ± 0.03</w:t>
            </w:r>
          </w:p>
        </w:tc>
        <w:tc>
          <w:tcPr>
            <w:tcW w:w="1276" w:type="dxa"/>
            <w:vAlign w:val="bottom"/>
          </w:tcPr>
          <w:p w:rsidR="00D85FAC" w:rsidRDefault="00D85FAC" w:rsidP="00D85FAC">
            <w:pPr>
              <w:pStyle w:val="table1"/>
              <w:jc w:val="center"/>
            </w:pPr>
            <w:r>
              <w:t>1.9 ± 0.1</w:t>
            </w:r>
          </w:p>
        </w:tc>
      </w:tr>
      <w:tr w:rsidR="00D85FAC" w:rsidTr="00D85FAC">
        <w:tc>
          <w:tcPr>
            <w:tcW w:w="2268" w:type="dxa"/>
            <w:vAlign w:val="bottom"/>
          </w:tcPr>
          <w:p w:rsidR="00D85FAC" w:rsidRDefault="00D85FAC" w:rsidP="00D85FAC">
            <w:pPr>
              <w:pStyle w:val="table1"/>
            </w:pPr>
            <w:r>
              <w:t>Upstream (Filtrate)</w:t>
            </w:r>
          </w:p>
        </w:tc>
        <w:tc>
          <w:tcPr>
            <w:tcW w:w="1985" w:type="dxa"/>
            <w:vAlign w:val="bottom"/>
          </w:tcPr>
          <w:p w:rsidR="00D85FAC" w:rsidRDefault="00D85FAC" w:rsidP="00D85FAC">
            <w:pPr>
              <w:pStyle w:val="table1"/>
            </w:pPr>
            <w:r>
              <w:t>10/05/2007–31/05/2007</w:t>
            </w:r>
          </w:p>
        </w:tc>
        <w:tc>
          <w:tcPr>
            <w:tcW w:w="1417" w:type="dxa"/>
            <w:vAlign w:val="bottom"/>
          </w:tcPr>
          <w:p w:rsidR="00D85FAC" w:rsidRDefault="00D85FAC" w:rsidP="00D85FAC">
            <w:pPr>
              <w:pStyle w:val="table1"/>
              <w:jc w:val="center"/>
            </w:pPr>
            <w:r>
              <w:t>1.20 ± 0.04</w:t>
            </w:r>
          </w:p>
        </w:tc>
        <w:tc>
          <w:tcPr>
            <w:tcW w:w="1418" w:type="dxa"/>
            <w:vAlign w:val="bottom"/>
          </w:tcPr>
          <w:p w:rsidR="00D85FAC" w:rsidRDefault="00D85FAC" w:rsidP="00D85FAC">
            <w:pPr>
              <w:pStyle w:val="table1"/>
              <w:jc w:val="center"/>
            </w:pPr>
            <w:r>
              <w:t>0.61 ± 0.05</w:t>
            </w:r>
          </w:p>
        </w:tc>
        <w:tc>
          <w:tcPr>
            <w:tcW w:w="1276" w:type="dxa"/>
            <w:vAlign w:val="bottom"/>
          </w:tcPr>
          <w:p w:rsidR="00D85FAC" w:rsidRDefault="00D85FAC" w:rsidP="00D85FAC">
            <w:pPr>
              <w:pStyle w:val="table1"/>
              <w:jc w:val="center"/>
            </w:pPr>
            <w:r>
              <w:t>2.0 ± 0.1</w:t>
            </w:r>
          </w:p>
        </w:tc>
      </w:tr>
      <w:tr w:rsidR="00D85FAC" w:rsidTr="00D85FAC">
        <w:tc>
          <w:tcPr>
            <w:tcW w:w="2268" w:type="dxa"/>
            <w:vAlign w:val="bottom"/>
          </w:tcPr>
          <w:p w:rsidR="00D85FAC" w:rsidRDefault="00D85FAC" w:rsidP="00D85FAC">
            <w:pPr>
              <w:pStyle w:val="table1"/>
            </w:pPr>
            <w:r>
              <w:t>Downstream (Filtrate)</w:t>
            </w:r>
          </w:p>
        </w:tc>
        <w:tc>
          <w:tcPr>
            <w:tcW w:w="1985" w:type="dxa"/>
            <w:vAlign w:val="bottom"/>
          </w:tcPr>
          <w:p w:rsidR="00D85FAC" w:rsidRDefault="00D85FAC" w:rsidP="00D85FAC">
            <w:pPr>
              <w:pStyle w:val="table1"/>
            </w:pPr>
            <w:r>
              <w:t>10/05/2007–31/05/2007</w:t>
            </w:r>
          </w:p>
        </w:tc>
        <w:tc>
          <w:tcPr>
            <w:tcW w:w="1417" w:type="dxa"/>
            <w:vAlign w:val="bottom"/>
          </w:tcPr>
          <w:p w:rsidR="00D85FAC" w:rsidRDefault="00D85FAC" w:rsidP="00D85FAC">
            <w:pPr>
              <w:pStyle w:val="table1"/>
              <w:jc w:val="center"/>
            </w:pPr>
            <w:r>
              <w:t>1.20 ± 0.04</w:t>
            </w:r>
          </w:p>
        </w:tc>
        <w:tc>
          <w:tcPr>
            <w:tcW w:w="1418" w:type="dxa"/>
            <w:vAlign w:val="bottom"/>
          </w:tcPr>
          <w:p w:rsidR="00D85FAC" w:rsidRDefault="00D85FAC" w:rsidP="00D85FAC">
            <w:pPr>
              <w:pStyle w:val="table1"/>
              <w:jc w:val="center"/>
            </w:pPr>
            <w:r>
              <w:t>0.57 ± 0.05</w:t>
            </w:r>
          </w:p>
        </w:tc>
        <w:tc>
          <w:tcPr>
            <w:tcW w:w="1276" w:type="dxa"/>
            <w:vAlign w:val="bottom"/>
          </w:tcPr>
          <w:p w:rsidR="00D85FAC" w:rsidRDefault="00D85FAC" w:rsidP="00D85FAC">
            <w:pPr>
              <w:pStyle w:val="table1"/>
              <w:jc w:val="center"/>
            </w:pPr>
            <w:r>
              <w:t>2.1 ± 0.1</w:t>
            </w:r>
          </w:p>
        </w:tc>
      </w:tr>
      <w:tr w:rsidR="00D85FAC" w:rsidTr="00D85FAC">
        <w:tc>
          <w:tcPr>
            <w:tcW w:w="2268" w:type="dxa"/>
            <w:vAlign w:val="bottom"/>
          </w:tcPr>
          <w:p w:rsidR="00D85FAC" w:rsidRDefault="00D85FAC" w:rsidP="00D85FAC">
            <w:pPr>
              <w:pStyle w:val="table1"/>
            </w:pPr>
            <w:r>
              <w:t>Upstream (Filtrate)</w:t>
            </w:r>
          </w:p>
        </w:tc>
        <w:tc>
          <w:tcPr>
            <w:tcW w:w="1985" w:type="dxa"/>
            <w:vAlign w:val="bottom"/>
          </w:tcPr>
          <w:p w:rsidR="00D85FAC" w:rsidRDefault="00D85FAC" w:rsidP="00D85FAC">
            <w:pPr>
              <w:pStyle w:val="table1"/>
            </w:pPr>
            <w:r>
              <w:t>08/06/2007–28/06/2007</w:t>
            </w:r>
          </w:p>
        </w:tc>
        <w:tc>
          <w:tcPr>
            <w:tcW w:w="1417" w:type="dxa"/>
            <w:vAlign w:val="bottom"/>
          </w:tcPr>
          <w:p w:rsidR="00D85FAC" w:rsidRDefault="00D85FAC" w:rsidP="00D85FAC">
            <w:pPr>
              <w:pStyle w:val="table1"/>
              <w:jc w:val="center"/>
            </w:pPr>
            <w:r>
              <w:t>1.00 ± 0.05</w:t>
            </w:r>
          </w:p>
        </w:tc>
        <w:tc>
          <w:tcPr>
            <w:tcW w:w="1418" w:type="dxa"/>
            <w:vAlign w:val="bottom"/>
          </w:tcPr>
          <w:p w:rsidR="00D85FAC" w:rsidRDefault="00D85FAC" w:rsidP="00D85FAC">
            <w:pPr>
              <w:pStyle w:val="table1"/>
              <w:jc w:val="center"/>
            </w:pPr>
            <w:r>
              <w:t>0.60 ± 0.07</w:t>
            </w:r>
          </w:p>
        </w:tc>
        <w:tc>
          <w:tcPr>
            <w:tcW w:w="1276" w:type="dxa"/>
            <w:vAlign w:val="bottom"/>
          </w:tcPr>
          <w:p w:rsidR="00D85FAC" w:rsidRDefault="00D85FAC" w:rsidP="00D85FAC">
            <w:pPr>
              <w:pStyle w:val="table1"/>
              <w:jc w:val="center"/>
            </w:pPr>
            <w:r>
              <w:t>1.7 ± 0.1</w:t>
            </w:r>
          </w:p>
        </w:tc>
      </w:tr>
      <w:tr w:rsidR="00D85FAC" w:rsidTr="00D85FAC">
        <w:tc>
          <w:tcPr>
            <w:tcW w:w="2268" w:type="dxa"/>
            <w:vAlign w:val="bottom"/>
          </w:tcPr>
          <w:p w:rsidR="00D85FAC" w:rsidRDefault="00D85FAC" w:rsidP="00D85FAC">
            <w:pPr>
              <w:pStyle w:val="table1"/>
            </w:pPr>
            <w:r>
              <w:t>Downstream (Filtrate)</w:t>
            </w:r>
          </w:p>
        </w:tc>
        <w:tc>
          <w:tcPr>
            <w:tcW w:w="1985" w:type="dxa"/>
            <w:vAlign w:val="bottom"/>
          </w:tcPr>
          <w:p w:rsidR="00D85FAC" w:rsidRDefault="00D85FAC" w:rsidP="00D85FAC">
            <w:pPr>
              <w:pStyle w:val="table1"/>
            </w:pPr>
            <w:r>
              <w:t>08/06/2007–28/06/2007</w:t>
            </w:r>
          </w:p>
        </w:tc>
        <w:tc>
          <w:tcPr>
            <w:tcW w:w="1417" w:type="dxa"/>
            <w:vAlign w:val="bottom"/>
          </w:tcPr>
          <w:p w:rsidR="00D85FAC" w:rsidRDefault="00D85FAC" w:rsidP="00D85FAC">
            <w:pPr>
              <w:pStyle w:val="table1"/>
              <w:jc w:val="center"/>
            </w:pPr>
            <w:r>
              <w:t>1.27 ± 0.08</w:t>
            </w:r>
          </w:p>
        </w:tc>
        <w:tc>
          <w:tcPr>
            <w:tcW w:w="1418" w:type="dxa"/>
            <w:vAlign w:val="bottom"/>
          </w:tcPr>
          <w:p w:rsidR="00D85FAC" w:rsidRDefault="00D85FAC" w:rsidP="00D85FAC">
            <w:pPr>
              <w:pStyle w:val="table1"/>
              <w:jc w:val="center"/>
            </w:pPr>
            <w:r>
              <w:t>0.57 ± 0.04</w:t>
            </w:r>
          </w:p>
        </w:tc>
        <w:tc>
          <w:tcPr>
            <w:tcW w:w="1276" w:type="dxa"/>
            <w:vAlign w:val="bottom"/>
          </w:tcPr>
          <w:p w:rsidR="00D85FAC" w:rsidRDefault="00D85FAC" w:rsidP="00D85FAC">
            <w:pPr>
              <w:pStyle w:val="table1"/>
              <w:jc w:val="center"/>
            </w:pPr>
            <w:r>
              <w:t>2.2 ± 0.1</w:t>
            </w:r>
          </w:p>
        </w:tc>
      </w:tr>
      <w:tr w:rsidR="00D85FAC" w:rsidTr="00D85FAC">
        <w:tc>
          <w:tcPr>
            <w:tcW w:w="2268" w:type="dxa"/>
            <w:vAlign w:val="bottom"/>
          </w:tcPr>
          <w:p w:rsidR="00D85FAC" w:rsidRDefault="00D85FAC" w:rsidP="00D85FAC">
            <w:pPr>
              <w:pStyle w:val="table1"/>
            </w:pPr>
            <w:r>
              <w:t>Downstream (Filtrate)</w:t>
            </w:r>
          </w:p>
        </w:tc>
        <w:tc>
          <w:tcPr>
            <w:tcW w:w="1985" w:type="dxa"/>
            <w:vAlign w:val="bottom"/>
          </w:tcPr>
          <w:p w:rsidR="00D85FAC" w:rsidRDefault="00D85FAC" w:rsidP="00D85FAC">
            <w:pPr>
              <w:pStyle w:val="table1"/>
            </w:pPr>
            <w:r>
              <w:t>06/07/2007–26/07/2007</w:t>
            </w:r>
          </w:p>
        </w:tc>
        <w:tc>
          <w:tcPr>
            <w:tcW w:w="1417" w:type="dxa"/>
            <w:vAlign w:val="bottom"/>
          </w:tcPr>
          <w:p w:rsidR="00D85FAC" w:rsidRDefault="00D85FAC" w:rsidP="00D85FAC">
            <w:pPr>
              <w:pStyle w:val="table1"/>
              <w:jc w:val="center"/>
            </w:pPr>
            <w:r>
              <w:t>1.12 ± 0.07</w:t>
            </w:r>
          </w:p>
        </w:tc>
        <w:tc>
          <w:tcPr>
            <w:tcW w:w="1418" w:type="dxa"/>
            <w:vAlign w:val="bottom"/>
          </w:tcPr>
          <w:p w:rsidR="00D85FAC" w:rsidRDefault="00D85FAC" w:rsidP="00D85FAC">
            <w:pPr>
              <w:pStyle w:val="table1"/>
              <w:jc w:val="center"/>
            </w:pPr>
            <w:r>
              <w:t>0.50 ± 0.04</w:t>
            </w:r>
          </w:p>
        </w:tc>
        <w:tc>
          <w:tcPr>
            <w:tcW w:w="1276" w:type="dxa"/>
            <w:vAlign w:val="bottom"/>
          </w:tcPr>
          <w:p w:rsidR="00D85FAC" w:rsidRDefault="00D85FAC" w:rsidP="00D85FAC">
            <w:pPr>
              <w:pStyle w:val="table1"/>
              <w:jc w:val="center"/>
            </w:pPr>
            <w:r>
              <w:t>2.2 ± 0.1</w:t>
            </w:r>
          </w:p>
        </w:tc>
      </w:tr>
      <w:tr w:rsidR="00D85FAC" w:rsidRPr="00411EED" w:rsidTr="00D85FAC">
        <w:tc>
          <w:tcPr>
            <w:tcW w:w="2268" w:type="dxa"/>
            <w:tcBorders>
              <w:top w:val="single" w:sz="4" w:space="0" w:color="auto"/>
            </w:tcBorders>
          </w:tcPr>
          <w:p w:rsidR="00D85FAC" w:rsidRPr="00411EED" w:rsidRDefault="00D85FAC" w:rsidP="00D85FAC">
            <w:pPr>
              <w:pStyle w:val="table1"/>
            </w:pPr>
            <w:r w:rsidRPr="00411EED">
              <w:t>Mean (filtrate only)</w:t>
            </w:r>
          </w:p>
        </w:tc>
        <w:tc>
          <w:tcPr>
            <w:tcW w:w="1985" w:type="dxa"/>
            <w:tcBorders>
              <w:top w:val="single" w:sz="4" w:space="0" w:color="auto"/>
            </w:tcBorders>
          </w:tcPr>
          <w:p w:rsidR="00D85FAC" w:rsidRPr="00411EED" w:rsidRDefault="00D85FAC" w:rsidP="00D85FAC">
            <w:pPr>
              <w:pStyle w:val="table1"/>
            </w:pPr>
          </w:p>
        </w:tc>
        <w:tc>
          <w:tcPr>
            <w:tcW w:w="1417" w:type="dxa"/>
            <w:tcBorders>
              <w:top w:val="single" w:sz="4" w:space="0" w:color="auto"/>
            </w:tcBorders>
            <w:vAlign w:val="bottom"/>
          </w:tcPr>
          <w:p w:rsidR="00D85FAC" w:rsidRPr="00411EED" w:rsidRDefault="00D85FAC" w:rsidP="00D85FAC">
            <w:pPr>
              <w:pStyle w:val="table1"/>
              <w:jc w:val="center"/>
            </w:pPr>
            <w:r w:rsidRPr="00411EED">
              <w:rPr>
                <w:szCs w:val="22"/>
              </w:rPr>
              <w:t>1.08 ± 0.02</w:t>
            </w:r>
          </w:p>
        </w:tc>
        <w:tc>
          <w:tcPr>
            <w:tcW w:w="1418" w:type="dxa"/>
            <w:tcBorders>
              <w:top w:val="single" w:sz="4" w:space="0" w:color="auto"/>
            </w:tcBorders>
            <w:vAlign w:val="bottom"/>
          </w:tcPr>
          <w:p w:rsidR="00D85FAC" w:rsidRPr="00411EED" w:rsidRDefault="00D85FAC" w:rsidP="00D85FAC">
            <w:pPr>
              <w:pStyle w:val="table1"/>
              <w:jc w:val="center"/>
            </w:pPr>
            <w:r w:rsidRPr="00411EED">
              <w:rPr>
                <w:szCs w:val="22"/>
              </w:rPr>
              <w:t>0.57 ± 0.01</w:t>
            </w:r>
          </w:p>
        </w:tc>
        <w:tc>
          <w:tcPr>
            <w:tcW w:w="1276" w:type="dxa"/>
            <w:tcBorders>
              <w:top w:val="single" w:sz="4" w:space="0" w:color="auto"/>
            </w:tcBorders>
            <w:vAlign w:val="bottom"/>
          </w:tcPr>
          <w:p w:rsidR="00D85FAC" w:rsidRPr="00411EED" w:rsidRDefault="00D85FAC" w:rsidP="00D85FAC">
            <w:pPr>
              <w:pStyle w:val="table1"/>
              <w:jc w:val="center"/>
            </w:pPr>
            <w:r w:rsidRPr="00411EED">
              <w:rPr>
                <w:szCs w:val="22"/>
              </w:rPr>
              <w:t>1.9 ± 0.2</w:t>
            </w:r>
          </w:p>
        </w:tc>
      </w:tr>
      <w:tr w:rsidR="00D85FAC" w:rsidRPr="00411EED" w:rsidTr="00D85FAC">
        <w:tc>
          <w:tcPr>
            <w:tcW w:w="2268" w:type="dxa"/>
          </w:tcPr>
          <w:p w:rsidR="00D85FAC" w:rsidRPr="00411EED" w:rsidRDefault="00D85FAC" w:rsidP="00D85FAC">
            <w:pPr>
              <w:pStyle w:val="table1"/>
            </w:pPr>
            <w:r w:rsidRPr="00411EED">
              <w:t>Mean (u/s, filtrate only)</w:t>
            </w:r>
          </w:p>
        </w:tc>
        <w:tc>
          <w:tcPr>
            <w:tcW w:w="1985" w:type="dxa"/>
          </w:tcPr>
          <w:p w:rsidR="00D85FAC" w:rsidRPr="00411EED" w:rsidRDefault="00D85FAC" w:rsidP="00D85FAC">
            <w:pPr>
              <w:pStyle w:val="table1"/>
            </w:pPr>
          </w:p>
        </w:tc>
        <w:tc>
          <w:tcPr>
            <w:tcW w:w="1417" w:type="dxa"/>
            <w:vAlign w:val="bottom"/>
          </w:tcPr>
          <w:p w:rsidR="00D85FAC" w:rsidRPr="00411EED" w:rsidRDefault="00D85FAC" w:rsidP="00D85FAC">
            <w:pPr>
              <w:pStyle w:val="table1"/>
              <w:jc w:val="center"/>
            </w:pPr>
            <w:r w:rsidRPr="00411EED">
              <w:rPr>
                <w:szCs w:val="22"/>
              </w:rPr>
              <w:t>1.02 ± 0.14</w:t>
            </w:r>
          </w:p>
        </w:tc>
        <w:tc>
          <w:tcPr>
            <w:tcW w:w="1418" w:type="dxa"/>
            <w:vAlign w:val="bottom"/>
          </w:tcPr>
          <w:p w:rsidR="00D85FAC" w:rsidRPr="00411EED" w:rsidRDefault="00D85FAC" w:rsidP="00D85FAC">
            <w:pPr>
              <w:pStyle w:val="table1"/>
              <w:jc w:val="center"/>
            </w:pPr>
            <w:r w:rsidRPr="00411EED">
              <w:rPr>
                <w:szCs w:val="22"/>
              </w:rPr>
              <w:t>0.59 ± 0.07</w:t>
            </w:r>
          </w:p>
        </w:tc>
        <w:tc>
          <w:tcPr>
            <w:tcW w:w="1276" w:type="dxa"/>
            <w:vAlign w:val="bottom"/>
          </w:tcPr>
          <w:p w:rsidR="00D85FAC" w:rsidRPr="00411EED" w:rsidRDefault="00D85FAC" w:rsidP="00D85FAC">
            <w:pPr>
              <w:pStyle w:val="table1"/>
              <w:jc w:val="center"/>
            </w:pPr>
            <w:r w:rsidRPr="00411EED">
              <w:rPr>
                <w:szCs w:val="22"/>
              </w:rPr>
              <w:t>1.7 ± 0.</w:t>
            </w:r>
            <w:r>
              <w:rPr>
                <w:szCs w:val="22"/>
              </w:rPr>
              <w:t>2</w:t>
            </w:r>
          </w:p>
        </w:tc>
      </w:tr>
      <w:tr w:rsidR="00D85FAC" w:rsidRPr="00411EED" w:rsidTr="00D85FAC">
        <w:tc>
          <w:tcPr>
            <w:tcW w:w="2268" w:type="dxa"/>
            <w:tcBorders>
              <w:bottom w:val="single" w:sz="4" w:space="0" w:color="auto"/>
            </w:tcBorders>
          </w:tcPr>
          <w:p w:rsidR="00D85FAC" w:rsidRPr="00411EED" w:rsidRDefault="00D85FAC" w:rsidP="00D85FAC">
            <w:pPr>
              <w:pStyle w:val="table1"/>
            </w:pPr>
            <w:r w:rsidRPr="00411EED">
              <w:t>Mean (d/s, filtrate only)</w:t>
            </w:r>
          </w:p>
        </w:tc>
        <w:tc>
          <w:tcPr>
            <w:tcW w:w="1985" w:type="dxa"/>
            <w:tcBorders>
              <w:bottom w:val="single" w:sz="4" w:space="0" w:color="auto"/>
            </w:tcBorders>
          </w:tcPr>
          <w:p w:rsidR="00D85FAC" w:rsidRPr="00411EED" w:rsidRDefault="00D85FAC" w:rsidP="00D85FAC">
            <w:pPr>
              <w:pStyle w:val="table1"/>
            </w:pPr>
          </w:p>
        </w:tc>
        <w:tc>
          <w:tcPr>
            <w:tcW w:w="1417" w:type="dxa"/>
            <w:tcBorders>
              <w:bottom w:val="single" w:sz="4" w:space="0" w:color="auto"/>
            </w:tcBorders>
            <w:vAlign w:val="bottom"/>
          </w:tcPr>
          <w:p w:rsidR="00D85FAC" w:rsidRPr="00411EED" w:rsidRDefault="00D85FAC" w:rsidP="00D85FAC">
            <w:pPr>
              <w:pStyle w:val="table1"/>
              <w:jc w:val="center"/>
            </w:pPr>
            <w:r w:rsidRPr="00411EED">
              <w:rPr>
                <w:szCs w:val="22"/>
              </w:rPr>
              <w:t>1.12 ± 0.11</w:t>
            </w:r>
          </w:p>
        </w:tc>
        <w:tc>
          <w:tcPr>
            <w:tcW w:w="1418" w:type="dxa"/>
            <w:tcBorders>
              <w:bottom w:val="single" w:sz="4" w:space="0" w:color="auto"/>
            </w:tcBorders>
            <w:vAlign w:val="bottom"/>
          </w:tcPr>
          <w:p w:rsidR="00D85FAC" w:rsidRPr="00411EED" w:rsidRDefault="00D85FAC" w:rsidP="00D85FAC">
            <w:pPr>
              <w:pStyle w:val="table1"/>
              <w:jc w:val="center"/>
            </w:pPr>
            <w:r w:rsidRPr="00411EED">
              <w:rPr>
                <w:szCs w:val="22"/>
              </w:rPr>
              <w:t>0.55 ± 0.04</w:t>
            </w:r>
          </w:p>
        </w:tc>
        <w:tc>
          <w:tcPr>
            <w:tcW w:w="1276" w:type="dxa"/>
            <w:tcBorders>
              <w:bottom w:val="single" w:sz="4" w:space="0" w:color="auto"/>
            </w:tcBorders>
            <w:vAlign w:val="bottom"/>
          </w:tcPr>
          <w:p w:rsidR="00D85FAC" w:rsidRPr="00411EED" w:rsidRDefault="00D85FAC" w:rsidP="00D85FAC">
            <w:pPr>
              <w:pStyle w:val="table1"/>
              <w:jc w:val="center"/>
            </w:pPr>
            <w:r w:rsidRPr="00411EED">
              <w:rPr>
                <w:szCs w:val="22"/>
              </w:rPr>
              <w:t>2.0 ± 0.2</w:t>
            </w:r>
          </w:p>
        </w:tc>
      </w:tr>
    </w:tbl>
    <w:p w:rsidR="00D85FAC" w:rsidRDefault="00D85FAC" w:rsidP="00D85FAC">
      <w:pPr>
        <w:pStyle w:val="tablenote"/>
      </w:pPr>
      <w:r>
        <w:t>NOTE:  For individual results, associated uncertainties given are one standard deviation based on counting statistics only.</w:t>
      </w:r>
    </w:p>
    <w:p w:rsidR="00D85FAC" w:rsidRDefault="00D85FAC" w:rsidP="00D85FAC">
      <w:pPr>
        <w:pStyle w:val="Heading2"/>
      </w:pPr>
      <w:bookmarkStart w:id="268" w:name="_Toc316985338"/>
      <w:r>
        <w:t>References</w:t>
      </w:r>
      <w:bookmarkEnd w:id="268"/>
    </w:p>
    <w:p w:rsidR="00D85FAC" w:rsidRDefault="00D85FAC" w:rsidP="00D85FAC">
      <w:pPr>
        <w:pStyle w:val="referencelist1"/>
      </w:pPr>
      <w:proofErr w:type="gramStart"/>
      <w:r>
        <w:t>Bollhöfer A &amp; Martin P 2003.</w:t>
      </w:r>
      <w:proofErr w:type="gramEnd"/>
      <w:r>
        <w:t xml:space="preserve"> Radioactive and radiogenic isotopes in Ngarradj (Swift Creek) sediments: a baseline study. </w:t>
      </w:r>
      <w:r>
        <w:rPr>
          <w:snapToGrid w:val="0"/>
        </w:rPr>
        <w:t>Internal Report 404</w:t>
      </w:r>
      <w:r>
        <w:rPr>
          <w:snapToGrid w:val="0"/>
          <w:lang w:val="en-US"/>
        </w:rPr>
        <w:t xml:space="preserve">, February, </w:t>
      </w:r>
      <w:r>
        <w:rPr>
          <w:snapToGrid w:val="0"/>
        </w:rPr>
        <w:t xml:space="preserve">Supervising Scientist, Darwin. </w:t>
      </w:r>
      <w:proofErr w:type="gramStart"/>
      <w:r>
        <w:rPr>
          <w:snapToGrid w:val="0"/>
        </w:rPr>
        <w:t>Unpublished paper.</w:t>
      </w:r>
      <w:proofErr w:type="gramEnd"/>
    </w:p>
    <w:p w:rsidR="00D85FAC" w:rsidRPr="001F6E4E" w:rsidRDefault="00D85FAC" w:rsidP="00D85FAC">
      <w:pPr>
        <w:pStyle w:val="referencelist1"/>
        <w:rPr>
          <w:rFonts w:ascii="Times" w:hAnsi="Times"/>
          <w:spacing w:val="-2"/>
          <w:szCs w:val="22"/>
        </w:rPr>
      </w:pPr>
      <w:r w:rsidRPr="001F6E4E">
        <w:rPr>
          <w:rFonts w:ascii="Times" w:hAnsi="Times"/>
          <w:spacing w:val="-2"/>
          <w:szCs w:val="22"/>
        </w:rPr>
        <w:t xml:space="preserve">Bollhöfer A, Brazier J, Ryan B, Humphrey C &amp; Esparon A 2011. </w:t>
      </w:r>
      <w:proofErr w:type="gramStart"/>
      <w:r w:rsidRPr="001F6E4E">
        <w:rPr>
          <w:rFonts w:ascii="Times" w:hAnsi="Times"/>
          <w:spacing w:val="-2"/>
          <w:szCs w:val="22"/>
        </w:rPr>
        <w:t xml:space="preserve">A study of radium bioaccumulation in freshwater mussels, </w:t>
      </w:r>
      <w:r w:rsidRPr="001F6E4E">
        <w:rPr>
          <w:rFonts w:ascii="Times" w:hAnsi="Times"/>
          <w:i/>
          <w:spacing w:val="-2"/>
          <w:szCs w:val="22"/>
        </w:rPr>
        <w:t>Velesunio angasi</w:t>
      </w:r>
      <w:r w:rsidRPr="001F6E4E">
        <w:rPr>
          <w:rFonts w:ascii="Times" w:hAnsi="Times"/>
          <w:spacing w:val="-2"/>
          <w:szCs w:val="22"/>
        </w:rPr>
        <w:t>, in the Magela Creek catchment, Northern Territory, Australia.</w:t>
      </w:r>
      <w:proofErr w:type="gramEnd"/>
      <w:r w:rsidRPr="001F6E4E">
        <w:rPr>
          <w:rFonts w:ascii="Times" w:hAnsi="Times"/>
          <w:spacing w:val="-2"/>
          <w:szCs w:val="22"/>
        </w:rPr>
        <w:t xml:space="preserve"> </w:t>
      </w:r>
      <w:r w:rsidRPr="001F6E4E">
        <w:rPr>
          <w:i/>
          <w:spacing w:val="-2"/>
          <w:szCs w:val="22"/>
        </w:rPr>
        <w:t>Journal of Environmental Radioactivity</w:t>
      </w:r>
      <w:r w:rsidRPr="001F6E4E">
        <w:rPr>
          <w:rFonts w:ascii="Times" w:hAnsi="Times"/>
          <w:spacing w:val="-2"/>
          <w:szCs w:val="22"/>
        </w:rPr>
        <w:t xml:space="preserve"> 102, 964–974.</w:t>
      </w:r>
    </w:p>
    <w:p w:rsidR="00D85FAC" w:rsidRDefault="00D85FAC" w:rsidP="00D85FAC">
      <w:pPr>
        <w:pStyle w:val="referencelist1"/>
        <w:rPr>
          <w:snapToGrid w:val="0"/>
        </w:rPr>
      </w:pPr>
      <w:proofErr w:type="gramStart"/>
      <w:r>
        <w:t>Klessa D 2001.</w:t>
      </w:r>
      <w:proofErr w:type="gramEnd"/>
      <w:r>
        <w:t xml:space="preserve"> Water quality in Magela Creek upstream and downstream of Ranger: A summary of performance for 2000–2001 and derived triggers and limits for 2001–2002. </w:t>
      </w:r>
      <w:r>
        <w:rPr>
          <w:snapToGrid w:val="0"/>
        </w:rPr>
        <w:t xml:space="preserve">Internal Report 380, Supervising Scientist, </w:t>
      </w:r>
      <w:smartTag w:uri="urn:schemas-microsoft-com:office:smarttags" w:element="place">
        <w:smartTag w:uri="urn:schemas-microsoft-com:office:smarttags" w:element="City">
          <w:r>
            <w:rPr>
              <w:snapToGrid w:val="0"/>
            </w:rPr>
            <w:t>Darwin</w:t>
          </w:r>
        </w:smartTag>
      </w:smartTag>
      <w:r>
        <w:rPr>
          <w:snapToGrid w:val="0"/>
        </w:rPr>
        <w:t xml:space="preserve">. </w:t>
      </w:r>
      <w:proofErr w:type="gramStart"/>
      <w:r>
        <w:rPr>
          <w:snapToGrid w:val="0"/>
        </w:rPr>
        <w:t>Unpublished paper.</w:t>
      </w:r>
      <w:proofErr w:type="gramEnd"/>
      <w:r>
        <w:rPr>
          <w:snapToGrid w:val="0"/>
        </w:rPr>
        <w:t xml:space="preserve"> </w:t>
      </w:r>
    </w:p>
    <w:p w:rsidR="00D85FAC" w:rsidRPr="001F6E4E" w:rsidRDefault="00D85FAC" w:rsidP="00D85FAC">
      <w:pPr>
        <w:ind w:left="360" w:hanging="360"/>
        <w:rPr>
          <w:spacing w:val="-2"/>
          <w:szCs w:val="22"/>
        </w:rPr>
      </w:pPr>
      <w:proofErr w:type="gramStart"/>
      <w:r w:rsidRPr="001F6E4E">
        <w:rPr>
          <w:spacing w:val="-2"/>
          <w:szCs w:val="22"/>
        </w:rPr>
        <w:t>Martin P, Hancock GJ, Johnston A &amp; Murray AS 1998.</w:t>
      </w:r>
      <w:proofErr w:type="gramEnd"/>
      <w:r w:rsidRPr="001F6E4E">
        <w:rPr>
          <w:spacing w:val="-2"/>
          <w:szCs w:val="22"/>
        </w:rPr>
        <w:t xml:space="preserve"> </w:t>
      </w:r>
      <w:proofErr w:type="gramStart"/>
      <w:r w:rsidRPr="001F6E4E">
        <w:rPr>
          <w:spacing w:val="-2"/>
          <w:szCs w:val="22"/>
        </w:rPr>
        <w:t>Natural-series radionuclides in traditional north Australian Aboriginal foods.</w:t>
      </w:r>
      <w:proofErr w:type="gramEnd"/>
      <w:r w:rsidRPr="001F6E4E">
        <w:rPr>
          <w:spacing w:val="-2"/>
          <w:szCs w:val="22"/>
        </w:rPr>
        <w:t xml:space="preserve"> </w:t>
      </w:r>
      <w:r w:rsidRPr="001F6E4E">
        <w:rPr>
          <w:i/>
          <w:spacing w:val="-2"/>
          <w:szCs w:val="22"/>
        </w:rPr>
        <w:t>Journal of Environmental Radioactivity</w:t>
      </w:r>
      <w:r w:rsidRPr="001F6E4E">
        <w:rPr>
          <w:spacing w:val="-2"/>
          <w:szCs w:val="22"/>
        </w:rPr>
        <w:t xml:space="preserve"> 40, 37–58.</w:t>
      </w:r>
    </w:p>
    <w:p w:rsidR="00D85FAC" w:rsidRDefault="00D85FAC" w:rsidP="00D85FAC">
      <w:pPr>
        <w:pStyle w:val="referencelist1"/>
      </w:pPr>
      <w:proofErr w:type="gramStart"/>
      <w:r>
        <w:t>Medley P, Bollhöfer A, Iles M, Ryan B &amp; Martin P 2005.</w:t>
      </w:r>
      <w:proofErr w:type="gramEnd"/>
      <w:r>
        <w:t xml:space="preserve"> </w:t>
      </w:r>
      <w:proofErr w:type="gramStart"/>
      <w:r>
        <w:t>Barium sulphate method for radium-226 analysis by alpha spectrometry, Internal Report 501, Supervising Scientist, Darwin, Unpublished paper.</w:t>
      </w:r>
      <w:proofErr w:type="gramEnd"/>
    </w:p>
    <w:p w:rsidR="00D85FAC" w:rsidRPr="001F6E4E" w:rsidRDefault="00D85FAC" w:rsidP="00D85FAC">
      <w:pPr>
        <w:pStyle w:val="referencelist1"/>
        <w:rPr>
          <w:spacing w:val="-2"/>
        </w:rPr>
      </w:pPr>
      <w:proofErr w:type="gramStart"/>
      <w:r w:rsidRPr="001F6E4E">
        <w:rPr>
          <w:spacing w:val="-2"/>
        </w:rPr>
        <w:t>Medley P 2010.</w:t>
      </w:r>
      <w:proofErr w:type="gramEnd"/>
      <w:r w:rsidRPr="001F6E4E">
        <w:rPr>
          <w:spacing w:val="-2"/>
        </w:rPr>
        <w:t xml:space="preserve"> </w:t>
      </w:r>
      <w:proofErr w:type="gramStart"/>
      <w:r w:rsidRPr="001F6E4E">
        <w:rPr>
          <w:spacing w:val="-2"/>
        </w:rPr>
        <w:t>Barium sulphate method for consecutive determination of radium-226 and radium-228 on the same source.</w:t>
      </w:r>
      <w:proofErr w:type="gramEnd"/>
      <w:r w:rsidRPr="001F6E4E">
        <w:rPr>
          <w:spacing w:val="-2"/>
        </w:rPr>
        <w:t xml:space="preserve"> </w:t>
      </w:r>
      <w:proofErr w:type="gramStart"/>
      <w:r w:rsidRPr="001F6E4E">
        <w:rPr>
          <w:spacing w:val="-2"/>
        </w:rPr>
        <w:t>Internal Report 544, April, Supervising Scientist, Darwin.</w:t>
      </w:r>
      <w:proofErr w:type="gramEnd"/>
    </w:p>
    <w:p w:rsidR="00D85FAC" w:rsidRDefault="00D85FAC" w:rsidP="00D85FAC">
      <w:pPr>
        <w:pStyle w:val="referencelist1"/>
      </w:pPr>
      <w:r>
        <w:t xml:space="preserve">Medley P, Bollhöfer A, Parry D, Ryan B, Sellwood J &amp; Martin P 2011. </w:t>
      </w:r>
      <w:r w:rsidRPr="00515227">
        <w:t>Radium concentration factors in passionfruit (</w:t>
      </w:r>
      <w:r w:rsidRPr="001F6E4E">
        <w:rPr>
          <w:i/>
        </w:rPr>
        <w:t>Passiflora foetida</w:t>
      </w:r>
      <w:r w:rsidRPr="00515227">
        <w:t xml:space="preserve">) from the Alligator Rivers Region, Northern Territory, </w:t>
      </w:r>
      <w:proofErr w:type="gramStart"/>
      <w:r w:rsidRPr="00515227">
        <w:t>Australia</w:t>
      </w:r>
      <w:proofErr w:type="gramEnd"/>
      <w:r>
        <w:t xml:space="preserve">. </w:t>
      </w:r>
      <w:proofErr w:type="gramStart"/>
      <w:r>
        <w:t xml:space="preserve">Submitted to </w:t>
      </w:r>
      <w:r>
        <w:rPr>
          <w:i/>
        </w:rPr>
        <w:t>Radiation and Environmental Biophysics.</w:t>
      </w:r>
      <w:proofErr w:type="gramEnd"/>
      <w:r>
        <w:t xml:space="preserve"> </w:t>
      </w:r>
    </w:p>
    <w:p w:rsidR="00D85FAC" w:rsidRPr="00A3126F" w:rsidRDefault="00D85FAC" w:rsidP="00D85FAC">
      <w:pPr>
        <w:sectPr w:rsidR="00D85FAC" w:rsidRPr="00A3126F" w:rsidSect="00D85FAC">
          <w:headerReference w:type="default" r:id="rId125"/>
          <w:footnotePr>
            <w:numRestart w:val="eachSect"/>
          </w:footnotePr>
          <w:pgSz w:w="11906" w:h="16838" w:code="9"/>
          <w:pgMar w:top="1440" w:right="1797" w:bottom="1440" w:left="1797" w:header="851" w:footer="833" w:gutter="0"/>
          <w:cols w:space="360"/>
          <w:noEndnote/>
          <w:titlePg/>
        </w:sectPr>
      </w:pPr>
    </w:p>
    <w:p w:rsidR="00D85FAC" w:rsidRDefault="00D85FAC" w:rsidP="00D85FAC">
      <w:pPr>
        <w:pStyle w:val="Heading1"/>
      </w:pPr>
      <w:bookmarkStart w:id="269" w:name="_Toc319670731"/>
      <w:r>
        <w:lastRenderedPageBreak/>
        <w:t xml:space="preserve">Toxicity monitoring in Magela </w:t>
      </w:r>
      <w:r>
        <w:br/>
        <w:t>and Gulungul creeks</w:t>
      </w:r>
      <w:bookmarkEnd w:id="269"/>
    </w:p>
    <w:p w:rsidR="00D85FAC" w:rsidRPr="00805375" w:rsidRDefault="00D85FAC" w:rsidP="00D85FAC">
      <w:pPr>
        <w:pStyle w:val="authors"/>
        <w:spacing w:after="800"/>
      </w:pPr>
      <w:bookmarkStart w:id="270" w:name="_Toc316987234"/>
      <w:bookmarkStart w:id="271" w:name="_Toc319670732"/>
      <w:r w:rsidRPr="00805375">
        <w:rPr>
          <w:rFonts w:ascii="Arial-BoldMT" w:hAnsi="Arial-BoldMT" w:cs="Arial-BoldMT"/>
          <w:bCs/>
          <w:szCs w:val="24"/>
          <w:lang w:eastAsia="en-AU"/>
        </w:rPr>
        <w:t>C Humphrey, C Davies</w:t>
      </w:r>
      <w:r>
        <w:rPr>
          <w:rFonts w:ascii="Arial-BoldMT" w:hAnsi="Arial-BoldMT" w:cs="Arial-BoldMT"/>
          <w:bCs/>
          <w:szCs w:val="24"/>
          <w:lang w:eastAsia="en-AU"/>
        </w:rPr>
        <w:t>, M Ellis</w:t>
      </w:r>
      <w:r w:rsidRPr="00805375">
        <w:rPr>
          <w:rFonts w:ascii="Arial-BoldMT" w:hAnsi="Arial-BoldMT" w:cs="Arial-BoldMT"/>
          <w:bCs/>
          <w:szCs w:val="24"/>
          <w:lang w:eastAsia="en-AU"/>
        </w:rPr>
        <w:t xml:space="preserve"> &amp; D Buckle</w:t>
      </w:r>
      <w:bookmarkEnd w:id="270"/>
      <w:bookmarkEnd w:id="271"/>
    </w:p>
    <w:p w:rsidR="00D85FAC" w:rsidRDefault="00D85FAC" w:rsidP="00D85FAC">
      <w:pPr>
        <w:pStyle w:val="Heading2"/>
      </w:pPr>
      <w:bookmarkStart w:id="272" w:name="_Toc313523494"/>
      <w:bookmarkStart w:id="273" w:name="_Toc316985340"/>
      <w:r>
        <w:t>Background</w:t>
      </w:r>
      <w:bookmarkEnd w:id="272"/>
      <w:bookmarkEnd w:id="273"/>
    </w:p>
    <w:p w:rsidR="00D85FAC" w:rsidRPr="007E0C9F" w:rsidRDefault="00D85FAC" w:rsidP="00D85FAC">
      <w:r w:rsidRPr="007E0C9F">
        <w:t xml:space="preserve">In this form of monitoring, effects of waters dispersed from the Ranger minesite on receiving waters are evaluated using responses of aquatic animals </w:t>
      </w:r>
      <w:r w:rsidRPr="005C3D69">
        <w:t>exposed in situ</w:t>
      </w:r>
      <w:r w:rsidRPr="007E0C9F">
        <w:t xml:space="preserve"> to creek waters. The response measured is reproduction (egg production) </w:t>
      </w:r>
      <w:r>
        <w:t>by</w:t>
      </w:r>
      <w:r w:rsidRPr="007E0C9F">
        <w:t xml:space="preserve"> the freshwater snail</w:t>
      </w:r>
      <w:r>
        <w:t>,</w:t>
      </w:r>
      <w:r w:rsidRPr="007E0C9F">
        <w:t xml:space="preserve"> </w:t>
      </w:r>
      <w:r w:rsidRPr="007E0C9F">
        <w:rPr>
          <w:i/>
        </w:rPr>
        <w:t>Amerianna cumingi</w:t>
      </w:r>
      <w:r w:rsidRPr="007E0C9F">
        <w:t>. Each test runs over a four-day exposure period. This species has been shown to be among the most sensitive, to both uranium and magnesium, of SSD</w:t>
      </w:r>
      <w:r>
        <w:t>’</w:t>
      </w:r>
      <w:r w:rsidRPr="007E0C9F">
        <w:t xml:space="preserve">s suite of six local species as </w:t>
      </w:r>
      <w:r>
        <w:t>determined using standardised</w:t>
      </w:r>
      <w:r w:rsidRPr="007E0C9F">
        <w:t xml:space="preserve"> laboratory toxicity test</w:t>
      </w:r>
      <w:r>
        <w:t xml:space="preserve"> protocols</w:t>
      </w:r>
      <w:r w:rsidRPr="007E0C9F">
        <w:t>.</w:t>
      </w:r>
    </w:p>
    <w:p w:rsidR="00D85FAC" w:rsidRPr="00DB5AD5" w:rsidRDefault="00D85FAC" w:rsidP="00D85FAC">
      <w:pPr>
        <w:rPr>
          <w:spacing w:val="-2"/>
        </w:rPr>
      </w:pPr>
      <w:r w:rsidRPr="00DB5AD5">
        <w:rPr>
          <w:spacing w:val="-2"/>
        </w:rPr>
        <w:t xml:space="preserve">For the 1990–91 to 2007–08 wet seasons, toxicity monitoring was carried out using the </w:t>
      </w:r>
      <w:r>
        <w:rPr>
          <w:spacing w:val="-2"/>
        </w:rPr>
        <w:t>‘</w:t>
      </w:r>
      <w:r w:rsidRPr="00DB5AD5">
        <w:rPr>
          <w:spacing w:val="-2"/>
        </w:rPr>
        <w:t>creekside</w:t>
      </w:r>
      <w:r>
        <w:rPr>
          <w:spacing w:val="-2"/>
        </w:rPr>
        <w:t>’</w:t>
      </w:r>
      <w:r w:rsidRPr="00DB5AD5">
        <w:rPr>
          <w:spacing w:val="-2"/>
        </w:rPr>
        <w:t xml:space="preserve"> methodology. This involved pumping a continuous flow of water from the adjacent Magela Creek through tanks containing test animals located under a shelter on the creek bank. In the 2008–09 wet season, this method was replaced by an in situ testing method in which test </w:t>
      </w:r>
      <w:r w:rsidRPr="002740D9">
        <w:rPr>
          <w:spacing w:val="-2"/>
        </w:rPr>
        <w:t xml:space="preserve">animals are placed in floating (flow-through) containers located in the creek itself (see Humphrey </w:t>
      </w:r>
      <w:r>
        <w:rPr>
          <w:spacing w:val="-2"/>
        </w:rPr>
        <w:t>et al</w:t>
      </w:r>
      <w:r w:rsidRPr="002740D9">
        <w:rPr>
          <w:spacing w:val="-2"/>
        </w:rPr>
        <w:t xml:space="preserve"> 2009 for details). The most recent refinement to this program has been the</w:t>
      </w:r>
      <w:r w:rsidRPr="00DB5AD5">
        <w:rPr>
          <w:spacing w:val="-2"/>
        </w:rPr>
        <w:t xml:space="preserve"> extension of toxicity monitoring to Gulungul Creek, with testing commencing in the </w:t>
      </w:r>
      <w:r w:rsidRPr="00DB5AD5">
        <w:rPr>
          <w:spacing w:val="-2"/>
          <w:lang w:val="en-US"/>
        </w:rPr>
        <w:t xml:space="preserve">2009–10 </w:t>
      </w:r>
      <w:r w:rsidRPr="00DB5AD5">
        <w:rPr>
          <w:spacing w:val="-2"/>
        </w:rPr>
        <w:t xml:space="preserve">wet season. Results of testing conducted in Gulungul Creek in the 2009–10 wet </w:t>
      </w:r>
      <w:proofErr w:type="gramStart"/>
      <w:r w:rsidRPr="00DB5AD5">
        <w:rPr>
          <w:spacing w:val="-2"/>
        </w:rPr>
        <w:t>season</w:t>
      </w:r>
      <w:proofErr w:type="gramEnd"/>
      <w:r w:rsidRPr="00DB5AD5">
        <w:rPr>
          <w:spacing w:val="-2"/>
        </w:rPr>
        <w:t xml:space="preserve"> </w:t>
      </w:r>
      <w:r w:rsidRPr="00DB5AD5">
        <w:rPr>
          <w:spacing w:val="-2"/>
          <w:lang w:val="en-US"/>
        </w:rPr>
        <w:t xml:space="preserve">were reported </w:t>
      </w:r>
      <w:r>
        <w:rPr>
          <w:spacing w:val="-2"/>
          <w:lang w:val="en-US"/>
        </w:rPr>
        <w:t>by Humphrey et al (2011)</w:t>
      </w:r>
      <w:r w:rsidRPr="00DB5AD5">
        <w:rPr>
          <w:spacing w:val="-2"/>
          <w:lang w:val="en-US"/>
        </w:rPr>
        <w:t xml:space="preserve"> while results for the </w:t>
      </w:r>
      <w:r w:rsidRPr="00DB5AD5">
        <w:rPr>
          <w:spacing w:val="-2"/>
        </w:rPr>
        <w:t xml:space="preserve">2010–11 wet season are described </w:t>
      </w:r>
      <w:r>
        <w:rPr>
          <w:spacing w:val="-2"/>
        </w:rPr>
        <w:t>below</w:t>
      </w:r>
      <w:r w:rsidRPr="00DB5AD5">
        <w:rPr>
          <w:spacing w:val="-2"/>
        </w:rPr>
        <w:t>.</w:t>
      </w:r>
    </w:p>
    <w:p w:rsidR="00D85FAC" w:rsidRPr="00D472D3" w:rsidRDefault="00D85FAC" w:rsidP="00D85FAC">
      <w:r>
        <w:t>F</w:t>
      </w:r>
      <w:r w:rsidRPr="00D472D3">
        <w:t xml:space="preserve">ortnightly testing </w:t>
      </w:r>
      <w:r>
        <w:t xml:space="preserve">was conducted </w:t>
      </w:r>
      <w:r w:rsidRPr="00D472D3">
        <w:t>in each creek in the 2010–11 wet season, alternating each creek on a weekly basis</w:t>
      </w:r>
      <w:r>
        <w:t xml:space="preserve"> (as such,</w:t>
      </w:r>
      <w:r w:rsidRPr="00D472D3">
        <w:t xml:space="preserve"> testing was never conducted in both creeks in the same week</w:t>
      </w:r>
      <w:r>
        <w:t>).</w:t>
      </w:r>
    </w:p>
    <w:p w:rsidR="00D85FAC" w:rsidRDefault="00D85FAC" w:rsidP="00D85FAC">
      <w:pPr>
        <w:rPr>
          <w:spacing w:val="-2"/>
        </w:rPr>
      </w:pPr>
      <w:r w:rsidRPr="001E0CFF">
        <w:rPr>
          <w:spacing w:val="-2"/>
        </w:rPr>
        <w:t>The first of ten toxicity monitoring test</w:t>
      </w:r>
      <w:r>
        <w:rPr>
          <w:spacing w:val="-2"/>
        </w:rPr>
        <w:t>s</w:t>
      </w:r>
      <w:r w:rsidRPr="001E0CFF">
        <w:rPr>
          <w:spacing w:val="-2"/>
        </w:rPr>
        <w:t xml:space="preserve"> commenced in Magela Creek on 17 December 2010, once moderate creek flows were established. Tests were then conducted every other week over the 2010</w:t>
      </w:r>
      <w:r w:rsidRPr="001E0CFF">
        <w:t>–</w:t>
      </w:r>
      <w:r w:rsidRPr="001E0CFF">
        <w:rPr>
          <w:spacing w:val="-2"/>
        </w:rPr>
        <w:t xml:space="preserve">11 wet </w:t>
      </w:r>
      <w:proofErr w:type="gramStart"/>
      <w:r w:rsidRPr="001E0CFF">
        <w:rPr>
          <w:spacing w:val="-2"/>
        </w:rPr>
        <w:t>season</w:t>
      </w:r>
      <w:proofErr w:type="gramEnd"/>
      <w:r w:rsidRPr="001E0CFF">
        <w:rPr>
          <w:spacing w:val="-2"/>
        </w:rPr>
        <w:t xml:space="preserve"> with the final test commencing on 29 April 2011. In Gulungul Creek, a total of nine tests were conducted, alternating with </w:t>
      </w:r>
      <w:r>
        <w:rPr>
          <w:spacing w:val="-2"/>
        </w:rPr>
        <w:t xml:space="preserve">the </w:t>
      </w:r>
      <w:r w:rsidRPr="001E0CFF">
        <w:rPr>
          <w:spacing w:val="-2"/>
        </w:rPr>
        <w:t>Magela tests. The first</w:t>
      </w:r>
      <w:r>
        <w:rPr>
          <w:spacing w:val="-2"/>
        </w:rPr>
        <w:t xml:space="preserve"> Gulungul test</w:t>
      </w:r>
      <w:r w:rsidRPr="001E0CFF">
        <w:rPr>
          <w:spacing w:val="-2"/>
        </w:rPr>
        <w:t xml:space="preserve"> commenced on 20 December 2010 and the final test </w:t>
      </w:r>
      <w:r>
        <w:rPr>
          <w:spacing w:val="-2"/>
        </w:rPr>
        <w:t xml:space="preserve">was started </w:t>
      </w:r>
      <w:r w:rsidRPr="001E0CFF">
        <w:rPr>
          <w:spacing w:val="-2"/>
        </w:rPr>
        <w:t xml:space="preserve">on 5 May 2011. Results </w:t>
      </w:r>
      <w:r>
        <w:rPr>
          <w:spacing w:val="-2"/>
        </w:rPr>
        <w:t xml:space="preserve">for both creeks </w:t>
      </w:r>
      <w:r w:rsidRPr="001E0CFF">
        <w:rPr>
          <w:spacing w:val="-2"/>
        </w:rPr>
        <w:t xml:space="preserve">are plotted in </w:t>
      </w:r>
      <w:r w:rsidRPr="00FC0C53">
        <w:rPr>
          <w:spacing w:val="-2"/>
        </w:rPr>
        <w:t xml:space="preserve">Figure </w:t>
      </w:r>
      <w:r>
        <w:rPr>
          <w:spacing w:val="-2"/>
        </w:rPr>
        <w:t>1</w:t>
      </w:r>
      <w:r w:rsidRPr="00FC0C53">
        <w:rPr>
          <w:spacing w:val="-2"/>
        </w:rPr>
        <w:t xml:space="preserve"> with</w:t>
      </w:r>
      <w:r w:rsidRPr="001E0CFF">
        <w:rPr>
          <w:spacing w:val="-2"/>
        </w:rPr>
        <w:t xml:space="preserve"> egg production at upstream and downstream sites, and differences in egg production between the sites</w:t>
      </w:r>
      <w:r>
        <w:rPr>
          <w:spacing w:val="-2"/>
        </w:rPr>
        <w:t>,</w:t>
      </w:r>
      <w:r w:rsidRPr="001E0CFF">
        <w:rPr>
          <w:spacing w:val="-2"/>
        </w:rPr>
        <w:t xml:space="preserve"> being displayed.</w:t>
      </w:r>
    </w:p>
    <w:p w:rsidR="00D85FAC" w:rsidRDefault="00D85FAC" w:rsidP="00D85FAC">
      <w:pPr>
        <w:pStyle w:val="Heading2"/>
      </w:pPr>
      <w:bookmarkStart w:id="274" w:name="_Toc313523495"/>
      <w:bookmarkStart w:id="275" w:name="_Toc316985341"/>
      <w:r>
        <w:t>Analysis of Magela Creek results</w:t>
      </w:r>
      <w:bookmarkEnd w:id="274"/>
      <w:bookmarkEnd w:id="275"/>
    </w:p>
    <w:p w:rsidR="00D85FAC" w:rsidRDefault="00D85FAC" w:rsidP="00D85FAC">
      <w:pPr>
        <w:rPr>
          <w:spacing w:val="-2"/>
        </w:rPr>
      </w:pPr>
      <w:r w:rsidRPr="00D01BD4">
        <w:t xml:space="preserve">After each wet season, the toxicity monitoring results for the tests are analysed, with differences in egg numbers (the </w:t>
      </w:r>
      <w:r>
        <w:t>‘</w:t>
      </w:r>
      <w:r w:rsidRPr="00D01BD4">
        <w:t>response</w:t>
      </w:r>
      <w:r>
        <w:t>’</w:t>
      </w:r>
      <w:r w:rsidRPr="00D01BD4">
        <w:t xml:space="preserve"> variable) between the upstream (control) and downstream (exposed) sites tested for statistical change between the wet season just completed and previous wet seasons. </w:t>
      </w:r>
      <w:r>
        <w:t>For wet seasons from 1991</w:t>
      </w:r>
      <w:r w:rsidRPr="00880EC9">
        <w:t>–</w:t>
      </w:r>
      <w:r>
        <w:t>92 to 2008</w:t>
      </w:r>
      <w:r w:rsidRPr="00880EC9">
        <w:t>–</w:t>
      </w:r>
      <w:r>
        <w:t xml:space="preserve">09, </w:t>
      </w:r>
      <w:r w:rsidRPr="00D01BD4">
        <w:t xml:space="preserve">egg numbers at the downstream site </w:t>
      </w:r>
      <w:r>
        <w:t xml:space="preserve">have been </w:t>
      </w:r>
      <w:r w:rsidRPr="00D01BD4">
        <w:t xml:space="preserve">slightly greater than those measured at the upstream control site </w:t>
      </w:r>
      <w:r>
        <w:t xml:space="preserve">with a mean upstream-downstream difference value of -5.8 </w:t>
      </w:r>
      <w:r w:rsidRPr="00D01BD4">
        <w:t>(</w:t>
      </w:r>
      <w:r>
        <w:t>Figure 1A&amp;</w:t>
      </w:r>
      <w:r w:rsidRPr="00880EC9">
        <w:t>B)</w:t>
      </w:r>
      <w:r>
        <w:t xml:space="preserve">. This contrasts to </w:t>
      </w:r>
      <w:r w:rsidRPr="00880EC9">
        <w:t xml:space="preserve">the 2009–10 wet season </w:t>
      </w:r>
      <w:r>
        <w:t>when</w:t>
      </w:r>
      <w:r w:rsidRPr="00880EC9">
        <w:t xml:space="preserve"> for the first time, Analysis Of Variance</w:t>
      </w:r>
      <w:r w:rsidRPr="00D720D2">
        <w:t xml:space="preserve"> (ANOVA) testing found a significant</w:t>
      </w:r>
      <w:r w:rsidRPr="00D01BD4">
        <w:t xml:space="preserve"> difference between the </w:t>
      </w:r>
      <w:r>
        <w:t xml:space="preserve">difference </w:t>
      </w:r>
      <w:r w:rsidRPr="00D01BD4">
        <w:t xml:space="preserve">data for </w:t>
      </w:r>
      <w:r>
        <w:t>that</w:t>
      </w:r>
      <w:r w:rsidRPr="00D01BD4">
        <w:t xml:space="preserve"> year </w:t>
      </w:r>
      <w:r>
        <w:t xml:space="preserve">(mean difference value of -22.3) </w:t>
      </w:r>
      <w:r w:rsidRPr="00D01BD4">
        <w:t xml:space="preserve">and that from previous wet seasons, </w:t>
      </w:r>
      <w:r>
        <w:t>because of</w:t>
      </w:r>
      <w:r w:rsidRPr="00D01BD4">
        <w:t xml:space="preserve"> the unusually higher downstream egg production (see </w:t>
      </w:r>
      <w:r>
        <w:t>Figure</w:t>
      </w:r>
      <w:r w:rsidRPr="00594612">
        <w:t xml:space="preserve"> </w:t>
      </w:r>
      <w:r>
        <w:t>1</w:t>
      </w:r>
      <w:r w:rsidRPr="00594612">
        <w:t>B</w:t>
      </w:r>
      <w:r w:rsidRPr="00D01BD4">
        <w:t xml:space="preserve">). </w:t>
      </w:r>
    </w:p>
    <w:tbl>
      <w:tblPr>
        <w:tblW w:w="7763" w:type="dxa"/>
        <w:jc w:val="center"/>
        <w:tblLook w:val="0000"/>
      </w:tblPr>
      <w:tblGrid>
        <w:gridCol w:w="416"/>
        <w:gridCol w:w="7347"/>
      </w:tblGrid>
      <w:tr w:rsidR="00D85FAC" w:rsidRPr="00A66B85" w:rsidTr="00D85FAC">
        <w:trPr>
          <w:jc w:val="center"/>
        </w:trPr>
        <w:tc>
          <w:tcPr>
            <w:tcW w:w="416" w:type="dxa"/>
          </w:tcPr>
          <w:p w:rsidR="00D85FAC" w:rsidRPr="00770532" w:rsidRDefault="00D85FAC" w:rsidP="00D85FAC">
            <w:pPr>
              <w:spacing w:after="0"/>
              <w:rPr>
                <w:rFonts w:ascii="Arial" w:hAnsi="Arial" w:cs="Arial"/>
              </w:rPr>
            </w:pPr>
            <w:r w:rsidRPr="00770532">
              <w:rPr>
                <w:rFonts w:ascii="Arial" w:hAnsi="Arial" w:cs="Arial"/>
              </w:rPr>
              <w:lastRenderedPageBreak/>
              <w:t>A</w:t>
            </w:r>
          </w:p>
        </w:tc>
        <w:tc>
          <w:tcPr>
            <w:tcW w:w="7347" w:type="dxa"/>
            <w:tcBorders>
              <w:left w:val="nil"/>
            </w:tcBorders>
          </w:tcPr>
          <w:p w:rsidR="00D85FAC" w:rsidRPr="00556618" w:rsidRDefault="00D85FAC" w:rsidP="00D85FAC">
            <w:pPr>
              <w:jc w:val="center"/>
            </w:pPr>
            <w:r>
              <w:rPr>
                <w:noProof/>
                <w:lang w:eastAsia="en-AU"/>
              </w:rPr>
              <w:drawing>
                <wp:inline distT="0" distB="0" distL="0" distR="0">
                  <wp:extent cx="4066540" cy="2299970"/>
                  <wp:effectExtent l="19050" t="0" r="0" b="0"/>
                  <wp:docPr id="1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cstate="screen"/>
                          <a:srcRect r="19354"/>
                          <a:stretch>
                            <a:fillRect/>
                          </a:stretch>
                        </pic:blipFill>
                        <pic:spPr bwMode="auto">
                          <a:xfrm>
                            <a:off x="0" y="0"/>
                            <a:ext cx="4066540" cy="2299970"/>
                          </a:xfrm>
                          <a:prstGeom prst="rect">
                            <a:avLst/>
                          </a:prstGeom>
                          <a:noFill/>
                          <a:ln w="9525">
                            <a:noFill/>
                            <a:miter lim="800000"/>
                            <a:headEnd/>
                            <a:tailEnd/>
                          </a:ln>
                        </pic:spPr>
                      </pic:pic>
                    </a:graphicData>
                  </a:graphic>
                </wp:inline>
              </w:drawing>
            </w:r>
          </w:p>
        </w:tc>
      </w:tr>
      <w:tr w:rsidR="00D85FAC" w:rsidRPr="00556618" w:rsidTr="00D85FAC">
        <w:trPr>
          <w:jc w:val="center"/>
        </w:trPr>
        <w:tc>
          <w:tcPr>
            <w:tcW w:w="416" w:type="dxa"/>
          </w:tcPr>
          <w:p w:rsidR="00D85FAC" w:rsidRPr="00770532" w:rsidRDefault="00D85FAC" w:rsidP="00D85FAC">
            <w:pPr>
              <w:spacing w:after="0"/>
              <w:rPr>
                <w:rFonts w:ascii="Arial" w:hAnsi="Arial" w:cs="Arial"/>
              </w:rPr>
            </w:pPr>
            <w:r w:rsidRPr="00770532">
              <w:rPr>
                <w:rFonts w:ascii="Arial" w:hAnsi="Arial" w:cs="Arial"/>
              </w:rPr>
              <w:t>B</w:t>
            </w:r>
          </w:p>
        </w:tc>
        <w:tc>
          <w:tcPr>
            <w:tcW w:w="7347" w:type="dxa"/>
            <w:tcBorders>
              <w:left w:val="nil"/>
            </w:tcBorders>
          </w:tcPr>
          <w:p w:rsidR="00D85FAC" w:rsidRPr="00556618" w:rsidRDefault="00D85FAC" w:rsidP="00D85FAC">
            <w:pPr>
              <w:spacing w:after="0"/>
              <w:jc w:val="center"/>
            </w:pPr>
            <w:r>
              <w:rPr>
                <w:noProof/>
                <w:lang w:eastAsia="en-AU"/>
              </w:rPr>
              <w:drawing>
                <wp:inline distT="0" distB="0" distL="0" distR="0">
                  <wp:extent cx="4088831" cy="4047103"/>
                  <wp:effectExtent l="19050" t="0" r="6919" b="0"/>
                  <wp:docPr id="1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screen"/>
                          <a:srcRect t="5512"/>
                          <a:stretch>
                            <a:fillRect/>
                          </a:stretch>
                        </pic:blipFill>
                        <pic:spPr bwMode="auto">
                          <a:xfrm>
                            <a:off x="0" y="0"/>
                            <a:ext cx="4090762" cy="4049014"/>
                          </a:xfrm>
                          <a:prstGeom prst="rect">
                            <a:avLst/>
                          </a:prstGeom>
                          <a:noFill/>
                          <a:ln w="9525">
                            <a:noFill/>
                            <a:miter lim="800000"/>
                            <a:headEnd/>
                            <a:tailEnd/>
                          </a:ln>
                        </pic:spPr>
                      </pic:pic>
                    </a:graphicData>
                  </a:graphic>
                </wp:inline>
              </w:drawing>
            </w:r>
          </w:p>
        </w:tc>
      </w:tr>
    </w:tbl>
    <w:p w:rsidR="00D85FAC" w:rsidRDefault="00D85FAC" w:rsidP="00D85FAC">
      <w:pPr>
        <w:pStyle w:val="figurecaption"/>
        <w:rPr>
          <w:lang w:eastAsia="en-AU"/>
        </w:rPr>
      </w:pPr>
      <w:r>
        <w:rPr>
          <w:b/>
        </w:rPr>
        <w:t>Figure</w:t>
      </w:r>
      <w:r w:rsidRPr="00556618">
        <w:rPr>
          <w:b/>
        </w:rPr>
        <w:t xml:space="preserve"> </w:t>
      </w:r>
      <w:proofErr w:type="gramStart"/>
      <w:r>
        <w:rPr>
          <w:b/>
        </w:rPr>
        <w:t>1</w:t>
      </w:r>
      <w:r w:rsidRPr="00556618">
        <w:t xml:space="preserve">  Time</w:t>
      </w:r>
      <w:proofErr w:type="gramEnd"/>
      <w:r w:rsidRPr="00556618">
        <w:t>-series of snail egg production data from toxicity monitoring tests conducted in</w:t>
      </w:r>
      <w:r>
        <w:br/>
      </w:r>
      <w:r w:rsidRPr="00556618">
        <w:t xml:space="preserve">A: Magela Creek using creekside tests, and B Magela and Gulungul creeks using </w:t>
      </w:r>
      <w:r w:rsidRPr="00BB6FF3">
        <w:rPr>
          <w:i/>
        </w:rPr>
        <w:t>i</w:t>
      </w:r>
      <w:r w:rsidRPr="00BB6FF3">
        <w:rPr>
          <w:i/>
          <w:lang w:eastAsia="en-AU"/>
        </w:rPr>
        <w:t>n situ</w:t>
      </w:r>
      <w:r w:rsidRPr="00556618">
        <w:rPr>
          <w:lang w:eastAsia="en-AU"/>
        </w:rPr>
        <w:t xml:space="preserve"> tests</w:t>
      </w:r>
    </w:p>
    <w:p w:rsidR="00D85FAC" w:rsidRPr="00D01BD4" w:rsidRDefault="00D85FAC" w:rsidP="00D85FAC">
      <w:pPr>
        <w:rPr>
          <w:spacing w:val="-2"/>
        </w:rPr>
      </w:pPr>
      <w:r w:rsidRPr="00D01BD4">
        <w:t xml:space="preserve">An assessment of the </w:t>
      </w:r>
      <w:r>
        <w:t>2009</w:t>
      </w:r>
      <w:r w:rsidRPr="00880EC9">
        <w:t>–</w:t>
      </w:r>
      <w:r>
        <w:t>10</w:t>
      </w:r>
      <w:r w:rsidRPr="00D01BD4">
        <w:t xml:space="preserve"> data (see </w:t>
      </w:r>
      <w:r>
        <w:t>Humphrey et al 2011</w:t>
      </w:r>
      <w:r w:rsidRPr="00D01BD4">
        <w:t xml:space="preserve">) </w:t>
      </w:r>
      <w:r w:rsidRPr="00AD33B8">
        <w:t xml:space="preserve">was not able to attribute any specific cause for this result and it remains the subject of ongoing </w:t>
      </w:r>
      <w:r w:rsidRPr="00CD34A9">
        <w:t>investigation (see ‘Ranger stream monitoring research: Further analysis of toxicity monitoring data for Magela and Gulungul Creek’ pp 96–106, in this volume). T</w:t>
      </w:r>
      <w:r w:rsidRPr="00CD34A9">
        <w:rPr>
          <w:spacing w:val="-2"/>
        </w:rPr>
        <w:t xml:space="preserve">he results for the </w:t>
      </w:r>
      <w:r w:rsidRPr="00CD34A9">
        <w:t>2010</w:t>
      </w:r>
      <w:r w:rsidRPr="00CD34A9">
        <w:rPr>
          <w:spacing w:val="-2"/>
          <w:lang w:eastAsia="en-AU"/>
        </w:rPr>
        <w:t>–</w:t>
      </w:r>
      <w:r w:rsidRPr="00CD34A9">
        <w:t>11 season</w:t>
      </w:r>
      <w:r w:rsidRPr="00AD33B8">
        <w:t xml:space="preserve"> </w:t>
      </w:r>
      <w:r w:rsidRPr="00AD33B8">
        <w:rPr>
          <w:spacing w:val="-2"/>
        </w:rPr>
        <w:t>showed that, on average, egg numbers at the downstream site were</w:t>
      </w:r>
      <w:r w:rsidRPr="00D01BD4">
        <w:rPr>
          <w:spacing w:val="-2"/>
        </w:rPr>
        <w:t xml:space="preserve"> </w:t>
      </w:r>
      <w:r>
        <w:rPr>
          <w:spacing w:val="-2"/>
        </w:rPr>
        <w:t>again</w:t>
      </w:r>
      <w:r w:rsidRPr="00D01BD4">
        <w:rPr>
          <w:spacing w:val="-2"/>
        </w:rPr>
        <w:t xml:space="preserve"> greater than those measured at the upstream control site (</w:t>
      </w:r>
      <w:r>
        <w:rPr>
          <w:spacing w:val="-2"/>
        </w:rPr>
        <w:t>Figure</w:t>
      </w:r>
      <w:r w:rsidRPr="00880EC9">
        <w:rPr>
          <w:spacing w:val="-2"/>
        </w:rPr>
        <w:t xml:space="preserve"> </w:t>
      </w:r>
      <w:r>
        <w:rPr>
          <w:spacing w:val="-2"/>
        </w:rPr>
        <w:t>1</w:t>
      </w:r>
      <w:r w:rsidRPr="00880EC9">
        <w:rPr>
          <w:spacing w:val="-2"/>
        </w:rPr>
        <w:t>B),</w:t>
      </w:r>
      <w:r w:rsidRPr="00D01BD4">
        <w:rPr>
          <w:spacing w:val="-2"/>
        </w:rPr>
        <w:t xml:space="preserve"> </w:t>
      </w:r>
      <w:r>
        <w:rPr>
          <w:spacing w:val="-2"/>
        </w:rPr>
        <w:t xml:space="preserve">with a mean upstream-downstream difference value of -12.8, </w:t>
      </w:r>
      <w:r w:rsidRPr="00D01BD4">
        <w:rPr>
          <w:spacing w:val="-2"/>
        </w:rPr>
        <w:t xml:space="preserve">a </w:t>
      </w:r>
      <w:r>
        <w:rPr>
          <w:spacing w:val="-2"/>
        </w:rPr>
        <w:t>value intermediate between</w:t>
      </w:r>
      <w:r w:rsidRPr="00D01BD4">
        <w:rPr>
          <w:spacing w:val="-2"/>
        </w:rPr>
        <w:t xml:space="preserve"> that observed in previous wet season</w:t>
      </w:r>
      <w:r>
        <w:rPr>
          <w:spacing w:val="-2"/>
        </w:rPr>
        <w:t>s</w:t>
      </w:r>
      <w:r w:rsidRPr="00D01BD4">
        <w:rPr>
          <w:spacing w:val="-2"/>
        </w:rPr>
        <w:t xml:space="preserve"> </w:t>
      </w:r>
      <w:r>
        <w:rPr>
          <w:spacing w:val="-2"/>
        </w:rPr>
        <w:t xml:space="preserve">and the value reported in </w:t>
      </w:r>
      <w:r w:rsidRPr="00880EC9">
        <w:t>2009–10</w:t>
      </w:r>
      <w:r>
        <w:rPr>
          <w:spacing w:val="-2"/>
        </w:rPr>
        <w:t xml:space="preserve"> (Figure</w:t>
      </w:r>
      <w:r w:rsidRPr="00880EC9">
        <w:rPr>
          <w:spacing w:val="-2"/>
        </w:rPr>
        <w:t> </w:t>
      </w:r>
      <w:r>
        <w:rPr>
          <w:spacing w:val="-2"/>
        </w:rPr>
        <w:t>1</w:t>
      </w:r>
      <w:r w:rsidRPr="00880EC9">
        <w:rPr>
          <w:spacing w:val="-2"/>
        </w:rPr>
        <w:t xml:space="preserve">A&amp;B). </w:t>
      </w:r>
    </w:p>
    <w:p w:rsidR="00D85FAC" w:rsidRDefault="00D85FAC" w:rsidP="00D85FAC">
      <w:pPr>
        <w:rPr>
          <w:spacing w:val="-2"/>
        </w:rPr>
      </w:pPr>
      <w:r w:rsidRPr="00D01BD4">
        <w:rPr>
          <w:spacing w:val="-2"/>
        </w:rPr>
        <w:lastRenderedPageBreak/>
        <w:t xml:space="preserve">Given the statistically significant result </w:t>
      </w:r>
      <w:r>
        <w:rPr>
          <w:spacing w:val="-2"/>
        </w:rPr>
        <w:t>observed in 2010 for Magela test results, a number of different statistical tests were applied to the 2010</w:t>
      </w:r>
      <w:r w:rsidRPr="00880EC9">
        <w:t>–</w:t>
      </w:r>
      <w:r>
        <w:rPr>
          <w:spacing w:val="-2"/>
        </w:rPr>
        <w:t xml:space="preserve">11 wet season test results. These are described in Table 1, </w:t>
      </w:r>
      <w:r w:rsidRPr="008D1585">
        <w:rPr>
          <w:spacing w:val="-2"/>
        </w:rPr>
        <w:t>together with results</w:t>
      </w:r>
      <w:r>
        <w:rPr>
          <w:spacing w:val="-2"/>
        </w:rPr>
        <w:t xml:space="preserve"> of ANOVA testing</w:t>
      </w:r>
      <w:r w:rsidRPr="008D1585">
        <w:rPr>
          <w:spacing w:val="-2"/>
        </w:rPr>
        <w:t>.</w:t>
      </w:r>
    </w:p>
    <w:p w:rsidR="00D85FAC" w:rsidRDefault="00D85FAC" w:rsidP="00D85FAC">
      <w:pPr>
        <w:pStyle w:val="tablecaption"/>
      </w:pPr>
      <w:r w:rsidRPr="00BB6FF3">
        <w:rPr>
          <w:b/>
        </w:rPr>
        <w:t xml:space="preserve">Table </w:t>
      </w:r>
      <w:proofErr w:type="gramStart"/>
      <w:r>
        <w:rPr>
          <w:b/>
        </w:rPr>
        <w:t>1</w:t>
      </w:r>
      <w:r>
        <w:t xml:space="preserve">  Results</w:t>
      </w:r>
      <w:proofErr w:type="gramEnd"/>
      <w:r>
        <w:t xml:space="preserve"> of ANOVA testing comparing upstream-downstream difference values for mean snail egg number for different ‘before versus after’ wet season scenarios</w:t>
      </w:r>
    </w:p>
    <w:tbl>
      <w:tblPr>
        <w:tblW w:w="7621" w:type="dxa"/>
        <w:tblLook w:val="0000"/>
      </w:tblPr>
      <w:tblGrid>
        <w:gridCol w:w="4361"/>
        <w:gridCol w:w="1843"/>
        <w:gridCol w:w="1417"/>
      </w:tblGrid>
      <w:tr w:rsidR="00D85FAC" w:rsidRPr="005200D3" w:rsidTr="00D85FAC">
        <w:tc>
          <w:tcPr>
            <w:tcW w:w="4361" w:type="dxa"/>
            <w:tcBorders>
              <w:top w:val="single" w:sz="4" w:space="0" w:color="auto"/>
              <w:bottom w:val="single" w:sz="4" w:space="0" w:color="auto"/>
            </w:tcBorders>
          </w:tcPr>
          <w:p w:rsidR="00D85FAC" w:rsidRPr="005200D3" w:rsidRDefault="00D85FAC" w:rsidP="00D85FAC">
            <w:pPr>
              <w:pStyle w:val="table1"/>
              <w:rPr>
                <w:b/>
              </w:rPr>
            </w:pPr>
            <w:r>
              <w:rPr>
                <w:b/>
              </w:rPr>
              <w:t>Statistical comparison</w:t>
            </w:r>
          </w:p>
        </w:tc>
        <w:tc>
          <w:tcPr>
            <w:tcW w:w="1843" w:type="dxa"/>
            <w:tcBorders>
              <w:top w:val="single" w:sz="4" w:space="0" w:color="auto"/>
              <w:bottom w:val="single" w:sz="4" w:space="0" w:color="auto"/>
            </w:tcBorders>
          </w:tcPr>
          <w:p w:rsidR="00D85FAC" w:rsidRPr="005200D3" w:rsidRDefault="00D85FAC" w:rsidP="00D85FAC">
            <w:pPr>
              <w:pStyle w:val="table1"/>
              <w:jc w:val="center"/>
              <w:rPr>
                <w:b/>
              </w:rPr>
            </w:pPr>
            <w:r>
              <w:rPr>
                <w:b/>
              </w:rPr>
              <w:t>Probability value (</w:t>
            </w:r>
            <w:r w:rsidRPr="00AA247E">
              <w:rPr>
                <w:b/>
                <w:i/>
              </w:rPr>
              <w:t>P</w:t>
            </w:r>
            <w:r>
              <w:rPr>
                <w:b/>
              </w:rPr>
              <w:t>)</w:t>
            </w:r>
          </w:p>
        </w:tc>
        <w:tc>
          <w:tcPr>
            <w:tcW w:w="1417" w:type="dxa"/>
            <w:tcBorders>
              <w:top w:val="single" w:sz="4" w:space="0" w:color="auto"/>
              <w:bottom w:val="single" w:sz="4" w:space="0" w:color="auto"/>
            </w:tcBorders>
          </w:tcPr>
          <w:p w:rsidR="00D85FAC" w:rsidRPr="005200D3" w:rsidRDefault="00D85FAC" w:rsidP="00D85FAC">
            <w:pPr>
              <w:pStyle w:val="table1"/>
              <w:jc w:val="center"/>
              <w:rPr>
                <w:b/>
              </w:rPr>
            </w:pPr>
            <w:r>
              <w:rPr>
                <w:b/>
              </w:rPr>
              <w:t>Significance</w:t>
            </w:r>
          </w:p>
        </w:tc>
      </w:tr>
      <w:tr w:rsidR="00D85FAC" w:rsidRPr="005200D3" w:rsidTr="00D85FAC">
        <w:tc>
          <w:tcPr>
            <w:tcW w:w="4361" w:type="dxa"/>
            <w:tcBorders>
              <w:top w:val="single" w:sz="4" w:space="0" w:color="auto"/>
            </w:tcBorders>
          </w:tcPr>
          <w:p w:rsidR="00D85FAC" w:rsidRPr="00AA247E" w:rsidRDefault="00D85FAC" w:rsidP="00D85FAC">
            <w:pPr>
              <w:pStyle w:val="table1"/>
            </w:pPr>
            <w:r>
              <w:rPr>
                <w:rFonts w:cs="Arial"/>
                <w:lang w:eastAsia="en-AU"/>
              </w:rPr>
              <w:t>2009–10 compared with all previous seasons</w:t>
            </w:r>
            <w:r w:rsidRPr="00AA247E">
              <w:t xml:space="preserve"> </w:t>
            </w:r>
          </w:p>
        </w:tc>
        <w:tc>
          <w:tcPr>
            <w:tcW w:w="1843" w:type="dxa"/>
            <w:tcBorders>
              <w:top w:val="single" w:sz="4" w:space="0" w:color="auto"/>
            </w:tcBorders>
          </w:tcPr>
          <w:p w:rsidR="00D85FAC" w:rsidRPr="00AA247E" w:rsidRDefault="00D85FAC" w:rsidP="00D85FAC">
            <w:pPr>
              <w:pStyle w:val="table1"/>
              <w:jc w:val="center"/>
            </w:pPr>
            <w:r>
              <w:rPr>
                <w:rFonts w:cs="Arial"/>
                <w:lang w:eastAsia="en-AU"/>
              </w:rPr>
              <w:t>0.046</w:t>
            </w:r>
          </w:p>
        </w:tc>
        <w:tc>
          <w:tcPr>
            <w:tcW w:w="1417" w:type="dxa"/>
            <w:tcBorders>
              <w:top w:val="single" w:sz="4" w:space="0" w:color="auto"/>
            </w:tcBorders>
          </w:tcPr>
          <w:p w:rsidR="00D85FAC" w:rsidRPr="00AA247E" w:rsidRDefault="00D85FAC" w:rsidP="00D85FAC">
            <w:pPr>
              <w:pStyle w:val="table1"/>
              <w:jc w:val="center"/>
            </w:pPr>
            <w:r>
              <w:t>at 5% level</w:t>
            </w:r>
          </w:p>
        </w:tc>
      </w:tr>
      <w:tr w:rsidR="00D85FAC" w:rsidRPr="005200D3" w:rsidTr="00D85FAC">
        <w:tc>
          <w:tcPr>
            <w:tcW w:w="4361" w:type="dxa"/>
          </w:tcPr>
          <w:p w:rsidR="00D85FAC" w:rsidRPr="00AA247E" w:rsidRDefault="00D85FAC" w:rsidP="00D85FAC">
            <w:pPr>
              <w:pStyle w:val="table1"/>
            </w:pPr>
            <w:r>
              <w:rPr>
                <w:rFonts w:cs="Arial"/>
                <w:lang w:eastAsia="en-AU"/>
              </w:rPr>
              <w:t>2010–11 compared with all previous seasons</w:t>
            </w:r>
          </w:p>
        </w:tc>
        <w:tc>
          <w:tcPr>
            <w:tcW w:w="1843" w:type="dxa"/>
          </w:tcPr>
          <w:p w:rsidR="00D85FAC" w:rsidRPr="00AA247E" w:rsidRDefault="00D85FAC" w:rsidP="00D85FAC">
            <w:pPr>
              <w:pStyle w:val="table1"/>
              <w:jc w:val="center"/>
            </w:pPr>
            <w:r>
              <w:rPr>
                <w:rFonts w:cs="Arial"/>
                <w:lang w:eastAsia="en-AU"/>
              </w:rPr>
              <w:t>0.408</w:t>
            </w:r>
          </w:p>
        </w:tc>
        <w:tc>
          <w:tcPr>
            <w:tcW w:w="1417" w:type="dxa"/>
          </w:tcPr>
          <w:p w:rsidR="00D85FAC" w:rsidRPr="00AA247E" w:rsidRDefault="00D85FAC" w:rsidP="00D85FAC">
            <w:pPr>
              <w:pStyle w:val="table1"/>
              <w:jc w:val="center"/>
            </w:pPr>
            <w:r>
              <w:t>NS</w:t>
            </w:r>
          </w:p>
        </w:tc>
      </w:tr>
      <w:tr w:rsidR="00D85FAC" w:rsidRPr="005200D3" w:rsidTr="00D85FAC">
        <w:tc>
          <w:tcPr>
            <w:tcW w:w="4361" w:type="dxa"/>
          </w:tcPr>
          <w:p w:rsidR="00D85FAC" w:rsidRPr="00AA247E" w:rsidRDefault="00D85FAC" w:rsidP="00D85FAC">
            <w:pPr>
              <w:pStyle w:val="table1"/>
            </w:pPr>
            <w:r>
              <w:rPr>
                <w:rFonts w:cs="Arial"/>
                <w:lang w:eastAsia="en-AU"/>
              </w:rPr>
              <w:t>2010–11 compared with previous seasons excl 2009-10</w:t>
            </w:r>
          </w:p>
        </w:tc>
        <w:tc>
          <w:tcPr>
            <w:tcW w:w="1843" w:type="dxa"/>
          </w:tcPr>
          <w:p w:rsidR="00D85FAC" w:rsidRPr="00AA247E" w:rsidRDefault="00D85FAC" w:rsidP="00D85FAC">
            <w:pPr>
              <w:pStyle w:val="table1"/>
              <w:jc w:val="center"/>
            </w:pPr>
            <w:r>
              <w:rPr>
                <w:rFonts w:cs="Arial"/>
                <w:lang w:eastAsia="en-AU"/>
              </w:rPr>
              <w:t>0.299</w:t>
            </w:r>
          </w:p>
        </w:tc>
        <w:tc>
          <w:tcPr>
            <w:tcW w:w="1417" w:type="dxa"/>
          </w:tcPr>
          <w:p w:rsidR="00D85FAC" w:rsidRPr="00AA247E" w:rsidRDefault="00D85FAC" w:rsidP="00D85FAC">
            <w:pPr>
              <w:pStyle w:val="table1"/>
              <w:jc w:val="center"/>
            </w:pPr>
            <w:r>
              <w:t>NS</w:t>
            </w:r>
          </w:p>
        </w:tc>
      </w:tr>
      <w:tr w:rsidR="00D85FAC" w:rsidRPr="005200D3" w:rsidTr="00D85FAC">
        <w:tc>
          <w:tcPr>
            <w:tcW w:w="4361" w:type="dxa"/>
            <w:tcBorders>
              <w:bottom w:val="single" w:sz="4" w:space="0" w:color="auto"/>
            </w:tcBorders>
          </w:tcPr>
          <w:p w:rsidR="00D85FAC" w:rsidRPr="00AA247E" w:rsidRDefault="00D85FAC" w:rsidP="00D85FAC">
            <w:pPr>
              <w:pStyle w:val="table1"/>
            </w:pPr>
            <w:r>
              <w:rPr>
                <w:rFonts w:cs="Arial"/>
                <w:lang w:eastAsia="en-AU"/>
              </w:rPr>
              <w:t>2010–11 + 2009–10 compared with previous seasons</w:t>
            </w:r>
          </w:p>
        </w:tc>
        <w:tc>
          <w:tcPr>
            <w:tcW w:w="1843" w:type="dxa"/>
            <w:tcBorders>
              <w:bottom w:val="single" w:sz="4" w:space="0" w:color="auto"/>
            </w:tcBorders>
          </w:tcPr>
          <w:p w:rsidR="00D85FAC" w:rsidRPr="00AA247E" w:rsidRDefault="00D85FAC" w:rsidP="00D85FAC">
            <w:pPr>
              <w:pStyle w:val="table1"/>
              <w:jc w:val="center"/>
            </w:pPr>
            <w:r>
              <w:rPr>
                <w:rFonts w:cs="Arial"/>
                <w:lang w:eastAsia="en-AU"/>
              </w:rPr>
              <w:t>0.043</w:t>
            </w:r>
          </w:p>
        </w:tc>
        <w:tc>
          <w:tcPr>
            <w:tcW w:w="1417" w:type="dxa"/>
            <w:tcBorders>
              <w:bottom w:val="single" w:sz="4" w:space="0" w:color="auto"/>
            </w:tcBorders>
          </w:tcPr>
          <w:p w:rsidR="00D85FAC" w:rsidRPr="00AA247E" w:rsidRDefault="00D85FAC" w:rsidP="00D85FAC">
            <w:pPr>
              <w:pStyle w:val="table1"/>
              <w:jc w:val="center"/>
            </w:pPr>
            <w:r>
              <w:t>at 5% level</w:t>
            </w:r>
          </w:p>
        </w:tc>
      </w:tr>
    </w:tbl>
    <w:p w:rsidR="00D85FAC" w:rsidRDefault="00D85FAC" w:rsidP="00D85FAC">
      <w:pPr>
        <w:pStyle w:val="tablenote"/>
      </w:pPr>
      <w:r>
        <w:t>NS – not significant</w:t>
      </w:r>
    </w:p>
    <w:p w:rsidR="00D85FAC" w:rsidRDefault="00D85FAC" w:rsidP="00D85FAC">
      <w:r>
        <w:t xml:space="preserve">The results indicate that the 2011 data continue the trend towards relatively higher downstream egg production that was also observed in 2010 (also evident in Figure 1B). Thus, when combined with 2010 data, the 2010 and 2011 seasons’ data are significantly different from previous seasons (Table 1). However, and as noted above, the magnitude of higher downstream egg production found in 2011 is not as marked as that observed in 2010. When the 2011 data are compared with previous seasons with the omission of 2010 data, there is no significant difference between the test results for the two time periods (Table 1). As noted above, detailed analyses are in progress to examine the possible causes of any recent trends towards higher downstream egg production in Magela Creek and these results are reported in </w:t>
      </w:r>
      <w:r w:rsidRPr="003630DB">
        <w:rPr>
          <w:spacing w:val="-2"/>
          <w:lang w:val="en-US"/>
        </w:rPr>
        <w:t>the accompanying Ranger stream monitoring research</w:t>
      </w:r>
      <w:r>
        <w:rPr>
          <w:spacing w:val="-2"/>
          <w:lang w:val="en-US"/>
        </w:rPr>
        <w:t xml:space="preserve"> paper</w:t>
      </w:r>
      <w:r>
        <w:t xml:space="preserve">. </w:t>
      </w:r>
    </w:p>
    <w:p w:rsidR="00D85FAC" w:rsidRDefault="00D85FAC" w:rsidP="00D85FAC">
      <w:pPr>
        <w:pStyle w:val="Heading2"/>
      </w:pPr>
      <w:bookmarkStart w:id="276" w:name="_Toc313523496"/>
      <w:bookmarkStart w:id="277" w:name="_Toc316985342"/>
      <w:r>
        <w:t>Analysis of Gulungul Creek results</w:t>
      </w:r>
      <w:bookmarkEnd w:id="276"/>
      <w:bookmarkEnd w:id="277"/>
    </w:p>
    <w:p w:rsidR="00D85FAC" w:rsidRPr="00FC0C53" w:rsidRDefault="00D85FAC" w:rsidP="00D85FAC">
      <w:pPr>
        <w:rPr>
          <w:spacing w:val="-2"/>
        </w:rPr>
      </w:pPr>
      <w:r w:rsidRPr="00FC0C53">
        <w:rPr>
          <w:spacing w:val="-2"/>
        </w:rPr>
        <w:t>Results for Gulungul Creek also show snail egg production at the downstream site was consistently higher than at the upstream site in 2010</w:t>
      </w:r>
      <w:r>
        <w:rPr>
          <w:spacing w:val="-2"/>
        </w:rPr>
        <w:t>–</w:t>
      </w:r>
      <w:r w:rsidRPr="00FC0C53">
        <w:rPr>
          <w:spacing w:val="-2"/>
        </w:rPr>
        <w:t xml:space="preserve">11, with eight of the nine tests producing a negative difference value (Figure </w:t>
      </w:r>
      <w:r>
        <w:rPr>
          <w:spacing w:val="-2"/>
        </w:rPr>
        <w:t>1</w:t>
      </w:r>
      <w:r w:rsidRPr="00FC0C53">
        <w:rPr>
          <w:spacing w:val="-2"/>
        </w:rPr>
        <w:t>B). These results are in contrast to those observed during the previous (2009–10) season</w:t>
      </w:r>
      <w:r>
        <w:rPr>
          <w:spacing w:val="-2"/>
        </w:rPr>
        <w:t>,</w:t>
      </w:r>
      <w:r w:rsidRPr="00FC0C53">
        <w:rPr>
          <w:spacing w:val="-2"/>
        </w:rPr>
        <w:t xml:space="preserve"> when four out of the five tests conducted in Gulungul Creek resulted in positive difference values (indicating higher upstream egg production). Confirming this observation, ANOVA testing found a significant difference between the upstream-downstream difference data for 2011 compared with difference data for 2010 (P &lt;0.05). In </w:t>
      </w:r>
      <w:r w:rsidRPr="00BB6FF3">
        <w:rPr>
          <w:spacing w:val="-2"/>
          <w:lang w:val="en-US"/>
        </w:rPr>
        <w:t>the accompanying Ranger stream monitoring research</w:t>
      </w:r>
      <w:r>
        <w:rPr>
          <w:spacing w:val="-2"/>
          <w:lang w:val="en-US"/>
        </w:rPr>
        <w:t xml:space="preserve"> paper</w:t>
      </w:r>
      <w:r w:rsidRPr="00FC0C53">
        <w:rPr>
          <w:spacing w:val="-2"/>
        </w:rPr>
        <w:t xml:space="preserve">, the higher variability of egg production in Gulungul Creek, compared with that in Magela Creek, is noted. This higher variability appears to be associated with similar and higher (natural) variability in water quality observed between sites and between years in Gulungul Creek compared with water quality variation in Magela Creek. </w:t>
      </w:r>
    </w:p>
    <w:p w:rsidR="00D85FAC" w:rsidRDefault="00D85FAC" w:rsidP="00D85FAC">
      <w:pPr>
        <w:rPr>
          <w:spacing w:val="-2"/>
        </w:rPr>
      </w:pPr>
      <w:r>
        <w:rPr>
          <w:spacing w:val="-2"/>
        </w:rPr>
        <w:t>The toxicity monitoring dataset for Gulungul Creek is currently too small to attribute any mine-related cause of the significant difference in between-site egg production observed between 2011 and 2010. Gulungul Creek toxicity monitoring data are being used with those from Magela Creek to develop an improved understanding of the contributions of different environmental factors to variations in snail egg production in the two creek systems</w:t>
      </w:r>
      <w:r w:rsidRPr="00FC0C53">
        <w:rPr>
          <w:spacing w:val="-2"/>
        </w:rPr>
        <w:t>. This understanding will improve the ability to distinguish between natural and</w:t>
      </w:r>
      <w:r>
        <w:rPr>
          <w:spacing w:val="-2"/>
        </w:rPr>
        <w:t xml:space="preserve"> mine-related contributions to the toxicity monitoring results.</w:t>
      </w:r>
    </w:p>
    <w:p w:rsidR="00D85FAC" w:rsidRDefault="00D85FAC" w:rsidP="00D85FAC">
      <w:pPr>
        <w:pStyle w:val="Heading2"/>
      </w:pPr>
      <w:bookmarkStart w:id="278" w:name="_Toc316985343"/>
      <w:r>
        <w:lastRenderedPageBreak/>
        <w:t>References</w:t>
      </w:r>
      <w:bookmarkEnd w:id="278"/>
    </w:p>
    <w:p w:rsidR="00D85FAC" w:rsidRDefault="00D85FAC" w:rsidP="00D85FAC">
      <w:pPr>
        <w:pStyle w:val="referencelist1"/>
      </w:pPr>
      <w:r>
        <w:t xml:space="preserve">Humphrey C, </w:t>
      </w:r>
      <w:r>
        <w:rPr>
          <w:szCs w:val="22"/>
        </w:rPr>
        <w:t xml:space="preserve">Buckle D &amp; Davies C </w:t>
      </w:r>
      <w:r>
        <w:t xml:space="preserve">2009. </w:t>
      </w:r>
      <w:proofErr w:type="gramStart"/>
      <w:r>
        <w:t>Development of in situ toxicity monitoring methods for Magela Creek.</w:t>
      </w:r>
      <w:proofErr w:type="gramEnd"/>
      <w:r>
        <w:t xml:space="preserve"> </w:t>
      </w:r>
      <w:proofErr w:type="gramStart"/>
      <w:r>
        <w:t xml:space="preserve">In </w:t>
      </w:r>
      <w:r w:rsidRPr="009113BD">
        <w:rPr>
          <w:b/>
          <w:i/>
          <w:sz w:val="26"/>
          <w:szCs w:val="26"/>
        </w:rPr>
        <w:t>eriss</w:t>
      </w:r>
      <w:r>
        <w:t xml:space="preserve"> </w:t>
      </w:r>
      <w:r w:rsidRPr="009113BD">
        <w:rPr>
          <w:i/>
        </w:rPr>
        <w:t>research summary 2007–2008</w:t>
      </w:r>
      <w:r>
        <w:t>.</w:t>
      </w:r>
      <w:proofErr w:type="gramEnd"/>
      <w:r>
        <w:t xml:space="preserve"> </w:t>
      </w:r>
      <w:proofErr w:type="gramStart"/>
      <w:r>
        <w:t>eds</w:t>
      </w:r>
      <w:proofErr w:type="gramEnd"/>
      <w:r>
        <w:t xml:space="preserve"> Jones DR &amp; Webb A, Supervising Scientist Report 200, Supervising Scientist, Darwin NT, 86–90.</w:t>
      </w:r>
    </w:p>
    <w:p w:rsidR="00D85FAC" w:rsidRDefault="00D85FAC" w:rsidP="00D85FAC">
      <w:pPr>
        <w:pStyle w:val="referencelist1"/>
        <w:spacing w:after="60"/>
        <w:ind w:left="357" w:hanging="357"/>
        <w:rPr>
          <w:szCs w:val="22"/>
        </w:rPr>
      </w:pPr>
      <w:r>
        <w:rPr>
          <w:szCs w:val="22"/>
        </w:rPr>
        <w:t xml:space="preserve">Humphrey C, Buckle D &amp; Davies C 2011. </w:t>
      </w:r>
      <w:proofErr w:type="gramStart"/>
      <w:r>
        <w:rPr>
          <w:szCs w:val="22"/>
        </w:rPr>
        <w:t>In situ biological monitoring in Gulungul Creek.</w:t>
      </w:r>
      <w:proofErr w:type="gramEnd"/>
      <w:r>
        <w:rPr>
          <w:szCs w:val="22"/>
        </w:rPr>
        <w:t xml:space="preserve"> </w:t>
      </w:r>
      <w:proofErr w:type="gramStart"/>
      <w:r>
        <w:rPr>
          <w:szCs w:val="22"/>
        </w:rPr>
        <w:t xml:space="preserve">In </w:t>
      </w:r>
      <w:r>
        <w:rPr>
          <w:b/>
          <w:i/>
          <w:sz w:val="26"/>
          <w:szCs w:val="26"/>
        </w:rPr>
        <w:t>eriss</w:t>
      </w:r>
      <w:r>
        <w:t xml:space="preserve"> </w:t>
      </w:r>
      <w:r>
        <w:rPr>
          <w:i/>
        </w:rPr>
        <w:t>research summary 2009–2010</w:t>
      </w:r>
      <w:r>
        <w:t>.</w:t>
      </w:r>
      <w:proofErr w:type="gramEnd"/>
      <w:r>
        <w:rPr>
          <w:szCs w:val="22"/>
        </w:rPr>
        <w:t xml:space="preserve"> </w:t>
      </w:r>
      <w:proofErr w:type="gramStart"/>
      <w:r>
        <w:rPr>
          <w:szCs w:val="22"/>
        </w:rPr>
        <w:t>eds</w:t>
      </w:r>
      <w:proofErr w:type="gramEnd"/>
      <w:r>
        <w:rPr>
          <w:szCs w:val="22"/>
        </w:rPr>
        <w:t xml:space="preserve"> Jones DR &amp; Webb A, Supervising Scientist Report 202, Supervising Scientist, </w:t>
      </w:r>
      <w:smartTag w:uri="urn:schemas-microsoft-com:office:smarttags" w:element="place">
        <w:smartTag w:uri="urn:schemas-microsoft-com:office:smarttags" w:element="City">
          <w:r>
            <w:rPr>
              <w:szCs w:val="22"/>
            </w:rPr>
            <w:t>Darwin</w:t>
          </w:r>
        </w:smartTag>
        <w:r>
          <w:rPr>
            <w:szCs w:val="22"/>
          </w:rPr>
          <w:t xml:space="preserve"> </w:t>
        </w:r>
        <w:smartTag w:uri="urn:schemas-microsoft-com:office:smarttags" w:element="State">
          <w:r>
            <w:rPr>
              <w:szCs w:val="22"/>
            </w:rPr>
            <w:t>NT</w:t>
          </w:r>
        </w:smartTag>
      </w:smartTag>
      <w:r>
        <w:rPr>
          <w:szCs w:val="22"/>
        </w:rPr>
        <w:t>, 79–80.</w:t>
      </w:r>
    </w:p>
    <w:p w:rsidR="00D85FAC" w:rsidRDefault="00D85FAC" w:rsidP="00D85FAC">
      <w:pPr>
        <w:pStyle w:val="referencelist1"/>
      </w:pPr>
    </w:p>
    <w:p w:rsidR="00D85FAC" w:rsidRDefault="00D85FAC" w:rsidP="00D85FAC">
      <w:pPr>
        <w:rPr>
          <w:spacing w:val="-2"/>
        </w:rPr>
      </w:pPr>
    </w:p>
    <w:p w:rsidR="00D85FAC" w:rsidRPr="003A77B2" w:rsidRDefault="00D85FAC" w:rsidP="00D85FAC">
      <w:pPr>
        <w:rPr>
          <w:spacing w:val="-2"/>
        </w:rPr>
      </w:pPr>
    </w:p>
    <w:p w:rsidR="00D85FAC" w:rsidRDefault="00D85FAC" w:rsidP="00D85FAC">
      <w:pPr>
        <w:pStyle w:val="Heading5"/>
        <w:sectPr w:rsidR="00D85FAC" w:rsidSect="00D85FAC">
          <w:headerReference w:type="default" r:id="rId128"/>
          <w:footnotePr>
            <w:numRestart w:val="eachSect"/>
          </w:footnotePr>
          <w:pgSz w:w="11906" w:h="16838" w:code="9"/>
          <w:pgMar w:top="1440" w:right="1797" w:bottom="1440" w:left="1797" w:header="851" w:footer="833" w:gutter="0"/>
          <w:cols w:space="360"/>
          <w:noEndnote/>
          <w:titlePg/>
        </w:sectPr>
      </w:pPr>
    </w:p>
    <w:p w:rsidR="00D85FAC" w:rsidRDefault="00D85FAC" w:rsidP="00D85FAC">
      <w:pPr>
        <w:pStyle w:val="Heading1"/>
      </w:pPr>
      <w:bookmarkStart w:id="279" w:name="_Toc319670733"/>
      <w:r>
        <w:lastRenderedPageBreak/>
        <w:t>Bioaccumulation of uranium and radium in freshwater mussels from Mudginberri Billabong</w:t>
      </w:r>
      <w:bookmarkEnd w:id="279"/>
    </w:p>
    <w:p w:rsidR="00D85FAC" w:rsidRPr="008E44C5" w:rsidRDefault="00D85FAC" w:rsidP="00D85FAC">
      <w:pPr>
        <w:pStyle w:val="authors"/>
        <w:spacing w:after="800"/>
      </w:pPr>
      <w:bookmarkStart w:id="280" w:name="_Toc316987236"/>
      <w:bookmarkStart w:id="281" w:name="_Toc319670734"/>
      <w:r>
        <w:t>A Bollhöfer, B Ryan, C Humphrey &amp; T Fox</w:t>
      </w:r>
      <w:bookmarkEnd w:id="280"/>
      <w:bookmarkEnd w:id="281"/>
    </w:p>
    <w:p w:rsidR="00D85FAC" w:rsidRDefault="00D85FAC" w:rsidP="00D85FAC">
      <w:pPr>
        <w:pStyle w:val="Heading2"/>
      </w:pPr>
      <w:bookmarkStart w:id="282" w:name="_Toc313523498"/>
      <w:bookmarkStart w:id="283" w:name="_Toc316985345"/>
      <w:r>
        <w:t>Introduction</w:t>
      </w:r>
      <w:bookmarkEnd w:id="282"/>
      <w:bookmarkEnd w:id="283"/>
    </w:p>
    <w:p w:rsidR="00D85FAC" w:rsidRDefault="00D85FAC" w:rsidP="00D85FAC">
      <w:r>
        <w:t xml:space="preserve">Local indigenous people harvest aquatic food items, in particular mussels, from Mudginberri Billabong, 12 km downstream of the Ranger mine. Hence it is essential that they are fit for human consumption and </w:t>
      </w:r>
      <w:proofErr w:type="gramStart"/>
      <w:r>
        <w:t>that concentrations</w:t>
      </w:r>
      <w:proofErr w:type="gramEnd"/>
      <w:r>
        <w:t xml:space="preserve"> of metals and/or radionuclides in tissue and organs of aquatic biota attributable to mine-derived inputs from Ranger remain within acceptable safe levels. Enhanced concentrations (in</w:t>
      </w:r>
      <w:r w:rsidRPr="002758F7">
        <w:t xml:space="preserve"> </w:t>
      </w:r>
      <w:r>
        <w:t>µg·g</w:t>
      </w:r>
      <w:r w:rsidRPr="00BB6FF3">
        <w:rPr>
          <w:vertAlign w:val="superscript"/>
        </w:rPr>
        <w:t>-1</w:t>
      </w:r>
      <w:r>
        <w:t xml:space="preserve"> and Bq·g</w:t>
      </w:r>
      <w:r w:rsidRPr="00BB6FF3">
        <w:rPr>
          <w:vertAlign w:val="superscript"/>
        </w:rPr>
        <w:t>-1</w:t>
      </w:r>
      <w:r>
        <w:t xml:space="preserve"> , respectively) or loads (in µg or Bq per mussel) of mine-derived solutes in biota could also potentially reach limits that may harm the organisms themselves, as well as provide early warning of bioavailability of these dispersed constituents to the creek system. Hence the bioaccumulation monitoring program serves an ecosystem protection role in addition to the human health aspect.</w:t>
      </w:r>
    </w:p>
    <w:p w:rsidR="00D85FAC" w:rsidRDefault="00D85FAC" w:rsidP="00D85FAC">
      <w:r>
        <w:t>Uranium and radium bioaccumulation data were obtained intermittently from Mudginberri Billabong between 1980 and 2000. Between 2000 and 2008, mussels were collected annually and fish every two years, respectively, from Mudginberri (the potentially impacted site, sampled from 2000 onwards) and Sandy Billabongs (the control site, sampled from 2002 onwards) (Ryan et al 2005; Brazier et al 2009). Results from monitoring and two research projects conducted in 2007 and 2008 and reported in previous ARRTC reports showed that radionuclide loads in mussels from Mudginberri Billabong were generally about twice as high compared with mussels from the reference site, Sandy Billabong. However, of all sites investigated along the Magela channel, Mudginberri Billabong mussels exhibit the lowest radium loads, age-for-age. These results have been published and it has been concluded that the differences in mussel radionuclide activity loads between Mudginberri and Sandy Billabong mussels are due to natural catchment rather than any mining influence (Bollhöfer et al 2011). Metal, in particular lead, uptake has been studied in mussels from the Magela catchment as well. The investigation has shown that the percentage of uranogenic lead relative to total lead concentrations in mussels in Mudginberri Billabong is small (&lt; 2%) and overwhelmed by an additional source of industrial lead contributing via Corndorl and Gulungul creeks, or local sources within the Billabong itself (Bollhöfer 2011).</w:t>
      </w:r>
    </w:p>
    <w:p w:rsidR="00D85FAC" w:rsidRDefault="00D85FAC" w:rsidP="00D85FAC">
      <w:r>
        <w:t>Nine years of monitoring of the levels of radionuclides and metals in fish had not shown any issues of potential concern with regards to bioaccumulation (Brazier et al 2009). Consequently, the effort on the bioaccumulation component of the monitoring program has been reduced to analysing annually a bulk sample of mussels for radionuclides and metals, while the two yearly fish sampling program has been discontinued. The fish bioaccumulation program will be restarted in the event it is shown that levels of metals being input from the mine (via the water quality monitoring program) increase above the current condition.</w:t>
      </w:r>
    </w:p>
    <w:p w:rsidR="00D85FAC" w:rsidRDefault="00D85FAC" w:rsidP="00D85FAC">
      <w:pPr>
        <w:pStyle w:val="Heading2"/>
      </w:pPr>
      <w:bookmarkStart w:id="284" w:name="_Toc313523499"/>
      <w:bookmarkStart w:id="285" w:name="_Toc316985346"/>
      <w:r>
        <w:t>Results</w:t>
      </w:r>
      <w:bookmarkEnd w:id="284"/>
      <w:bookmarkEnd w:id="285"/>
    </w:p>
    <w:p w:rsidR="00D85FAC" w:rsidRDefault="00D85FAC" w:rsidP="00D85FAC">
      <w:r>
        <w:t xml:space="preserve">A summary of uranium concentrations in freshwater mussels, water and sediment samples collected from Mudginberri and Sandy Billabongs between 2000 and 2010 are shown in Figure 1. The mean concentrations of uranium in mussels from both Mudginberri and Sandy </w:t>
      </w:r>
      <w:r>
        <w:lastRenderedPageBreak/>
        <w:t>Billabongs are similar, with no evidence of an increasing trend in concentration in Mudginberri mussels over time.</w:t>
      </w:r>
    </w:p>
    <w:p w:rsidR="00D85FAC" w:rsidRDefault="00D85FAC" w:rsidP="00D85FAC">
      <w:pPr>
        <w:spacing w:after="0"/>
      </w:pPr>
    </w:p>
    <w:p w:rsidR="00D85FAC" w:rsidRDefault="00D85FAC" w:rsidP="00D85FAC">
      <w:pPr>
        <w:pStyle w:val="figurecaption"/>
      </w:pPr>
      <w:r w:rsidRPr="008012AA">
        <w:rPr>
          <w:noProof/>
          <w:lang w:eastAsia="en-AU"/>
        </w:rPr>
        <w:drawing>
          <wp:inline distT="0" distB="0" distL="0" distR="0">
            <wp:extent cx="4041508" cy="2628882"/>
            <wp:effectExtent l="19050" t="19050" r="16142" b="19068"/>
            <wp:docPr id="1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cstate="screen"/>
                    <a:srcRect l="2301" r="3351"/>
                    <a:stretch>
                      <a:fillRect/>
                    </a:stretch>
                  </pic:blipFill>
                  <pic:spPr bwMode="auto">
                    <a:xfrm>
                      <a:off x="0" y="0"/>
                      <a:ext cx="4038463" cy="2626901"/>
                    </a:xfrm>
                    <a:prstGeom prst="rect">
                      <a:avLst/>
                    </a:prstGeom>
                    <a:noFill/>
                    <a:ln w="9525">
                      <a:solidFill>
                        <a:schemeClr val="bg1">
                          <a:lumMod val="65000"/>
                        </a:schemeClr>
                      </a:solidFill>
                      <a:miter lim="800000"/>
                      <a:headEnd/>
                      <a:tailEnd/>
                    </a:ln>
                  </pic:spPr>
                </pic:pic>
              </a:graphicData>
            </a:graphic>
          </wp:inline>
        </w:drawing>
      </w:r>
    </w:p>
    <w:p w:rsidR="00D85FAC" w:rsidRDefault="00D85FAC" w:rsidP="00D85FAC">
      <w:pPr>
        <w:pStyle w:val="figurecaption"/>
      </w:pPr>
      <w:r w:rsidRPr="009D24EE">
        <w:rPr>
          <w:b/>
        </w:rPr>
        <w:t xml:space="preserve">Figure </w:t>
      </w:r>
      <w:proofErr w:type="gramStart"/>
      <w:r w:rsidRPr="009D24EE">
        <w:rPr>
          <w:b/>
        </w:rPr>
        <w:t>1</w:t>
      </w:r>
      <w:r>
        <w:t xml:space="preserve">  Mean</w:t>
      </w:r>
      <w:proofErr w:type="gramEnd"/>
      <w:r>
        <w:t xml:space="preserve"> concentrations of U measured in mussel soft-parts, sediment and water samples collected from Mudginberri and Sandy Billabongs from 2000 to 2010</w:t>
      </w:r>
    </w:p>
    <w:p w:rsidR="00D85FAC" w:rsidRDefault="00D85FAC" w:rsidP="00D85FAC">
      <w:r>
        <w:t xml:space="preserve">The lack of any increase in concentration of U in mussel tissues through time, with essentially constant levels observed between 1989 and 1995 (as reported in previous reports), and consistently low levels from 2000 to the last sample taken in October 2010, indicates absence of any significant mining influence. </w:t>
      </w:r>
    </w:p>
    <w:p w:rsidR="00D85FAC" w:rsidRDefault="00D85FAC" w:rsidP="00D85FAC">
      <w:pPr>
        <w:rPr>
          <w:spacing w:val="-2"/>
        </w:rPr>
      </w:pPr>
      <w:r w:rsidRPr="009D24EE">
        <w:rPr>
          <w:spacing w:val="-2"/>
        </w:rPr>
        <w:t xml:space="preserve">The average annual committed effective dose from radiation due to mussel consumption is calculated for a 10-year old child who eats 2 kg (wet weight) of mussel flesh from Mudginberri Billabong, using the activity concentrations of </w:t>
      </w:r>
      <w:r w:rsidRPr="009D24EE">
        <w:rPr>
          <w:snapToGrid w:val="0"/>
          <w:color w:val="000000"/>
          <w:spacing w:val="-2"/>
          <w:position w:val="5"/>
          <w:sz w:val="15"/>
          <w:szCs w:val="0"/>
          <w:u w:color="000000"/>
        </w:rPr>
        <w:t>226</w:t>
      </w:r>
      <w:r w:rsidRPr="009D24EE">
        <w:rPr>
          <w:spacing w:val="-2"/>
        </w:rPr>
        <w:t xml:space="preserve">Ra and </w:t>
      </w:r>
      <w:r w:rsidRPr="009D24EE">
        <w:rPr>
          <w:snapToGrid w:val="0"/>
          <w:color w:val="000000"/>
          <w:spacing w:val="-2"/>
          <w:position w:val="5"/>
          <w:sz w:val="15"/>
          <w:szCs w:val="0"/>
          <w:u w:color="000000"/>
        </w:rPr>
        <w:t>210</w:t>
      </w:r>
      <w:r w:rsidRPr="009D24EE">
        <w:rPr>
          <w:spacing w:val="-2"/>
        </w:rPr>
        <w:t xml:space="preserve">Pb measured in mussel flesh. The average of all collections from 2000 to 2010 is 0.18 mSv. Figure 2 shows the doses estimated for the individual years, and the median, 80 and 95 percentiles for all collections. </w:t>
      </w:r>
    </w:p>
    <w:p w:rsidR="00D85FAC" w:rsidRPr="009D24EE" w:rsidRDefault="00D85FAC" w:rsidP="00D85FAC">
      <w:pPr>
        <w:spacing w:after="0"/>
        <w:rPr>
          <w:spacing w:val="-2"/>
        </w:rPr>
      </w:pPr>
    </w:p>
    <w:p w:rsidR="00D85FAC" w:rsidRDefault="00D85FAC" w:rsidP="00D85FAC">
      <w:pPr>
        <w:jc w:val="center"/>
      </w:pPr>
      <w:r w:rsidRPr="008012AA">
        <w:rPr>
          <w:noProof/>
          <w:lang w:eastAsia="en-AU"/>
        </w:rPr>
        <w:drawing>
          <wp:inline distT="0" distB="0" distL="0" distR="0">
            <wp:extent cx="4286869" cy="2487610"/>
            <wp:effectExtent l="0" t="0" r="0" b="0"/>
            <wp:docPr id="1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cstate="screen"/>
                    <a:srcRect l="-1574" t="3345" r="2548" b="2902"/>
                    <a:stretch>
                      <a:fillRect/>
                    </a:stretch>
                  </pic:blipFill>
                  <pic:spPr bwMode="auto">
                    <a:xfrm>
                      <a:off x="0" y="0"/>
                      <a:ext cx="4287899" cy="2488208"/>
                    </a:xfrm>
                    <a:prstGeom prst="rect">
                      <a:avLst/>
                    </a:prstGeom>
                    <a:noFill/>
                    <a:ln w="9525">
                      <a:noFill/>
                      <a:miter lim="800000"/>
                      <a:headEnd/>
                      <a:tailEnd/>
                    </a:ln>
                  </pic:spPr>
                </pic:pic>
              </a:graphicData>
            </a:graphic>
          </wp:inline>
        </w:drawing>
      </w:r>
    </w:p>
    <w:p w:rsidR="00D85FAC" w:rsidRDefault="00D85FAC" w:rsidP="00D85FAC">
      <w:pPr>
        <w:pStyle w:val="figurecaption"/>
      </w:pPr>
      <w:r w:rsidRPr="009D24EE">
        <w:rPr>
          <w:b/>
        </w:rPr>
        <w:t xml:space="preserve">Figure </w:t>
      </w:r>
      <w:proofErr w:type="gramStart"/>
      <w:r w:rsidRPr="009D24EE">
        <w:rPr>
          <w:b/>
        </w:rPr>
        <w:t>2</w:t>
      </w:r>
      <w:r>
        <w:t xml:space="preserve">  Annual</w:t>
      </w:r>
      <w:proofErr w:type="gramEnd"/>
      <w:r>
        <w:t xml:space="preserve"> committed effective doses from </w:t>
      </w:r>
      <w:r w:rsidRPr="0042448C">
        <w:rPr>
          <w:snapToGrid w:val="0"/>
          <w:color w:val="000000"/>
          <w:position w:val="4"/>
          <w:sz w:val="12"/>
          <w:szCs w:val="0"/>
          <w:u w:color="000000"/>
        </w:rPr>
        <w:t>226</w:t>
      </w:r>
      <w:r>
        <w:t xml:space="preserve">Ra and </w:t>
      </w:r>
      <w:r w:rsidRPr="0042448C">
        <w:rPr>
          <w:snapToGrid w:val="0"/>
          <w:color w:val="000000"/>
          <w:position w:val="4"/>
          <w:sz w:val="12"/>
          <w:szCs w:val="0"/>
          <w:u w:color="000000"/>
        </w:rPr>
        <w:t>210</w:t>
      </w:r>
      <w:r>
        <w:t>Pb for a 10 year old child eating 2 kg of mussels collected at Mudginberri Billabong. The median for all the data (solid line), the 80</w:t>
      </w:r>
      <w:r w:rsidRPr="000828F2">
        <w:rPr>
          <w:vertAlign w:val="superscript"/>
        </w:rPr>
        <w:t>th</w:t>
      </w:r>
      <w:r>
        <w:t xml:space="preserve"> percentile (dashed line) and 95</w:t>
      </w:r>
      <w:r w:rsidRPr="000828F2">
        <w:rPr>
          <w:vertAlign w:val="superscript"/>
        </w:rPr>
        <w:t>th</w:t>
      </w:r>
      <w:r>
        <w:t xml:space="preserve"> percentile (dotted line) are shown for reference.</w:t>
      </w:r>
    </w:p>
    <w:p w:rsidR="00D85FAC" w:rsidRDefault="00D85FAC" w:rsidP="00D85FAC">
      <w:r>
        <w:lastRenderedPageBreak/>
        <w:t xml:space="preserve">Activity concentrations of </w:t>
      </w:r>
      <w:r w:rsidRPr="00E9467F">
        <w:rPr>
          <w:snapToGrid w:val="0"/>
          <w:color w:val="000000"/>
          <w:position w:val="5"/>
          <w:sz w:val="15"/>
          <w:szCs w:val="0"/>
          <w:u w:color="000000"/>
        </w:rPr>
        <w:t>226</w:t>
      </w:r>
      <w:r>
        <w:t xml:space="preserve">Ra and </w:t>
      </w:r>
      <w:r w:rsidRPr="00E9467F">
        <w:rPr>
          <w:snapToGrid w:val="0"/>
          <w:color w:val="000000"/>
          <w:position w:val="5"/>
          <w:sz w:val="15"/>
          <w:szCs w:val="0"/>
          <w:u w:color="000000"/>
        </w:rPr>
        <w:t>210</w:t>
      </w:r>
      <w:r>
        <w:t xml:space="preserve">Pb in mussels are age-dependent and are also related to growth rates and in particular seasonal soft body weights (Johnston et al 1984; Ryan et al 2008; Bollhöfer et al 2011). Consequently, </w:t>
      </w:r>
      <w:r w:rsidRPr="00E9467F">
        <w:rPr>
          <w:snapToGrid w:val="0"/>
          <w:color w:val="000000"/>
          <w:position w:val="5"/>
          <w:sz w:val="15"/>
          <w:szCs w:val="0"/>
          <w:u w:color="000000"/>
        </w:rPr>
        <w:t>226</w:t>
      </w:r>
      <w:r>
        <w:t xml:space="preserve">Ra and </w:t>
      </w:r>
      <w:r w:rsidRPr="00E9467F">
        <w:rPr>
          <w:snapToGrid w:val="0"/>
          <w:color w:val="000000"/>
          <w:position w:val="5"/>
          <w:sz w:val="15"/>
          <w:szCs w:val="0"/>
          <w:u w:color="000000"/>
        </w:rPr>
        <w:t>210</w:t>
      </w:r>
      <w:r>
        <w:t xml:space="preserve">Pb activity concentrations in mussels can vary depending on the timing of collection. As can be seen, annual committed effective doses from the consumption of mussels collected in 2010 are higher than in the previous 6 years, but still lower than the 95th percentile. This higher value is caused by higher concentrations of </w:t>
      </w:r>
      <w:r w:rsidRPr="00E9467F">
        <w:rPr>
          <w:snapToGrid w:val="0"/>
          <w:color w:val="000000"/>
          <w:position w:val="5"/>
          <w:sz w:val="15"/>
          <w:szCs w:val="0"/>
          <w:u w:color="000000"/>
        </w:rPr>
        <w:t>226</w:t>
      </w:r>
      <w:r>
        <w:t xml:space="preserve">Ra in mussel flesh, potentially due to lower soft body weights of the mussels collected in 2010. Despite the higher value in 2010, committed effective doses due to ingestion of mussels continue to be of no concern to human health. The </w:t>
      </w:r>
      <w:r w:rsidRPr="0042448C">
        <w:rPr>
          <w:snapToGrid w:val="0"/>
          <w:color w:val="000000"/>
          <w:position w:val="5"/>
          <w:sz w:val="15"/>
          <w:szCs w:val="0"/>
          <w:u w:color="000000"/>
        </w:rPr>
        <w:t>226</w:t>
      </w:r>
      <w:r>
        <w:t xml:space="preserve">Ra in mussels originates from natural catchment sources, rather than any mining influence, as confirmed by the wet season median difference for </w:t>
      </w:r>
      <w:r w:rsidRPr="0042448C">
        <w:rPr>
          <w:snapToGrid w:val="0"/>
          <w:color w:val="000000"/>
          <w:position w:val="5"/>
          <w:sz w:val="15"/>
          <w:szCs w:val="0"/>
          <w:u w:color="000000"/>
        </w:rPr>
        <w:t>226</w:t>
      </w:r>
      <w:r>
        <w:t>Ra activity concentrations measured in Magela Creek (downstream minus upstream) over 10 wet seasons being close to zero (see discussion above). The average ingestion dose for the same scenario for Sandy Billabong mussels collected between 2002 and 2008 is approximately 0.1 mSv.</w:t>
      </w:r>
    </w:p>
    <w:p w:rsidR="00D85FAC" w:rsidRDefault="00D85FAC" w:rsidP="00D85FAC">
      <w:pPr>
        <w:pStyle w:val="Heading2"/>
      </w:pPr>
      <w:bookmarkStart w:id="286" w:name="_Toc313523500"/>
      <w:bookmarkStart w:id="287" w:name="_Toc316985347"/>
      <w:r>
        <w:t>Future work</w:t>
      </w:r>
      <w:bookmarkEnd w:id="286"/>
      <w:bookmarkEnd w:id="287"/>
    </w:p>
    <w:p w:rsidR="00D85FAC" w:rsidRDefault="00D85FAC" w:rsidP="00D85FAC">
      <w:r>
        <w:t xml:space="preserve">Starting in the 2008/09 dry season bulk samples of mussels were collected annually from Mudginberri Billabong for re-assurance </w:t>
      </w:r>
      <w:proofErr w:type="gramStart"/>
      <w:r>
        <w:t>purposes,</w:t>
      </w:r>
      <w:proofErr w:type="gramEnd"/>
      <w:r>
        <w:t xml:space="preserve"> and the sampling at Sandy Billabong was discontinued. Back then it was proposed that the sampling program be reviewed every three years, a comparative study be conducted</w:t>
      </w:r>
      <w:r w:rsidRPr="009518FC">
        <w:t xml:space="preserve"> </w:t>
      </w:r>
      <w:r>
        <w:t xml:space="preserve">and the data from aged mussels compared with the historical record. Consequently, mussels have been collected from Mudginberri </w:t>
      </w:r>
      <w:r w:rsidRPr="002D6C49">
        <w:rPr>
          <w:u w:val="single"/>
        </w:rPr>
        <w:t>and</w:t>
      </w:r>
      <w:r>
        <w:t xml:space="preserve"> Sandy Billabongs in October 2011, and mussels will be aged and then analysed for </w:t>
      </w:r>
      <w:r w:rsidRPr="00E9467F">
        <w:rPr>
          <w:snapToGrid w:val="0"/>
          <w:color w:val="000000"/>
          <w:position w:val="5"/>
          <w:sz w:val="15"/>
          <w:szCs w:val="0"/>
          <w:u w:color="000000"/>
        </w:rPr>
        <w:t>226</w:t>
      </w:r>
      <w:r>
        <w:t xml:space="preserve">Ra and </w:t>
      </w:r>
      <w:r w:rsidRPr="00E9467F">
        <w:rPr>
          <w:snapToGrid w:val="0"/>
          <w:color w:val="000000"/>
          <w:position w:val="5"/>
          <w:sz w:val="15"/>
          <w:szCs w:val="0"/>
          <w:u w:color="000000"/>
        </w:rPr>
        <w:t>210</w:t>
      </w:r>
      <w:r>
        <w:t>Pb activity and metal concentrations as per previous protocols.</w:t>
      </w:r>
    </w:p>
    <w:p w:rsidR="00D85FAC" w:rsidRDefault="00D85FAC" w:rsidP="00D85FAC">
      <w:pPr>
        <w:pStyle w:val="Heading3"/>
      </w:pPr>
      <w:bookmarkStart w:id="288" w:name="_Toc316985348"/>
      <w:r>
        <w:t>References</w:t>
      </w:r>
      <w:bookmarkEnd w:id="288"/>
    </w:p>
    <w:p w:rsidR="00D85FAC" w:rsidRDefault="00D85FAC" w:rsidP="00D85FAC">
      <w:pPr>
        <w:pStyle w:val="referencelist1"/>
        <w:rPr>
          <w:rFonts w:ascii="Times" w:hAnsi="Times"/>
          <w:szCs w:val="22"/>
        </w:rPr>
      </w:pPr>
      <w:r w:rsidRPr="003442C7">
        <w:rPr>
          <w:rFonts w:ascii="Times" w:hAnsi="Times"/>
          <w:szCs w:val="22"/>
        </w:rPr>
        <w:t xml:space="preserve">Bollhöfer A 2011. </w:t>
      </w:r>
      <w:proofErr w:type="gramStart"/>
      <w:r w:rsidRPr="00F27F5A">
        <w:rPr>
          <w:rFonts w:ascii="Times" w:hAnsi="Times"/>
          <w:szCs w:val="22"/>
        </w:rPr>
        <w:t>Stable lead isotope ratios and metals in freshwater mussels from a uranium mining environment in Australia</w:t>
      </w:r>
      <w:r>
        <w:rPr>
          <w:rFonts w:ascii="Times" w:hAnsi="Times"/>
          <w:szCs w:val="22"/>
        </w:rPr>
        <w:t>’</w:t>
      </w:r>
      <w:r w:rsidRPr="00F27F5A">
        <w:rPr>
          <w:rFonts w:ascii="Times" w:hAnsi="Times"/>
          <w:szCs w:val="22"/>
        </w:rPr>
        <w:t>s wet-dry tropics</w:t>
      </w:r>
      <w:r w:rsidRPr="003442C7">
        <w:rPr>
          <w:rFonts w:ascii="Times" w:hAnsi="Times"/>
          <w:szCs w:val="22"/>
        </w:rPr>
        <w:t>.</w:t>
      </w:r>
      <w:proofErr w:type="gramEnd"/>
      <w:r w:rsidRPr="003442C7">
        <w:rPr>
          <w:rFonts w:ascii="Times" w:hAnsi="Times"/>
          <w:szCs w:val="22"/>
        </w:rPr>
        <w:t xml:space="preserve"> </w:t>
      </w:r>
      <w:proofErr w:type="gramStart"/>
      <w:r>
        <w:rPr>
          <w:i/>
          <w:szCs w:val="22"/>
        </w:rPr>
        <w:t>Applied Geochemistry</w:t>
      </w:r>
      <w:r>
        <w:rPr>
          <w:rFonts w:ascii="Times" w:hAnsi="Times"/>
          <w:szCs w:val="22"/>
        </w:rPr>
        <w:t xml:space="preserve">, </w:t>
      </w:r>
      <w:r w:rsidRPr="00F27F5A">
        <w:rPr>
          <w:rFonts w:ascii="Times" w:hAnsi="Times"/>
          <w:szCs w:val="22"/>
        </w:rPr>
        <w:t>doi:10.1016/j.apgeochem.2011.10.002</w:t>
      </w:r>
      <w:r w:rsidRPr="003442C7">
        <w:rPr>
          <w:rFonts w:ascii="Times" w:hAnsi="Times"/>
          <w:szCs w:val="22"/>
        </w:rPr>
        <w:t>.</w:t>
      </w:r>
      <w:proofErr w:type="gramEnd"/>
    </w:p>
    <w:p w:rsidR="00D85FAC" w:rsidRDefault="00D85FAC" w:rsidP="00D85FAC">
      <w:pPr>
        <w:pStyle w:val="referencelist1"/>
        <w:rPr>
          <w:rFonts w:ascii="Times" w:hAnsi="Times"/>
          <w:szCs w:val="22"/>
        </w:rPr>
      </w:pPr>
      <w:r w:rsidRPr="003442C7">
        <w:rPr>
          <w:rFonts w:ascii="Times" w:hAnsi="Times"/>
          <w:szCs w:val="22"/>
        </w:rPr>
        <w:t>Bollhöfer A, Brazier J, Ryan B, Humphrey C</w:t>
      </w:r>
      <w:r>
        <w:rPr>
          <w:rFonts w:ascii="Times" w:hAnsi="Times"/>
          <w:szCs w:val="22"/>
        </w:rPr>
        <w:t xml:space="preserve"> &amp;</w:t>
      </w:r>
      <w:r w:rsidRPr="003442C7">
        <w:rPr>
          <w:rFonts w:ascii="Times" w:hAnsi="Times"/>
          <w:szCs w:val="22"/>
        </w:rPr>
        <w:t xml:space="preserve"> Esparon A 2011. </w:t>
      </w:r>
      <w:proofErr w:type="gramStart"/>
      <w:r w:rsidRPr="003442C7">
        <w:rPr>
          <w:rFonts w:ascii="Times" w:hAnsi="Times"/>
          <w:szCs w:val="22"/>
        </w:rPr>
        <w:t xml:space="preserve">A study of radium bioaccumulation in freshwater mussels, </w:t>
      </w:r>
      <w:r w:rsidRPr="00A441C4">
        <w:rPr>
          <w:rFonts w:ascii="Times" w:hAnsi="Times"/>
          <w:i/>
          <w:szCs w:val="22"/>
        </w:rPr>
        <w:t>Velesunio angasi</w:t>
      </w:r>
      <w:r w:rsidRPr="003442C7">
        <w:rPr>
          <w:rFonts w:ascii="Times" w:hAnsi="Times"/>
          <w:szCs w:val="22"/>
        </w:rPr>
        <w:t>, in the Magela Creek catchment, Northern Territory, Australia.</w:t>
      </w:r>
      <w:proofErr w:type="gramEnd"/>
      <w:r w:rsidRPr="003442C7">
        <w:rPr>
          <w:rFonts w:ascii="Times" w:hAnsi="Times"/>
          <w:szCs w:val="22"/>
        </w:rPr>
        <w:t xml:space="preserve"> </w:t>
      </w:r>
      <w:r>
        <w:rPr>
          <w:i/>
          <w:szCs w:val="22"/>
        </w:rPr>
        <w:t>Journal of Environmental Radioactivity</w:t>
      </w:r>
      <w:r w:rsidRPr="003442C7">
        <w:rPr>
          <w:rFonts w:ascii="Times" w:hAnsi="Times"/>
          <w:szCs w:val="22"/>
        </w:rPr>
        <w:t xml:space="preserve"> 102, 964</w:t>
      </w:r>
      <w:r>
        <w:rPr>
          <w:rFonts w:ascii="Times" w:hAnsi="Times"/>
          <w:szCs w:val="22"/>
        </w:rPr>
        <w:t>–</w:t>
      </w:r>
      <w:r w:rsidRPr="003442C7">
        <w:rPr>
          <w:rFonts w:ascii="Times" w:hAnsi="Times"/>
          <w:szCs w:val="22"/>
        </w:rPr>
        <w:t>974.</w:t>
      </w:r>
    </w:p>
    <w:p w:rsidR="00D85FAC" w:rsidRPr="00A441C4" w:rsidRDefault="00D85FAC" w:rsidP="00D85FAC">
      <w:pPr>
        <w:pStyle w:val="referencelist1"/>
      </w:pPr>
      <w:proofErr w:type="gramStart"/>
      <w:r w:rsidRPr="00A441C4">
        <w:t>Brazier J, Bollhöfer A, Ryan B &amp; Humphrey C 2009.</w:t>
      </w:r>
      <w:proofErr w:type="gramEnd"/>
      <w:r w:rsidRPr="00A441C4">
        <w:t xml:space="preserve"> </w:t>
      </w:r>
      <w:proofErr w:type="gramStart"/>
      <w:r w:rsidRPr="00A441C4">
        <w:t>Bioaccumulation in fish and freshwater mussels from Mudginberri Billabong.</w:t>
      </w:r>
      <w:proofErr w:type="gramEnd"/>
      <w:r w:rsidRPr="00A441C4">
        <w:t xml:space="preserve"> </w:t>
      </w:r>
      <w:proofErr w:type="gramStart"/>
      <w:r w:rsidRPr="00A441C4">
        <w:t xml:space="preserve">In </w:t>
      </w:r>
      <w:r w:rsidRPr="00A441C4">
        <w:rPr>
          <w:b/>
          <w:i/>
          <w:iCs/>
          <w:sz w:val="26"/>
          <w:szCs w:val="26"/>
        </w:rPr>
        <w:t>eriss</w:t>
      </w:r>
      <w:r w:rsidRPr="00A441C4">
        <w:rPr>
          <w:i/>
          <w:iCs/>
        </w:rPr>
        <w:t xml:space="preserve"> research summary 2007–2008</w:t>
      </w:r>
      <w:r w:rsidRPr="00A441C4">
        <w:t>.</w:t>
      </w:r>
      <w:proofErr w:type="gramEnd"/>
      <w:r w:rsidRPr="00A441C4">
        <w:t xml:space="preserve"> </w:t>
      </w:r>
      <w:proofErr w:type="gramStart"/>
      <w:r w:rsidRPr="00A441C4">
        <w:t>eds</w:t>
      </w:r>
      <w:proofErr w:type="gramEnd"/>
      <w:r w:rsidRPr="00A441C4">
        <w:t xml:space="preserve"> Jones DR &amp; Webb A, Supervising Scientist Report 200, Supervising Scientist, </w:t>
      </w:r>
      <w:smartTag w:uri="urn:schemas-microsoft-com:office:smarttags" w:element="place">
        <w:smartTag w:uri="urn:schemas-microsoft-com:office:smarttags" w:element="City">
          <w:r w:rsidRPr="00A441C4">
            <w:t>Darwin</w:t>
          </w:r>
        </w:smartTag>
        <w:r w:rsidRPr="00A441C4">
          <w:t xml:space="preserve"> </w:t>
        </w:r>
        <w:smartTag w:uri="urn:schemas-microsoft-com:office:smarttags" w:element="State">
          <w:r w:rsidRPr="00A441C4">
            <w:t>NT</w:t>
          </w:r>
        </w:smartTag>
      </w:smartTag>
      <w:r w:rsidRPr="00A441C4">
        <w:t>, 53–56.</w:t>
      </w:r>
    </w:p>
    <w:p w:rsidR="00D85FAC" w:rsidRPr="005F108C" w:rsidRDefault="00D85FAC" w:rsidP="00D85FAC">
      <w:pPr>
        <w:pStyle w:val="referencelist1"/>
      </w:pPr>
      <w:proofErr w:type="gramStart"/>
      <w:r w:rsidRPr="005F108C">
        <w:t>Johnston A, Murray AS, Martin P &amp; Leighton S 1984.</w:t>
      </w:r>
      <w:proofErr w:type="gramEnd"/>
      <w:r w:rsidRPr="005F108C">
        <w:t xml:space="preserve"> </w:t>
      </w:r>
      <w:proofErr w:type="gramStart"/>
      <w:r w:rsidRPr="005F108C">
        <w:t>Radium concentrations in freshwater mussels in the Alligator Rivers Region.</w:t>
      </w:r>
      <w:proofErr w:type="gramEnd"/>
      <w:r w:rsidRPr="005F108C">
        <w:t xml:space="preserve"> </w:t>
      </w:r>
      <w:proofErr w:type="gramStart"/>
      <w:r w:rsidRPr="005F108C">
        <w:rPr>
          <w:i/>
        </w:rPr>
        <w:t>Annual conference of the Australian Radiation Protection Society</w:t>
      </w:r>
      <w:r w:rsidRPr="005F108C">
        <w:t>, Darwin, July 1984.</w:t>
      </w:r>
      <w:proofErr w:type="gramEnd"/>
    </w:p>
    <w:p w:rsidR="00D85FAC" w:rsidRDefault="00D85FAC" w:rsidP="00D85FAC">
      <w:pPr>
        <w:pStyle w:val="referencelist1"/>
        <w:rPr>
          <w:lang w:val="en-US"/>
        </w:rPr>
      </w:pPr>
      <w:r w:rsidRPr="005F108C">
        <w:rPr>
          <w:lang w:val="en-US"/>
        </w:rPr>
        <w:t xml:space="preserve">Ryan B, Martin P, Humphrey C, Pidgeon R, Bollhöfer A, Fox T &amp; Medley P 2005. </w:t>
      </w:r>
      <w:proofErr w:type="gramStart"/>
      <w:r w:rsidRPr="005F108C">
        <w:rPr>
          <w:lang w:val="en-US"/>
        </w:rPr>
        <w:t>Radionuclides and metals in fish and freshwater mussels from Mudginberri and Sandy Billabongs, Alligator Rivers Region, 2000–2003.</w:t>
      </w:r>
      <w:proofErr w:type="gramEnd"/>
      <w:r w:rsidRPr="005F108C">
        <w:rPr>
          <w:lang w:val="en-US"/>
        </w:rPr>
        <w:t xml:space="preserve"> Internal Report 498, November, Supervising Scientist, Darwin. </w:t>
      </w:r>
      <w:proofErr w:type="gramStart"/>
      <w:r w:rsidRPr="005F108C">
        <w:rPr>
          <w:lang w:val="en-US"/>
        </w:rPr>
        <w:t>Unpublished paper.</w:t>
      </w:r>
      <w:proofErr w:type="gramEnd"/>
    </w:p>
    <w:p w:rsidR="00D85FAC" w:rsidRPr="005F108C" w:rsidRDefault="00D85FAC" w:rsidP="00D85FAC">
      <w:pPr>
        <w:pStyle w:val="referencelist1"/>
        <w:rPr>
          <w:lang w:val="en-US"/>
        </w:rPr>
      </w:pPr>
    </w:p>
    <w:p w:rsidR="00D85FAC" w:rsidRDefault="00D85FAC" w:rsidP="00D85FAC">
      <w:pPr>
        <w:pStyle w:val="Heading5"/>
        <w:sectPr w:rsidR="00D85FAC" w:rsidSect="00D85FAC">
          <w:headerReference w:type="default" r:id="rId131"/>
          <w:footnotePr>
            <w:numRestart w:val="eachSect"/>
          </w:footnotePr>
          <w:pgSz w:w="11906" w:h="16838" w:code="9"/>
          <w:pgMar w:top="1440" w:right="1797" w:bottom="1440" w:left="1797" w:header="851" w:footer="833" w:gutter="0"/>
          <w:cols w:space="360"/>
          <w:noEndnote/>
          <w:titlePg/>
        </w:sectPr>
      </w:pPr>
    </w:p>
    <w:p w:rsidR="00D85FAC" w:rsidRDefault="00D85FAC" w:rsidP="00D85FAC">
      <w:pPr>
        <w:pStyle w:val="Heading1"/>
      </w:pPr>
      <w:bookmarkStart w:id="289" w:name="_Toc319670735"/>
      <w:r>
        <w:lastRenderedPageBreak/>
        <w:t xml:space="preserve">Monitoring using macroinvertebrate </w:t>
      </w:r>
      <w:r>
        <w:br/>
        <w:t>community structure</w:t>
      </w:r>
      <w:bookmarkEnd w:id="289"/>
    </w:p>
    <w:p w:rsidR="00D85FAC" w:rsidRPr="00805375" w:rsidRDefault="00D85FAC" w:rsidP="00D85FAC">
      <w:pPr>
        <w:pStyle w:val="authors"/>
        <w:spacing w:after="800"/>
      </w:pPr>
      <w:bookmarkStart w:id="290" w:name="_Toc316987238"/>
      <w:bookmarkStart w:id="291" w:name="_Toc319670736"/>
      <w:r w:rsidRPr="00805375">
        <w:rPr>
          <w:rFonts w:ascii="Arial-BoldMT" w:hAnsi="Arial-BoldMT" w:cs="Arial-BoldMT"/>
          <w:bCs/>
          <w:szCs w:val="24"/>
          <w:lang w:eastAsia="en-AU"/>
        </w:rPr>
        <w:t>C Humphrey, L Chandler, C Camilleri</w:t>
      </w:r>
      <w:r w:rsidRPr="00805375">
        <w:t xml:space="preserve"> &amp; J Hanley</w:t>
      </w:r>
      <w:bookmarkEnd w:id="290"/>
      <w:bookmarkEnd w:id="291"/>
    </w:p>
    <w:p w:rsidR="00D85FAC" w:rsidRDefault="00D85FAC" w:rsidP="00D85FAC">
      <w:pPr>
        <w:pStyle w:val="Heading2"/>
      </w:pPr>
      <w:bookmarkStart w:id="292" w:name="_Toc313523502"/>
      <w:bookmarkStart w:id="293" w:name="_Toc316985350"/>
      <w:r>
        <w:t>Background</w:t>
      </w:r>
      <w:bookmarkEnd w:id="292"/>
      <w:bookmarkEnd w:id="293"/>
    </w:p>
    <w:p w:rsidR="00D85FAC" w:rsidRPr="00A8446B" w:rsidRDefault="00D85FAC" w:rsidP="00D85FAC">
      <w:r>
        <w:t xml:space="preserve">Macroinvertebrate communities have been sampled from a number of sites in Magela Creek at the end of significant wet season flows, each year from 1988 to the present. The design and methodology have been gradually refined over this period (changes are described </w:t>
      </w:r>
      <w:proofErr w:type="gramStart"/>
      <w:r>
        <w:t>in the 2003–04 Supervising Scientist Annual Report, section 2.2.3</w:t>
      </w:r>
      <w:proofErr w:type="gramEnd"/>
      <w:r>
        <w:t xml:space="preserve">). </w:t>
      </w:r>
      <w:r w:rsidRPr="006366EE">
        <w:t xml:space="preserve">The </w:t>
      </w:r>
      <w:r>
        <w:t xml:space="preserve">present </w:t>
      </w:r>
      <w:r w:rsidRPr="006366EE">
        <w:t>design</w:t>
      </w:r>
      <w:r w:rsidRPr="00A8446B">
        <w:t xml:space="preserve"> is a balanced one comprising upstream and downstream sites </w:t>
      </w:r>
      <w:r>
        <w:t>on</w:t>
      </w:r>
      <w:r w:rsidRPr="00A8446B">
        <w:t xml:space="preserve"> two </w:t>
      </w:r>
      <w:r>
        <w:t>‘</w:t>
      </w:r>
      <w:r w:rsidRPr="00A8446B">
        <w:t>exposed</w:t>
      </w:r>
      <w:r>
        <w:t>’</w:t>
      </w:r>
      <w:r w:rsidRPr="00A8446B">
        <w:t xml:space="preserve"> streams (Gulungul and Magela Creeks) and two control streams (Burdulba and Nourlangie Creeks).</w:t>
      </w:r>
    </w:p>
    <w:p w:rsidR="00D85FAC" w:rsidRDefault="00D85FAC" w:rsidP="00D85FAC">
      <w:r>
        <w:t xml:space="preserve">Samples are collected from each site at the end of each wet season (between April and May). For each sampling occasion and for each pair of sites for a particular stream dissimilarity indices are calculated. These indices are a measure of the extent to which macroinvertebrate communities of the two sites differ from one another. A value of ‘zero%’ indicates macroinvertebrate communities identical in structure while a value of ‘100%’ </w:t>
      </w:r>
      <w:proofErr w:type="gramStart"/>
      <w:r>
        <w:t>indicates totally dissimilar communities</w:t>
      </w:r>
      <w:proofErr w:type="gramEnd"/>
      <w:r>
        <w:t xml:space="preserve">, sharing no common taxa. </w:t>
      </w:r>
    </w:p>
    <w:p w:rsidR="00D85FAC" w:rsidRDefault="00D85FAC" w:rsidP="00D85FAC">
      <w:r>
        <w:t>Disturbed sites may be associated with significantly higher dissimilarity values compared with undisturbed sites. The extent of dissimilarity in community structure is the basis for the model that is used for impact detection.</w:t>
      </w:r>
    </w:p>
    <w:p w:rsidR="00D85FAC" w:rsidRDefault="00D85FAC" w:rsidP="00D85FAC">
      <w:pPr>
        <w:pStyle w:val="Heading2"/>
      </w:pPr>
      <w:bookmarkStart w:id="294" w:name="_Toc313523503"/>
      <w:bookmarkStart w:id="295" w:name="_Toc316985351"/>
      <w:r>
        <w:t>Results</w:t>
      </w:r>
      <w:bookmarkEnd w:id="294"/>
      <w:bookmarkEnd w:id="295"/>
    </w:p>
    <w:p w:rsidR="00D85FAC" w:rsidRDefault="00D85FAC" w:rsidP="00D85FAC">
      <w:r w:rsidRPr="00A8446B">
        <w:t>Compilation of the full macroinvertebrate dataset from 1988 to 20</w:t>
      </w:r>
      <w:r>
        <w:t>11</w:t>
      </w:r>
      <w:r w:rsidRPr="00A8446B">
        <w:t xml:space="preserve"> ha</w:t>
      </w:r>
      <w:r>
        <w:t>s</w:t>
      </w:r>
      <w:r w:rsidRPr="00A8446B">
        <w:t xml:space="preserve"> been completed. </w:t>
      </w:r>
      <w:r>
        <w:t>Figure 1 shows the paired-site dissimilarity values using family-level (log-transformed) data, for the two ‘exposed’ streams and the two ‘control’ streams.</w:t>
      </w:r>
    </w:p>
    <w:p w:rsidR="00D85FAC" w:rsidRDefault="00D85FAC" w:rsidP="00D85FAC">
      <w:pPr>
        <w:rPr>
          <w:spacing w:val="-2"/>
        </w:rPr>
      </w:pPr>
      <w:r>
        <w:t xml:space="preserve">For statistical analysis, </w:t>
      </w:r>
      <w:r w:rsidRPr="00A8446B">
        <w:rPr>
          <w:spacing w:val="-2"/>
        </w:rPr>
        <w:t>dissimilarity values for each of the five possible</w:t>
      </w:r>
      <w:r>
        <w:rPr>
          <w:spacing w:val="-2"/>
        </w:rPr>
        <w:t>,</w:t>
      </w:r>
      <w:r w:rsidRPr="00A8446B">
        <w:rPr>
          <w:spacing w:val="-2"/>
        </w:rPr>
        <w:t xml:space="preserve"> randomly-paired</w:t>
      </w:r>
      <w:r>
        <w:rPr>
          <w:spacing w:val="-2"/>
        </w:rPr>
        <w:t>,</w:t>
      </w:r>
      <w:r w:rsidRPr="00A8446B">
        <w:rPr>
          <w:spacing w:val="-2"/>
        </w:rPr>
        <w:t xml:space="preserve"> upstream and downstream replicates</w:t>
      </w:r>
      <w:r>
        <w:rPr>
          <w:spacing w:val="-2"/>
        </w:rPr>
        <w:t xml:space="preserve"> within each stream were derived. These replicate dissimilarity values were then </w:t>
      </w:r>
      <w:r w:rsidRPr="00A8446B">
        <w:rPr>
          <w:spacing w:val="-2"/>
        </w:rPr>
        <w:t>used to test</w:t>
      </w:r>
      <w:r>
        <w:rPr>
          <w:spacing w:val="-2"/>
        </w:rPr>
        <w:t>, using ANOVA</w:t>
      </w:r>
      <w:proofErr w:type="gramStart"/>
      <w:r>
        <w:rPr>
          <w:spacing w:val="-2"/>
        </w:rPr>
        <w:t>,</w:t>
      </w:r>
      <w:r w:rsidRPr="00A8446B">
        <w:rPr>
          <w:spacing w:val="-2"/>
        </w:rPr>
        <w:t>whether</w:t>
      </w:r>
      <w:proofErr w:type="gramEnd"/>
      <w:r w:rsidRPr="00A8446B">
        <w:rPr>
          <w:spacing w:val="-2"/>
        </w:rPr>
        <w:t xml:space="preserve"> or not macroinvertebrate community structure ha</w:t>
      </w:r>
      <w:r>
        <w:rPr>
          <w:spacing w:val="-2"/>
        </w:rPr>
        <w:t>d</w:t>
      </w:r>
      <w:r w:rsidRPr="00A8446B">
        <w:rPr>
          <w:spacing w:val="-2"/>
        </w:rPr>
        <w:t xml:space="preserve"> altered significantly at the exposed sites for the </w:t>
      </w:r>
      <w:r>
        <w:rPr>
          <w:spacing w:val="-2"/>
        </w:rPr>
        <w:t>previous</w:t>
      </w:r>
      <w:r w:rsidRPr="00A8446B">
        <w:rPr>
          <w:spacing w:val="-2"/>
        </w:rPr>
        <w:t xml:space="preserve"> wet season of interest</w:t>
      </w:r>
      <w:r>
        <w:rPr>
          <w:spacing w:val="-2"/>
        </w:rPr>
        <w:t xml:space="preserve"> compared to previous wet seasons</w:t>
      </w:r>
      <w:r w:rsidRPr="00A8446B">
        <w:rPr>
          <w:spacing w:val="-2"/>
        </w:rPr>
        <w:t xml:space="preserve">. For this multi-factor ANOVA, only data gathered since 1998 </w:t>
      </w:r>
      <w:r>
        <w:rPr>
          <w:spacing w:val="-2"/>
        </w:rPr>
        <w:t>were</w:t>
      </w:r>
      <w:r w:rsidRPr="00A8446B">
        <w:rPr>
          <w:spacing w:val="-2"/>
        </w:rPr>
        <w:t xml:space="preserve"> used. (Data gathered prior to this time were based upon different and less rigorous sampling and sample processing methods, and/or absence of sampling in three of the four streams)</w:t>
      </w:r>
      <w:r>
        <w:rPr>
          <w:spacing w:val="-2"/>
        </w:rPr>
        <w:t xml:space="preserve">. </w:t>
      </w:r>
    </w:p>
    <w:p w:rsidR="00D85FAC" w:rsidRDefault="00D85FAC" w:rsidP="00D85FAC">
      <w:r>
        <w:t xml:space="preserve">Inferences that may be drawn from the time series data shown in Figure 1 are weakened because there are no pre-mining baseline (pre-1980) data upon which to assess whether or not significant changes have occurred as a consequence of mining. </w:t>
      </w:r>
      <w:r w:rsidRPr="00F54318">
        <w:t>Notwithstanding, a four-factor ANOVA based upon replicate, paired-site dissimilarity values and using the factors Before/After (BA; fixed), Control/Impact (CI; fixed), Year (nested within BA; random) and Site (nested within CI; random) show</w:t>
      </w:r>
      <w:r>
        <w:t>ed</w:t>
      </w:r>
      <w:r w:rsidRPr="00F54318">
        <w:t xml:space="preserve"> no significant difference between the control and exposed streams </w:t>
      </w:r>
      <w:r>
        <w:t>in the before (</w:t>
      </w:r>
      <w:r w:rsidRPr="00F54318">
        <w:t>1998 to 201</w:t>
      </w:r>
      <w:r>
        <w:t>0) and after (2011) comparison</w:t>
      </w:r>
      <w:r w:rsidRPr="00F54318">
        <w:t xml:space="preserve"> (ie the BA x CI interaction is not significant). However</w:t>
      </w:r>
      <w:r>
        <w:t>,</w:t>
      </w:r>
      <w:r w:rsidRPr="00F54318">
        <w:t xml:space="preserve"> the BA x Site (CI) </w:t>
      </w:r>
      <w:r>
        <w:t>interaction for the same before-after comparisons was</w:t>
      </w:r>
      <w:r w:rsidRPr="00F54318">
        <w:t xml:space="preserve"> significant (p = 0.01)</w:t>
      </w:r>
      <w:r>
        <w:t xml:space="preserve"> for the first time,</w:t>
      </w:r>
      <w:r w:rsidRPr="00F54318">
        <w:t xml:space="preserve"> which indicates the change in </w:t>
      </w:r>
      <w:r w:rsidRPr="00F54318">
        <w:lastRenderedPageBreak/>
        <w:t xml:space="preserve">magnitude of </w:t>
      </w:r>
      <w:r>
        <w:t>paired-site</w:t>
      </w:r>
      <w:r w:rsidRPr="00F54318">
        <w:t xml:space="preserve"> dissimilarity in either, or both, exposure</w:t>
      </w:r>
      <w:r>
        <w:t xml:space="preserve"> type</w:t>
      </w:r>
      <w:r w:rsidRPr="00F54318">
        <w:t xml:space="preserve">s </w:t>
      </w:r>
      <w:r>
        <w:t>(exposed and control streams) is</w:t>
      </w:r>
      <w:r w:rsidRPr="00F54318">
        <w:t xml:space="preserve"> not consistent within or between the before and after periods. This </w:t>
      </w:r>
      <w:r>
        <w:t>was further investigated to assess whether</w:t>
      </w:r>
      <w:r w:rsidRPr="00F54318">
        <w:t xml:space="preserve"> one </w:t>
      </w:r>
      <w:r>
        <w:t xml:space="preserve">of the </w:t>
      </w:r>
      <w:r w:rsidRPr="00F54318">
        <w:t>exposed site</w:t>
      </w:r>
      <w:r>
        <w:t>s</w:t>
      </w:r>
      <w:r w:rsidRPr="00F54318">
        <w:t xml:space="preserve"> </w:t>
      </w:r>
      <w:r>
        <w:t>was</w:t>
      </w:r>
      <w:r w:rsidRPr="00F54318">
        <w:t xml:space="preserve"> responding differently to all other sites</w:t>
      </w:r>
      <w:r>
        <w:t xml:space="preserve"> (and thereby indicate possible mining impact)</w:t>
      </w:r>
      <w:r w:rsidRPr="00F54318">
        <w:t xml:space="preserve">. </w:t>
      </w:r>
      <w:r>
        <w:t>P</w:t>
      </w:r>
      <w:r w:rsidRPr="00F54318">
        <w:t>air-wise test</w:t>
      </w:r>
      <w:r>
        <w:t>s conducted</w:t>
      </w:r>
      <w:r w:rsidRPr="00F54318">
        <w:t xml:space="preserve"> on the same data </w:t>
      </w:r>
      <w:r>
        <w:t>showed that</w:t>
      </w:r>
      <w:r w:rsidRPr="00F54318">
        <w:t xml:space="preserve"> the significant difference in the change in dissimilarity was </w:t>
      </w:r>
      <w:r>
        <w:t>associated with</w:t>
      </w:r>
      <w:r w:rsidRPr="00F54318">
        <w:t xml:space="preserve"> the Gulungul</w:t>
      </w:r>
      <w:r>
        <w:t xml:space="preserve"> </w:t>
      </w:r>
      <w:r w:rsidRPr="00BA0980">
        <w:t>sites</w:t>
      </w:r>
      <w:r>
        <w:t xml:space="preserve">. This is examined in more detail below. </w:t>
      </w:r>
    </w:p>
    <w:p w:rsidR="00D85FAC" w:rsidRDefault="00D85FAC" w:rsidP="00D85FAC">
      <w:r w:rsidRPr="00F54318">
        <w:t>The Year</w:t>
      </w:r>
      <w:r>
        <w:t xml:space="preserve"> (BA)</w:t>
      </w:r>
      <w:r w:rsidRPr="00F54318">
        <w:t xml:space="preserve"> x Site (</w:t>
      </w:r>
      <w:r w:rsidRPr="00C04DC3">
        <w:t>CI)</w:t>
      </w:r>
      <w:r w:rsidRPr="00F54318">
        <w:t xml:space="preserve"> interaction </w:t>
      </w:r>
      <w:r>
        <w:t>was</w:t>
      </w:r>
      <w:r w:rsidRPr="00F54318">
        <w:t xml:space="preserve"> also significant in the same analysis (p = 0.024)</w:t>
      </w:r>
      <w:r>
        <w:t>; this interaction has been shown to be significant in previous years as well and</w:t>
      </w:r>
      <w:r w:rsidRPr="00F54318">
        <w:t xml:space="preserve"> simply indicates that dissimilarity values for the different streams – regardless of their status (Before, After, Control, Impact) – show </w:t>
      </w:r>
      <w:r>
        <w:t xml:space="preserve">natural </w:t>
      </w:r>
      <w:r w:rsidRPr="00F54318">
        <w:t>differences through time</w:t>
      </w:r>
      <w:r>
        <w:t>. This is evident in the upward and downward trends over time (eg a current downward trend in the Nourlangie paired-site dissimilarity, Figure 1).</w:t>
      </w:r>
    </w:p>
    <w:p w:rsidR="00D85FAC" w:rsidRPr="000A7A85" w:rsidRDefault="00D85FAC" w:rsidP="00D85FAC">
      <w:r w:rsidRPr="000A7A85">
        <w:t xml:space="preserve">For the 2011 dissimilarity data (Figure 1), a sharp rise in dissimilarity for Gulungul Creek can be observed. Closer examination of the data is required to assess whether or not this result may be associated with </w:t>
      </w:r>
      <w:r>
        <w:t>the Gulungul downstream site, and thereby indicate</w:t>
      </w:r>
      <w:r w:rsidRPr="000A7A85">
        <w:t xml:space="preserve"> possible mining impact. Firstly, </w:t>
      </w:r>
      <w:r>
        <w:t>Multi-Dimensional Scaling (MDS)</w:t>
      </w:r>
      <w:r w:rsidRPr="000A7A85">
        <w:t xml:space="preserve"> ordination </w:t>
      </w:r>
      <w:r>
        <w:t xml:space="preserve">was conducted to </w:t>
      </w:r>
      <w:r w:rsidRPr="000A7A85">
        <w:t>depict the relationship of the community sampled at any one site and sampling occasion with all other possible samples. The ordination can assist in determining whether the upstream and/or downstream Gulungul communities have changed or are aberrant compared to the other communities sampled over time. Secondly and to support the ordination, abundances of the numerically-dominant taxa were compared between the upstream and downstream sites over time to determine what types of shifts in taxa abundances may have occurred recently.</w:t>
      </w:r>
    </w:p>
    <w:p w:rsidR="00D85FAC" w:rsidRDefault="00D85FAC" w:rsidP="00D85FAC">
      <w:r w:rsidRPr="005C0C99">
        <w:t xml:space="preserve">Figure 2 depicts the ordination derived using replicate within-site macroinvertebrate data. Data points are displayed in terms of the sites sampled in Magela and Gulungul Creeks downstream of Ranger for each year of study (to 2011), relative to Magela and Gulungul Creek upstream (control) sites for 2011, and all other control sites (Magela and Gulungul upstream sites, all sites in Burdulba and Nourlangie). Samples close to one another in the ordination indicate a similar community structure. The ordination indicates that Gulungul Creek communities collected from the upstream site in 2011 differ from communities from other sites and times (Figure 2). Conversely, data-points associated with the 2011 Gulungul and Magela downstream sites are generally interspersed among the points representing the control sites, indicating that these </w:t>
      </w:r>
      <w:r>
        <w:t>‘</w:t>
      </w:r>
      <w:r w:rsidRPr="005C0C99">
        <w:t>exposed</w:t>
      </w:r>
      <w:r>
        <w:t>’</w:t>
      </w:r>
      <w:r w:rsidRPr="005C0C99">
        <w:t xml:space="preserve"> sites have macroinvertebrate communities that are similar to those occurring at control sites.</w:t>
      </w:r>
    </w:p>
    <w:p w:rsidR="00D85FAC" w:rsidRPr="00B32E80" w:rsidRDefault="00D85FAC" w:rsidP="00D85FAC">
      <w:r w:rsidRPr="00B32E80">
        <w:t>Th</w:t>
      </w:r>
      <w:r>
        <w:t>e aberrant 2011 Gulungul upstream result</w:t>
      </w:r>
      <w:r w:rsidRPr="00B32E80">
        <w:t xml:space="preserve"> was</w:t>
      </w:r>
      <w:r>
        <w:t xml:space="preserve"> further examined</w:t>
      </w:r>
      <w:r w:rsidRPr="00B32E80">
        <w:t xml:space="preserve"> using PERMANOVA (PERmutational Multivariate ANalysis Of Variance) (Anderson </w:t>
      </w:r>
      <w:r>
        <w:t>et al</w:t>
      </w:r>
      <w:r w:rsidRPr="00B32E80">
        <w:t xml:space="preserve"> 2008), a new multivariate statistical approach used to determine if a priori groups, exposure type (</w:t>
      </w:r>
      <w:r>
        <w:t>‘</w:t>
      </w:r>
      <w:r w:rsidRPr="00B32E80">
        <w:t>exposed</w:t>
      </w:r>
      <w:r>
        <w:t>’</w:t>
      </w:r>
      <w:r w:rsidRPr="00B32E80">
        <w:t xml:space="preserve"> Magela and Gulungul Creeks v</w:t>
      </w:r>
      <w:r>
        <w:t>ersu</w:t>
      </w:r>
      <w:r w:rsidRPr="00B32E80">
        <w:t>s control Burdulba and Nourlangie Creeks) and site location (upstream v</w:t>
      </w:r>
      <w:r>
        <w:t>ersu</w:t>
      </w:r>
      <w:r w:rsidRPr="00B32E80">
        <w:t>s downstream), and the interaction between these two factors, show significant differences.</w:t>
      </w:r>
    </w:p>
    <w:p w:rsidR="00D85FAC" w:rsidRDefault="00D85FAC" w:rsidP="00D85FAC">
      <w:r w:rsidRPr="00B32E80">
        <w:t>PERMANOVA conducted on all replicate data from all available years and sites</w:t>
      </w:r>
      <w:r>
        <w:t xml:space="preserve"> </w:t>
      </w:r>
      <w:r w:rsidRPr="00B32E80">
        <w:t xml:space="preserve">showed a significant difference for BA </w:t>
      </w:r>
      <w:r>
        <w:t>x</w:t>
      </w:r>
      <w:r w:rsidRPr="00B32E80">
        <w:t xml:space="preserve"> St</w:t>
      </w:r>
      <w:r>
        <w:t xml:space="preserve">ream (CI) x Upstream/Downstream (p = 0.022). This indicates that differences between sites for streams within either, or both, exposure types are not consistent within or between the before and after periods. This might indicate that one exposed downstream site (Magela or Gulungul) is responding differently to all other downstream sites, and thus requires further investigation. A pair-wise comparison was undertaken to determine the nature of the significant difference. It indicated that of the exposed stream sites Gulungul Creek upstream had the only significant difference from the </w:t>
      </w:r>
      <w:r>
        <w:lastRenderedPageBreak/>
        <w:t>before to after periods and this supported the MDS plot (Figure 2). As Gulungul Creek upstream is not influenced by minesite activity, the changes at this site must be associated with natural or non-mine-related conditions. This result was further supported by examination of the taxa abundance information, as discussed below.</w:t>
      </w:r>
    </w:p>
    <w:p w:rsidR="00D85FAC" w:rsidRDefault="00D85FAC" w:rsidP="00D85FAC">
      <w:pPr>
        <w:spacing w:after="0"/>
      </w:pPr>
    </w:p>
    <w:p w:rsidR="00D85FAC" w:rsidRDefault="00D85FAC" w:rsidP="00D85FAC">
      <w:pPr>
        <w:jc w:val="center"/>
      </w:pPr>
      <w:r w:rsidRPr="00766D7C">
        <w:rPr>
          <w:noProof/>
          <w:lang w:eastAsia="en-AU"/>
        </w:rPr>
        <w:drawing>
          <wp:inline distT="0" distB="0" distL="0" distR="0">
            <wp:extent cx="4485144" cy="6730456"/>
            <wp:effectExtent l="19050" t="0" r="0" b="0"/>
            <wp:docPr id="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screen"/>
                    <a:srcRect t="4512" r="2562"/>
                    <a:stretch>
                      <a:fillRect/>
                    </a:stretch>
                  </pic:blipFill>
                  <pic:spPr bwMode="auto">
                    <a:xfrm>
                      <a:off x="0" y="0"/>
                      <a:ext cx="4487345" cy="6733759"/>
                    </a:xfrm>
                    <a:prstGeom prst="rect">
                      <a:avLst/>
                    </a:prstGeom>
                    <a:noFill/>
                    <a:ln w="9525">
                      <a:noFill/>
                      <a:miter lim="800000"/>
                      <a:headEnd/>
                      <a:tailEnd/>
                    </a:ln>
                  </pic:spPr>
                </pic:pic>
              </a:graphicData>
            </a:graphic>
          </wp:inline>
        </w:drawing>
      </w:r>
    </w:p>
    <w:p w:rsidR="00D85FAC" w:rsidRPr="009113BD" w:rsidRDefault="00D85FAC" w:rsidP="00D85FAC">
      <w:pPr>
        <w:pStyle w:val="figurecaption"/>
        <w:rPr>
          <w:spacing w:val="-2"/>
        </w:rPr>
      </w:pPr>
      <w:r w:rsidRPr="009113BD">
        <w:rPr>
          <w:b/>
          <w:spacing w:val="-2"/>
        </w:rPr>
        <w:t xml:space="preserve">Figure </w:t>
      </w:r>
      <w:r w:rsidR="00081B24" w:rsidRPr="009113BD">
        <w:rPr>
          <w:b/>
          <w:spacing w:val="-2"/>
        </w:rPr>
        <w:fldChar w:fldCharType="begin"/>
      </w:r>
      <w:r w:rsidRPr="009113BD">
        <w:rPr>
          <w:b/>
          <w:spacing w:val="-2"/>
        </w:rPr>
        <w:instrText xml:space="preserve"> SEQ Figure \* ARABIC </w:instrText>
      </w:r>
      <w:r w:rsidR="00081B24" w:rsidRPr="009113BD">
        <w:rPr>
          <w:b/>
          <w:spacing w:val="-2"/>
        </w:rPr>
        <w:fldChar w:fldCharType="separate"/>
      </w:r>
      <w:r>
        <w:rPr>
          <w:b/>
          <w:noProof/>
          <w:spacing w:val="-2"/>
        </w:rPr>
        <w:t>1</w:t>
      </w:r>
      <w:r w:rsidR="00081B24" w:rsidRPr="009113BD">
        <w:rPr>
          <w:b/>
          <w:spacing w:val="-2"/>
        </w:rPr>
        <w:fldChar w:fldCharType="end"/>
      </w:r>
      <w:r w:rsidRPr="009113BD">
        <w:rPr>
          <w:spacing w:val="-2"/>
        </w:rPr>
        <w:t xml:space="preserve">  Paired upstream-downstream dissimilarity values (using the Bray-Curtis measure) calculated for community structure of macroinvertebrate families in several streams in the vicinity of the Ranger mine for the period 1988 to 2011. The dashed vertical lines delineate periods for which a different sampling and/or sample processing method was used. Dashed horizontal lines indicate mean dissimilarity across years. Dissimilarity values represent means (</w:t>
      </w:r>
      <w:r w:rsidRPr="009113BD">
        <w:rPr>
          <w:rFonts w:cs="Arial"/>
          <w:spacing w:val="-2"/>
        </w:rPr>
        <w:t>±</w:t>
      </w:r>
      <w:r w:rsidRPr="009113BD">
        <w:rPr>
          <w:spacing w:val="-2"/>
        </w:rPr>
        <w:t xml:space="preserve"> standard error) of the 5 possible (randomly-selected) pairwise comparisons of upstream-downstream replicate samples within each stream.</w:t>
      </w:r>
    </w:p>
    <w:p w:rsidR="00D85FAC" w:rsidRDefault="00D85FAC" w:rsidP="00D85FAC">
      <w:pPr>
        <w:jc w:val="center"/>
      </w:pPr>
      <w:r w:rsidRPr="00766D7C">
        <w:rPr>
          <w:noProof/>
          <w:lang w:eastAsia="en-AU"/>
        </w:rPr>
        <w:lastRenderedPageBreak/>
        <w:drawing>
          <wp:inline distT="0" distB="0" distL="0" distR="0">
            <wp:extent cx="4529000" cy="3405226"/>
            <wp:effectExtent l="19050" t="0" r="4900" b="0"/>
            <wp:docPr id="146" name="Picture 23"/>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screen"/>
                    <a:srcRect t="9122"/>
                    <a:stretch>
                      <a:fillRect/>
                    </a:stretch>
                  </pic:blipFill>
                  <pic:spPr bwMode="auto">
                    <a:xfrm>
                      <a:off x="0" y="0"/>
                      <a:ext cx="4532187" cy="3407622"/>
                    </a:xfrm>
                    <a:prstGeom prst="rect">
                      <a:avLst/>
                    </a:prstGeom>
                    <a:noFill/>
                    <a:ln w="9525">
                      <a:noFill/>
                      <a:miter lim="800000"/>
                      <a:headEnd/>
                      <a:tailEnd/>
                    </a:ln>
                  </pic:spPr>
                </pic:pic>
              </a:graphicData>
            </a:graphic>
          </wp:inline>
        </w:drawing>
      </w:r>
    </w:p>
    <w:p w:rsidR="00D85FAC" w:rsidRPr="005C0C99" w:rsidRDefault="00D85FAC" w:rsidP="00D85FAC">
      <w:pPr>
        <w:pStyle w:val="figurecaption"/>
      </w:pPr>
      <w:r w:rsidRPr="00410859">
        <w:rPr>
          <w:b/>
        </w:rPr>
        <w:t xml:space="preserve">Figure </w:t>
      </w:r>
      <w:r w:rsidR="00081B24" w:rsidRPr="00410859">
        <w:rPr>
          <w:b/>
        </w:rPr>
        <w:fldChar w:fldCharType="begin"/>
      </w:r>
      <w:r w:rsidRPr="00410859">
        <w:rPr>
          <w:b/>
        </w:rPr>
        <w:instrText xml:space="preserve"> SEQ Figure \* ARABIC </w:instrText>
      </w:r>
      <w:r w:rsidR="00081B24" w:rsidRPr="00410859">
        <w:rPr>
          <w:b/>
        </w:rPr>
        <w:fldChar w:fldCharType="separate"/>
      </w:r>
      <w:proofErr w:type="gramStart"/>
      <w:r>
        <w:rPr>
          <w:b/>
          <w:noProof/>
        </w:rPr>
        <w:t>2</w:t>
      </w:r>
      <w:r w:rsidR="00081B24" w:rsidRPr="00410859">
        <w:rPr>
          <w:b/>
        </w:rPr>
        <w:fldChar w:fldCharType="end"/>
      </w:r>
      <w:r>
        <w:t xml:space="preserve">  </w:t>
      </w:r>
      <w:r w:rsidRPr="00410859">
        <w:t>Ordination plot</w:t>
      </w:r>
      <w:proofErr w:type="gramEnd"/>
      <w:r w:rsidRPr="00410859">
        <w:t xml:space="preserve"> of macroinvertebrate community structure data from sites sampled in several streams in the vicinity of Ranger mine for the period 1988 to 201</w:t>
      </w:r>
      <w:r>
        <w:t>1</w:t>
      </w:r>
      <w:r w:rsidRPr="00410859">
        <w:t>. Data from Magela and Gulungul Creeks for 201</w:t>
      </w:r>
      <w:r>
        <w:t>1</w:t>
      </w:r>
      <w:r w:rsidRPr="00410859">
        <w:t xml:space="preserve"> are indicated by the enlarged symbols.</w:t>
      </w:r>
    </w:p>
    <w:p w:rsidR="00D85FAC" w:rsidRDefault="00D85FAC" w:rsidP="00D85FAC">
      <w:r w:rsidRPr="00556418">
        <w:t xml:space="preserve">Abundances of numerically-dominant taxa were examined between Gulungul upstream and downstream sites over time. This analysis found that, historically and typically, there are a greater proportion of taxa at the Gulungul upstream site with a preference for high velocity waters associated with this location in the creek (ie so-termed </w:t>
      </w:r>
      <w:r>
        <w:t>‘</w:t>
      </w:r>
      <w:r w:rsidRPr="00556418">
        <w:t>flow-dependent</w:t>
      </w:r>
      <w:r>
        <w:t>’</w:t>
      </w:r>
      <w:r w:rsidRPr="00556418">
        <w:t xml:space="preserve"> taxa). While this remained the pattern in 2011, the abundances of these taxa at the upstream site in 2011 were unusually high compared with values found in previous years and were about three times the abundances observed at the downstream site in 2011 (Figure 3).</w:t>
      </w:r>
      <w:r w:rsidRPr="00DC7A24">
        <w:t xml:space="preserve"> </w:t>
      </w:r>
    </w:p>
    <w:p w:rsidR="00D85FAC" w:rsidRDefault="00D85FAC" w:rsidP="00D85FAC">
      <w:pPr>
        <w:spacing w:after="0"/>
      </w:pPr>
    </w:p>
    <w:p w:rsidR="00D85FAC" w:rsidRDefault="00D85FAC" w:rsidP="00D85FAC">
      <w:pPr>
        <w:jc w:val="center"/>
      </w:pPr>
      <w:r w:rsidRPr="00DC7A24">
        <w:rPr>
          <w:noProof/>
          <w:lang w:eastAsia="en-AU"/>
        </w:rPr>
        <w:drawing>
          <wp:inline distT="0" distB="0" distL="0" distR="0">
            <wp:extent cx="4786028" cy="2698651"/>
            <wp:effectExtent l="19050" t="0" r="0" b="0"/>
            <wp:docPr id="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screen"/>
                    <a:srcRect t="12000"/>
                    <a:stretch>
                      <a:fillRect/>
                    </a:stretch>
                  </pic:blipFill>
                  <pic:spPr bwMode="auto">
                    <a:xfrm>
                      <a:off x="0" y="0"/>
                      <a:ext cx="4787549" cy="2699508"/>
                    </a:xfrm>
                    <a:prstGeom prst="rect">
                      <a:avLst/>
                    </a:prstGeom>
                    <a:noFill/>
                    <a:ln w="9525">
                      <a:noFill/>
                      <a:miter lim="800000"/>
                      <a:headEnd/>
                      <a:tailEnd/>
                    </a:ln>
                  </pic:spPr>
                </pic:pic>
              </a:graphicData>
            </a:graphic>
          </wp:inline>
        </w:drawing>
      </w:r>
    </w:p>
    <w:p w:rsidR="00D85FAC" w:rsidRDefault="00D85FAC" w:rsidP="00D85FAC">
      <w:pPr>
        <w:pStyle w:val="figurecaption"/>
      </w:pPr>
      <w:r w:rsidRPr="00843F46">
        <w:rPr>
          <w:b/>
        </w:rPr>
        <w:t xml:space="preserve">Figure </w:t>
      </w:r>
      <w:r w:rsidR="00081B24" w:rsidRPr="00843F46">
        <w:rPr>
          <w:b/>
        </w:rPr>
        <w:fldChar w:fldCharType="begin"/>
      </w:r>
      <w:r w:rsidRPr="00843F46">
        <w:rPr>
          <w:b/>
        </w:rPr>
        <w:instrText xml:space="preserve"> SEQ Figure \* ARABIC </w:instrText>
      </w:r>
      <w:r w:rsidR="00081B24" w:rsidRPr="00843F46">
        <w:rPr>
          <w:b/>
        </w:rPr>
        <w:fldChar w:fldCharType="separate"/>
      </w:r>
      <w:r>
        <w:rPr>
          <w:b/>
          <w:noProof/>
        </w:rPr>
        <w:t>3</w:t>
      </w:r>
      <w:r w:rsidR="00081B24" w:rsidRPr="00843F46">
        <w:rPr>
          <w:b/>
        </w:rPr>
        <w:fldChar w:fldCharType="end"/>
      </w:r>
      <w:r>
        <w:rPr>
          <w:b/>
        </w:rPr>
        <w:t xml:space="preserve"> </w:t>
      </w:r>
      <w:r w:rsidRPr="00190592">
        <w:t xml:space="preserve"> </w:t>
      </w:r>
      <w:r>
        <w:t>Total abundance of flow-dependent taxa collected from upstream and downstream Gulungul Creek sites over time. Flow dependent taxa include Simuliidae, Leptophlebiidae, Pyralidae, Hydropsychidae and Philopotamidae.</w:t>
      </w:r>
    </w:p>
    <w:p w:rsidR="00D85FAC" w:rsidRPr="00556418" w:rsidRDefault="00D85FAC" w:rsidP="00D85FAC">
      <w:r w:rsidRPr="00556418">
        <w:lastRenderedPageBreak/>
        <w:t>Given that dissimilarity values are sensitive to taxa abundances, this discrepancy in macroinvertebrate abundances between the Gulungul sites in 2011 can explain the increase in mean dissimilarity observed in the paired-site dissimilarity plot (Figure 1)</w:t>
      </w:r>
      <w:r>
        <w:t xml:space="preserve"> and the </w:t>
      </w:r>
      <w:r w:rsidRPr="00556418">
        <w:t>separation of Gulungul upstream sample points observed in the ordination (Figure 2)</w:t>
      </w:r>
      <w:r>
        <w:t>.</w:t>
      </w:r>
    </w:p>
    <w:p w:rsidR="00D85FAC" w:rsidRPr="00556418" w:rsidRDefault="00D85FAC" w:rsidP="00D85FAC">
      <w:r w:rsidRPr="00556418">
        <w:t>The habitat and flow conditions prevailing at the upstream Gulungul site in 2011 have yet to be examined closely to better interpret these results.</w:t>
      </w:r>
      <w:r>
        <w:t xml:space="preserve"> However, given that rainfall for the 2010–11 wet </w:t>
      </w:r>
      <w:proofErr w:type="gramStart"/>
      <w:r>
        <w:t>season</w:t>
      </w:r>
      <w:proofErr w:type="gramEnd"/>
      <w:r>
        <w:t xml:space="preserve"> was the second highest on record, it would appear that the flow characteristics at the upstream Gulungul site in 2011 reflected correspondingly high flows favouring flow-dependant taxa, relative to both the downstream site and previous years.</w:t>
      </w:r>
    </w:p>
    <w:p w:rsidR="00D85FAC" w:rsidRDefault="00D85FAC" w:rsidP="00D85FAC">
      <w:r>
        <w:t xml:space="preserve">Collectively, these graphical and statistical results provide good evidence that changes to water quality downstream of Ranger as a consequence of mining activities between 1994 and 2011 have not adversely affected macroinvertebrate communities. </w:t>
      </w:r>
    </w:p>
    <w:p w:rsidR="00D85FAC" w:rsidRDefault="00D85FAC" w:rsidP="00D85FAC">
      <w:pPr>
        <w:pStyle w:val="Heading2"/>
      </w:pPr>
      <w:bookmarkStart w:id="296" w:name="_Toc316985352"/>
      <w:r>
        <w:t>References</w:t>
      </w:r>
      <w:bookmarkEnd w:id="296"/>
    </w:p>
    <w:p w:rsidR="00D85FAC" w:rsidRDefault="00D85FAC" w:rsidP="00D85FAC">
      <w:pPr>
        <w:pStyle w:val="referencelist1"/>
      </w:pPr>
      <w:proofErr w:type="gramStart"/>
      <w:r>
        <w:t>Anderson MJ, Gorley RN &amp; Clarke KR 2008.</w:t>
      </w:r>
      <w:proofErr w:type="gramEnd"/>
      <w:r>
        <w:t xml:space="preserve"> </w:t>
      </w:r>
      <w:r w:rsidRPr="00E60651">
        <w:rPr>
          <w:i/>
        </w:rPr>
        <w:t>PERMANOVA+ for PRIMER: Guide to software and statistical methods</w:t>
      </w:r>
      <w:r>
        <w:t>. Primer-E: Plymouth, Plymouth Marine Laboratory, UK.</w:t>
      </w:r>
    </w:p>
    <w:p w:rsidR="00D85FAC" w:rsidRDefault="00D85FAC" w:rsidP="00D85FAC">
      <w:pPr>
        <w:pStyle w:val="referencelist1"/>
      </w:pPr>
      <w:proofErr w:type="gramStart"/>
      <w:r>
        <w:t>Clarke KR &amp; Gorley RN 2006.</w:t>
      </w:r>
      <w:proofErr w:type="gramEnd"/>
      <w:r>
        <w:t xml:space="preserve"> </w:t>
      </w:r>
      <w:r w:rsidRPr="00E60651">
        <w:rPr>
          <w:i/>
        </w:rPr>
        <w:t>Primer v6: User Manual/Tutorial, Primer E: Plymouth</w:t>
      </w:r>
      <w:r>
        <w:t xml:space="preserve">. </w:t>
      </w:r>
      <w:proofErr w:type="gramStart"/>
      <w:r>
        <w:t>Plymouth Marine Laboratory, Plymouth, UK.</w:t>
      </w:r>
      <w:proofErr w:type="gramEnd"/>
    </w:p>
    <w:p w:rsidR="00D85FAC" w:rsidRDefault="00D85FAC" w:rsidP="00D85FAC">
      <w:pPr>
        <w:pStyle w:val="referencelist1"/>
      </w:pPr>
      <w:proofErr w:type="gramStart"/>
      <w:r>
        <w:t>Humphrey C, Chandler L &amp; Hanley J 2009.</w:t>
      </w:r>
      <w:proofErr w:type="gramEnd"/>
      <w:r>
        <w:t xml:space="preserve"> </w:t>
      </w:r>
      <w:proofErr w:type="gramStart"/>
      <w:r>
        <w:t>Monitoring using macroinvertebrate community structure.</w:t>
      </w:r>
      <w:proofErr w:type="gramEnd"/>
      <w:r>
        <w:t xml:space="preserve"> </w:t>
      </w:r>
      <w:proofErr w:type="gramStart"/>
      <w:r>
        <w:t xml:space="preserve">In </w:t>
      </w:r>
      <w:r w:rsidRPr="009113BD">
        <w:rPr>
          <w:b/>
          <w:i/>
          <w:sz w:val="26"/>
          <w:szCs w:val="26"/>
        </w:rPr>
        <w:t>eriss</w:t>
      </w:r>
      <w:r>
        <w:t xml:space="preserve"> </w:t>
      </w:r>
      <w:r w:rsidRPr="009113BD">
        <w:rPr>
          <w:i/>
        </w:rPr>
        <w:t>research summary 2007–2008</w:t>
      </w:r>
      <w:r>
        <w:t>.</w:t>
      </w:r>
      <w:proofErr w:type="gramEnd"/>
      <w:r>
        <w:t xml:space="preserve"> </w:t>
      </w:r>
      <w:proofErr w:type="gramStart"/>
      <w:r>
        <w:t>eds</w:t>
      </w:r>
      <w:proofErr w:type="gramEnd"/>
      <w:r>
        <w:t xml:space="preserve"> Jones DR &amp; Webb A, Supervising Scientist Report 200, Supervising Scientist, Darwin NT, 57–59.</w:t>
      </w:r>
    </w:p>
    <w:p w:rsidR="00D85FAC" w:rsidRDefault="00D85FAC" w:rsidP="00D85FAC">
      <w:pPr>
        <w:pStyle w:val="referencelist1"/>
      </w:pPr>
      <w:proofErr w:type="gramStart"/>
      <w:r>
        <w:t>Supervising Scientist 2004.</w:t>
      </w:r>
      <w:proofErr w:type="gramEnd"/>
      <w:r>
        <w:t xml:space="preserve"> </w:t>
      </w:r>
      <w:r w:rsidRPr="009113BD">
        <w:rPr>
          <w:i/>
        </w:rPr>
        <w:t>Annual Report 2003–2004</w:t>
      </w:r>
      <w:r>
        <w:t xml:space="preserve">. </w:t>
      </w:r>
      <w:proofErr w:type="gramStart"/>
      <w:r>
        <w:t>Supervising Scientist, Darwin NT.</w:t>
      </w:r>
      <w:proofErr w:type="gramEnd"/>
      <w:r>
        <w:t xml:space="preserve"> </w:t>
      </w:r>
    </w:p>
    <w:p w:rsidR="00D85FAC" w:rsidRDefault="00D85FAC" w:rsidP="00D85FAC"/>
    <w:p w:rsidR="00D85FAC" w:rsidRPr="00843F46" w:rsidRDefault="00D85FAC" w:rsidP="00D85FAC"/>
    <w:p w:rsidR="00D85FAC" w:rsidRDefault="00D85FAC" w:rsidP="00D85FAC">
      <w:pPr>
        <w:pStyle w:val="Heading5"/>
        <w:sectPr w:rsidR="00D85FAC" w:rsidSect="00D85FAC">
          <w:headerReference w:type="default" r:id="rId135"/>
          <w:footnotePr>
            <w:numRestart w:val="eachSect"/>
          </w:footnotePr>
          <w:pgSz w:w="11906" w:h="16838" w:code="9"/>
          <w:pgMar w:top="1440" w:right="1797" w:bottom="1440" w:left="1797" w:header="851" w:footer="833" w:gutter="0"/>
          <w:cols w:space="360"/>
          <w:noEndnote/>
          <w:titlePg/>
        </w:sectPr>
      </w:pPr>
    </w:p>
    <w:p w:rsidR="00D85FAC" w:rsidRPr="00964CBE" w:rsidRDefault="00D85FAC" w:rsidP="00D85FAC">
      <w:pPr>
        <w:pStyle w:val="Heading1"/>
        <w:rPr>
          <w:rFonts w:eastAsia="Arial Unicode MS"/>
        </w:rPr>
      </w:pPr>
      <w:bookmarkStart w:id="297" w:name="_Toc319670737"/>
      <w:r w:rsidRPr="00964CBE">
        <w:lastRenderedPageBreak/>
        <w:t>Monitoring using</w:t>
      </w:r>
      <w:r>
        <w:t xml:space="preserve"> </w:t>
      </w:r>
      <w:r w:rsidRPr="00964CBE">
        <w:t>fish community structure</w:t>
      </w:r>
      <w:bookmarkEnd w:id="297"/>
    </w:p>
    <w:p w:rsidR="00D85FAC" w:rsidRPr="00805375" w:rsidRDefault="00D85FAC" w:rsidP="00D85FAC">
      <w:pPr>
        <w:pStyle w:val="authors"/>
        <w:spacing w:after="800"/>
      </w:pPr>
      <w:bookmarkStart w:id="298" w:name="_Toc316987240"/>
      <w:bookmarkStart w:id="299" w:name="_Toc319670738"/>
      <w:r w:rsidRPr="00805375">
        <w:rPr>
          <w:rFonts w:ascii="Arial-BoldMT" w:hAnsi="Arial-BoldMT" w:cs="Arial-BoldMT"/>
          <w:bCs/>
          <w:szCs w:val="24"/>
          <w:lang w:eastAsia="en-AU"/>
        </w:rPr>
        <w:t>D Buckle, C Davies &amp; C Humphrey</w:t>
      </w:r>
      <w:bookmarkEnd w:id="298"/>
      <w:bookmarkEnd w:id="299"/>
    </w:p>
    <w:p w:rsidR="00D85FAC" w:rsidRPr="00B97DFF" w:rsidRDefault="00D85FAC" w:rsidP="00D85FAC">
      <w:r w:rsidRPr="00B97DFF">
        <w:t>Assessment of fish communities in billabongs is conducted between late April and July each sampling year</w:t>
      </w:r>
      <w:r>
        <w:t xml:space="preserve"> using </w:t>
      </w:r>
      <w:r w:rsidRPr="00B97DFF">
        <w:t xml:space="preserve">non-destructive sampling methods </w:t>
      </w:r>
      <w:r>
        <w:t>applied in</w:t>
      </w:r>
      <w:r w:rsidRPr="00B97DFF">
        <w:t xml:space="preserve"> </w:t>
      </w:r>
      <w:r>
        <w:t>‘</w:t>
      </w:r>
      <w:r w:rsidRPr="00B97DFF">
        <w:t>exposed</w:t>
      </w:r>
      <w:r>
        <w:t>’</w:t>
      </w:r>
      <w:r w:rsidRPr="00B97DFF">
        <w:t xml:space="preserve"> and </w:t>
      </w:r>
      <w:r>
        <w:t>‘</w:t>
      </w:r>
      <w:r w:rsidRPr="00B97DFF">
        <w:t>control</w:t>
      </w:r>
      <w:r>
        <w:t>’ locations</w:t>
      </w:r>
      <w:r w:rsidRPr="00B97DFF">
        <w:t xml:space="preserve">. </w:t>
      </w:r>
      <w:r>
        <w:t xml:space="preserve">Two billabong types are sampled: </w:t>
      </w:r>
      <w:r w:rsidRPr="00B97DFF">
        <w:t xml:space="preserve">deep channel billabongs </w:t>
      </w:r>
      <w:r>
        <w:t>studied every year</w:t>
      </w:r>
      <w:r w:rsidRPr="00B97DFF">
        <w:t xml:space="preserve">, and shallow lowland </w:t>
      </w:r>
      <w:r>
        <w:t xml:space="preserve">(mostly backflow) </w:t>
      </w:r>
      <w:r w:rsidRPr="00B97DFF">
        <w:t>billabongs dominated by aquatic plants</w:t>
      </w:r>
      <w:r>
        <w:t xml:space="preserve"> which are studied every two years</w:t>
      </w:r>
      <w:r w:rsidRPr="00B97DFF">
        <w:t xml:space="preserve">. Details of the sampling methods and sites were provided in the 2003–04 Supervising Scientist </w:t>
      </w:r>
      <w:r>
        <w:t>annual report</w:t>
      </w:r>
      <w:r w:rsidRPr="00B97DFF">
        <w:t xml:space="preserve"> (Supervising Scientist 2004, chapter 2, section 2.2.3). These programs were reviewed in October 2006 and the refinements to their design</w:t>
      </w:r>
      <w:r>
        <w:t>, respectively, are</w:t>
      </w:r>
      <w:r w:rsidRPr="00B97DFF">
        <w:t xml:space="preserve"> detailed in </w:t>
      </w:r>
      <w:r>
        <w:rPr>
          <w:szCs w:val="22"/>
        </w:rPr>
        <w:t>Buckle and Humphrey</w:t>
      </w:r>
      <w:r w:rsidRPr="005E0DA9">
        <w:rPr>
          <w:szCs w:val="22"/>
        </w:rPr>
        <w:t xml:space="preserve"> (</w:t>
      </w:r>
      <w:r>
        <w:rPr>
          <w:szCs w:val="22"/>
        </w:rPr>
        <w:t>2008, 2009</w:t>
      </w:r>
      <w:r w:rsidRPr="005E0DA9">
        <w:rPr>
          <w:szCs w:val="22"/>
        </w:rPr>
        <w:t>)</w:t>
      </w:r>
      <w:r w:rsidRPr="00B97DFF">
        <w:t xml:space="preserve">. </w:t>
      </w:r>
    </w:p>
    <w:p w:rsidR="00D85FAC" w:rsidRPr="000D3171" w:rsidRDefault="00D85FAC" w:rsidP="00D85FAC">
      <w:pPr>
        <w:rPr>
          <w:spacing w:val="-2"/>
        </w:rPr>
      </w:pPr>
      <w:r w:rsidRPr="000D3171">
        <w:rPr>
          <w:spacing w:val="-2"/>
        </w:rPr>
        <w:t xml:space="preserve">For both deep channel and shallow lowland billabongs, comparisons are made between a directly-exposed billabong (Mudginberri) in the Magela Creek catchment downstream of Ranger mine versus control billabongs from an independent catchment (Nourlangie Creek and Wirnmuyurr Creek). The similarity of fish communities in exposed sites to those in control sites is determined using multivariate dissimilarity indices, calculated for each sampling occasion. The use of dissimilarity indices has been described and defined </w:t>
      </w:r>
      <w:r>
        <w:rPr>
          <w:spacing w:val="-2"/>
        </w:rPr>
        <w:t xml:space="preserve">in </w:t>
      </w:r>
      <w:proofErr w:type="gramStart"/>
      <w:r>
        <w:rPr>
          <w:spacing w:val="-2"/>
        </w:rPr>
        <w:t>‘</w:t>
      </w:r>
      <w:r w:rsidRPr="000D3171">
        <w:rPr>
          <w:spacing w:val="-2"/>
        </w:rPr>
        <w:t>Monitoring using</w:t>
      </w:r>
      <w:proofErr w:type="gramEnd"/>
      <w:r w:rsidRPr="000D3171">
        <w:rPr>
          <w:spacing w:val="-2"/>
        </w:rPr>
        <w:t xml:space="preserve"> macroinvertebrate community structure</w:t>
      </w:r>
      <w:r>
        <w:rPr>
          <w:spacing w:val="-2"/>
        </w:rPr>
        <w:t>’ section (above)</w:t>
      </w:r>
      <w:r w:rsidRPr="000D3171">
        <w:rPr>
          <w:spacing w:val="-2"/>
        </w:rPr>
        <w:t>. A significant change or trend in the dissimilarity values over time could imply mining impact.</w:t>
      </w:r>
    </w:p>
    <w:p w:rsidR="00D85FAC" w:rsidRPr="00C84247" w:rsidRDefault="00D85FAC" w:rsidP="00D85FAC">
      <w:pPr>
        <w:pStyle w:val="Heading2"/>
      </w:pPr>
      <w:bookmarkStart w:id="300" w:name="_Toc313523505"/>
      <w:bookmarkStart w:id="301" w:name="_Toc316985354"/>
      <w:r>
        <w:t>Channel billabongs</w:t>
      </w:r>
      <w:bookmarkEnd w:id="300"/>
      <w:bookmarkEnd w:id="301"/>
    </w:p>
    <w:p w:rsidR="00D85FAC" w:rsidRDefault="00D85FAC" w:rsidP="00D85FAC">
      <w:pPr>
        <w:rPr>
          <w:szCs w:val="22"/>
        </w:rPr>
      </w:pPr>
      <w:r w:rsidRPr="009930A2">
        <w:rPr>
          <w:szCs w:val="22"/>
        </w:rPr>
        <w:t xml:space="preserve">The similarity of fish communities in Mudginberri Billabong (directly exposed site downstream of Ranger in Magela Creek catchment) to those of Sandy Billabong (control site in the Nourlangie Creek catchment) was determined using multivariate dissimilarity indices calculated for </w:t>
      </w:r>
      <w:r w:rsidRPr="00114373">
        <w:rPr>
          <w:szCs w:val="22"/>
        </w:rPr>
        <w:t>each annual sampling occasion. A plot of the dissimilarity values from 1994 to 2011 is shown in Figure 1.</w:t>
      </w:r>
    </w:p>
    <w:p w:rsidR="00D85FAC" w:rsidRDefault="00D85FAC" w:rsidP="00D85FAC">
      <w:pPr>
        <w:jc w:val="center"/>
        <w:rPr>
          <w:szCs w:val="22"/>
        </w:rPr>
      </w:pPr>
      <w:r>
        <w:rPr>
          <w:noProof/>
          <w:color w:val="0070C0"/>
          <w:lang w:eastAsia="en-AU"/>
        </w:rPr>
        <w:drawing>
          <wp:inline distT="0" distB="0" distL="0" distR="0">
            <wp:extent cx="3997938" cy="2571211"/>
            <wp:effectExtent l="19050" t="0" r="2562" b="0"/>
            <wp:docPr id="1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cstate="screen"/>
                    <a:srcRect/>
                    <a:stretch>
                      <a:fillRect/>
                    </a:stretch>
                  </pic:blipFill>
                  <pic:spPr bwMode="auto">
                    <a:xfrm>
                      <a:off x="0" y="0"/>
                      <a:ext cx="3997963" cy="2571227"/>
                    </a:xfrm>
                    <a:prstGeom prst="rect">
                      <a:avLst/>
                    </a:prstGeom>
                    <a:noFill/>
                    <a:ln w="9525">
                      <a:noFill/>
                      <a:miter lim="800000"/>
                      <a:headEnd/>
                      <a:tailEnd/>
                    </a:ln>
                  </pic:spPr>
                </pic:pic>
              </a:graphicData>
            </a:graphic>
          </wp:inline>
        </w:drawing>
      </w:r>
    </w:p>
    <w:p w:rsidR="00D85FAC" w:rsidRDefault="00D85FAC" w:rsidP="00D85FAC">
      <w:pPr>
        <w:pStyle w:val="figurecaption"/>
        <w:rPr>
          <w:szCs w:val="22"/>
        </w:rPr>
      </w:pPr>
      <w:r w:rsidRPr="00114373">
        <w:rPr>
          <w:b/>
        </w:rPr>
        <w:t xml:space="preserve">Figure </w:t>
      </w:r>
      <w:proofErr w:type="gramStart"/>
      <w:r w:rsidRPr="00114373">
        <w:rPr>
          <w:b/>
        </w:rPr>
        <w:t xml:space="preserve">1  </w:t>
      </w:r>
      <w:r w:rsidRPr="00114373">
        <w:t>Paired</w:t>
      </w:r>
      <w:proofErr w:type="gramEnd"/>
      <w:r w:rsidRPr="009930A2">
        <w:t xml:space="preserve"> control-exposed dissimilarity values (using the Bray-Curtis measure) calculated for community structure of fish in Mudginberri (</w:t>
      </w:r>
      <w:r>
        <w:t>‘</w:t>
      </w:r>
      <w:r w:rsidRPr="009930A2">
        <w:t>exposed</w:t>
      </w:r>
      <w:r>
        <w:t>’</w:t>
      </w:r>
      <w:r w:rsidRPr="009930A2">
        <w:t xml:space="preserve">) and </w:t>
      </w:r>
      <w:smartTag w:uri="urn:schemas-microsoft-com:office:smarttags" w:element="City">
        <w:smartTag w:uri="urn:schemas-microsoft-com:office:smarttags" w:element="place">
          <w:r w:rsidRPr="009930A2">
            <w:t>Sandy</w:t>
          </w:r>
        </w:smartTag>
      </w:smartTag>
      <w:r w:rsidRPr="009930A2">
        <w:t xml:space="preserve"> (</w:t>
      </w:r>
      <w:r>
        <w:t>‘</w:t>
      </w:r>
      <w:r w:rsidRPr="009930A2">
        <w:t>control</w:t>
      </w:r>
      <w:r>
        <w:t>’</w:t>
      </w:r>
      <w:r w:rsidRPr="009930A2">
        <w:t>) Billabongs in the vicinity of the Ranger Mine over time. Values are means (</w:t>
      </w:r>
      <w:r w:rsidRPr="00EF7796">
        <w:sym w:font="Symbol" w:char="00B1"/>
      </w:r>
      <w:r w:rsidRPr="009930A2">
        <w:t xml:space="preserve"> standard error) of the 5 possible (randomly-selected) pairwise comparisons of transect data between the two waterbodies.</w:t>
      </w:r>
    </w:p>
    <w:p w:rsidR="00D85FAC" w:rsidRPr="000B223F" w:rsidRDefault="00D85FAC" w:rsidP="00D85FAC">
      <w:pPr>
        <w:rPr>
          <w:spacing w:val="-2"/>
          <w:szCs w:val="22"/>
        </w:rPr>
      </w:pPr>
      <w:r w:rsidRPr="000B223F">
        <w:rPr>
          <w:spacing w:val="-2"/>
          <w:szCs w:val="22"/>
        </w:rPr>
        <w:lastRenderedPageBreak/>
        <w:t>In previous reports, possible causes of trends in the annual paired-site dissimilarity measure over time have been advanced and assessed. Because the dissimilarity measure is most influenced by numerically-abundant fish species, it was possible to demonstrate that fluctuations in the measure over time were directly associated with longer-term changes in abundance in Magela Creek of the chequered rainbowfish (</w:t>
      </w:r>
      <w:r w:rsidRPr="000B223F">
        <w:rPr>
          <w:i/>
          <w:spacing w:val="-2"/>
          <w:szCs w:val="22"/>
        </w:rPr>
        <w:t>Melanotaenia splendida inornata</w:t>
      </w:r>
      <w:r w:rsidRPr="000B223F">
        <w:rPr>
          <w:spacing w:val="-2"/>
          <w:szCs w:val="22"/>
        </w:rPr>
        <w:t>), the most common fish species in this creek system (</w:t>
      </w:r>
      <w:r w:rsidRPr="000B223F">
        <w:rPr>
          <w:spacing w:val="-2"/>
        </w:rPr>
        <w:t xml:space="preserve">Supervising Scientist </w:t>
      </w:r>
      <w:r>
        <w:rPr>
          <w:spacing w:val="-2"/>
        </w:rPr>
        <w:t>2004</w:t>
      </w:r>
      <w:r w:rsidRPr="000B223F">
        <w:rPr>
          <w:spacing w:val="-2"/>
          <w:szCs w:val="22"/>
        </w:rPr>
        <w:t xml:space="preserve">, chapter 2, </w:t>
      </w:r>
      <w:r w:rsidRPr="00B97DFF">
        <w:t>section 2.2.3</w:t>
      </w:r>
      <w:r w:rsidRPr="000B223F">
        <w:rPr>
          <w:spacing w:val="-2"/>
          <w:szCs w:val="22"/>
        </w:rPr>
        <w:t xml:space="preserve">). Thus, effort has been directed at understanding the possible causes of interannual variations in the abundance of this fish species in Magela Creek. </w:t>
      </w:r>
    </w:p>
    <w:p w:rsidR="00D85FAC" w:rsidRDefault="00D85FAC" w:rsidP="00D85FAC">
      <w:pPr>
        <w:rPr>
          <w:spacing w:val="-2"/>
          <w:szCs w:val="22"/>
        </w:rPr>
      </w:pPr>
      <w:r w:rsidRPr="00C84247">
        <w:rPr>
          <w:spacing w:val="-2"/>
          <w:szCs w:val="22"/>
        </w:rPr>
        <w:t xml:space="preserve">In </w:t>
      </w:r>
      <w:r>
        <w:rPr>
          <w:spacing w:val="-2"/>
          <w:szCs w:val="22"/>
        </w:rPr>
        <w:t>Buckle et al (2010)</w:t>
      </w:r>
      <w:r w:rsidRPr="00C84247">
        <w:rPr>
          <w:spacing w:val="-2"/>
          <w:szCs w:val="22"/>
        </w:rPr>
        <w:t>, a negative correlation between annual rainbowfish abundance in Mudginberri Billabong</w:t>
      </w:r>
      <w:r w:rsidRPr="00C84247" w:rsidDel="0032213C">
        <w:rPr>
          <w:spacing w:val="-2"/>
          <w:szCs w:val="22"/>
        </w:rPr>
        <w:t xml:space="preserve"> </w:t>
      </w:r>
      <w:r w:rsidRPr="00C84247">
        <w:rPr>
          <w:spacing w:val="-2"/>
          <w:szCs w:val="22"/>
        </w:rPr>
        <w:t>and the magnitude of wet season discharge (total for the wet season, January total and February total</w:t>
      </w:r>
      <w:r>
        <w:rPr>
          <w:spacing w:val="-2"/>
          <w:szCs w:val="22"/>
        </w:rPr>
        <w:t>, GS8210009</w:t>
      </w:r>
      <w:r w:rsidRPr="00C84247">
        <w:rPr>
          <w:spacing w:val="-2"/>
          <w:szCs w:val="22"/>
        </w:rPr>
        <w:t xml:space="preserve">) was observed in Magela Creek. The negative relationship between rainbowfish in Mudginberri </w:t>
      </w:r>
      <w:r w:rsidRPr="00114373">
        <w:rPr>
          <w:spacing w:val="-2"/>
          <w:szCs w:val="22"/>
        </w:rPr>
        <w:t xml:space="preserve">Billabong and wet season discharge identified in 2008–09 has been tested and remains significant (total for the wet season p=0.014, January total p=0.009 and February total p=0.014). This is supported by an examination of Figure 2 which shows the relatively low abundances of rainbowfish in Mudginberri Billabong in 2011 in relation to well-above annual discharge in Magela Creek for that wet season. </w:t>
      </w:r>
      <w:r>
        <w:rPr>
          <w:spacing w:val="-2"/>
          <w:szCs w:val="22"/>
        </w:rPr>
        <w:t>It is possible that t</w:t>
      </w:r>
      <w:r w:rsidRPr="00114373">
        <w:rPr>
          <w:spacing w:val="-2"/>
          <w:szCs w:val="22"/>
        </w:rPr>
        <w:t xml:space="preserve">he reduced rainbowfish abundances after larger wet season flows </w:t>
      </w:r>
      <w:proofErr w:type="gramStart"/>
      <w:r w:rsidRPr="00114373">
        <w:rPr>
          <w:spacing w:val="-2"/>
          <w:szCs w:val="22"/>
        </w:rPr>
        <w:t>indicate</w:t>
      </w:r>
      <w:r>
        <w:rPr>
          <w:spacing w:val="-2"/>
          <w:szCs w:val="22"/>
        </w:rPr>
        <w:t>s</w:t>
      </w:r>
      <w:proofErr w:type="gramEnd"/>
      <w:r w:rsidRPr="00114373">
        <w:rPr>
          <w:spacing w:val="-2"/>
          <w:szCs w:val="22"/>
        </w:rPr>
        <w:t xml:space="preserve"> greater upstream migration of rainbowfish past Mudginberri Billabong, thereby reducing the concentration of fish in Mudginberri Billabong</w:t>
      </w:r>
      <w:r w:rsidRPr="00114373" w:rsidDel="0032213C">
        <w:rPr>
          <w:spacing w:val="-2"/>
          <w:szCs w:val="22"/>
        </w:rPr>
        <w:t xml:space="preserve"> </w:t>
      </w:r>
      <w:r w:rsidRPr="00114373">
        <w:rPr>
          <w:spacing w:val="-2"/>
          <w:szCs w:val="22"/>
        </w:rPr>
        <w:t xml:space="preserve">during the recessional flow period. </w:t>
      </w:r>
    </w:p>
    <w:p w:rsidR="00D85FAC" w:rsidRPr="004C7F96" w:rsidRDefault="00D85FAC" w:rsidP="00D85FAC">
      <w:pPr>
        <w:rPr>
          <w:spacing w:val="-2"/>
          <w:szCs w:val="22"/>
        </w:rPr>
      </w:pPr>
      <w:r w:rsidRPr="004C7F96">
        <w:rPr>
          <w:spacing w:val="-2"/>
          <w:szCs w:val="22"/>
        </w:rPr>
        <w:t xml:space="preserve">The paired-billabong dissimilarity value for 2011 is consistent with the range of values reported since 2001, a period over which there has been no evidence of mine-associated changes to fish communities in Mudginberri Billabong downstream of Ranger (Buckle </w:t>
      </w:r>
      <w:r>
        <w:rPr>
          <w:spacing w:val="-2"/>
          <w:szCs w:val="22"/>
        </w:rPr>
        <w:t>et al</w:t>
      </w:r>
      <w:r w:rsidRPr="004C7F96">
        <w:rPr>
          <w:spacing w:val="-2"/>
          <w:szCs w:val="22"/>
        </w:rPr>
        <w:t xml:space="preserve"> 2010).</w:t>
      </w:r>
    </w:p>
    <w:p w:rsidR="00D85FAC" w:rsidRPr="00114373" w:rsidRDefault="00D85FAC" w:rsidP="00D85FAC">
      <w:pPr>
        <w:rPr>
          <w:spacing w:val="-2"/>
          <w:szCs w:val="22"/>
        </w:rPr>
      </w:pPr>
    </w:p>
    <w:p w:rsidR="00D85FAC" w:rsidRPr="00114373" w:rsidRDefault="00D85FAC" w:rsidP="00D85FAC">
      <w:pPr>
        <w:jc w:val="center"/>
        <w:rPr>
          <w:color w:val="0070C0"/>
        </w:rPr>
      </w:pPr>
      <w:r w:rsidRPr="00114373">
        <w:rPr>
          <w:noProof/>
          <w:color w:val="0070C0"/>
          <w:lang w:eastAsia="en-AU"/>
        </w:rPr>
        <w:drawing>
          <wp:inline distT="0" distB="0" distL="0" distR="0">
            <wp:extent cx="4568699" cy="3785937"/>
            <wp:effectExtent l="19050" t="0" r="3301" b="0"/>
            <wp:docPr id="1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cstate="screen"/>
                    <a:srcRect t="5721"/>
                    <a:stretch>
                      <a:fillRect/>
                    </a:stretch>
                  </pic:blipFill>
                  <pic:spPr bwMode="auto">
                    <a:xfrm>
                      <a:off x="0" y="0"/>
                      <a:ext cx="4580301" cy="3795551"/>
                    </a:xfrm>
                    <a:prstGeom prst="rect">
                      <a:avLst/>
                    </a:prstGeom>
                    <a:noFill/>
                    <a:ln w="9525">
                      <a:noFill/>
                      <a:miter lim="800000"/>
                      <a:headEnd/>
                      <a:tailEnd/>
                    </a:ln>
                  </pic:spPr>
                </pic:pic>
              </a:graphicData>
            </a:graphic>
          </wp:inline>
        </w:drawing>
      </w:r>
    </w:p>
    <w:p w:rsidR="00D85FAC" w:rsidRPr="001740CF" w:rsidRDefault="00D85FAC" w:rsidP="00D85FAC">
      <w:pPr>
        <w:pStyle w:val="figurecaption"/>
      </w:pPr>
      <w:r w:rsidRPr="00114373">
        <w:rPr>
          <w:b/>
        </w:rPr>
        <w:t xml:space="preserve">Figure </w:t>
      </w:r>
      <w:proofErr w:type="gramStart"/>
      <w:r w:rsidRPr="00114373">
        <w:rPr>
          <w:b/>
        </w:rPr>
        <w:t xml:space="preserve">2  </w:t>
      </w:r>
      <w:r w:rsidRPr="00114373">
        <w:t>Relative</w:t>
      </w:r>
      <w:proofErr w:type="gramEnd"/>
      <w:r w:rsidRPr="00114373">
        <w:t xml:space="preserve"> abundance of chequered rainbowfish in Mudginberri and Sandy billabongs from 1989 to 2011 with associated total discharge in Magela</w:t>
      </w:r>
      <w:r w:rsidRPr="001740CF">
        <w:t xml:space="preserve"> Creek (gauging station G8210009)</w:t>
      </w:r>
    </w:p>
    <w:p w:rsidR="00D85FAC" w:rsidRPr="00283B12" w:rsidRDefault="00D85FAC" w:rsidP="00D85FAC">
      <w:pPr>
        <w:pStyle w:val="Heading2"/>
      </w:pPr>
      <w:bookmarkStart w:id="302" w:name="_Toc282084637"/>
      <w:bookmarkStart w:id="303" w:name="_Toc313523506"/>
      <w:bookmarkStart w:id="304" w:name="_Toc316985355"/>
      <w:r w:rsidRPr="00283B12">
        <w:lastRenderedPageBreak/>
        <w:t>Shallow lowland billabongs</w:t>
      </w:r>
      <w:bookmarkEnd w:id="302"/>
      <w:bookmarkEnd w:id="303"/>
      <w:bookmarkEnd w:id="304"/>
    </w:p>
    <w:p w:rsidR="00D85FAC" w:rsidRPr="00FD10A4" w:rsidRDefault="00D85FAC" w:rsidP="00D85FAC">
      <w:pPr>
        <w:rPr>
          <w:lang w:eastAsia="en-AU"/>
        </w:rPr>
      </w:pPr>
      <w:r w:rsidRPr="00FD10A4">
        <w:rPr>
          <w:szCs w:val="22"/>
        </w:rPr>
        <w:t xml:space="preserve">Monitoring of fish communities in shallow billabongs has usually been conducted every other year (see </w:t>
      </w:r>
      <w:r>
        <w:rPr>
          <w:szCs w:val="22"/>
        </w:rPr>
        <w:t>Buckle &amp; Humphrey 2008</w:t>
      </w:r>
      <w:r w:rsidRPr="00FD10A4">
        <w:rPr>
          <w:szCs w:val="22"/>
        </w:rPr>
        <w:t>). The last assessment of fish communities in shallow lowland billabongs was conducted in Ma</w:t>
      </w:r>
      <w:r>
        <w:rPr>
          <w:szCs w:val="22"/>
        </w:rPr>
        <w:t>y 2009 with results reported in Buckle et al (2010)</w:t>
      </w:r>
      <w:r w:rsidRPr="00FD10A4">
        <w:rPr>
          <w:szCs w:val="22"/>
        </w:rPr>
        <w:t xml:space="preserve">. The scheduled sampling of fish communities in 2011 was postponed to enable staff resources to be dedicated towards an intensive sampling of other biota (phytoplankton, zooplankton and macroinvertebrate communities) in these shallow billabong habitats. </w:t>
      </w:r>
    </w:p>
    <w:p w:rsidR="00D85FAC" w:rsidRDefault="00D85FAC" w:rsidP="00D85FAC">
      <w:pPr>
        <w:pStyle w:val="Heading2"/>
      </w:pPr>
      <w:bookmarkStart w:id="305" w:name="_Toc313523507"/>
      <w:bookmarkStart w:id="306" w:name="_Toc316985356"/>
      <w:r>
        <w:t>References</w:t>
      </w:r>
      <w:bookmarkEnd w:id="305"/>
      <w:bookmarkEnd w:id="306"/>
    </w:p>
    <w:p w:rsidR="00D85FAC" w:rsidRDefault="00D85FAC" w:rsidP="00D85FAC">
      <w:pPr>
        <w:pStyle w:val="referencelist1"/>
      </w:pPr>
      <w:r>
        <w:t xml:space="preserve">Buckle D &amp; Humphrey C 2008. </w:t>
      </w:r>
      <w:proofErr w:type="gramStart"/>
      <w:r>
        <w:t>Monitoring of Ranger mine using fish community structure.</w:t>
      </w:r>
      <w:proofErr w:type="gramEnd"/>
      <w:r>
        <w:t xml:space="preserve"> </w:t>
      </w:r>
      <w:proofErr w:type="gramStart"/>
      <w:r>
        <w:t xml:space="preserve">In </w:t>
      </w:r>
      <w:r>
        <w:rPr>
          <w:b/>
          <w:i/>
          <w:sz w:val="26"/>
          <w:szCs w:val="26"/>
        </w:rPr>
        <w:t>eriss</w:t>
      </w:r>
      <w:r>
        <w:t xml:space="preserve"> </w:t>
      </w:r>
      <w:r>
        <w:rPr>
          <w:i/>
        </w:rPr>
        <w:t>research summary 2006–2007</w:t>
      </w:r>
      <w:r>
        <w:t>.</w:t>
      </w:r>
      <w:proofErr w:type="gramEnd"/>
      <w:r>
        <w:t xml:space="preserve"> </w:t>
      </w:r>
      <w:proofErr w:type="gramStart"/>
      <w:smartTag w:uri="urn:schemas-microsoft-com:office:smarttags" w:element="Street">
        <w:smartTag w:uri="urn:schemas-microsoft-com:office:smarttags" w:element="address">
          <w:r>
            <w:t>eds</w:t>
          </w:r>
          <w:proofErr w:type="gramEnd"/>
          <w:r>
            <w:t xml:space="preserve"> Jones DR</w:t>
          </w:r>
        </w:smartTag>
      </w:smartTag>
      <w:r>
        <w:t xml:space="preserve">, Humphrey C, van Dam R &amp; Webb A, Supervising Scientist Report 196, Supervising Scientist, </w:t>
      </w:r>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r>
        <w:t>, 56–59.</w:t>
      </w:r>
    </w:p>
    <w:p w:rsidR="00D85FAC" w:rsidRDefault="00D85FAC" w:rsidP="00D85FAC">
      <w:pPr>
        <w:pStyle w:val="referencelist1"/>
        <w:spacing w:after="60"/>
        <w:ind w:left="357" w:hanging="357"/>
        <w:rPr>
          <w:szCs w:val="22"/>
        </w:rPr>
      </w:pPr>
      <w:r>
        <w:rPr>
          <w:szCs w:val="22"/>
        </w:rPr>
        <w:t xml:space="preserve">Buckle D &amp; Humphrey C 2009. </w:t>
      </w:r>
      <w:proofErr w:type="gramStart"/>
      <w:r>
        <w:rPr>
          <w:szCs w:val="22"/>
        </w:rPr>
        <w:t>Monitoring of Ranger mine using fish community structure.</w:t>
      </w:r>
      <w:proofErr w:type="gramEnd"/>
      <w:r>
        <w:rPr>
          <w:szCs w:val="22"/>
        </w:rPr>
        <w:t xml:space="preserve"> </w:t>
      </w:r>
      <w:proofErr w:type="gramStart"/>
      <w:r>
        <w:rPr>
          <w:szCs w:val="22"/>
        </w:rPr>
        <w:t xml:space="preserve">In </w:t>
      </w:r>
      <w:r>
        <w:rPr>
          <w:b/>
          <w:i/>
          <w:sz w:val="26"/>
          <w:szCs w:val="26"/>
        </w:rPr>
        <w:t>eriss</w:t>
      </w:r>
      <w:r>
        <w:t xml:space="preserve"> </w:t>
      </w:r>
      <w:r>
        <w:rPr>
          <w:i/>
        </w:rPr>
        <w:t>research summary 2007–2008</w:t>
      </w:r>
      <w:r>
        <w:t>.</w:t>
      </w:r>
      <w:proofErr w:type="gramEnd"/>
      <w:r>
        <w:rPr>
          <w:szCs w:val="22"/>
        </w:rPr>
        <w:t xml:space="preserve"> </w:t>
      </w:r>
      <w:proofErr w:type="gramStart"/>
      <w:r>
        <w:rPr>
          <w:szCs w:val="22"/>
        </w:rPr>
        <w:t>eds</w:t>
      </w:r>
      <w:proofErr w:type="gramEnd"/>
      <w:r>
        <w:rPr>
          <w:szCs w:val="22"/>
        </w:rPr>
        <w:t xml:space="preserve"> Jones DR &amp; Webb A, Supervising Scientist Report 200, Supervising Scientist, </w:t>
      </w:r>
      <w:smartTag w:uri="urn:schemas-microsoft-com:office:smarttags" w:element="place">
        <w:smartTag w:uri="urn:schemas-microsoft-com:office:smarttags" w:element="City">
          <w:r>
            <w:rPr>
              <w:szCs w:val="22"/>
            </w:rPr>
            <w:t>Darwin</w:t>
          </w:r>
        </w:smartTag>
        <w:r>
          <w:rPr>
            <w:szCs w:val="22"/>
          </w:rPr>
          <w:t xml:space="preserve"> </w:t>
        </w:r>
        <w:smartTag w:uri="urn:schemas-microsoft-com:office:smarttags" w:element="State">
          <w:r>
            <w:rPr>
              <w:szCs w:val="22"/>
            </w:rPr>
            <w:t>NT</w:t>
          </w:r>
        </w:smartTag>
      </w:smartTag>
      <w:r>
        <w:rPr>
          <w:szCs w:val="22"/>
        </w:rPr>
        <w:t>, 60–63.</w:t>
      </w:r>
    </w:p>
    <w:p w:rsidR="00D85FAC" w:rsidRDefault="00D85FAC" w:rsidP="00D85FAC">
      <w:pPr>
        <w:pStyle w:val="referencelist1"/>
        <w:spacing w:after="60"/>
        <w:ind w:left="357" w:hanging="357"/>
        <w:rPr>
          <w:szCs w:val="22"/>
        </w:rPr>
      </w:pPr>
      <w:r>
        <w:rPr>
          <w:szCs w:val="22"/>
        </w:rPr>
        <w:t xml:space="preserve">Buckle D, Humphrey C &amp; Davies C 2010. </w:t>
      </w:r>
      <w:proofErr w:type="gramStart"/>
      <w:r>
        <w:rPr>
          <w:szCs w:val="22"/>
        </w:rPr>
        <w:t>Monitoring using fish community structure.</w:t>
      </w:r>
      <w:proofErr w:type="gramEnd"/>
      <w:r>
        <w:rPr>
          <w:szCs w:val="22"/>
        </w:rPr>
        <w:t xml:space="preserve"> </w:t>
      </w:r>
      <w:proofErr w:type="gramStart"/>
      <w:r>
        <w:rPr>
          <w:szCs w:val="22"/>
        </w:rPr>
        <w:t xml:space="preserve">In </w:t>
      </w:r>
      <w:r>
        <w:rPr>
          <w:b/>
          <w:i/>
          <w:sz w:val="26"/>
          <w:szCs w:val="26"/>
        </w:rPr>
        <w:t>eriss</w:t>
      </w:r>
      <w:r>
        <w:t xml:space="preserve"> </w:t>
      </w:r>
      <w:r>
        <w:rPr>
          <w:i/>
        </w:rPr>
        <w:t>research summary 2008–2009</w:t>
      </w:r>
      <w:r>
        <w:t>.</w:t>
      </w:r>
      <w:proofErr w:type="gramEnd"/>
      <w:r>
        <w:rPr>
          <w:szCs w:val="22"/>
        </w:rPr>
        <w:t xml:space="preserve"> </w:t>
      </w:r>
      <w:proofErr w:type="gramStart"/>
      <w:r>
        <w:rPr>
          <w:szCs w:val="22"/>
        </w:rPr>
        <w:t>eds</w:t>
      </w:r>
      <w:proofErr w:type="gramEnd"/>
      <w:r>
        <w:rPr>
          <w:szCs w:val="22"/>
        </w:rPr>
        <w:t xml:space="preserve"> Jones DR &amp; Webb A, Supervising Scientist Report 201, Supervising Scientist, </w:t>
      </w:r>
      <w:smartTag w:uri="urn:schemas-microsoft-com:office:smarttags" w:element="place">
        <w:smartTag w:uri="urn:schemas-microsoft-com:office:smarttags" w:element="City">
          <w:r>
            <w:rPr>
              <w:szCs w:val="22"/>
            </w:rPr>
            <w:t>Darwin</w:t>
          </w:r>
        </w:smartTag>
        <w:r>
          <w:rPr>
            <w:szCs w:val="22"/>
          </w:rPr>
          <w:t xml:space="preserve"> </w:t>
        </w:r>
        <w:smartTag w:uri="urn:schemas-microsoft-com:office:smarttags" w:element="State">
          <w:r>
            <w:rPr>
              <w:szCs w:val="22"/>
            </w:rPr>
            <w:t>NT</w:t>
          </w:r>
        </w:smartTag>
      </w:smartTag>
      <w:r>
        <w:rPr>
          <w:szCs w:val="22"/>
        </w:rPr>
        <w:t>, 88–92.</w:t>
      </w:r>
    </w:p>
    <w:p w:rsidR="00D85FAC" w:rsidRDefault="00D85FAC" w:rsidP="00D85FAC">
      <w:pPr>
        <w:pStyle w:val="referencelist1"/>
      </w:pPr>
      <w:proofErr w:type="gramStart"/>
      <w:r>
        <w:t>Supervising Scientist 2004.</w:t>
      </w:r>
      <w:proofErr w:type="gramEnd"/>
      <w:r>
        <w:t xml:space="preserve"> </w:t>
      </w:r>
      <w:r w:rsidRPr="00124369">
        <w:rPr>
          <w:i/>
        </w:rPr>
        <w:t>Annual Report 2003–2004</w:t>
      </w:r>
      <w:r>
        <w:t xml:space="preserve">. </w:t>
      </w:r>
      <w:proofErr w:type="gramStart"/>
      <w:r>
        <w:t>Supervising Scientist, Darwin NT.</w:t>
      </w:r>
      <w:proofErr w:type="gramEnd"/>
      <w:r>
        <w:t xml:space="preserve"> </w:t>
      </w:r>
    </w:p>
    <w:p w:rsidR="00D85FAC" w:rsidRDefault="00D85FAC" w:rsidP="00D85FAC">
      <w:pPr>
        <w:rPr>
          <w:rFonts w:eastAsia="Arial Unicode MS"/>
        </w:rPr>
      </w:pPr>
      <w:bookmarkStart w:id="307" w:name="_Toc309215799"/>
      <w:bookmarkStart w:id="308" w:name="_Toc96754951"/>
      <w:bookmarkStart w:id="309" w:name="_Toc209956444"/>
    </w:p>
    <w:p w:rsidR="00D85FAC" w:rsidRDefault="00D85FAC" w:rsidP="00D85FAC">
      <w:pPr>
        <w:pStyle w:val="Heading4"/>
        <w:rPr>
          <w:rFonts w:eastAsia="Arial Unicode MS"/>
        </w:rPr>
        <w:sectPr w:rsidR="00D85FAC" w:rsidSect="00D85FAC">
          <w:headerReference w:type="default" r:id="rId138"/>
          <w:footnotePr>
            <w:numRestart w:val="eachSect"/>
          </w:footnotePr>
          <w:pgSz w:w="11906" w:h="16838" w:code="9"/>
          <w:pgMar w:top="1440" w:right="1797" w:bottom="1440" w:left="1797" w:header="851" w:footer="833" w:gutter="0"/>
          <w:cols w:space="360"/>
          <w:noEndnote/>
          <w:titlePg/>
        </w:sectPr>
      </w:pPr>
    </w:p>
    <w:p w:rsidR="00D85FAC" w:rsidRDefault="00D85FAC" w:rsidP="00D85FAC">
      <w:pPr>
        <w:pStyle w:val="Heading1"/>
        <w:rPr>
          <w:rFonts w:eastAsia="Arial Unicode MS"/>
        </w:rPr>
      </w:pPr>
      <w:bookmarkStart w:id="310" w:name="_Toc319670739"/>
      <w:r>
        <w:rPr>
          <w:rFonts w:eastAsia="Arial Unicode MS"/>
        </w:rPr>
        <w:lastRenderedPageBreak/>
        <w:t xml:space="preserve">Ranger stream monitoring research: </w:t>
      </w:r>
      <w:r>
        <w:rPr>
          <w:rFonts w:eastAsia="Arial Unicode MS"/>
        </w:rPr>
        <w:br/>
        <w:t xml:space="preserve">Further analysis of toxicity monitoring data </w:t>
      </w:r>
      <w:r>
        <w:rPr>
          <w:rFonts w:eastAsia="Arial Unicode MS"/>
        </w:rPr>
        <w:br/>
        <w:t>for Magela and Gulungul creeks</w:t>
      </w:r>
      <w:bookmarkEnd w:id="307"/>
      <w:bookmarkEnd w:id="310"/>
    </w:p>
    <w:p w:rsidR="00D85FAC" w:rsidRPr="008E44C5" w:rsidRDefault="00D85FAC" w:rsidP="00D85FAC">
      <w:pPr>
        <w:pStyle w:val="authors"/>
        <w:spacing w:after="800"/>
      </w:pPr>
      <w:bookmarkStart w:id="311" w:name="_Toc316987242"/>
      <w:bookmarkStart w:id="312" w:name="_Toc319670740"/>
      <w:r>
        <w:t>C Humphrey, D Buckle &amp; C Davies</w:t>
      </w:r>
      <w:bookmarkEnd w:id="311"/>
      <w:bookmarkEnd w:id="312"/>
    </w:p>
    <w:p w:rsidR="00D85FAC" w:rsidRPr="004855D1" w:rsidRDefault="00D85FAC" w:rsidP="00D85FAC">
      <w:pPr>
        <w:pStyle w:val="Heading2"/>
      </w:pPr>
      <w:bookmarkStart w:id="313" w:name="_Toc303074389"/>
      <w:r w:rsidRPr="004855D1">
        <w:t xml:space="preserve"> </w:t>
      </w:r>
      <w:bookmarkStart w:id="314" w:name="_Toc313523509"/>
      <w:bookmarkStart w:id="315" w:name="_Toc316985358"/>
      <w:r w:rsidRPr="004855D1">
        <w:t>Background</w:t>
      </w:r>
      <w:bookmarkEnd w:id="313"/>
      <w:bookmarkEnd w:id="314"/>
      <w:bookmarkEnd w:id="315"/>
    </w:p>
    <w:p w:rsidR="00D85FAC" w:rsidRPr="0030281B" w:rsidRDefault="00D85FAC" w:rsidP="00D85FAC">
      <w:pPr>
        <w:rPr>
          <w:rFonts w:eastAsia="Arial Unicode MS"/>
          <w:szCs w:val="22"/>
        </w:rPr>
      </w:pPr>
      <w:r w:rsidRPr="0030281B">
        <w:rPr>
          <w:rFonts w:eastAsia="Arial Unicode MS"/>
          <w:szCs w:val="22"/>
        </w:rPr>
        <w:t xml:space="preserve">Prior to reading this summary, it is advisable to read both the </w:t>
      </w:r>
      <w:r>
        <w:rPr>
          <w:rFonts w:eastAsia="Arial Unicode MS"/>
          <w:szCs w:val="22"/>
        </w:rPr>
        <w:t xml:space="preserve">introduction and </w:t>
      </w:r>
      <w:r w:rsidRPr="0030281B">
        <w:rPr>
          <w:rFonts w:eastAsia="Arial Unicode MS"/>
          <w:szCs w:val="22"/>
        </w:rPr>
        <w:t xml:space="preserve">results </w:t>
      </w:r>
      <w:r>
        <w:rPr>
          <w:rFonts w:eastAsia="Arial Unicode MS"/>
          <w:szCs w:val="22"/>
        </w:rPr>
        <w:t>sections of the</w:t>
      </w:r>
      <w:r w:rsidRPr="0030281B">
        <w:rPr>
          <w:rFonts w:eastAsia="Arial Unicode MS"/>
          <w:szCs w:val="22"/>
        </w:rPr>
        <w:t xml:space="preserve"> </w:t>
      </w:r>
      <w:r>
        <w:rPr>
          <w:rFonts w:eastAsia="Arial Unicode MS"/>
          <w:szCs w:val="22"/>
        </w:rPr>
        <w:t xml:space="preserve">accompanying </w:t>
      </w:r>
      <w:r w:rsidRPr="0030281B">
        <w:rPr>
          <w:rFonts w:eastAsia="Arial Unicode MS"/>
          <w:szCs w:val="22"/>
        </w:rPr>
        <w:t xml:space="preserve">routine toxicity monitoring for the 2010–11 wet season paper </w:t>
      </w:r>
      <w:r>
        <w:rPr>
          <w:rFonts w:eastAsia="Arial Unicode MS"/>
          <w:szCs w:val="22"/>
        </w:rPr>
        <w:t xml:space="preserve">to provide context </w:t>
      </w:r>
      <w:r w:rsidRPr="0030281B">
        <w:rPr>
          <w:rFonts w:eastAsia="Arial Unicode MS"/>
          <w:szCs w:val="22"/>
        </w:rPr>
        <w:t xml:space="preserve">for the research and development </w:t>
      </w:r>
      <w:r>
        <w:rPr>
          <w:rFonts w:eastAsia="Arial Unicode MS"/>
          <w:szCs w:val="22"/>
        </w:rPr>
        <w:t xml:space="preserve">project </w:t>
      </w:r>
      <w:r w:rsidRPr="0030281B">
        <w:rPr>
          <w:rFonts w:eastAsia="Arial Unicode MS"/>
          <w:szCs w:val="22"/>
        </w:rPr>
        <w:t>outlined below.</w:t>
      </w:r>
    </w:p>
    <w:p w:rsidR="00D85FAC" w:rsidRDefault="00D85FAC" w:rsidP="00D85FAC">
      <w:pPr>
        <w:rPr>
          <w:spacing w:val="-2"/>
          <w:szCs w:val="22"/>
        </w:rPr>
      </w:pPr>
      <w:r w:rsidRPr="0030281B">
        <w:rPr>
          <w:szCs w:val="22"/>
        </w:rPr>
        <w:t>Toxicity monitoring evaluates the responses of aquatic animals exposed in situ in Magela and Gulungul creeks to diluted runoff water from the Ranger minesite</w:t>
      </w:r>
      <w:r>
        <w:rPr>
          <w:szCs w:val="22"/>
        </w:rPr>
        <w:t xml:space="preserve">. </w:t>
      </w:r>
      <w:r w:rsidRPr="0030281B">
        <w:rPr>
          <w:szCs w:val="22"/>
        </w:rPr>
        <w:t xml:space="preserve">Egg production by the freshwater snail, </w:t>
      </w:r>
      <w:r w:rsidRPr="0030281B">
        <w:rPr>
          <w:i/>
          <w:szCs w:val="22"/>
        </w:rPr>
        <w:t>Amerianna cumingi</w:t>
      </w:r>
      <w:r w:rsidRPr="0030281B">
        <w:rPr>
          <w:szCs w:val="22"/>
        </w:rPr>
        <w:t>,</w:t>
      </w:r>
      <w:r w:rsidRPr="0030281B">
        <w:rPr>
          <w:i/>
          <w:szCs w:val="22"/>
        </w:rPr>
        <w:t xml:space="preserve"> </w:t>
      </w:r>
      <w:r w:rsidRPr="0030281B">
        <w:rPr>
          <w:szCs w:val="22"/>
        </w:rPr>
        <w:t>over a four day deployment period</w:t>
      </w:r>
      <w:r>
        <w:rPr>
          <w:szCs w:val="22"/>
        </w:rPr>
        <w:t>,</w:t>
      </w:r>
      <w:r w:rsidRPr="0030281B">
        <w:rPr>
          <w:szCs w:val="22"/>
        </w:rPr>
        <w:t xml:space="preserve"> has been the method used in Magela Creek since 1990–91 and in Gulungul Creek since 2009–10. Results of the tests have been reported in each of the Supervising Scientist</w:t>
      </w:r>
      <w:r>
        <w:rPr>
          <w:szCs w:val="22"/>
        </w:rPr>
        <w:t>’</w:t>
      </w:r>
      <w:r w:rsidRPr="0030281B">
        <w:rPr>
          <w:szCs w:val="22"/>
        </w:rPr>
        <w:t xml:space="preserve">s annual </w:t>
      </w:r>
      <w:r w:rsidRPr="00CD34A9">
        <w:rPr>
          <w:szCs w:val="22"/>
        </w:rPr>
        <w:t xml:space="preserve">reports (see ‘Toxicity monitoring in Magela and Gulungul Creeks’ pp 81–84, in this volume). </w:t>
      </w:r>
      <w:r w:rsidRPr="00CD34A9">
        <w:rPr>
          <w:spacing w:val="-2"/>
          <w:szCs w:val="22"/>
        </w:rPr>
        <w:t>Aft</w:t>
      </w:r>
      <w:r w:rsidRPr="0030281B">
        <w:rPr>
          <w:spacing w:val="-2"/>
          <w:szCs w:val="22"/>
        </w:rPr>
        <w:t xml:space="preserve">er each wet season, the toxicity monitoring results for the tests are analysed, with differences in egg numbers (the </w:t>
      </w:r>
      <w:r>
        <w:rPr>
          <w:spacing w:val="-2"/>
          <w:szCs w:val="22"/>
        </w:rPr>
        <w:t>‘</w:t>
      </w:r>
      <w:r w:rsidRPr="0030281B">
        <w:rPr>
          <w:spacing w:val="-2"/>
          <w:szCs w:val="22"/>
        </w:rPr>
        <w:t>response</w:t>
      </w:r>
      <w:r>
        <w:rPr>
          <w:spacing w:val="-2"/>
          <w:szCs w:val="22"/>
        </w:rPr>
        <w:t>’</w:t>
      </w:r>
      <w:r w:rsidRPr="0030281B">
        <w:rPr>
          <w:spacing w:val="-2"/>
          <w:szCs w:val="22"/>
        </w:rPr>
        <w:t xml:space="preserve"> variable) between the upstream (control) and downstream (exposed) sites tested for statistical change between the wet season just completed and previous wet seasons. </w:t>
      </w:r>
    </w:p>
    <w:p w:rsidR="00D85FAC" w:rsidRPr="0030281B" w:rsidRDefault="00D85FAC" w:rsidP="00D85FAC">
      <w:pPr>
        <w:rPr>
          <w:szCs w:val="22"/>
        </w:rPr>
      </w:pPr>
      <w:r>
        <w:rPr>
          <w:spacing w:val="-2"/>
          <w:szCs w:val="22"/>
        </w:rPr>
        <w:t>An atypically increased egg production at the downstream site relative to the upstream site was observed during the 2009-10 wet season. Specifically</w:t>
      </w:r>
      <w:r>
        <w:rPr>
          <w:szCs w:val="22"/>
        </w:rPr>
        <w:t xml:space="preserve"> in this season, and u</w:t>
      </w:r>
      <w:r w:rsidRPr="0030281B">
        <w:rPr>
          <w:szCs w:val="22"/>
        </w:rPr>
        <w:t xml:space="preserve">nlike previous </w:t>
      </w:r>
      <w:r>
        <w:rPr>
          <w:szCs w:val="22"/>
        </w:rPr>
        <w:t>and the subsequent (</w:t>
      </w:r>
      <w:r w:rsidRPr="0030281B">
        <w:rPr>
          <w:szCs w:val="22"/>
        </w:rPr>
        <w:t>20</w:t>
      </w:r>
      <w:r>
        <w:rPr>
          <w:szCs w:val="22"/>
        </w:rPr>
        <w:t>10</w:t>
      </w:r>
      <w:r w:rsidRPr="0030281B">
        <w:rPr>
          <w:spacing w:val="-2"/>
          <w:szCs w:val="22"/>
          <w:lang w:eastAsia="en-AU"/>
        </w:rPr>
        <w:t>–</w:t>
      </w:r>
      <w:r w:rsidRPr="0030281B">
        <w:rPr>
          <w:szCs w:val="22"/>
        </w:rPr>
        <w:t>1</w:t>
      </w:r>
      <w:r>
        <w:rPr>
          <w:szCs w:val="22"/>
        </w:rPr>
        <w:t>1)</w:t>
      </w:r>
      <w:r w:rsidRPr="0030281B">
        <w:rPr>
          <w:szCs w:val="22"/>
        </w:rPr>
        <w:t xml:space="preserve"> wet seasons, snail egg production in Magela Creek was found to be consistently (8 out of 9 tests; Figure 1) and significantly</w:t>
      </w:r>
      <w:r w:rsidRPr="0030281B">
        <w:rPr>
          <w:i/>
          <w:szCs w:val="22"/>
        </w:rPr>
        <w:t xml:space="preserve"> </w:t>
      </w:r>
      <w:r w:rsidRPr="0030281B">
        <w:rPr>
          <w:szCs w:val="22"/>
        </w:rPr>
        <w:t>higher at the downstream site compared with the upstream site. The positive difference was particularly marked in the 3</w:t>
      </w:r>
      <w:r w:rsidRPr="0030281B">
        <w:rPr>
          <w:szCs w:val="22"/>
          <w:vertAlign w:val="superscript"/>
        </w:rPr>
        <w:t>rd</w:t>
      </w:r>
      <w:r w:rsidRPr="0030281B">
        <w:rPr>
          <w:szCs w:val="22"/>
        </w:rPr>
        <w:t xml:space="preserve"> </w:t>
      </w:r>
      <w:r w:rsidRPr="001A36A8">
        <w:rPr>
          <w:szCs w:val="22"/>
        </w:rPr>
        <w:t>test and to a lesser extent in the 4</w:t>
      </w:r>
      <w:r w:rsidRPr="001A36A8">
        <w:rPr>
          <w:szCs w:val="22"/>
          <w:vertAlign w:val="superscript"/>
        </w:rPr>
        <w:t>th</w:t>
      </w:r>
      <w:r w:rsidRPr="001A36A8">
        <w:rPr>
          <w:szCs w:val="22"/>
        </w:rPr>
        <w:t xml:space="preserve"> and 5</w:t>
      </w:r>
      <w:r w:rsidRPr="001A36A8">
        <w:rPr>
          <w:szCs w:val="22"/>
          <w:vertAlign w:val="superscript"/>
        </w:rPr>
        <w:t>th</w:t>
      </w:r>
      <w:r w:rsidRPr="001A36A8">
        <w:rPr>
          <w:szCs w:val="22"/>
        </w:rPr>
        <w:t xml:space="preserve"> tests. An assessment of the 2009–10 data (see Humphrey, Davies &amp; Buckle 2011), in the context of the physical and chemical variables</w:t>
      </w:r>
      <w:r w:rsidRPr="0030281B">
        <w:rPr>
          <w:szCs w:val="22"/>
        </w:rPr>
        <w:t xml:space="preserve"> being measured concurrently in Magela Creek, was not able to attribute any specific cause for this variance in test behaviour. </w:t>
      </w:r>
    </w:p>
    <w:p w:rsidR="00D85FAC" w:rsidRPr="0030281B" w:rsidRDefault="00D85FAC" w:rsidP="00D85FAC">
      <w:pPr>
        <w:rPr>
          <w:szCs w:val="22"/>
        </w:rPr>
      </w:pPr>
      <w:r w:rsidRPr="0030281B">
        <w:rPr>
          <w:szCs w:val="22"/>
        </w:rPr>
        <w:t>As a result of the above findings</w:t>
      </w:r>
      <w:r>
        <w:rPr>
          <w:szCs w:val="22"/>
        </w:rPr>
        <w:t>,</w:t>
      </w:r>
      <w:r w:rsidRPr="0030281B">
        <w:rPr>
          <w:szCs w:val="22"/>
        </w:rPr>
        <w:t xml:space="preserve"> a systematic program of work was initiated </w:t>
      </w:r>
      <w:r>
        <w:rPr>
          <w:szCs w:val="22"/>
        </w:rPr>
        <w:t xml:space="preserve">for </w:t>
      </w:r>
      <w:r w:rsidRPr="0030281B">
        <w:rPr>
          <w:szCs w:val="22"/>
        </w:rPr>
        <w:t xml:space="preserve">the 2010–11 wet </w:t>
      </w:r>
      <w:proofErr w:type="gramStart"/>
      <w:r w:rsidRPr="0030281B">
        <w:rPr>
          <w:szCs w:val="22"/>
        </w:rPr>
        <w:t>season  to</w:t>
      </w:r>
      <w:proofErr w:type="gramEnd"/>
      <w:r w:rsidRPr="0030281B">
        <w:rPr>
          <w:szCs w:val="22"/>
        </w:rPr>
        <w:t xml:space="preserve"> improve our understanding of environmental conditions affecting the production of snail eggs during the toxicity monitoring tests. This work was necessary to ensure that it is possible to clearly distinguish between natural and mine-ind</w:t>
      </w:r>
      <w:r>
        <w:rPr>
          <w:szCs w:val="22"/>
        </w:rPr>
        <w:t>u</w:t>
      </w:r>
      <w:r w:rsidRPr="0030281B">
        <w:rPr>
          <w:szCs w:val="22"/>
        </w:rPr>
        <w:t xml:space="preserve">ced </w:t>
      </w:r>
      <w:r>
        <w:rPr>
          <w:szCs w:val="22"/>
        </w:rPr>
        <w:t xml:space="preserve">effects on </w:t>
      </w:r>
      <w:r w:rsidRPr="0030281B">
        <w:rPr>
          <w:szCs w:val="22"/>
        </w:rPr>
        <w:t>egg number</w:t>
      </w:r>
      <w:r>
        <w:rPr>
          <w:szCs w:val="22"/>
        </w:rPr>
        <w:t>s</w:t>
      </w:r>
      <w:r w:rsidRPr="0030281B">
        <w:rPr>
          <w:szCs w:val="22"/>
        </w:rPr>
        <w:t xml:space="preserve"> between upstream and</w:t>
      </w:r>
      <w:r>
        <w:rPr>
          <w:szCs w:val="22"/>
        </w:rPr>
        <w:t xml:space="preserve"> downstream sites. Three lines of work</w:t>
      </w:r>
      <w:r w:rsidRPr="0030281B">
        <w:rPr>
          <w:szCs w:val="22"/>
        </w:rPr>
        <w:t xml:space="preserve"> have been contributing to this improved understanding:</w:t>
      </w:r>
    </w:p>
    <w:p w:rsidR="00D85FAC" w:rsidRPr="0030281B" w:rsidRDefault="00D85FAC" w:rsidP="00D85FAC">
      <w:pPr>
        <w:pStyle w:val="Normallist1"/>
      </w:pPr>
      <w:r>
        <w:t>1</w:t>
      </w:r>
      <w:r>
        <w:tab/>
      </w:r>
      <w:r w:rsidRPr="0030281B">
        <w:t>The extension of toxicity monitoring to Gulungul Creek:</w:t>
      </w:r>
      <w:r w:rsidRPr="0030281B">
        <w:rPr>
          <w:rStyle w:val="CommentReference"/>
          <w:szCs w:val="22"/>
        </w:rPr>
        <w:t xml:space="preserve"> </w:t>
      </w:r>
      <w:r w:rsidRPr="0030281B">
        <w:t>The different environmental conditions to which snails are exposed to in this relatively small catchment (compared to Magela Creek) enhances the information base of environment-response data available to identify likely correlates, and possibly causes, of differences in egg numbers at a given time and location in both creek systems.</w:t>
      </w:r>
    </w:p>
    <w:p w:rsidR="00D85FAC" w:rsidRPr="0030281B" w:rsidRDefault="00D85FAC" w:rsidP="00D85FAC">
      <w:pPr>
        <w:pStyle w:val="Normallist1"/>
        <w:rPr>
          <w:szCs w:val="22"/>
        </w:rPr>
      </w:pPr>
      <w:r>
        <w:rPr>
          <w:szCs w:val="22"/>
        </w:rPr>
        <w:t>2</w:t>
      </w:r>
      <w:r>
        <w:rPr>
          <w:szCs w:val="22"/>
        </w:rPr>
        <w:tab/>
      </w:r>
      <w:r w:rsidRPr="0030281B">
        <w:rPr>
          <w:szCs w:val="22"/>
        </w:rPr>
        <w:t>The availability of four (</w:t>
      </w:r>
      <w:r w:rsidRPr="00501A21">
        <w:t>Gulungul</w:t>
      </w:r>
      <w:r w:rsidRPr="0030281B">
        <w:rPr>
          <w:szCs w:val="22"/>
        </w:rPr>
        <w:t xml:space="preserve">) and six (Magela) wet seasons of continuous data for electrical conductivity (EC), water temperature and turbidity at upstream and downstream monitoring </w:t>
      </w:r>
      <w:r w:rsidRPr="000F3B50">
        <w:rPr>
          <w:szCs w:val="22"/>
        </w:rPr>
        <w:t xml:space="preserve">sites (see ‘Toxicity monitoring in Magela and Gulungul Creeks’ pp 81–84, in </w:t>
      </w:r>
      <w:r w:rsidRPr="000F3B50">
        <w:rPr>
          <w:szCs w:val="22"/>
        </w:rPr>
        <w:lastRenderedPageBreak/>
        <w:t>this volume). The</w:t>
      </w:r>
      <w:r w:rsidRPr="0030281B">
        <w:rPr>
          <w:szCs w:val="22"/>
        </w:rPr>
        <w:t xml:space="preserve"> continuous water quality data track in real time key physical and chemical conditions over the full four-day exposure period of each toxicity monitoring test, in contrast to the limited grab sample data (at beginning and end of each </w:t>
      </w:r>
      <w:r>
        <w:rPr>
          <w:szCs w:val="22"/>
        </w:rPr>
        <w:t xml:space="preserve">four-day </w:t>
      </w:r>
      <w:r w:rsidRPr="0030281B">
        <w:rPr>
          <w:szCs w:val="22"/>
        </w:rPr>
        <w:t>deployment) that was previously available.</w:t>
      </w:r>
    </w:p>
    <w:p w:rsidR="00D85FAC" w:rsidRPr="0030281B" w:rsidRDefault="00D85FAC" w:rsidP="00D85FAC">
      <w:pPr>
        <w:pStyle w:val="Normallist1"/>
      </w:pPr>
      <w:r>
        <w:t>3</w:t>
      </w:r>
      <w:r>
        <w:tab/>
      </w:r>
      <w:r w:rsidRPr="0030281B">
        <w:t>The availability of one wet season (2010–11) of quantitative data for the masses of inorganic and organic material deposited in snail test containers over the duration of each test at upstream and downstream monitoring sites in Magela and Gulungul creeks. These data are being used to assess whether organic (detrital) matter suspen</w:t>
      </w:r>
      <w:r>
        <w:t>d</w:t>
      </w:r>
      <w:r w:rsidRPr="0030281B">
        <w:t>ed in creek waters</w:t>
      </w:r>
      <w:r>
        <w:t>,</w:t>
      </w:r>
      <w:r w:rsidRPr="0030281B">
        <w:t xml:space="preserve"> and potentially able to become trapped in the test containers</w:t>
      </w:r>
      <w:r>
        <w:t>,</w:t>
      </w:r>
      <w:r w:rsidRPr="0030281B">
        <w:t xml:space="preserve"> could be enhancing the supply of food to snails during the test (noting that the current </w:t>
      </w:r>
      <w:r>
        <w:t>protocol</w:t>
      </w:r>
      <w:r w:rsidRPr="0030281B">
        <w:t xml:space="preserve"> involves supply of a quantum of food only at the beginning of the test), and hence increasing egg production at one creek site more than the other site.</w:t>
      </w:r>
    </w:p>
    <w:p w:rsidR="00D85FAC" w:rsidRDefault="00D85FAC" w:rsidP="00D85FAC">
      <w:pPr>
        <w:rPr>
          <w:szCs w:val="22"/>
        </w:rPr>
      </w:pPr>
      <w:r w:rsidRPr="0030281B">
        <w:rPr>
          <w:szCs w:val="22"/>
        </w:rPr>
        <w:t>This report examines progress made in applying the toxicity monitoring test to Gulungul Creek and in identifying from the continuous water quality record and from results of settled organic matter measurements for both Magela and Gulungul creeks, key environmental correlates of the snail egg production response.</w:t>
      </w:r>
    </w:p>
    <w:p w:rsidR="00D85FAC" w:rsidRDefault="00D85FAC" w:rsidP="00D85FAC">
      <w:pPr>
        <w:rPr>
          <w:szCs w:val="22"/>
        </w:rPr>
      </w:pPr>
    </w:p>
    <w:p w:rsidR="00D85FAC" w:rsidRDefault="00D85FAC" w:rsidP="00D85FAC">
      <w:pPr>
        <w:jc w:val="center"/>
        <w:rPr>
          <w:color w:val="1F497D" w:themeColor="text2"/>
          <w:lang w:val="en-US"/>
        </w:rPr>
      </w:pPr>
      <w:r w:rsidRPr="00CD2EA3">
        <w:rPr>
          <w:noProof/>
          <w:color w:val="1F497D" w:themeColor="text2"/>
          <w:lang w:eastAsia="en-AU"/>
        </w:rPr>
        <w:drawing>
          <wp:inline distT="0" distB="0" distL="0" distR="0">
            <wp:extent cx="4680729" cy="4632960"/>
            <wp:effectExtent l="19050" t="0" r="5571" b="0"/>
            <wp:docPr id="1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screen"/>
                    <a:srcRect t="5512"/>
                    <a:stretch>
                      <a:fillRect/>
                    </a:stretch>
                  </pic:blipFill>
                  <pic:spPr bwMode="auto">
                    <a:xfrm>
                      <a:off x="0" y="0"/>
                      <a:ext cx="4686186" cy="4638361"/>
                    </a:xfrm>
                    <a:prstGeom prst="rect">
                      <a:avLst/>
                    </a:prstGeom>
                    <a:noFill/>
                    <a:ln w="9525">
                      <a:noFill/>
                      <a:miter lim="800000"/>
                      <a:headEnd/>
                      <a:tailEnd/>
                    </a:ln>
                  </pic:spPr>
                </pic:pic>
              </a:graphicData>
            </a:graphic>
          </wp:inline>
        </w:drawing>
      </w:r>
    </w:p>
    <w:p w:rsidR="00D85FAC" w:rsidRDefault="00D85FAC" w:rsidP="00D85FAC">
      <w:pPr>
        <w:pStyle w:val="figurecaption"/>
        <w:rPr>
          <w:lang w:eastAsia="en-AU"/>
        </w:rPr>
      </w:pPr>
      <w:r>
        <w:rPr>
          <w:b/>
        </w:rPr>
        <w:t>Figure</w:t>
      </w:r>
      <w:r w:rsidRPr="00556618">
        <w:rPr>
          <w:b/>
        </w:rPr>
        <w:t xml:space="preserve"> </w:t>
      </w:r>
      <w:proofErr w:type="gramStart"/>
      <w:r>
        <w:rPr>
          <w:b/>
        </w:rPr>
        <w:t>1</w:t>
      </w:r>
      <w:r w:rsidRPr="00556618">
        <w:t xml:space="preserve">  Time</w:t>
      </w:r>
      <w:proofErr w:type="gramEnd"/>
      <w:r w:rsidRPr="00556618">
        <w:t>-series of snail egg production data from toxicity monitoring tests conducted in</w:t>
      </w:r>
      <w:r>
        <w:t xml:space="preserve"> </w:t>
      </w:r>
      <w:r w:rsidRPr="00556618">
        <w:t xml:space="preserve">Magela and Gulungul creeks using </w:t>
      </w:r>
      <w:r w:rsidRPr="00501A21">
        <w:t>i</w:t>
      </w:r>
      <w:r w:rsidRPr="00501A21">
        <w:rPr>
          <w:lang w:eastAsia="en-AU"/>
        </w:rPr>
        <w:t xml:space="preserve">n situ </w:t>
      </w:r>
      <w:r w:rsidRPr="00556618">
        <w:rPr>
          <w:lang w:eastAsia="en-AU"/>
        </w:rPr>
        <w:t>tests</w:t>
      </w:r>
    </w:p>
    <w:p w:rsidR="00D85FAC" w:rsidRPr="004855D1" w:rsidRDefault="00D85FAC" w:rsidP="00D85FAC">
      <w:pPr>
        <w:pStyle w:val="Heading2"/>
        <w:rPr>
          <w:szCs w:val="24"/>
          <w:lang w:eastAsia="en-AU"/>
        </w:rPr>
      </w:pPr>
      <w:bookmarkStart w:id="316" w:name="_Toc272771464"/>
      <w:bookmarkStart w:id="317" w:name="_Toc303074390"/>
      <w:bookmarkStart w:id="318" w:name="_Toc313523510"/>
      <w:bookmarkStart w:id="319" w:name="_Toc316985359"/>
      <w:r w:rsidRPr="004855D1">
        <w:lastRenderedPageBreak/>
        <w:t>Comparison</w:t>
      </w:r>
      <w:r w:rsidRPr="004855D1">
        <w:rPr>
          <w:lang w:eastAsia="en-AU"/>
        </w:rPr>
        <w:t xml:space="preserve"> of toxicity monitoring results </w:t>
      </w:r>
      <w:r w:rsidRPr="004855D1">
        <w:t>in Magela and Gulungul Creek</w:t>
      </w:r>
      <w:bookmarkEnd w:id="316"/>
      <w:r w:rsidRPr="004855D1">
        <w:t>s</w:t>
      </w:r>
      <w:bookmarkEnd w:id="317"/>
      <w:bookmarkEnd w:id="318"/>
      <w:bookmarkEnd w:id="319"/>
    </w:p>
    <w:p w:rsidR="00D85FAC" w:rsidRPr="008D24EB" w:rsidRDefault="00D85FAC" w:rsidP="00D85FAC">
      <w:r w:rsidRPr="008D24EB">
        <w:t xml:space="preserve">Results from the first season (2009–10) of the trial deployment of toxicity monitoring in Gulungul Creek were reported </w:t>
      </w:r>
      <w:r>
        <w:t xml:space="preserve">by </w:t>
      </w:r>
      <w:r>
        <w:rPr>
          <w:szCs w:val="22"/>
        </w:rPr>
        <w:t xml:space="preserve">Humphrey, Buckle and </w:t>
      </w:r>
      <w:r w:rsidRPr="002740D9">
        <w:rPr>
          <w:szCs w:val="22"/>
        </w:rPr>
        <w:t xml:space="preserve">Davies </w:t>
      </w:r>
      <w:r w:rsidRPr="002740D9">
        <w:t>(2011)</w:t>
      </w:r>
      <w:r>
        <w:t xml:space="preserve"> </w:t>
      </w:r>
      <w:r w:rsidRPr="008D24EB">
        <w:t xml:space="preserve">while results for the 2010–11 season are reported in the routine stream monitoring paper associated with this report. The collective 2009–10 and 2010–11 results are further examined below. </w:t>
      </w:r>
    </w:p>
    <w:p w:rsidR="00D85FAC" w:rsidRPr="0030281B" w:rsidRDefault="00D85FAC" w:rsidP="00D85FAC">
      <w:pPr>
        <w:rPr>
          <w:spacing w:val="-2"/>
          <w:szCs w:val="22"/>
        </w:rPr>
      </w:pPr>
      <w:r w:rsidRPr="00690C0C">
        <w:rPr>
          <w:spacing w:val="-2"/>
          <w:szCs w:val="22"/>
        </w:rPr>
        <w:t>Results (mean egg count per snail pair at upstream and downstream sites, and upstream-downstream difference values</w:t>
      </w:r>
      <w:r w:rsidRPr="0030281B">
        <w:rPr>
          <w:spacing w:val="-2"/>
          <w:szCs w:val="22"/>
        </w:rPr>
        <w:t>) for the snail reproduction tests conducted in both Magela and Gulungul creeks for the 2009–10 and 2010–11 wet seasons are plotted in Figure 1.</w:t>
      </w:r>
    </w:p>
    <w:p w:rsidR="00D85FAC" w:rsidRPr="0030281B" w:rsidRDefault="00D85FAC" w:rsidP="00D85FAC">
      <w:pPr>
        <w:rPr>
          <w:szCs w:val="22"/>
        </w:rPr>
      </w:pPr>
      <w:r w:rsidRPr="0030281B">
        <w:rPr>
          <w:szCs w:val="22"/>
        </w:rPr>
        <w:t xml:space="preserve">Analysis of variance (ANOVA) testing of the data from both creeks for the two years showed: (i) for egg count data, no significant differences in egg counts between years, streams or amongst sites; and (ii) for difference data, no significant differences between streams or years, but a significant Year × Stream interaction (P&lt;0.001). This significant interaction was due to the higher difference values (or greater upstream egg production) observed in Gulungul Creek in 2009–10 compared with difference data from Gulungul Creek in 2010–11 and from Magela Creek for both seasons, and is discussed further </w:t>
      </w:r>
      <w:r w:rsidRPr="000F3B50">
        <w:rPr>
          <w:szCs w:val="22"/>
        </w:rPr>
        <w:t>in ‘Toxicity monitoring in Magela and Gulungul Creeks’ pp 81–84, in this volume.</w:t>
      </w:r>
      <w:r>
        <w:rPr>
          <w:szCs w:val="22"/>
        </w:rPr>
        <w:t xml:space="preserve"> </w:t>
      </w:r>
    </w:p>
    <w:p w:rsidR="00D85FAC" w:rsidRPr="0030281B" w:rsidRDefault="00D85FAC" w:rsidP="00D85FAC">
      <w:pPr>
        <w:rPr>
          <w:szCs w:val="22"/>
        </w:rPr>
      </w:pPr>
      <w:r w:rsidRPr="0030281B">
        <w:rPr>
          <w:szCs w:val="22"/>
        </w:rPr>
        <w:t xml:space="preserve">The toxicity monitoring results from Figure 1 indicate greater variability between upstream and downstream sites in the egg counts from Gulungul Creek compared with the same response measured in Magela Creek. To further investigate this result, the snail egg data were compared with </w:t>
      </w:r>
      <w:r>
        <w:rPr>
          <w:szCs w:val="22"/>
        </w:rPr>
        <w:t xml:space="preserve">values for </w:t>
      </w:r>
      <w:r w:rsidRPr="0030281B">
        <w:rPr>
          <w:szCs w:val="22"/>
        </w:rPr>
        <w:t xml:space="preserve">various water quality parameters. Water quality (temperature, EC, turbidity) differences were calculated from the medians of upstream and downstream values measured at a 10 minute frequency over each of the four-day tests conducted over the two wet seasons. The standard deviation of the four-day upstream-downstream difference values for the continuously monitored water quality variables and snail egg numbers in both Gulungul and Magela Creek were then derived. The results are shown in Table 1. The </w:t>
      </w:r>
      <w:r>
        <w:rPr>
          <w:szCs w:val="22"/>
        </w:rPr>
        <w:t xml:space="preserve">generally </w:t>
      </w:r>
      <w:r w:rsidRPr="0030281B">
        <w:rPr>
          <w:szCs w:val="22"/>
        </w:rPr>
        <w:t>more variable (compared with Magela Creek) water quality in Gulungul Creek, caused by the greater proportional influence of runoff to the stream from catchment sources between the upstream and downstream sites in this relatively small drainage basin, may be responsible for the more variable biological response observed.</w:t>
      </w:r>
      <w:r>
        <w:rPr>
          <w:szCs w:val="22"/>
        </w:rPr>
        <w:t xml:space="preserve"> </w:t>
      </w:r>
    </w:p>
    <w:p w:rsidR="00D85FAC" w:rsidRPr="00BE3970" w:rsidRDefault="00D85FAC" w:rsidP="00D85FAC">
      <w:pPr>
        <w:pStyle w:val="tablecaption"/>
        <w:spacing w:before="320"/>
      </w:pPr>
      <w:r w:rsidRPr="00F72FDE">
        <w:rPr>
          <w:b/>
        </w:rPr>
        <w:t xml:space="preserve">Table </w:t>
      </w:r>
      <w:proofErr w:type="gramStart"/>
      <w:r w:rsidRPr="00F72FDE">
        <w:rPr>
          <w:b/>
        </w:rPr>
        <w:t>1</w:t>
      </w:r>
      <w:r>
        <w:rPr>
          <w:b/>
        </w:rPr>
        <w:t xml:space="preserve"> </w:t>
      </w:r>
      <w:r w:rsidRPr="00BE3970">
        <w:t xml:space="preserve"> Standard</w:t>
      </w:r>
      <w:proofErr w:type="gramEnd"/>
      <w:r w:rsidRPr="00BE3970">
        <w:t xml:space="preserve"> deviations (SD) of upstream-downstream difference values for water quality variables and snail eggs numbers in both Magela and Gulungul Creek for </w:t>
      </w:r>
      <w:r>
        <w:t>2009–10 and 2010–11 wet seasons</w:t>
      </w:r>
    </w:p>
    <w:tbl>
      <w:tblPr>
        <w:tblW w:w="7796" w:type="dxa"/>
        <w:tblInd w:w="250" w:type="dxa"/>
        <w:tblLook w:val="04A0"/>
      </w:tblPr>
      <w:tblGrid>
        <w:gridCol w:w="1559"/>
        <w:gridCol w:w="2268"/>
        <w:gridCol w:w="1985"/>
        <w:gridCol w:w="1984"/>
      </w:tblGrid>
      <w:tr w:rsidR="00D85FAC" w:rsidTr="00D85FAC">
        <w:tc>
          <w:tcPr>
            <w:tcW w:w="1559" w:type="dxa"/>
            <w:tcBorders>
              <w:top w:val="single" w:sz="4" w:space="0" w:color="auto"/>
              <w:left w:val="nil"/>
              <w:bottom w:val="single" w:sz="4" w:space="0" w:color="auto"/>
              <w:right w:val="nil"/>
            </w:tcBorders>
            <w:hideMark/>
          </w:tcPr>
          <w:p w:rsidR="00D85FAC" w:rsidRDefault="00D85FAC" w:rsidP="00D85FAC">
            <w:pPr>
              <w:pStyle w:val="table1"/>
              <w:rPr>
                <w:b/>
              </w:rPr>
            </w:pPr>
            <w:r>
              <w:rPr>
                <w:b/>
              </w:rPr>
              <w:t>Wet season</w:t>
            </w:r>
          </w:p>
        </w:tc>
        <w:tc>
          <w:tcPr>
            <w:tcW w:w="2268" w:type="dxa"/>
            <w:tcBorders>
              <w:top w:val="single" w:sz="4" w:space="0" w:color="auto"/>
              <w:left w:val="nil"/>
              <w:bottom w:val="single" w:sz="4" w:space="0" w:color="auto"/>
              <w:right w:val="nil"/>
            </w:tcBorders>
            <w:hideMark/>
          </w:tcPr>
          <w:p w:rsidR="00D85FAC" w:rsidRDefault="00D85FAC" w:rsidP="00D85FAC">
            <w:pPr>
              <w:pStyle w:val="table1"/>
              <w:rPr>
                <w:b/>
              </w:rPr>
            </w:pPr>
            <w:r>
              <w:rPr>
                <w:b/>
              </w:rPr>
              <w:t>Difference variable</w:t>
            </w:r>
          </w:p>
        </w:tc>
        <w:tc>
          <w:tcPr>
            <w:tcW w:w="1985" w:type="dxa"/>
            <w:tcBorders>
              <w:top w:val="single" w:sz="4" w:space="0" w:color="auto"/>
              <w:left w:val="nil"/>
              <w:bottom w:val="single" w:sz="4" w:space="0" w:color="auto"/>
              <w:right w:val="nil"/>
            </w:tcBorders>
            <w:hideMark/>
          </w:tcPr>
          <w:p w:rsidR="00D85FAC" w:rsidRDefault="00D85FAC" w:rsidP="00D85FAC">
            <w:pPr>
              <w:pStyle w:val="table1"/>
              <w:jc w:val="center"/>
              <w:rPr>
                <w:b/>
              </w:rPr>
            </w:pPr>
            <w:r>
              <w:rPr>
                <w:b/>
              </w:rPr>
              <w:t>Magela SD</w:t>
            </w:r>
          </w:p>
        </w:tc>
        <w:tc>
          <w:tcPr>
            <w:tcW w:w="1984" w:type="dxa"/>
            <w:tcBorders>
              <w:top w:val="single" w:sz="4" w:space="0" w:color="auto"/>
              <w:left w:val="nil"/>
              <w:bottom w:val="single" w:sz="4" w:space="0" w:color="auto"/>
              <w:right w:val="nil"/>
            </w:tcBorders>
            <w:hideMark/>
          </w:tcPr>
          <w:p w:rsidR="00D85FAC" w:rsidRDefault="00D85FAC" w:rsidP="00D85FAC">
            <w:pPr>
              <w:pStyle w:val="table1"/>
              <w:jc w:val="center"/>
              <w:rPr>
                <w:b/>
              </w:rPr>
            </w:pPr>
            <w:r>
              <w:rPr>
                <w:b/>
              </w:rPr>
              <w:t>Gulungul SD</w:t>
            </w:r>
          </w:p>
        </w:tc>
      </w:tr>
      <w:tr w:rsidR="00D85FAC" w:rsidTr="00D85FAC">
        <w:tc>
          <w:tcPr>
            <w:tcW w:w="1559" w:type="dxa"/>
            <w:vMerge w:val="restart"/>
            <w:tcBorders>
              <w:top w:val="single" w:sz="4" w:space="0" w:color="auto"/>
              <w:left w:val="nil"/>
              <w:bottom w:val="single" w:sz="6" w:space="0" w:color="BFBFBF" w:themeColor="background1" w:themeShade="BF"/>
              <w:right w:val="nil"/>
            </w:tcBorders>
            <w:vAlign w:val="center"/>
            <w:hideMark/>
          </w:tcPr>
          <w:p w:rsidR="00D85FAC" w:rsidRDefault="00D85FAC" w:rsidP="00D85FAC">
            <w:pPr>
              <w:pStyle w:val="table1"/>
            </w:pPr>
            <w:r>
              <w:t>2009–10</w:t>
            </w:r>
          </w:p>
        </w:tc>
        <w:tc>
          <w:tcPr>
            <w:tcW w:w="2268" w:type="dxa"/>
            <w:tcBorders>
              <w:top w:val="single" w:sz="4" w:space="0" w:color="auto"/>
              <w:left w:val="nil"/>
              <w:bottom w:val="nil"/>
              <w:right w:val="nil"/>
            </w:tcBorders>
            <w:hideMark/>
          </w:tcPr>
          <w:p w:rsidR="00D85FAC" w:rsidRDefault="00D85FAC" w:rsidP="00D85FAC">
            <w:pPr>
              <w:pStyle w:val="table1"/>
            </w:pPr>
            <w:r>
              <w:t>Snail egg numbers</w:t>
            </w:r>
          </w:p>
        </w:tc>
        <w:tc>
          <w:tcPr>
            <w:tcW w:w="1985" w:type="dxa"/>
            <w:tcBorders>
              <w:top w:val="single" w:sz="4" w:space="0" w:color="auto"/>
              <w:left w:val="nil"/>
              <w:bottom w:val="nil"/>
              <w:right w:val="nil"/>
            </w:tcBorders>
            <w:hideMark/>
          </w:tcPr>
          <w:p w:rsidR="00D85FAC" w:rsidRDefault="00D85FAC" w:rsidP="00D85FAC">
            <w:pPr>
              <w:pStyle w:val="table1"/>
              <w:jc w:val="center"/>
            </w:pPr>
            <w:r>
              <w:t>23.6</w:t>
            </w:r>
          </w:p>
        </w:tc>
        <w:tc>
          <w:tcPr>
            <w:tcW w:w="1984" w:type="dxa"/>
            <w:tcBorders>
              <w:top w:val="single" w:sz="4" w:space="0" w:color="auto"/>
              <w:left w:val="nil"/>
              <w:bottom w:val="nil"/>
              <w:right w:val="nil"/>
            </w:tcBorders>
            <w:hideMark/>
          </w:tcPr>
          <w:p w:rsidR="00D85FAC" w:rsidRDefault="00D85FAC" w:rsidP="00D85FAC">
            <w:pPr>
              <w:pStyle w:val="table1"/>
              <w:jc w:val="center"/>
            </w:pPr>
            <w:r>
              <w:t>32.5</w:t>
            </w:r>
          </w:p>
        </w:tc>
      </w:tr>
      <w:tr w:rsidR="00D85FAC" w:rsidTr="00D85FAC">
        <w:tc>
          <w:tcPr>
            <w:tcW w:w="1559" w:type="dxa"/>
            <w:vMerge/>
            <w:tcBorders>
              <w:top w:val="single" w:sz="6" w:space="0" w:color="BFBFBF" w:themeColor="background1" w:themeShade="BF"/>
              <w:left w:val="nil"/>
              <w:bottom w:val="single" w:sz="6" w:space="0" w:color="BFBFBF" w:themeColor="background1" w:themeShade="BF"/>
              <w:right w:val="nil"/>
            </w:tcBorders>
            <w:vAlign w:val="center"/>
            <w:hideMark/>
          </w:tcPr>
          <w:p w:rsidR="00D85FAC" w:rsidRDefault="00D85FAC" w:rsidP="00D85FAC">
            <w:pPr>
              <w:spacing w:after="0" w:line="240" w:lineRule="auto"/>
              <w:rPr>
                <w:rFonts w:ascii="Arial" w:hAnsi="Arial"/>
                <w:sz w:val="16"/>
              </w:rPr>
            </w:pPr>
          </w:p>
        </w:tc>
        <w:tc>
          <w:tcPr>
            <w:tcW w:w="2268" w:type="dxa"/>
            <w:hideMark/>
          </w:tcPr>
          <w:p w:rsidR="00D85FAC" w:rsidRDefault="00D85FAC" w:rsidP="00D85FAC">
            <w:pPr>
              <w:pStyle w:val="table1"/>
            </w:pPr>
            <w:r>
              <w:t>Temperature (°C)</w:t>
            </w:r>
          </w:p>
        </w:tc>
        <w:tc>
          <w:tcPr>
            <w:tcW w:w="1985" w:type="dxa"/>
            <w:hideMark/>
          </w:tcPr>
          <w:p w:rsidR="00D85FAC" w:rsidRDefault="00D85FAC" w:rsidP="00D85FAC">
            <w:pPr>
              <w:pStyle w:val="table1"/>
              <w:jc w:val="center"/>
            </w:pPr>
            <w:r>
              <w:t>0.14</w:t>
            </w:r>
          </w:p>
        </w:tc>
        <w:tc>
          <w:tcPr>
            <w:tcW w:w="1984" w:type="dxa"/>
            <w:hideMark/>
          </w:tcPr>
          <w:p w:rsidR="00D85FAC" w:rsidRDefault="00D85FAC" w:rsidP="00D85FAC">
            <w:pPr>
              <w:pStyle w:val="table1"/>
              <w:jc w:val="center"/>
            </w:pPr>
            <w:r>
              <w:t>0.34</w:t>
            </w:r>
          </w:p>
        </w:tc>
      </w:tr>
      <w:tr w:rsidR="00D85FAC" w:rsidTr="00D85FAC">
        <w:tc>
          <w:tcPr>
            <w:tcW w:w="1559" w:type="dxa"/>
            <w:vMerge/>
            <w:tcBorders>
              <w:top w:val="single" w:sz="6" w:space="0" w:color="BFBFBF" w:themeColor="background1" w:themeShade="BF"/>
              <w:left w:val="nil"/>
              <w:bottom w:val="single" w:sz="6" w:space="0" w:color="BFBFBF" w:themeColor="background1" w:themeShade="BF"/>
              <w:right w:val="nil"/>
            </w:tcBorders>
            <w:vAlign w:val="center"/>
            <w:hideMark/>
          </w:tcPr>
          <w:p w:rsidR="00D85FAC" w:rsidRDefault="00D85FAC" w:rsidP="00D85FAC">
            <w:pPr>
              <w:spacing w:after="0" w:line="240" w:lineRule="auto"/>
              <w:rPr>
                <w:rFonts w:ascii="Arial" w:hAnsi="Arial"/>
                <w:sz w:val="16"/>
              </w:rPr>
            </w:pPr>
          </w:p>
        </w:tc>
        <w:tc>
          <w:tcPr>
            <w:tcW w:w="2268" w:type="dxa"/>
            <w:hideMark/>
          </w:tcPr>
          <w:p w:rsidR="00D85FAC" w:rsidRDefault="00D85FAC" w:rsidP="00D85FAC">
            <w:pPr>
              <w:pStyle w:val="table1"/>
            </w:pPr>
            <w:r>
              <w:t>Conductivity (μS/cm)</w:t>
            </w:r>
          </w:p>
        </w:tc>
        <w:tc>
          <w:tcPr>
            <w:tcW w:w="1985" w:type="dxa"/>
            <w:hideMark/>
          </w:tcPr>
          <w:p w:rsidR="00D85FAC" w:rsidRDefault="00D85FAC" w:rsidP="00D85FAC">
            <w:pPr>
              <w:pStyle w:val="table1"/>
              <w:jc w:val="center"/>
            </w:pPr>
            <w:r>
              <w:t>3.14</w:t>
            </w:r>
          </w:p>
        </w:tc>
        <w:tc>
          <w:tcPr>
            <w:tcW w:w="1984" w:type="dxa"/>
            <w:hideMark/>
          </w:tcPr>
          <w:p w:rsidR="00D85FAC" w:rsidRDefault="00D85FAC" w:rsidP="00D85FAC">
            <w:pPr>
              <w:pStyle w:val="table1"/>
              <w:jc w:val="center"/>
            </w:pPr>
            <w:r>
              <w:t>2.81</w:t>
            </w:r>
          </w:p>
        </w:tc>
      </w:tr>
      <w:tr w:rsidR="00D85FAC" w:rsidTr="00D85FAC">
        <w:tc>
          <w:tcPr>
            <w:tcW w:w="1559" w:type="dxa"/>
            <w:vMerge/>
            <w:tcBorders>
              <w:top w:val="single" w:sz="6" w:space="0" w:color="BFBFBF" w:themeColor="background1" w:themeShade="BF"/>
              <w:left w:val="nil"/>
              <w:bottom w:val="single" w:sz="6" w:space="0" w:color="BFBFBF" w:themeColor="background1" w:themeShade="BF"/>
              <w:right w:val="nil"/>
            </w:tcBorders>
            <w:vAlign w:val="center"/>
            <w:hideMark/>
          </w:tcPr>
          <w:p w:rsidR="00D85FAC" w:rsidRDefault="00D85FAC" w:rsidP="00D85FAC">
            <w:pPr>
              <w:spacing w:after="0" w:line="240" w:lineRule="auto"/>
              <w:rPr>
                <w:rFonts w:ascii="Arial" w:hAnsi="Arial"/>
                <w:sz w:val="16"/>
              </w:rPr>
            </w:pPr>
          </w:p>
        </w:tc>
        <w:tc>
          <w:tcPr>
            <w:tcW w:w="2268" w:type="dxa"/>
            <w:tcBorders>
              <w:top w:val="nil"/>
              <w:left w:val="nil"/>
              <w:bottom w:val="single" w:sz="6" w:space="0" w:color="BFBFBF" w:themeColor="background1" w:themeShade="BF"/>
              <w:right w:val="nil"/>
            </w:tcBorders>
            <w:hideMark/>
          </w:tcPr>
          <w:p w:rsidR="00D85FAC" w:rsidRDefault="00D85FAC" w:rsidP="00D85FAC">
            <w:pPr>
              <w:pStyle w:val="table1"/>
            </w:pPr>
            <w:r>
              <w:t>Turbidity (NTU)</w:t>
            </w:r>
          </w:p>
        </w:tc>
        <w:tc>
          <w:tcPr>
            <w:tcW w:w="1985" w:type="dxa"/>
            <w:tcBorders>
              <w:top w:val="nil"/>
              <w:left w:val="nil"/>
              <w:bottom w:val="single" w:sz="6" w:space="0" w:color="BFBFBF" w:themeColor="background1" w:themeShade="BF"/>
              <w:right w:val="nil"/>
            </w:tcBorders>
            <w:hideMark/>
          </w:tcPr>
          <w:p w:rsidR="00D85FAC" w:rsidRDefault="00D85FAC" w:rsidP="00D85FAC">
            <w:pPr>
              <w:pStyle w:val="table1"/>
              <w:jc w:val="center"/>
            </w:pPr>
            <w:r>
              <w:t>1.07</w:t>
            </w:r>
          </w:p>
        </w:tc>
        <w:tc>
          <w:tcPr>
            <w:tcW w:w="1984" w:type="dxa"/>
            <w:tcBorders>
              <w:top w:val="nil"/>
              <w:left w:val="nil"/>
              <w:bottom w:val="single" w:sz="6" w:space="0" w:color="BFBFBF" w:themeColor="background1" w:themeShade="BF"/>
              <w:right w:val="nil"/>
            </w:tcBorders>
            <w:hideMark/>
          </w:tcPr>
          <w:p w:rsidR="00D85FAC" w:rsidRDefault="00D85FAC" w:rsidP="00D85FAC">
            <w:pPr>
              <w:pStyle w:val="table1"/>
              <w:jc w:val="center"/>
            </w:pPr>
            <w:r>
              <w:t>12.29</w:t>
            </w:r>
          </w:p>
        </w:tc>
      </w:tr>
      <w:tr w:rsidR="00D85FAC" w:rsidTr="00D85FAC">
        <w:tc>
          <w:tcPr>
            <w:tcW w:w="1559" w:type="dxa"/>
            <w:vMerge w:val="restart"/>
            <w:tcBorders>
              <w:top w:val="single" w:sz="6" w:space="0" w:color="BFBFBF" w:themeColor="background1" w:themeShade="BF"/>
              <w:left w:val="nil"/>
              <w:bottom w:val="single" w:sz="4" w:space="0" w:color="auto"/>
              <w:right w:val="nil"/>
            </w:tcBorders>
            <w:vAlign w:val="center"/>
            <w:hideMark/>
          </w:tcPr>
          <w:p w:rsidR="00D85FAC" w:rsidRDefault="00D85FAC" w:rsidP="00D85FAC">
            <w:pPr>
              <w:pStyle w:val="table1"/>
            </w:pPr>
            <w:r>
              <w:t>2010–11</w:t>
            </w:r>
          </w:p>
        </w:tc>
        <w:tc>
          <w:tcPr>
            <w:tcW w:w="2268" w:type="dxa"/>
            <w:tcBorders>
              <w:top w:val="single" w:sz="6" w:space="0" w:color="BFBFBF" w:themeColor="background1" w:themeShade="BF"/>
              <w:left w:val="nil"/>
              <w:bottom w:val="nil"/>
              <w:right w:val="nil"/>
            </w:tcBorders>
            <w:hideMark/>
          </w:tcPr>
          <w:p w:rsidR="00D85FAC" w:rsidRDefault="00D85FAC" w:rsidP="00D85FAC">
            <w:pPr>
              <w:pStyle w:val="table1"/>
            </w:pPr>
            <w:r>
              <w:t>Snail egg numbers</w:t>
            </w:r>
          </w:p>
        </w:tc>
        <w:tc>
          <w:tcPr>
            <w:tcW w:w="1985" w:type="dxa"/>
            <w:tcBorders>
              <w:top w:val="single" w:sz="6" w:space="0" w:color="BFBFBF" w:themeColor="background1" w:themeShade="BF"/>
              <w:left w:val="nil"/>
              <w:bottom w:val="nil"/>
              <w:right w:val="nil"/>
            </w:tcBorders>
            <w:hideMark/>
          </w:tcPr>
          <w:p w:rsidR="00D85FAC" w:rsidRDefault="00D85FAC" w:rsidP="00D85FAC">
            <w:pPr>
              <w:pStyle w:val="table1"/>
              <w:jc w:val="center"/>
            </w:pPr>
            <w:r>
              <w:t>18.9</w:t>
            </w:r>
          </w:p>
        </w:tc>
        <w:tc>
          <w:tcPr>
            <w:tcW w:w="1984" w:type="dxa"/>
            <w:tcBorders>
              <w:top w:val="single" w:sz="6" w:space="0" w:color="BFBFBF" w:themeColor="background1" w:themeShade="BF"/>
              <w:left w:val="nil"/>
              <w:bottom w:val="nil"/>
              <w:right w:val="nil"/>
            </w:tcBorders>
            <w:hideMark/>
          </w:tcPr>
          <w:p w:rsidR="00D85FAC" w:rsidRDefault="00D85FAC" w:rsidP="00D85FAC">
            <w:pPr>
              <w:pStyle w:val="table1"/>
              <w:jc w:val="center"/>
            </w:pPr>
            <w:r>
              <w:t>23.1</w:t>
            </w:r>
          </w:p>
        </w:tc>
      </w:tr>
      <w:tr w:rsidR="00D85FAC" w:rsidTr="00D85FAC">
        <w:tc>
          <w:tcPr>
            <w:tcW w:w="1559" w:type="dxa"/>
            <w:vMerge/>
            <w:tcBorders>
              <w:top w:val="single" w:sz="6" w:space="0" w:color="BFBFBF" w:themeColor="background1" w:themeShade="BF"/>
              <w:left w:val="nil"/>
              <w:bottom w:val="single" w:sz="4" w:space="0" w:color="auto"/>
              <w:right w:val="nil"/>
            </w:tcBorders>
            <w:vAlign w:val="center"/>
            <w:hideMark/>
          </w:tcPr>
          <w:p w:rsidR="00D85FAC" w:rsidRDefault="00D85FAC" w:rsidP="00D85FAC">
            <w:pPr>
              <w:spacing w:after="0" w:line="240" w:lineRule="auto"/>
              <w:rPr>
                <w:rFonts w:ascii="Arial" w:hAnsi="Arial"/>
                <w:sz w:val="16"/>
              </w:rPr>
            </w:pPr>
          </w:p>
        </w:tc>
        <w:tc>
          <w:tcPr>
            <w:tcW w:w="2268" w:type="dxa"/>
            <w:hideMark/>
          </w:tcPr>
          <w:p w:rsidR="00D85FAC" w:rsidRDefault="00D85FAC" w:rsidP="00D85FAC">
            <w:pPr>
              <w:pStyle w:val="table1"/>
            </w:pPr>
            <w:r>
              <w:t>Temperature (°C)</w:t>
            </w:r>
          </w:p>
        </w:tc>
        <w:tc>
          <w:tcPr>
            <w:tcW w:w="1985" w:type="dxa"/>
            <w:hideMark/>
          </w:tcPr>
          <w:p w:rsidR="00D85FAC" w:rsidRDefault="00D85FAC" w:rsidP="00D85FAC">
            <w:pPr>
              <w:pStyle w:val="table1"/>
              <w:jc w:val="center"/>
            </w:pPr>
            <w:r>
              <w:t>0.09</w:t>
            </w:r>
          </w:p>
        </w:tc>
        <w:tc>
          <w:tcPr>
            <w:tcW w:w="1984" w:type="dxa"/>
            <w:hideMark/>
          </w:tcPr>
          <w:p w:rsidR="00D85FAC" w:rsidRDefault="00D85FAC" w:rsidP="00D85FAC">
            <w:pPr>
              <w:pStyle w:val="table1"/>
              <w:jc w:val="center"/>
            </w:pPr>
            <w:r>
              <w:t>0.48</w:t>
            </w:r>
          </w:p>
        </w:tc>
      </w:tr>
      <w:tr w:rsidR="00D85FAC" w:rsidTr="00D85FAC">
        <w:tc>
          <w:tcPr>
            <w:tcW w:w="1559" w:type="dxa"/>
            <w:vMerge/>
            <w:tcBorders>
              <w:top w:val="single" w:sz="6" w:space="0" w:color="BFBFBF" w:themeColor="background1" w:themeShade="BF"/>
              <w:left w:val="nil"/>
              <w:bottom w:val="single" w:sz="4" w:space="0" w:color="auto"/>
              <w:right w:val="nil"/>
            </w:tcBorders>
            <w:vAlign w:val="center"/>
            <w:hideMark/>
          </w:tcPr>
          <w:p w:rsidR="00D85FAC" w:rsidRDefault="00D85FAC" w:rsidP="00D85FAC">
            <w:pPr>
              <w:spacing w:after="0" w:line="240" w:lineRule="auto"/>
              <w:rPr>
                <w:rFonts w:ascii="Arial" w:hAnsi="Arial"/>
                <w:sz w:val="16"/>
              </w:rPr>
            </w:pPr>
          </w:p>
        </w:tc>
        <w:tc>
          <w:tcPr>
            <w:tcW w:w="2268" w:type="dxa"/>
            <w:hideMark/>
          </w:tcPr>
          <w:p w:rsidR="00D85FAC" w:rsidRDefault="00D85FAC" w:rsidP="00D85FAC">
            <w:pPr>
              <w:pStyle w:val="table1"/>
            </w:pPr>
            <w:r>
              <w:t>Conductivity (μS/cm)</w:t>
            </w:r>
          </w:p>
        </w:tc>
        <w:tc>
          <w:tcPr>
            <w:tcW w:w="1985" w:type="dxa"/>
            <w:hideMark/>
          </w:tcPr>
          <w:p w:rsidR="00D85FAC" w:rsidRDefault="00D85FAC" w:rsidP="00D85FAC">
            <w:pPr>
              <w:pStyle w:val="table1"/>
              <w:jc w:val="center"/>
            </w:pPr>
            <w:r>
              <w:t>1.33</w:t>
            </w:r>
          </w:p>
        </w:tc>
        <w:tc>
          <w:tcPr>
            <w:tcW w:w="1984" w:type="dxa"/>
            <w:hideMark/>
          </w:tcPr>
          <w:p w:rsidR="00D85FAC" w:rsidRDefault="00D85FAC" w:rsidP="00D85FAC">
            <w:pPr>
              <w:pStyle w:val="table1"/>
              <w:jc w:val="center"/>
            </w:pPr>
            <w:r>
              <w:t>2.42</w:t>
            </w:r>
          </w:p>
        </w:tc>
      </w:tr>
      <w:tr w:rsidR="00D85FAC" w:rsidTr="00D85FAC">
        <w:tc>
          <w:tcPr>
            <w:tcW w:w="1559" w:type="dxa"/>
            <w:vMerge/>
            <w:tcBorders>
              <w:top w:val="single" w:sz="6" w:space="0" w:color="BFBFBF" w:themeColor="background1" w:themeShade="BF"/>
              <w:left w:val="nil"/>
              <w:bottom w:val="single" w:sz="4" w:space="0" w:color="auto"/>
              <w:right w:val="nil"/>
            </w:tcBorders>
            <w:vAlign w:val="center"/>
            <w:hideMark/>
          </w:tcPr>
          <w:p w:rsidR="00D85FAC" w:rsidRDefault="00D85FAC" w:rsidP="00D85FAC">
            <w:pPr>
              <w:spacing w:after="0" w:line="240" w:lineRule="auto"/>
              <w:rPr>
                <w:rFonts w:ascii="Arial" w:hAnsi="Arial"/>
                <w:sz w:val="16"/>
              </w:rPr>
            </w:pPr>
          </w:p>
        </w:tc>
        <w:tc>
          <w:tcPr>
            <w:tcW w:w="2268" w:type="dxa"/>
            <w:tcBorders>
              <w:top w:val="nil"/>
              <w:left w:val="nil"/>
              <w:bottom w:val="single" w:sz="4" w:space="0" w:color="auto"/>
              <w:right w:val="nil"/>
            </w:tcBorders>
            <w:hideMark/>
          </w:tcPr>
          <w:p w:rsidR="00D85FAC" w:rsidRDefault="00D85FAC" w:rsidP="00D85FAC">
            <w:pPr>
              <w:pStyle w:val="table1"/>
            </w:pPr>
            <w:r>
              <w:t>Turbidity (NTU)</w:t>
            </w:r>
          </w:p>
        </w:tc>
        <w:tc>
          <w:tcPr>
            <w:tcW w:w="1985" w:type="dxa"/>
            <w:tcBorders>
              <w:top w:val="nil"/>
              <w:left w:val="nil"/>
              <w:bottom w:val="single" w:sz="4" w:space="0" w:color="auto"/>
              <w:right w:val="nil"/>
            </w:tcBorders>
            <w:hideMark/>
          </w:tcPr>
          <w:p w:rsidR="00D85FAC" w:rsidRDefault="00D85FAC" w:rsidP="00D85FAC">
            <w:pPr>
              <w:pStyle w:val="table1"/>
              <w:jc w:val="center"/>
            </w:pPr>
            <w:r>
              <w:t>1.21</w:t>
            </w:r>
          </w:p>
        </w:tc>
        <w:tc>
          <w:tcPr>
            <w:tcW w:w="1984" w:type="dxa"/>
            <w:tcBorders>
              <w:top w:val="nil"/>
              <w:left w:val="nil"/>
              <w:bottom w:val="single" w:sz="4" w:space="0" w:color="auto"/>
              <w:right w:val="nil"/>
            </w:tcBorders>
            <w:hideMark/>
          </w:tcPr>
          <w:p w:rsidR="00D85FAC" w:rsidRDefault="00D85FAC" w:rsidP="00D85FAC">
            <w:pPr>
              <w:pStyle w:val="table1"/>
              <w:jc w:val="center"/>
            </w:pPr>
            <w:r>
              <w:t>3.36</w:t>
            </w:r>
          </w:p>
        </w:tc>
      </w:tr>
    </w:tbl>
    <w:p w:rsidR="00D85FAC" w:rsidRDefault="00D85FAC" w:rsidP="00D85FAC">
      <w:pPr>
        <w:pStyle w:val="tablenote"/>
      </w:pPr>
    </w:p>
    <w:p w:rsidR="00D85FAC" w:rsidRDefault="00D85FAC" w:rsidP="00D85FAC">
      <w:pPr>
        <w:spacing w:after="0" w:line="240" w:lineRule="auto"/>
        <w:jc w:val="left"/>
        <w:rPr>
          <w:szCs w:val="22"/>
        </w:rPr>
      </w:pPr>
      <w:r>
        <w:rPr>
          <w:szCs w:val="22"/>
        </w:rPr>
        <w:br w:type="page"/>
      </w:r>
    </w:p>
    <w:p w:rsidR="00D85FAC" w:rsidRDefault="00D85FAC" w:rsidP="00D85FAC">
      <w:pPr>
        <w:rPr>
          <w:szCs w:val="22"/>
        </w:rPr>
      </w:pPr>
      <w:r w:rsidRPr="0030281B">
        <w:rPr>
          <w:szCs w:val="22"/>
        </w:rPr>
        <w:lastRenderedPageBreak/>
        <w:t>Statistical power in this toxicity monitoring technique (ie the probability that a statistical test will correctly reject a false null hypothesis) is increased when, in the absence of human-related disturbance downstream of potential sources of impact, the upstream-downstream difference (response) values display low variability over time</w:t>
      </w:r>
      <w:r>
        <w:rPr>
          <w:szCs w:val="22"/>
        </w:rPr>
        <w:t xml:space="preserve">, ie </w:t>
      </w:r>
      <w:r w:rsidRPr="0030281B">
        <w:rPr>
          <w:szCs w:val="22"/>
        </w:rPr>
        <w:t xml:space="preserve">concordance (or </w:t>
      </w:r>
      <w:r>
        <w:rPr>
          <w:szCs w:val="22"/>
        </w:rPr>
        <w:t>‘</w:t>
      </w:r>
      <w:r w:rsidRPr="0030281B">
        <w:rPr>
          <w:szCs w:val="22"/>
        </w:rPr>
        <w:t>tracking</w:t>
      </w:r>
      <w:r>
        <w:rPr>
          <w:szCs w:val="22"/>
        </w:rPr>
        <w:t>’</w:t>
      </w:r>
      <w:r w:rsidRPr="0030281B">
        <w:rPr>
          <w:szCs w:val="22"/>
        </w:rPr>
        <w:t xml:space="preserve">) in egg number between upstream and downstream sites. This </w:t>
      </w:r>
      <w:r>
        <w:rPr>
          <w:szCs w:val="22"/>
        </w:rPr>
        <w:t xml:space="preserve">concordance </w:t>
      </w:r>
      <w:r w:rsidRPr="0030281B">
        <w:rPr>
          <w:szCs w:val="22"/>
        </w:rPr>
        <w:t>is the typical pattern in Magela Creek (Figure 1) but appears to be less the case (based on an initial two years of data) for the pattern in Gulungul Creek. Identifying the factors responsible for differences in egg production between sites is important so that such variation may be accounted for and inferences about possible mining impact correctly attributed. This aspect is considered in the following two sections.</w:t>
      </w:r>
    </w:p>
    <w:p w:rsidR="00D85FAC" w:rsidRDefault="00D85FAC" w:rsidP="00D85FAC">
      <w:pPr>
        <w:pStyle w:val="Heading2"/>
      </w:pPr>
      <w:bookmarkStart w:id="320" w:name="_Toc313523511"/>
      <w:bookmarkStart w:id="321" w:name="_Toc316985360"/>
      <w:r>
        <w:rPr>
          <w:lang w:eastAsia="en-AU"/>
        </w:rPr>
        <w:t xml:space="preserve">Relationships between the snail egg response and suspended </w:t>
      </w:r>
      <w:r>
        <w:rPr>
          <w:szCs w:val="22"/>
        </w:rPr>
        <w:t>inorganic and organic matter</w:t>
      </w:r>
      <w:bookmarkEnd w:id="320"/>
      <w:bookmarkEnd w:id="321"/>
    </w:p>
    <w:p w:rsidR="00D85FAC" w:rsidRPr="0030281B" w:rsidRDefault="00D85FAC" w:rsidP="00D85FAC">
      <w:pPr>
        <w:rPr>
          <w:szCs w:val="22"/>
        </w:rPr>
      </w:pPr>
      <w:r w:rsidRPr="002740D9">
        <w:rPr>
          <w:szCs w:val="22"/>
        </w:rPr>
        <w:t>It was suggested in Humphrey, Davies and Buckle (2011) that the increased downstream egg numbers observed in the 2009–10 wet season (see Background section 1 above) could have been due to additional organic matter being deposited in the snail test containers at the downstream location (see Humphrey, Davies &amp; Buckle 2011). Such material could provide an</w:t>
      </w:r>
      <w:r w:rsidRPr="0030281B">
        <w:rPr>
          <w:szCs w:val="22"/>
        </w:rPr>
        <w:t xml:space="preserve"> additional source of food for the snails. This organic matter could come from inflows from Georgetown and Coonjimba Billabongs and/or from material eroded from recently-disturbed land adjacent to Magela Creek and associated with exploration activities. To assess if organic matter could be a contributing factor, the detrital material accumulating in the snail containers in both Magela and Gulungul Creeks during the 2010–11 wet season was collected and analysed for its content of inorganic and organic matter.</w:t>
      </w:r>
    </w:p>
    <w:p w:rsidR="00D85FAC" w:rsidRDefault="00D85FAC" w:rsidP="00D85FAC">
      <w:pPr>
        <w:rPr>
          <w:spacing w:val="-2"/>
          <w:szCs w:val="22"/>
        </w:rPr>
      </w:pPr>
      <w:r w:rsidRPr="008D24EB">
        <w:rPr>
          <w:spacing w:val="-2"/>
          <w:szCs w:val="22"/>
        </w:rPr>
        <w:t>Relative measures of suspended inorganic (SIM) and organic (SOM) matter were obtained for each of the nine tests conducted in Magela Creek and for the final five (out of nine) tests conducted in Gulungul Creek. The test procedure involved placing replicate plastic jars, upright and without lids, at the base of each duplicate floating snail container (upstream and downstream) for the four day duration of the test. Material that had been deposited in a container was collected by filtering the dilute slurry through a glass fibre filter in the laboratory. The filter was then sequentially dried and ashed to estimate the inorganic and organic contributions to the total. The summary statistics for the measured data are shown in Figure 2.</w:t>
      </w:r>
    </w:p>
    <w:p w:rsidR="00D85FAC" w:rsidRPr="0030281B" w:rsidRDefault="00D85FAC" w:rsidP="00D85FAC">
      <w:pPr>
        <w:rPr>
          <w:szCs w:val="22"/>
        </w:rPr>
      </w:pPr>
      <w:r w:rsidRPr="0030281B">
        <w:rPr>
          <w:szCs w:val="22"/>
        </w:rPr>
        <w:t xml:space="preserve">Statistical analysis of the data summarised in Figure </w:t>
      </w:r>
      <w:r>
        <w:rPr>
          <w:szCs w:val="22"/>
        </w:rPr>
        <w:t>2</w:t>
      </w:r>
      <w:r w:rsidRPr="0030281B">
        <w:rPr>
          <w:szCs w:val="22"/>
        </w:rPr>
        <w:t xml:space="preserve"> indicated:</w:t>
      </w:r>
    </w:p>
    <w:p w:rsidR="00D85FAC" w:rsidRPr="0030281B" w:rsidRDefault="00D85FAC" w:rsidP="00B87D07">
      <w:pPr>
        <w:pStyle w:val="numberlist1"/>
        <w:numPr>
          <w:ilvl w:val="0"/>
          <w:numId w:val="8"/>
        </w:numPr>
      </w:pPr>
      <w:r w:rsidRPr="0030281B">
        <w:t>Across both creeks and all sites, SIM and SOM were highly (positively) correlated with one another (P&lt;0.01);</w:t>
      </w:r>
    </w:p>
    <w:p w:rsidR="00D85FAC" w:rsidRPr="0030281B" w:rsidRDefault="00D85FAC" w:rsidP="00D85FAC">
      <w:pPr>
        <w:pStyle w:val="numberlist1"/>
        <w:numPr>
          <w:ilvl w:val="0"/>
          <w:numId w:val="3"/>
        </w:numPr>
      </w:pPr>
      <w:r w:rsidRPr="0030281B">
        <w:t xml:space="preserve">While the amount of SIM did not differ significantly between creeks or sites (upstream vs downstream) (P&gt;0.05), there was a tendency for SIM to be higher at the upstream sites compared with the downstream sites); and </w:t>
      </w:r>
    </w:p>
    <w:p w:rsidR="00D85FAC" w:rsidRPr="0030281B" w:rsidRDefault="00D85FAC" w:rsidP="00D85FAC">
      <w:pPr>
        <w:pStyle w:val="numberlist1"/>
        <w:numPr>
          <w:ilvl w:val="0"/>
          <w:numId w:val="3"/>
        </w:numPr>
        <w:rPr>
          <w:spacing w:val="-2"/>
        </w:rPr>
      </w:pPr>
      <w:r w:rsidRPr="0030281B">
        <w:rPr>
          <w:spacing w:val="-2"/>
        </w:rPr>
        <w:t>SOM differed significantly (P&lt;0.05) between creeks (higher in Magela) and was significantly higher at upstream sites compared to the downstream sites.</w:t>
      </w:r>
    </w:p>
    <w:p w:rsidR="00D85FAC" w:rsidRPr="0030281B" w:rsidRDefault="00D85FAC" w:rsidP="00D85FAC">
      <w:pPr>
        <w:rPr>
          <w:szCs w:val="22"/>
        </w:rPr>
      </w:pPr>
      <w:r w:rsidRPr="0030281B">
        <w:rPr>
          <w:szCs w:val="22"/>
        </w:rPr>
        <w:t>The best (positive) correlates of SOM and SIM with stream discharge variables (not shown) were with the maximum fall in water level in one continuous time period and the standard deviation (SD) of water level measured at 15 minute intervals. High variability in water level would reflect conditions that maximise turbulence and, hence, act to keep particulate matter in suspension in the creek and be available for deposition in the snail test containers. Apart from water level, SOM and SIM were also found to be correlated with other water quality variables</w:t>
      </w:r>
      <w:r>
        <w:rPr>
          <w:szCs w:val="22"/>
        </w:rPr>
        <w:t>,</w:t>
      </w:r>
      <w:r w:rsidRPr="0030281B">
        <w:rPr>
          <w:szCs w:val="22"/>
        </w:rPr>
        <w:t xml:space="preserve"> including EC and water temperature.</w:t>
      </w:r>
    </w:p>
    <w:p w:rsidR="00D85FAC" w:rsidRDefault="00D85FAC" w:rsidP="00D85FAC">
      <w:pPr>
        <w:spacing w:after="0"/>
        <w:jc w:val="center"/>
      </w:pPr>
      <w:r>
        <w:rPr>
          <w:noProof/>
          <w:lang w:eastAsia="en-AU"/>
        </w:rPr>
        <w:lastRenderedPageBreak/>
        <w:drawing>
          <wp:inline distT="0" distB="0" distL="0" distR="0">
            <wp:extent cx="3218753" cy="4348064"/>
            <wp:effectExtent l="19050" t="0" r="697" b="0"/>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screen"/>
                    <a:srcRect t="1277" r="28401" b="9108"/>
                    <a:stretch>
                      <a:fillRect/>
                    </a:stretch>
                  </pic:blipFill>
                  <pic:spPr bwMode="auto">
                    <a:xfrm>
                      <a:off x="0" y="0"/>
                      <a:ext cx="3220647" cy="4350622"/>
                    </a:xfrm>
                    <a:prstGeom prst="rect">
                      <a:avLst/>
                    </a:prstGeom>
                    <a:noFill/>
                    <a:ln w="9525">
                      <a:noFill/>
                      <a:miter lim="800000"/>
                      <a:headEnd/>
                      <a:tailEnd/>
                    </a:ln>
                  </pic:spPr>
                </pic:pic>
              </a:graphicData>
            </a:graphic>
          </wp:inline>
        </w:drawing>
      </w:r>
    </w:p>
    <w:p w:rsidR="00D85FAC" w:rsidRPr="00281952" w:rsidRDefault="00D85FAC" w:rsidP="00D85FAC">
      <w:pPr>
        <w:pStyle w:val="figurecaption"/>
      </w:pPr>
      <w:r w:rsidRPr="00281952">
        <w:rPr>
          <w:b/>
        </w:rPr>
        <w:t xml:space="preserve">Figure </w:t>
      </w:r>
      <w:proofErr w:type="gramStart"/>
      <w:r>
        <w:rPr>
          <w:b/>
        </w:rPr>
        <w:t>2</w:t>
      </w:r>
      <w:r w:rsidRPr="00281952">
        <w:t xml:space="preserve">  Boxplots</w:t>
      </w:r>
      <w:proofErr w:type="gramEnd"/>
      <w:r w:rsidRPr="00281952">
        <w:t xml:space="preserve"> of maximum and minimum values, lower and upper </w:t>
      </w:r>
      <w:r w:rsidRPr="00281952">
        <w:rPr>
          <w:rStyle w:val="Emphasis"/>
        </w:rPr>
        <w:t>quartiles</w:t>
      </w:r>
      <w:r w:rsidRPr="00281952">
        <w:t xml:space="preserve">, and the median for suspended matter settling in floating snail containers located in Magela and Gulungul creeks for </w:t>
      </w:r>
      <w:r>
        <w:br/>
      </w:r>
      <w:r w:rsidRPr="00281952">
        <w:t xml:space="preserve">2010–11 wet season. For sample size (n) </w:t>
      </w:r>
      <w:r>
        <w:rPr>
          <w:rFonts w:cs="Arial"/>
        </w:rPr>
        <w:t>≥</w:t>
      </w:r>
      <w:r>
        <w:t xml:space="preserve"> </w:t>
      </w:r>
      <w:r w:rsidRPr="00281952">
        <w:t>10, statistical outliers are indicated by closed circles.</w:t>
      </w:r>
    </w:p>
    <w:p w:rsidR="00D85FAC" w:rsidRPr="0030281B" w:rsidRDefault="00D85FAC" w:rsidP="00D85FAC">
      <w:pPr>
        <w:rPr>
          <w:szCs w:val="22"/>
        </w:rPr>
      </w:pPr>
      <w:r w:rsidRPr="0030281B">
        <w:rPr>
          <w:szCs w:val="22"/>
        </w:rPr>
        <w:t xml:space="preserve">No strong relationships were found between SOM and SIM and mean snail egg number measured in Magela and Gulungul creeks. All correlations between SIM and mean snail egg number were negative while most between SOM and mean snail egg number were positive. However, it is unlikely that this result indicates possible inhibition and enhancement by SIM and SOM, </w:t>
      </w:r>
      <w:proofErr w:type="gramStart"/>
      <w:r w:rsidRPr="0030281B">
        <w:rPr>
          <w:szCs w:val="22"/>
        </w:rPr>
        <w:t>respectively,</w:t>
      </w:r>
      <w:proofErr w:type="gramEnd"/>
      <w:r w:rsidRPr="0030281B">
        <w:rPr>
          <w:szCs w:val="22"/>
        </w:rPr>
        <w:t xml:space="preserve"> upon snail reproduction given that SOM values were actually higher at the upstream sites, whereas snail egg numbers were generally </w:t>
      </w:r>
      <w:r>
        <w:rPr>
          <w:szCs w:val="22"/>
        </w:rPr>
        <w:t xml:space="preserve">lower </w:t>
      </w:r>
      <w:r w:rsidRPr="0030281B">
        <w:rPr>
          <w:szCs w:val="22"/>
        </w:rPr>
        <w:t xml:space="preserve">at the </w:t>
      </w:r>
      <w:r>
        <w:rPr>
          <w:szCs w:val="22"/>
        </w:rPr>
        <w:t>upst</w:t>
      </w:r>
      <w:r w:rsidRPr="0030281B">
        <w:rPr>
          <w:szCs w:val="22"/>
        </w:rPr>
        <w:t>ream sites. Thus, the hypothesis that SOM contributes to higher downstream egg production is not supported by the data obtained to date.</w:t>
      </w:r>
    </w:p>
    <w:p w:rsidR="00D85FAC" w:rsidRPr="0030281B" w:rsidRDefault="00D85FAC" w:rsidP="00D85FAC">
      <w:pPr>
        <w:rPr>
          <w:szCs w:val="22"/>
        </w:rPr>
      </w:pPr>
      <w:r w:rsidRPr="0030281B">
        <w:rPr>
          <w:szCs w:val="22"/>
        </w:rPr>
        <w:t xml:space="preserve">Notwithstanding the above apparently negative (ie no relationship between trapped </w:t>
      </w:r>
      <w:r>
        <w:rPr>
          <w:szCs w:val="22"/>
        </w:rPr>
        <w:t>SOM</w:t>
      </w:r>
      <w:r w:rsidRPr="0030281B">
        <w:rPr>
          <w:szCs w:val="22"/>
        </w:rPr>
        <w:t xml:space="preserve"> and increased egg numbers) outcome, collection of data for settled suspended matter will continue in ensuing wet seasons and will be used with the other continuous water quality data to better understand the environmental relationships of the snail egg response.</w:t>
      </w:r>
    </w:p>
    <w:p w:rsidR="00D85FAC" w:rsidRPr="008D24EB" w:rsidRDefault="00D85FAC" w:rsidP="00D85FAC">
      <w:pPr>
        <w:pStyle w:val="Heading2"/>
      </w:pPr>
      <w:bookmarkStart w:id="322" w:name="_Toc313523512"/>
      <w:bookmarkStart w:id="323" w:name="_Toc316985361"/>
      <w:r w:rsidRPr="008D24EB">
        <w:t xml:space="preserve">Identifying environmental correlates </w:t>
      </w:r>
      <w:r w:rsidRPr="008D24EB">
        <w:rPr>
          <w:lang w:eastAsia="en-AU"/>
        </w:rPr>
        <w:t>of snail egg production using continuous water quality data</w:t>
      </w:r>
      <w:bookmarkEnd w:id="322"/>
      <w:bookmarkEnd w:id="323"/>
    </w:p>
    <w:p w:rsidR="00D85FAC" w:rsidRPr="00FA1BEF" w:rsidRDefault="00D85FAC" w:rsidP="00D85FAC">
      <w:pPr>
        <w:rPr>
          <w:szCs w:val="22"/>
        </w:rPr>
      </w:pPr>
      <w:r w:rsidRPr="0030281B">
        <w:rPr>
          <w:szCs w:val="22"/>
        </w:rPr>
        <w:t xml:space="preserve">Continuous monitoring data for the past five (Magela) or two (Gulungul) wet seasons (ie spanning the period of toxicity monitoring shown in Figure 1) were acquired for EC, water temperature and turbidity. Median values were calculated for upstream and downstream sites in both creeks from 10 minute readings measured over each of the four-day toxicity monitoring tests. Cross-correlations were sought between mean snail egg number per site and </w:t>
      </w:r>
      <w:r w:rsidRPr="0030281B">
        <w:rPr>
          <w:szCs w:val="22"/>
        </w:rPr>
        <w:lastRenderedPageBreak/>
        <w:t xml:space="preserve">each of the water quality variables. </w:t>
      </w:r>
      <w:r>
        <w:rPr>
          <w:szCs w:val="22"/>
        </w:rPr>
        <w:t>C</w:t>
      </w:r>
      <w:r w:rsidRPr="0030281B">
        <w:rPr>
          <w:szCs w:val="22"/>
        </w:rPr>
        <w:t xml:space="preserve">orrelations between upstream-downstream difference values </w:t>
      </w:r>
      <w:r>
        <w:rPr>
          <w:szCs w:val="22"/>
        </w:rPr>
        <w:t xml:space="preserve">and water quality variables </w:t>
      </w:r>
      <w:r w:rsidRPr="0030281B">
        <w:rPr>
          <w:szCs w:val="22"/>
        </w:rPr>
        <w:t>a</w:t>
      </w:r>
      <w:r>
        <w:rPr>
          <w:szCs w:val="22"/>
        </w:rPr>
        <w:t>re</w:t>
      </w:r>
      <w:r w:rsidRPr="0030281B">
        <w:rPr>
          <w:szCs w:val="22"/>
        </w:rPr>
        <w:t xml:space="preserve"> more </w:t>
      </w:r>
      <w:r>
        <w:rPr>
          <w:szCs w:val="22"/>
        </w:rPr>
        <w:t>difficult to</w:t>
      </w:r>
      <w:r w:rsidRPr="0030281B">
        <w:rPr>
          <w:szCs w:val="22"/>
        </w:rPr>
        <w:t xml:space="preserve"> interpret than those found for</w:t>
      </w:r>
      <w:r>
        <w:rPr>
          <w:szCs w:val="22"/>
        </w:rPr>
        <w:t xml:space="preserve"> </w:t>
      </w:r>
      <w:r w:rsidRPr="0030281B">
        <w:rPr>
          <w:szCs w:val="22"/>
        </w:rPr>
        <w:t xml:space="preserve">actual snail </w:t>
      </w:r>
      <w:r w:rsidRPr="001606DE">
        <w:rPr>
          <w:szCs w:val="22"/>
        </w:rPr>
        <w:t>egg number</w:t>
      </w:r>
      <w:r w:rsidRPr="0030281B">
        <w:rPr>
          <w:szCs w:val="22"/>
        </w:rPr>
        <w:t xml:space="preserve"> because the difference values subsume variation that may be occurring at one or both sites</w:t>
      </w:r>
      <w:r>
        <w:rPr>
          <w:szCs w:val="22"/>
        </w:rPr>
        <w:t>. F</w:t>
      </w:r>
      <w:r w:rsidRPr="0030281B">
        <w:rPr>
          <w:szCs w:val="22"/>
        </w:rPr>
        <w:t xml:space="preserve">or this reason, subsequent analysis </w:t>
      </w:r>
      <w:r>
        <w:rPr>
          <w:szCs w:val="22"/>
        </w:rPr>
        <w:t>did</w:t>
      </w:r>
      <w:bookmarkStart w:id="324" w:name="_GoBack"/>
      <w:bookmarkEnd w:id="324"/>
      <w:r>
        <w:rPr>
          <w:szCs w:val="22"/>
        </w:rPr>
        <w:t xml:space="preserve"> not consider</w:t>
      </w:r>
      <w:r w:rsidRPr="0030281B">
        <w:rPr>
          <w:szCs w:val="22"/>
        </w:rPr>
        <w:t xml:space="preserve"> conditions affecting </w:t>
      </w:r>
      <w:r w:rsidRPr="00FA1BEF">
        <w:rPr>
          <w:szCs w:val="22"/>
        </w:rPr>
        <w:t>the difference values.</w:t>
      </w:r>
    </w:p>
    <w:p w:rsidR="00D85FAC" w:rsidRPr="008D24EB" w:rsidRDefault="00D85FAC" w:rsidP="00D85FAC">
      <w:pPr>
        <w:rPr>
          <w:spacing w:val="-2"/>
          <w:szCs w:val="22"/>
        </w:rPr>
      </w:pPr>
      <w:r w:rsidRPr="008D24EB">
        <w:rPr>
          <w:spacing w:val="-2"/>
          <w:szCs w:val="22"/>
        </w:rPr>
        <w:t xml:space="preserve">Snail egg number data for Magela Creek for the first two tests in the 2006–07 wet </w:t>
      </w:r>
      <w:proofErr w:type="gramStart"/>
      <w:r w:rsidRPr="008D24EB">
        <w:rPr>
          <w:spacing w:val="-2"/>
          <w:szCs w:val="22"/>
        </w:rPr>
        <w:t>season</w:t>
      </w:r>
      <w:proofErr w:type="gramEnd"/>
      <w:r w:rsidRPr="008D24EB">
        <w:rPr>
          <w:spacing w:val="-2"/>
          <w:szCs w:val="22"/>
        </w:rPr>
        <w:t xml:space="preserve"> (Figure 1) were unusually high when plotted together with egg number data from other years and with Gulungul Creek data, relative to EC, water temperature and turbidity. Combined egg number data (years and creeks) are plotted against EC in Figure 3, where the four egg number values &gt;300 represent egg number at upstream and downstream sites for the first two 2007 tests. These values are clear outliers in the trend of increasing egg number with increasing EC. Possible causes of the high egg production in the early period of the 2006–07 wet </w:t>
      </w:r>
      <w:proofErr w:type="gramStart"/>
      <w:r w:rsidRPr="008D24EB">
        <w:rPr>
          <w:spacing w:val="-2"/>
          <w:szCs w:val="22"/>
        </w:rPr>
        <w:t>season</w:t>
      </w:r>
      <w:proofErr w:type="gramEnd"/>
      <w:r w:rsidRPr="008D24EB">
        <w:rPr>
          <w:spacing w:val="-2"/>
          <w:szCs w:val="22"/>
        </w:rPr>
        <w:t xml:space="preserve"> are discussed in section 6 below. As the egg production data for these tests were clearly unrelated to the water quality variables being investigated, they were omitted from further data analysis.</w:t>
      </w:r>
    </w:p>
    <w:p w:rsidR="00D85FAC" w:rsidRDefault="00D85FAC" w:rsidP="00D85FAC">
      <w:pPr>
        <w:rPr>
          <w:szCs w:val="22"/>
        </w:rPr>
      </w:pPr>
      <w:r w:rsidRPr="00FA1BEF">
        <w:rPr>
          <w:szCs w:val="22"/>
        </w:rPr>
        <w:t>A number of significant correlations were observed between mean egg number and both EC and water temperature, but not turbidity. Details of the regression equations using pooled site, stream and year data for egg number and the two water quality variables (EC &amp;T), alone or (from stepwise regression)</w:t>
      </w:r>
      <w:r>
        <w:rPr>
          <w:szCs w:val="22"/>
        </w:rPr>
        <w:t xml:space="preserve"> </w:t>
      </w:r>
      <w:r w:rsidRPr="00FA1BEF">
        <w:rPr>
          <w:szCs w:val="22"/>
        </w:rPr>
        <w:t>in various combinations, are provided in Table 3. Scatter and summary box and histogram plots displayed a positive (but not significant) linear relationship between EC and egg number (Figure 3) and a quadratic relationship between water temperature and egg number, with a peak in egg number observed near 29°C (see Table 3, and the significant T</w:t>
      </w:r>
      <w:r w:rsidRPr="00FA1BEF">
        <w:rPr>
          <w:snapToGrid w:val="0"/>
          <w:position w:val="8"/>
          <w:sz w:val="16"/>
          <w:szCs w:val="16"/>
          <w:u w:color="000000"/>
        </w:rPr>
        <w:t>2</w:t>
      </w:r>
      <w:r w:rsidRPr="00FA1BEF">
        <w:rPr>
          <w:szCs w:val="22"/>
        </w:rPr>
        <w:t xml:space="preserve"> term of regression (3) indicating a quadratic egg number-temperature relationship, evident in Figure 3). Because of the relationships evident between snail egg number and both EC and water temperature, there was potential for interaction between EC and water temperature and their effect upon snail egg production. This aspect was further examined experimentally, and statistically using (i) Analysis of Covariance testing (ANCOVA) to examine possible interaction between EC and water temperature, and (ii) subsequent multiple regression.</w:t>
      </w:r>
    </w:p>
    <w:p w:rsidR="00D85FAC" w:rsidRPr="00FA1BEF" w:rsidRDefault="00D85FAC" w:rsidP="00D85FAC">
      <w:pPr>
        <w:pStyle w:val="tablecaption"/>
      </w:pPr>
      <w:r w:rsidRPr="00FA1BEF">
        <w:rPr>
          <w:b/>
        </w:rPr>
        <w:t xml:space="preserve">Table </w:t>
      </w:r>
      <w:proofErr w:type="gramStart"/>
      <w:r w:rsidRPr="00FA1BEF">
        <w:rPr>
          <w:b/>
        </w:rPr>
        <w:t>3</w:t>
      </w:r>
      <w:r w:rsidRPr="00FA1BEF">
        <w:t xml:space="preserve">  Correlation</w:t>
      </w:r>
      <w:proofErr w:type="gramEnd"/>
      <w:r w:rsidRPr="00FA1BEF">
        <w:t xml:space="preserve"> coefficients and significance of independent variables for regression equations used to describe the relationship between mean snail egg count and key water quality variable</w:t>
      </w:r>
      <w:r>
        <w:t>s in Magela and Gulungul creeks</w:t>
      </w:r>
    </w:p>
    <w:tbl>
      <w:tblPr>
        <w:tblW w:w="8364" w:type="dxa"/>
        <w:tblInd w:w="108" w:type="dxa"/>
        <w:tblLook w:val="0000"/>
      </w:tblPr>
      <w:tblGrid>
        <w:gridCol w:w="2410"/>
        <w:gridCol w:w="992"/>
        <w:gridCol w:w="1418"/>
        <w:gridCol w:w="2410"/>
        <w:gridCol w:w="1134"/>
      </w:tblGrid>
      <w:tr w:rsidR="00D85FAC" w:rsidRPr="00FA1BEF" w:rsidTr="00D85FAC">
        <w:trPr>
          <w:trHeight w:val="255"/>
        </w:trPr>
        <w:tc>
          <w:tcPr>
            <w:tcW w:w="2410" w:type="dxa"/>
            <w:tcBorders>
              <w:top w:val="single" w:sz="4" w:space="0" w:color="auto"/>
              <w:left w:val="nil"/>
              <w:bottom w:val="single" w:sz="4" w:space="0" w:color="auto"/>
              <w:right w:val="nil"/>
            </w:tcBorders>
            <w:shd w:val="clear" w:color="auto" w:fill="auto"/>
            <w:noWrap/>
          </w:tcPr>
          <w:p w:rsidR="00D85FAC" w:rsidRPr="00FA1BEF" w:rsidRDefault="00D85FAC" w:rsidP="00D85FAC">
            <w:pPr>
              <w:pStyle w:val="table2"/>
              <w:rPr>
                <w:b/>
                <w:lang w:eastAsia="en-AU"/>
              </w:rPr>
            </w:pPr>
            <w:r w:rsidRPr="00FA1BEF">
              <w:rPr>
                <w:b/>
                <w:lang w:eastAsia="en-AU"/>
              </w:rPr>
              <w:t>Independent variable(s)</w:t>
            </w:r>
          </w:p>
        </w:tc>
        <w:tc>
          <w:tcPr>
            <w:tcW w:w="2410" w:type="dxa"/>
            <w:gridSpan w:val="2"/>
            <w:tcBorders>
              <w:top w:val="single" w:sz="4" w:space="0" w:color="auto"/>
              <w:left w:val="nil"/>
              <w:bottom w:val="single" w:sz="4" w:space="0" w:color="auto"/>
              <w:right w:val="nil"/>
            </w:tcBorders>
            <w:shd w:val="clear" w:color="auto" w:fill="auto"/>
            <w:noWrap/>
          </w:tcPr>
          <w:p w:rsidR="00D85FAC" w:rsidRPr="00FA1BEF" w:rsidRDefault="00D85FAC" w:rsidP="00D85FAC">
            <w:pPr>
              <w:pStyle w:val="table2"/>
              <w:jc w:val="center"/>
              <w:rPr>
                <w:b/>
                <w:lang w:eastAsia="en-AU"/>
              </w:rPr>
            </w:pPr>
            <w:r w:rsidRPr="00FA1BEF">
              <w:rPr>
                <w:b/>
                <w:lang w:eastAsia="en-AU"/>
              </w:rPr>
              <w:t>Significance of independant variable (P value)</w:t>
            </w:r>
          </w:p>
        </w:tc>
        <w:tc>
          <w:tcPr>
            <w:tcW w:w="2410" w:type="dxa"/>
            <w:tcBorders>
              <w:top w:val="single" w:sz="4" w:space="0" w:color="auto"/>
              <w:left w:val="nil"/>
              <w:bottom w:val="single" w:sz="4" w:space="0" w:color="auto"/>
              <w:right w:val="nil"/>
            </w:tcBorders>
            <w:shd w:val="clear" w:color="auto" w:fill="auto"/>
            <w:noWrap/>
          </w:tcPr>
          <w:p w:rsidR="00D85FAC" w:rsidRPr="00FA1BEF" w:rsidRDefault="00D85FAC" w:rsidP="00D85FAC">
            <w:pPr>
              <w:pStyle w:val="table2"/>
              <w:jc w:val="center"/>
              <w:rPr>
                <w:b/>
                <w:lang w:eastAsia="en-AU"/>
              </w:rPr>
            </w:pPr>
            <w:r w:rsidRPr="00FA1BEF">
              <w:rPr>
                <w:b/>
                <w:lang w:eastAsia="en-AU"/>
              </w:rPr>
              <w:t>Significance of regression equation (P)</w:t>
            </w:r>
          </w:p>
        </w:tc>
        <w:tc>
          <w:tcPr>
            <w:tcW w:w="1134" w:type="dxa"/>
            <w:tcBorders>
              <w:top w:val="single" w:sz="4" w:space="0" w:color="auto"/>
              <w:left w:val="nil"/>
              <w:bottom w:val="single" w:sz="4" w:space="0" w:color="auto"/>
              <w:right w:val="nil"/>
            </w:tcBorders>
            <w:shd w:val="clear" w:color="auto" w:fill="auto"/>
            <w:noWrap/>
          </w:tcPr>
          <w:p w:rsidR="00D85FAC" w:rsidRPr="00FA1BEF" w:rsidRDefault="00D85FAC" w:rsidP="00D85FAC">
            <w:pPr>
              <w:pStyle w:val="table2"/>
              <w:jc w:val="center"/>
              <w:rPr>
                <w:b/>
                <w:lang w:eastAsia="en-AU"/>
              </w:rPr>
            </w:pPr>
            <w:r w:rsidRPr="00FA1BEF">
              <w:rPr>
                <w:b/>
                <w:lang w:eastAsia="en-AU"/>
              </w:rPr>
              <w:t>R</w:t>
            </w:r>
            <w:r w:rsidRPr="00FA1BEF">
              <w:rPr>
                <w:b/>
                <w:vertAlign w:val="superscript"/>
                <w:lang w:eastAsia="en-AU"/>
              </w:rPr>
              <w:t xml:space="preserve">2 </w:t>
            </w:r>
            <w:r w:rsidRPr="00FA1BEF">
              <w:rPr>
                <w:b/>
                <w:lang w:eastAsia="en-AU"/>
              </w:rPr>
              <w:t>value</w:t>
            </w:r>
          </w:p>
        </w:tc>
      </w:tr>
      <w:tr w:rsidR="00D85FAC" w:rsidRPr="00FA1BEF" w:rsidTr="00D85FAC">
        <w:trPr>
          <w:trHeight w:val="255"/>
        </w:trPr>
        <w:tc>
          <w:tcPr>
            <w:tcW w:w="2410" w:type="dxa"/>
            <w:tcBorders>
              <w:top w:val="single" w:sz="4" w:space="0" w:color="auto"/>
              <w:left w:val="nil"/>
              <w:bottom w:val="nil"/>
              <w:right w:val="nil"/>
            </w:tcBorders>
            <w:shd w:val="clear" w:color="auto" w:fill="auto"/>
            <w:noWrap/>
          </w:tcPr>
          <w:p w:rsidR="00D85FAC" w:rsidRPr="00FA1BEF" w:rsidRDefault="00D85FAC" w:rsidP="00D85FAC">
            <w:pPr>
              <w:pStyle w:val="table2"/>
              <w:rPr>
                <w:lang w:eastAsia="en-AU"/>
              </w:rPr>
            </w:pPr>
            <w:r w:rsidRPr="00FA1BEF">
              <w:rPr>
                <w:lang w:eastAsia="en-AU"/>
              </w:rPr>
              <w:t>(1) Electrical conductivity (EC)</w:t>
            </w:r>
          </w:p>
        </w:tc>
        <w:tc>
          <w:tcPr>
            <w:tcW w:w="992" w:type="dxa"/>
            <w:tcBorders>
              <w:top w:val="single" w:sz="4" w:space="0" w:color="auto"/>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EC</w:t>
            </w:r>
          </w:p>
        </w:tc>
        <w:tc>
          <w:tcPr>
            <w:tcW w:w="1418" w:type="dxa"/>
            <w:tcBorders>
              <w:top w:val="single" w:sz="4" w:space="0" w:color="auto"/>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0.08</w:t>
            </w:r>
          </w:p>
        </w:tc>
        <w:tc>
          <w:tcPr>
            <w:tcW w:w="2410" w:type="dxa"/>
            <w:tcBorders>
              <w:top w:val="single" w:sz="4" w:space="0" w:color="auto"/>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0.078</w:t>
            </w:r>
          </w:p>
        </w:tc>
        <w:tc>
          <w:tcPr>
            <w:tcW w:w="1134" w:type="dxa"/>
            <w:tcBorders>
              <w:top w:val="single" w:sz="4" w:space="0" w:color="auto"/>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0.03</w:t>
            </w:r>
          </w:p>
        </w:tc>
      </w:tr>
      <w:tr w:rsidR="00D85FAC" w:rsidRPr="00FA1BEF" w:rsidTr="00D85FAC">
        <w:trPr>
          <w:trHeight w:val="270"/>
        </w:trPr>
        <w:tc>
          <w:tcPr>
            <w:tcW w:w="2410" w:type="dxa"/>
            <w:tcBorders>
              <w:top w:val="nil"/>
              <w:left w:val="nil"/>
              <w:bottom w:val="nil"/>
              <w:right w:val="nil"/>
            </w:tcBorders>
            <w:shd w:val="clear" w:color="auto" w:fill="auto"/>
            <w:noWrap/>
          </w:tcPr>
          <w:p w:rsidR="00D85FAC" w:rsidRPr="00FA1BEF" w:rsidRDefault="00D85FAC" w:rsidP="00D85FAC">
            <w:pPr>
              <w:pStyle w:val="table2"/>
              <w:rPr>
                <w:lang w:eastAsia="en-AU"/>
              </w:rPr>
            </w:pPr>
            <w:r w:rsidRPr="00FA1BEF">
              <w:rPr>
                <w:lang w:eastAsia="en-AU"/>
              </w:rPr>
              <w:t>(2) Water temperature (T)</w:t>
            </w: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T</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0.362</w:t>
            </w:r>
          </w:p>
        </w:tc>
        <w:tc>
          <w:tcPr>
            <w:tcW w:w="2410"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0.362</w:t>
            </w:r>
          </w:p>
        </w:tc>
        <w:tc>
          <w:tcPr>
            <w:tcW w:w="1134"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0.008</w:t>
            </w:r>
          </w:p>
        </w:tc>
      </w:tr>
      <w:tr w:rsidR="00D85FAC" w:rsidRPr="00FA1BEF" w:rsidTr="00D85FAC">
        <w:trPr>
          <w:trHeight w:val="255"/>
        </w:trPr>
        <w:tc>
          <w:tcPr>
            <w:tcW w:w="2410" w:type="dxa"/>
            <w:vMerge w:val="restart"/>
            <w:tcBorders>
              <w:top w:val="nil"/>
              <w:left w:val="nil"/>
              <w:right w:val="nil"/>
            </w:tcBorders>
            <w:shd w:val="clear" w:color="auto" w:fill="auto"/>
            <w:noWrap/>
          </w:tcPr>
          <w:p w:rsidR="00D85FAC" w:rsidRPr="00FA1BEF" w:rsidRDefault="00D85FAC" w:rsidP="00D85FAC">
            <w:pPr>
              <w:pStyle w:val="table2"/>
              <w:rPr>
                <w:lang w:eastAsia="en-AU"/>
              </w:rPr>
            </w:pPr>
            <w:r w:rsidRPr="00FA1BEF">
              <w:rPr>
                <w:lang w:eastAsia="en-AU"/>
              </w:rPr>
              <w:t>(3) T, T</w:t>
            </w:r>
            <w:r w:rsidRPr="00FA1BEF">
              <w:rPr>
                <w:vertAlign w:val="superscript"/>
                <w:lang w:eastAsia="en-AU"/>
              </w:rPr>
              <w:t>2</w:t>
            </w: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T</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0.003</w:t>
            </w:r>
          </w:p>
        </w:tc>
        <w:tc>
          <w:tcPr>
            <w:tcW w:w="2410"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0.008</w:t>
            </w:r>
          </w:p>
        </w:tc>
        <w:tc>
          <w:tcPr>
            <w:tcW w:w="1134"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0.089</w:t>
            </w:r>
          </w:p>
        </w:tc>
      </w:tr>
      <w:tr w:rsidR="00D85FAC" w:rsidRPr="00FA1BEF" w:rsidTr="00D85FAC">
        <w:trPr>
          <w:trHeight w:val="300"/>
        </w:trPr>
        <w:tc>
          <w:tcPr>
            <w:tcW w:w="2410" w:type="dxa"/>
            <w:vMerge/>
            <w:tcBorders>
              <w:left w:val="nil"/>
              <w:bottom w:val="nil"/>
              <w:right w:val="nil"/>
            </w:tcBorders>
            <w:shd w:val="clear" w:color="auto" w:fill="auto"/>
            <w:noWrap/>
          </w:tcPr>
          <w:p w:rsidR="00D85FAC" w:rsidRPr="00FA1BEF" w:rsidRDefault="00D85FAC" w:rsidP="00D85FAC">
            <w:pPr>
              <w:pStyle w:val="table2"/>
              <w:rPr>
                <w:lang w:eastAsia="en-AU"/>
              </w:rPr>
            </w:pP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T</w:t>
            </w:r>
            <w:r w:rsidRPr="00FA1BEF">
              <w:rPr>
                <w:vertAlign w:val="superscript"/>
                <w:lang w:eastAsia="en-AU"/>
              </w:rPr>
              <w:t>2</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0.003</w:t>
            </w:r>
          </w:p>
        </w:tc>
        <w:tc>
          <w:tcPr>
            <w:tcW w:w="2410" w:type="dxa"/>
            <w:vMerge/>
            <w:tcBorders>
              <w:left w:val="nil"/>
              <w:bottom w:val="nil"/>
              <w:right w:val="nil"/>
            </w:tcBorders>
            <w:shd w:val="clear" w:color="auto" w:fill="auto"/>
            <w:noWrap/>
          </w:tcPr>
          <w:p w:rsidR="00D85FAC" w:rsidRPr="00FA1BEF" w:rsidRDefault="00D85FAC" w:rsidP="00D85FAC">
            <w:pPr>
              <w:pStyle w:val="table2"/>
              <w:jc w:val="center"/>
              <w:rPr>
                <w:lang w:eastAsia="en-AU"/>
              </w:rPr>
            </w:pPr>
          </w:p>
        </w:tc>
        <w:tc>
          <w:tcPr>
            <w:tcW w:w="1134" w:type="dxa"/>
            <w:vMerge/>
            <w:tcBorders>
              <w:left w:val="nil"/>
              <w:bottom w:val="nil"/>
              <w:right w:val="nil"/>
            </w:tcBorders>
            <w:shd w:val="clear" w:color="auto" w:fill="auto"/>
            <w:noWrap/>
          </w:tcPr>
          <w:p w:rsidR="00D85FAC" w:rsidRPr="00FA1BEF" w:rsidRDefault="00D85FAC" w:rsidP="00D85FAC">
            <w:pPr>
              <w:pStyle w:val="table2"/>
              <w:jc w:val="center"/>
              <w:rPr>
                <w:lang w:eastAsia="en-AU"/>
              </w:rPr>
            </w:pPr>
          </w:p>
        </w:tc>
      </w:tr>
      <w:tr w:rsidR="00D85FAC" w:rsidRPr="00FA1BEF" w:rsidTr="00D85FAC">
        <w:trPr>
          <w:trHeight w:val="255"/>
        </w:trPr>
        <w:tc>
          <w:tcPr>
            <w:tcW w:w="2410" w:type="dxa"/>
            <w:vMerge w:val="restart"/>
            <w:tcBorders>
              <w:top w:val="nil"/>
              <w:left w:val="nil"/>
              <w:right w:val="nil"/>
            </w:tcBorders>
            <w:shd w:val="clear" w:color="auto" w:fill="auto"/>
            <w:noWrap/>
          </w:tcPr>
          <w:p w:rsidR="00D85FAC" w:rsidRPr="00FA1BEF" w:rsidRDefault="00D85FAC" w:rsidP="00D85FAC">
            <w:pPr>
              <w:pStyle w:val="table2"/>
              <w:rPr>
                <w:lang w:eastAsia="en-AU"/>
              </w:rPr>
            </w:pPr>
            <w:r w:rsidRPr="00FA1BEF">
              <w:rPr>
                <w:lang w:eastAsia="en-AU"/>
              </w:rPr>
              <w:t>(4) EC, T, T</w:t>
            </w:r>
            <w:r w:rsidRPr="00FA1BEF">
              <w:rPr>
                <w:vertAlign w:val="superscript"/>
                <w:lang w:eastAsia="en-AU"/>
              </w:rPr>
              <w:t>2</w:t>
            </w: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EC</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0.073</w:t>
            </w:r>
          </w:p>
        </w:tc>
        <w:tc>
          <w:tcPr>
            <w:tcW w:w="2410"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0.005</w:t>
            </w:r>
          </w:p>
        </w:tc>
        <w:tc>
          <w:tcPr>
            <w:tcW w:w="1134"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0.118</w:t>
            </w:r>
          </w:p>
        </w:tc>
      </w:tr>
      <w:tr w:rsidR="00D85FAC" w:rsidRPr="00FA1BEF" w:rsidTr="00D85FAC">
        <w:trPr>
          <w:trHeight w:val="255"/>
        </w:trPr>
        <w:tc>
          <w:tcPr>
            <w:tcW w:w="2410" w:type="dxa"/>
            <w:vMerge/>
            <w:tcBorders>
              <w:left w:val="nil"/>
              <w:right w:val="nil"/>
            </w:tcBorders>
            <w:shd w:val="clear" w:color="auto" w:fill="auto"/>
            <w:noWrap/>
          </w:tcPr>
          <w:p w:rsidR="00D85FAC" w:rsidRPr="00FA1BEF" w:rsidRDefault="00D85FAC" w:rsidP="00D85FAC">
            <w:pPr>
              <w:pStyle w:val="table2"/>
              <w:rPr>
                <w:lang w:eastAsia="en-AU"/>
              </w:rPr>
            </w:pP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T</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0.007</w:t>
            </w:r>
          </w:p>
        </w:tc>
        <w:tc>
          <w:tcPr>
            <w:tcW w:w="2410" w:type="dxa"/>
            <w:vMerge/>
            <w:tcBorders>
              <w:left w:val="nil"/>
              <w:right w:val="nil"/>
            </w:tcBorders>
            <w:shd w:val="clear" w:color="auto" w:fill="auto"/>
            <w:noWrap/>
          </w:tcPr>
          <w:p w:rsidR="00D85FAC" w:rsidRPr="00FA1BEF" w:rsidRDefault="00D85FAC" w:rsidP="00D85FAC">
            <w:pPr>
              <w:pStyle w:val="table2"/>
              <w:jc w:val="center"/>
              <w:rPr>
                <w:lang w:eastAsia="en-AU"/>
              </w:rPr>
            </w:pPr>
          </w:p>
        </w:tc>
        <w:tc>
          <w:tcPr>
            <w:tcW w:w="1134" w:type="dxa"/>
            <w:vMerge/>
            <w:tcBorders>
              <w:left w:val="nil"/>
              <w:right w:val="nil"/>
            </w:tcBorders>
            <w:shd w:val="clear" w:color="auto" w:fill="auto"/>
            <w:noWrap/>
          </w:tcPr>
          <w:p w:rsidR="00D85FAC" w:rsidRPr="00FA1BEF" w:rsidRDefault="00D85FAC" w:rsidP="00D85FAC">
            <w:pPr>
              <w:pStyle w:val="table2"/>
              <w:jc w:val="center"/>
              <w:rPr>
                <w:lang w:eastAsia="en-AU"/>
              </w:rPr>
            </w:pPr>
          </w:p>
        </w:tc>
      </w:tr>
      <w:tr w:rsidR="00D85FAC" w:rsidRPr="00FA1BEF" w:rsidTr="00D85FAC">
        <w:trPr>
          <w:trHeight w:val="270"/>
        </w:trPr>
        <w:tc>
          <w:tcPr>
            <w:tcW w:w="2410" w:type="dxa"/>
            <w:vMerge/>
            <w:tcBorders>
              <w:left w:val="nil"/>
              <w:bottom w:val="nil"/>
              <w:right w:val="nil"/>
            </w:tcBorders>
            <w:shd w:val="clear" w:color="auto" w:fill="auto"/>
            <w:noWrap/>
          </w:tcPr>
          <w:p w:rsidR="00D85FAC" w:rsidRPr="00FA1BEF" w:rsidRDefault="00D85FAC" w:rsidP="00D85FAC">
            <w:pPr>
              <w:pStyle w:val="table2"/>
              <w:rPr>
                <w:lang w:eastAsia="en-AU"/>
              </w:rPr>
            </w:pP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T</w:t>
            </w:r>
            <w:r w:rsidRPr="00FA1BEF">
              <w:rPr>
                <w:vertAlign w:val="superscript"/>
                <w:lang w:eastAsia="en-AU"/>
              </w:rPr>
              <w:t>2</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0.006</w:t>
            </w:r>
          </w:p>
        </w:tc>
        <w:tc>
          <w:tcPr>
            <w:tcW w:w="2410" w:type="dxa"/>
            <w:vMerge/>
            <w:tcBorders>
              <w:left w:val="nil"/>
              <w:bottom w:val="nil"/>
              <w:right w:val="nil"/>
            </w:tcBorders>
            <w:shd w:val="clear" w:color="auto" w:fill="auto"/>
            <w:noWrap/>
          </w:tcPr>
          <w:p w:rsidR="00D85FAC" w:rsidRPr="00FA1BEF" w:rsidRDefault="00D85FAC" w:rsidP="00D85FAC">
            <w:pPr>
              <w:pStyle w:val="table2"/>
              <w:jc w:val="center"/>
              <w:rPr>
                <w:lang w:eastAsia="en-AU"/>
              </w:rPr>
            </w:pPr>
          </w:p>
        </w:tc>
        <w:tc>
          <w:tcPr>
            <w:tcW w:w="1134" w:type="dxa"/>
            <w:vMerge/>
            <w:tcBorders>
              <w:left w:val="nil"/>
              <w:bottom w:val="nil"/>
              <w:right w:val="nil"/>
            </w:tcBorders>
            <w:shd w:val="clear" w:color="auto" w:fill="auto"/>
            <w:noWrap/>
          </w:tcPr>
          <w:p w:rsidR="00D85FAC" w:rsidRPr="00FA1BEF" w:rsidRDefault="00D85FAC" w:rsidP="00D85FAC">
            <w:pPr>
              <w:pStyle w:val="table2"/>
              <w:jc w:val="center"/>
              <w:rPr>
                <w:lang w:eastAsia="en-AU"/>
              </w:rPr>
            </w:pPr>
          </w:p>
        </w:tc>
      </w:tr>
      <w:tr w:rsidR="00D85FAC" w:rsidRPr="00FA1BEF" w:rsidTr="00D85FAC">
        <w:trPr>
          <w:trHeight w:val="255"/>
        </w:trPr>
        <w:tc>
          <w:tcPr>
            <w:tcW w:w="2410" w:type="dxa"/>
            <w:vMerge w:val="restart"/>
            <w:tcBorders>
              <w:top w:val="nil"/>
              <w:left w:val="nil"/>
              <w:right w:val="nil"/>
            </w:tcBorders>
            <w:shd w:val="clear" w:color="auto" w:fill="auto"/>
            <w:noWrap/>
          </w:tcPr>
          <w:p w:rsidR="00D85FAC" w:rsidRPr="00FA1BEF" w:rsidRDefault="00D85FAC" w:rsidP="00D85FAC">
            <w:pPr>
              <w:pStyle w:val="table2"/>
              <w:rPr>
                <w:lang w:eastAsia="en-AU"/>
              </w:rPr>
            </w:pPr>
            <w:r w:rsidRPr="00FA1BEF">
              <w:rPr>
                <w:lang w:eastAsia="en-AU"/>
              </w:rPr>
              <w:t>(5) EC, EC x T</w:t>
            </w: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EC</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0.015</w:t>
            </w:r>
          </w:p>
        </w:tc>
        <w:tc>
          <w:tcPr>
            <w:tcW w:w="2410"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0.017</w:t>
            </w:r>
          </w:p>
        </w:tc>
        <w:tc>
          <w:tcPr>
            <w:tcW w:w="1134"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0.076</w:t>
            </w:r>
          </w:p>
        </w:tc>
      </w:tr>
      <w:tr w:rsidR="00D85FAC" w:rsidRPr="00FA1BEF" w:rsidTr="00D85FAC">
        <w:trPr>
          <w:trHeight w:val="255"/>
        </w:trPr>
        <w:tc>
          <w:tcPr>
            <w:tcW w:w="2410" w:type="dxa"/>
            <w:vMerge/>
            <w:tcBorders>
              <w:left w:val="nil"/>
              <w:right w:val="nil"/>
            </w:tcBorders>
            <w:shd w:val="clear" w:color="auto" w:fill="auto"/>
            <w:noWrap/>
          </w:tcPr>
          <w:p w:rsidR="00D85FAC" w:rsidRPr="00FA1BEF" w:rsidRDefault="00D85FAC" w:rsidP="00D85FAC">
            <w:pPr>
              <w:pStyle w:val="table2"/>
              <w:rPr>
                <w:lang w:eastAsia="en-AU"/>
              </w:rPr>
            </w:pPr>
          </w:p>
        </w:tc>
        <w:tc>
          <w:tcPr>
            <w:tcW w:w="992" w:type="dxa"/>
            <w:tcBorders>
              <w:top w:val="nil"/>
              <w:left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EC*T</w:t>
            </w:r>
          </w:p>
        </w:tc>
        <w:tc>
          <w:tcPr>
            <w:tcW w:w="1418" w:type="dxa"/>
            <w:tcBorders>
              <w:top w:val="nil"/>
              <w:left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0.025</w:t>
            </w:r>
          </w:p>
        </w:tc>
        <w:tc>
          <w:tcPr>
            <w:tcW w:w="2410" w:type="dxa"/>
            <w:vMerge/>
            <w:tcBorders>
              <w:left w:val="nil"/>
              <w:right w:val="nil"/>
            </w:tcBorders>
            <w:shd w:val="clear" w:color="auto" w:fill="auto"/>
            <w:noWrap/>
          </w:tcPr>
          <w:p w:rsidR="00D85FAC" w:rsidRPr="00FA1BEF" w:rsidRDefault="00D85FAC" w:rsidP="00D85FAC">
            <w:pPr>
              <w:pStyle w:val="table2"/>
              <w:jc w:val="center"/>
              <w:rPr>
                <w:lang w:eastAsia="en-AU"/>
              </w:rPr>
            </w:pPr>
          </w:p>
        </w:tc>
        <w:tc>
          <w:tcPr>
            <w:tcW w:w="1134" w:type="dxa"/>
            <w:vMerge/>
            <w:tcBorders>
              <w:left w:val="nil"/>
              <w:right w:val="nil"/>
            </w:tcBorders>
            <w:shd w:val="clear" w:color="auto" w:fill="auto"/>
            <w:noWrap/>
          </w:tcPr>
          <w:p w:rsidR="00D85FAC" w:rsidRPr="00FA1BEF" w:rsidRDefault="00D85FAC" w:rsidP="00D85FAC">
            <w:pPr>
              <w:pStyle w:val="table2"/>
              <w:jc w:val="center"/>
              <w:rPr>
                <w:lang w:eastAsia="en-AU"/>
              </w:rPr>
            </w:pPr>
          </w:p>
        </w:tc>
      </w:tr>
      <w:tr w:rsidR="00D85FAC" w:rsidRPr="00FA1BEF" w:rsidTr="00D85FAC">
        <w:trPr>
          <w:trHeight w:val="255"/>
        </w:trPr>
        <w:tc>
          <w:tcPr>
            <w:tcW w:w="2410" w:type="dxa"/>
            <w:vMerge w:val="restart"/>
            <w:tcBorders>
              <w:top w:val="nil"/>
              <w:left w:val="nil"/>
              <w:right w:val="nil"/>
            </w:tcBorders>
            <w:shd w:val="clear" w:color="auto" w:fill="auto"/>
            <w:noWrap/>
          </w:tcPr>
          <w:p w:rsidR="00D85FAC" w:rsidRPr="00FA1BEF" w:rsidRDefault="00D85FAC" w:rsidP="00D85FAC">
            <w:pPr>
              <w:pStyle w:val="table2"/>
              <w:rPr>
                <w:lang w:eastAsia="en-AU"/>
              </w:rPr>
            </w:pPr>
            <w:r w:rsidRPr="00FA1BEF">
              <w:rPr>
                <w:lang w:eastAsia="en-AU"/>
              </w:rPr>
              <w:t>(6) EC, T, EC x T</w:t>
            </w: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EC</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0.001</w:t>
            </w:r>
          </w:p>
        </w:tc>
        <w:tc>
          <w:tcPr>
            <w:tcW w:w="2410"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0.0029</w:t>
            </w:r>
          </w:p>
        </w:tc>
        <w:tc>
          <w:tcPr>
            <w:tcW w:w="1134"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0.136</w:t>
            </w:r>
          </w:p>
        </w:tc>
      </w:tr>
      <w:tr w:rsidR="00D85FAC" w:rsidRPr="00FA1BEF" w:rsidTr="00D85FAC">
        <w:trPr>
          <w:trHeight w:val="255"/>
        </w:trPr>
        <w:tc>
          <w:tcPr>
            <w:tcW w:w="2410" w:type="dxa"/>
            <w:vMerge/>
            <w:tcBorders>
              <w:left w:val="nil"/>
              <w:right w:val="nil"/>
            </w:tcBorders>
            <w:shd w:val="clear" w:color="auto" w:fill="auto"/>
            <w:noWrap/>
            <w:vAlign w:val="bottom"/>
          </w:tcPr>
          <w:p w:rsidR="00D85FAC" w:rsidRPr="00FA1BEF" w:rsidRDefault="00D85FAC" w:rsidP="00D85FAC">
            <w:pPr>
              <w:pStyle w:val="table2"/>
              <w:rPr>
                <w:lang w:eastAsia="en-AU"/>
              </w:rPr>
            </w:pP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EC*T</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0.002</w:t>
            </w:r>
          </w:p>
        </w:tc>
        <w:tc>
          <w:tcPr>
            <w:tcW w:w="2410" w:type="dxa"/>
            <w:vMerge/>
            <w:tcBorders>
              <w:left w:val="nil"/>
              <w:right w:val="nil"/>
            </w:tcBorders>
            <w:shd w:val="clear" w:color="auto" w:fill="auto"/>
            <w:noWrap/>
            <w:vAlign w:val="bottom"/>
          </w:tcPr>
          <w:p w:rsidR="00D85FAC" w:rsidRPr="00FA1BEF" w:rsidRDefault="00D85FAC" w:rsidP="00D85FAC">
            <w:pPr>
              <w:pStyle w:val="table2"/>
              <w:jc w:val="center"/>
              <w:rPr>
                <w:lang w:eastAsia="en-AU"/>
              </w:rPr>
            </w:pPr>
          </w:p>
        </w:tc>
        <w:tc>
          <w:tcPr>
            <w:tcW w:w="1134" w:type="dxa"/>
            <w:vMerge/>
            <w:tcBorders>
              <w:left w:val="nil"/>
              <w:right w:val="nil"/>
            </w:tcBorders>
            <w:shd w:val="clear" w:color="auto" w:fill="auto"/>
            <w:noWrap/>
            <w:vAlign w:val="bottom"/>
          </w:tcPr>
          <w:p w:rsidR="00D85FAC" w:rsidRPr="00FA1BEF" w:rsidRDefault="00D85FAC" w:rsidP="00D85FAC">
            <w:pPr>
              <w:pStyle w:val="table2"/>
              <w:jc w:val="center"/>
              <w:rPr>
                <w:lang w:eastAsia="en-AU"/>
              </w:rPr>
            </w:pPr>
          </w:p>
        </w:tc>
      </w:tr>
      <w:tr w:rsidR="00D85FAC" w:rsidRPr="00FA1BEF" w:rsidTr="00D85FAC">
        <w:trPr>
          <w:trHeight w:val="159"/>
        </w:trPr>
        <w:tc>
          <w:tcPr>
            <w:tcW w:w="2410" w:type="dxa"/>
            <w:vMerge/>
            <w:tcBorders>
              <w:left w:val="nil"/>
              <w:right w:val="nil"/>
            </w:tcBorders>
            <w:shd w:val="clear" w:color="auto" w:fill="auto"/>
            <w:noWrap/>
            <w:vAlign w:val="bottom"/>
          </w:tcPr>
          <w:p w:rsidR="00D85FAC" w:rsidRPr="00FA1BEF" w:rsidRDefault="00D85FAC" w:rsidP="00D85FAC">
            <w:pPr>
              <w:pStyle w:val="table2"/>
              <w:rPr>
                <w:lang w:eastAsia="en-AU"/>
              </w:rPr>
            </w:pPr>
          </w:p>
        </w:tc>
        <w:tc>
          <w:tcPr>
            <w:tcW w:w="992" w:type="dxa"/>
            <w:tcBorders>
              <w:top w:val="nil"/>
              <w:left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T</w:t>
            </w:r>
          </w:p>
        </w:tc>
        <w:tc>
          <w:tcPr>
            <w:tcW w:w="1418" w:type="dxa"/>
            <w:tcBorders>
              <w:top w:val="nil"/>
              <w:left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0.009</w:t>
            </w:r>
          </w:p>
        </w:tc>
        <w:tc>
          <w:tcPr>
            <w:tcW w:w="2410" w:type="dxa"/>
            <w:vMerge/>
            <w:tcBorders>
              <w:left w:val="nil"/>
              <w:right w:val="nil"/>
            </w:tcBorders>
            <w:shd w:val="clear" w:color="auto" w:fill="auto"/>
            <w:noWrap/>
            <w:vAlign w:val="bottom"/>
          </w:tcPr>
          <w:p w:rsidR="00D85FAC" w:rsidRPr="00FA1BEF" w:rsidRDefault="00D85FAC" w:rsidP="00D85FAC">
            <w:pPr>
              <w:pStyle w:val="table2"/>
              <w:jc w:val="center"/>
              <w:rPr>
                <w:lang w:eastAsia="en-AU"/>
              </w:rPr>
            </w:pPr>
          </w:p>
        </w:tc>
        <w:tc>
          <w:tcPr>
            <w:tcW w:w="1134" w:type="dxa"/>
            <w:vMerge/>
            <w:tcBorders>
              <w:left w:val="nil"/>
              <w:right w:val="nil"/>
            </w:tcBorders>
            <w:shd w:val="clear" w:color="auto" w:fill="auto"/>
            <w:noWrap/>
            <w:vAlign w:val="bottom"/>
          </w:tcPr>
          <w:p w:rsidR="00D85FAC" w:rsidRPr="00FA1BEF" w:rsidRDefault="00D85FAC" w:rsidP="00D85FAC">
            <w:pPr>
              <w:pStyle w:val="table2"/>
              <w:jc w:val="center"/>
              <w:rPr>
                <w:lang w:eastAsia="en-AU"/>
              </w:rPr>
            </w:pPr>
          </w:p>
        </w:tc>
      </w:tr>
      <w:tr w:rsidR="00D85FAC" w:rsidRPr="00FA1BEF" w:rsidTr="00D85FAC">
        <w:trPr>
          <w:trHeight w:val="255"/>
        </w:trPr>
        <w:tc>
          <w:tcPr>
            <w:tcW w:w="2410" w:type="dxa"/>
            <w:vMerge w:val="restart"/>
            <w:tcBorders>
              <w:left w:val="nil"/>
              <w:bottom w:val="single" w:sz="4" w:space="0" w:color="auto"/>
              <w:right w:val="nil"/>
            </w:tcBorders>
            <w:shd w:val="clear" w:color="auto" w:fill="auto"/>
            <w:noWrap/>
          </w:tcPr>
          <w:p w:rsidR="00D85FAC" w:rsidRPr="00FA1BEF" w:rsidRDefault="00D85FAC" w:rsidP="00D85FAC">
            <w:pPr>
              <w:pStyle w:val="table2"/>
              <w:rPr>
                <w:lang w:eastAsia="en-AU"/>
              </w:rPr>
            </w:pPr>
            <w:r w:rsidRPr="00FA1BEF">
              <w:rPr>
                <w:lang w:eastAsia="en-AU"/>
              </w:rPr>
              <w:t>(7) EC, T, T</w:t>
            </w:r>
            <w:r w:rsidRPr="00FA1BEF">
              <w:rPr>
                <w:vertAlign w:val="superscript"/>
                <w:lang w:eastAsia="en-AU"/>
              </w:rPr>
              <w:t>2</w:t>
            </w:r>
            <w:r w:rsidRPr="00FA1BEF">
              <w:rPr>
                <w:lang w:eastAsia="en-AU"/>
              </w:rPr>
              <w:t>, EC x T</w:t>
            </w: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EC</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0.021</w:t>
            </w:r>
          </w:p>
        </w:tc>
        <w:tc>
          <w:tcPr>
            <w:tcW w:w="2410"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0.0013</w:t>
            </w:r>
          </w:p>
        </w:tc>
        <w:tc>
          <w:tcPr>
            <w:tcW w:w="1134" w:type="dxa"/>
            <w:vMerge w:val="restart"/>
            <w:tcBorders>
              <w:top w:val="nil"/>
              <w:left w:val="nil"/>
              <w:right w:val="nil"/>
            </w:tcBorders>
            <w:shd w:val="clear" w:color="auto" w:fill="auto"/>
            <w:noWrap/>
          </w:tcPr>
          <w:p w:rsidR="00D85FAC" w:rsidRPr="00FA1BEF" w:rsidRDefault="00D85FAC" w:rsidP="00D85FAC">
            <w:pPr>
              <w:pStyle w:val="table2"/>
              <w:jc w:val="center"/>
              <w:rPr>
                <w:lang w:eastAsia="en-AU"/>
              </w:rPr>
            </w:pPr>
            <w:r w:rsidRPr="00FA1BEF">
              <w:rPr>
                <w:lang w:eastAsia="en-AU"/>
              </w:rPr>
              <w:t>0.161</w:t>
            </w:r>
          </w:p>
        </w:tc>
      </w:tr>
      <w:tr w:rsidR="00D85FAC" w:rsidRPr="00FA1BEF" w:rsidTr="00D85FAC">
        <w:trPr>
          <w:trHeight w:val="255"/>
        </w:trPr>
        <w:tc>
          <w:tcPr>
            <w:tcW w:w="2410" w:type="dxa"/>
            <w:vMerge/>
            <w:tcBorders>
              <w:left w:val="nil"/>
              <w:bottom w:val="single" w:sz="4" w:space="0" w:color="auto"/>
              <w:right w:val="nil"/>
            </w:tcBorders>
            <w:shd w:val="clear" w:color="auto" w:fill="auto"/>
            <w:noWrap/>
            <w:vAlign w:val="bottom"/>
          </w:tcPr>
          <w:p w:rsidR="00D85FAC" w:rsidRPr="00FA1BEF" w:rsidRDefault="00D85FAC" w:rsidP="00D85FAC">
            <w:pPr>
              <w:pStyle w:val="table2"/>
              <w:rPr>
                <w:lang w:eastAsia="en-AU"/>
              </w:rPr>
            </w:pP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 xml:space="preserve">EC*T </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 xml:space="preserve">0.024 </w:t>
            </w:r>
          </w:p>
        </w:tc>
        <w:tc>
          <w:tcPr>
            <w:tcW w:w="2410" w:type="dxa"/>
            <w:vMerge/>
            <w:tcBorders>
              <w:left w:val="nil"/>
              <w:right w:val="nil"/>
            </w:tcBorders>
            <w:shd w:val="clear" w:color="auto" w:fill="auto"/>
            <w:noWrap/>
            <w:vAlign w:val="bottom"/>
          </w:tcPr>
          <w:p w:rsidR="00D85FAC" w:rsidRPr="00FA1BEF" w:rsidRDefault="00D85FAC" w:rsidP="00D85FAC">
            <w:pPr>
              <w:pStyle w:val="table2"/>
              <w:rPr>
                <w:lang w:eastAsia="en-AU"/>
              </w:rPr>
            </w:pPr>
          </w:p>
        </w:tc>
        <w:tc>
          <w:tcPr>
            <w:tcW w:w="1134" w:type="dxa"/>
            <w:vMerge/>
            <w:tcBorders>
              <w:left w:val="nil"/>
              <w:right w:val="nil"/>
            </w:tcBorders>
            <w:shd w:val="clear" w:color="auto" w:fill="auto"/>
            <w:noWrap/>
            <w:vAlign w:val="bottom"/>
          </w:tcPr>
          <w:p w:rsidR="00D85FAC" w:rsidRPr="00FA1BEF" w:rsidRDefault="00D85FAC" w:rsidP="00D85FAC">
            <w:pPr>
              <w:pStyle w:val="table2"/>
              <w:rPr>
                <w:lang w:eastAsia="en-AU"/>
              </w:rPr>
            </w:pPr>
          </w:p>
        </w:tc>
      </w:tr>
      <w:tr w:rsidR="00D85FAC" w:rsidRPr="00FA1BEF" w:rsidTr="00D85FAC">
        <w:trPr>
          <w:trHeight w:val="255"/>
        </w:trPr>
        <w:tc>
          <w:tcPr>
            <w:tcW w:w="2410" w:type="dxa"/>
            <w:vMerge/>
            <w:tcBorders>
              <w:left w:val="nil"/>
              <w:bottom w:val="single" w:sz="4" w:space="0" w:color="auto"/>
              <w:right w:val="nil"/>
            </w:tcBorders>
            <w:shd w:val="clear" w:color="auto" w:fill="auto"/>
            <w:noWrap/>
            <w:vAlign w:val="bottom"/>
          </w:tcPr>
          <w:p w:rsidR="00D85FAC" w:rsidRPr="00FA1BEF" w:rsidRDefault="00D85FAC" w:rsidP="00D85FAC">
            <w:pPr>
              <w:pStyle w:val="table2"/>
              <w:rPr>
                <w:lang w:eastAsia="en-AU"/>
              </w:rPr>
            </w:pPr>
          </w:p>
        </w:tc>
        <w:tc>
          <w:tcPr>
            <w:tcW w:w="992" w:type="dxa"/>
            <w:tcBorders>
              <w:top w:val="nil"/>
              <w:left w:val="nil"/>
              <w:bottom w:val="nil"/>
              <w:right w:val="nil"/>
            </w:tcBorders>
            <w:shd w:val="clear" w:color="auto" w:fill="auto"/>
            <w:noWrap/>
            <w:vAlign w:val="bottom"/>
          </w:tcPr>
          <w:p w:rsidR="00D85FAC" w:rsidRPr="00FA1BEF" w:rsidRDefault="00D85FAC" w:rsidP="00D85FAC">
            <w:pPr>
              <w:pStyle w:val="table2"/>
              <w:rPr>
                <w:lang w:eastAsia="en-AU"/>
              </w:rPr>
            </w:pPr>
            <w:r w:rsidRPr="00FA1BEF">
              <w:rPr>
                <w:lang w:eastAsia="en-AU"/>
              </w:rPr>
              <w:t>T</w:t>
            </w:r>
          </w:p>
        </w:tc>
        <w:tc>
          <w:tcPr>
            <w:tcW w:w="1418" w:type="dxa"/>
            <w:tcBorders>
              <w:top w:val="nil"/>
              <w:left w:val="nil"/>
              <w:bottom w:val="nil"/>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 xml:space="preserve">0.048 </w:t>
            </w:r>
          </w:p>
        </w:tc>
        <w:tc>
          <w:tcPr>
            <w:tcW w:w="2410" w:type="dxa"/>
            <w:vMerge/>
            <w:tcBorders>
              <w:left w:val="nil"/>
              <w:right w:val="nil"/>
            </w:tcBorders>
            <w:shd w:val="clear" w:color="auto" w:fill="auto"/>
            <w:noWrap/>
            <w:vAlign w:val="bottom"/>
          </w:tcPr>
          <w:p w:rsidR="00D85FAC" w:rsidRPr="00FA1BEF" w:rsidRDefault="00D85FAC" w:rsidP="00D85FAC">
            <w:pPr>
              <w:pStyle w:val="table2"/>
              <w:rPr>
                <w:lang w:eastAsia="en-AU"/>
              </w:rPr>
            </w:pPr>
          </w:p>
        </w:tc>
        <w:tc>
          <w:tcPr>
            <w:tcW w:w="1134" w:type="dxa"/>
            <w:vMerge/>
            <w:tcBorders>
              <w:left w:val="nil"/>
              <w:right w:val="nil"/>
            </w:tcBorders>
            <w:shd w:val="clear" w:color="auto" w:fill="auto"/>
            <w:noWrap/>
            <w:vAlign w:val="bottom"/>
          </w:tcPr>
          <w:p w:rsidR="00D85FAC" w:rsidRPr="00FA1BEF" w:rsidRDefault="00D85FAC" w:rsidP="00D85FAC">
            <w:pPr>
              <w:pStyle w:val="table2"/>
              <w:rPr>
                <w:lang w:eastAsia="en-AU"/>
              </w:rPr>
            </w:pPr>
          </w:p>
        </w:tc>
      </w:tr>
      <w:tr w:rsidR="00D85FAC" w:rsidRPr="00FA1BEF" w:rsidTr="00D85FAC">
        <w:trPr>
          <w:trHeight w:val="270"/>
        </w:trPr>
        <w:tc>
          <w:tcPr>
            <w:tcW w:w="2410" w:type="dxa"/>
            <w:vMerge/>
            <w:tcBorders>
              <w:left w:val="nil"/>
              <w:bottom w:val="single" w:sz="4" w:space="0" w:color="auto"/>
              <w:right w:val="nil"/>
            </w:tcBorders>
            <w:shd w:val="clear" w:color="auto" w:fill="auto"/>
            <w:noWrap/>
            <w:vAlign w:val="bottom"/>
          </w:tcPr>
          <w:p w:rsidR="00D85FAC" w:rsidRPr="00FA1BEF" w:rsidRDefault="00D85FAC" w:rsidP="00D85FAC">
            <w:pPr>
              <w:pStyle w:val="table2"/>
              <w:rPr>
                <w:lang w:eastAsia="en-AU"/>
              </w:rPr>
            </w:pPr>
          </w:p>
        </w:tc>
        <w:tc>
          <w:tcPr>
            <w:tcW w:w="992" w:type="dxa"/>
            <w:tcBorders>
              <w:top w:val="nil"/>
              <w:left w:val="nil"/>
              <w:bottom w:val="single" w:sz="4" w:space="0" w:color="auto"/>
              <w:right w:val="nil"/>
            </w:tcBorders>
            <w:shd w:val="clear" w:color="auto" w:fill="auto"/>
            <w:noWrap/>
            <w:vAlign w:val="bottom"/>
          </w:tcPr>
          <w:p w:rsidR="00D85FAC" w:rsidRPr="00FA1BEF" w:rsidRDefault="00D85FAC" w:rsidP="00D85FAC">
            <w:pPr>
              <w:pStyle w:val="table2"/>
              <w:rPr>
                <w:lang w:eastAsia="en-AU"/>
              </w:rPr>
            </w:pPr>
            <w:r w:rsidRPr="00FA1BEF">
              <w:rPr>
                <w:lang w:eastAsia="en-AU"/>
              </w:rPr>
              <w:t>T</w:t>
            </w:r>
            <w:r w:rsidRPr="00FA1BEF">
              <w:rPr>
                <w:vertAlign w:val="superscript"/>
                <w:lang w:eastAsia="en-AU"/>
              </w:rPr>
              <w:t>2</w:t>
            </w:r>
          </w:p>
        </w:tc>
        <w:tc>
          <w:tcPr>
            <w:tcW w:w="1418" w:type="dxa"/>
            <w:tcBorders>
              <w:top w:val="nil"/>
              <w:left w:val="nil"/>
              <w:bottom w:val="single" w:sz="4" w:space="0" w:color="auto"/>
              <w:right w:val="nil"/>
            </w:tcBorders>
            <w:shd w:val="clear" w:color="auto" w:fill="auto"/>
            <w:noWrap/>
            <w:vAlign w:val="bottom"/>
          </w:tcPr>
          <w:p w:rsidR="00D85FAC" w:rsidRPr="00FA1BEF" w:rsidRDefault="00D85FAC" w:rsidP="00D85FAC">
            <w:pPr>
              <w:pStyle w:val="table2"/>
              <w:jc w:val="center"/>
              <w:rPr>
                <w:lang w:eastAsia="en-AU"/>
              </w:rPr>
            </w:pPr>
            <w:r w:rsidRPr="00FA1BEF">
              <w:rPr>
                <w:lang w:eastAsia="en-AU"/>
              </w:rPr>
              <w:t>0.084</w:t>
            </w:r>
          </w:p>
        </w:tc>
        <w:tc>
          <w:tcPr>
            <w:tcW w:w="2410" w:type="dxa"/>
            <w:vMerge/>
            <w:tcBorders>
              <w:left w:val="nil"/>
              <w:bottom w:val="single" w:sz="4" w:space="0" w:color="auto"/>
              <w:right w:val="nil"/>
            </w:tcBorders>
            <w:shd w:val="clear" w:color="auto" w:fill="auto"/>
            <w:noWrap/>
            <w:vAlign w:val="bottom"/>
          </w:tcPr>
          <w:p w:rsidR="00D85FAC" w:rsidRPr="00FA1BEF" w:rsidRDefault="00D85FAC" w:rsidP="00D85FAC">
            <w:pPr>
              <w:pStyle w:val="table2"/>
              <w:rPr>
                <w:lang w:eastAsia="en-AU"/>
              </w:rPr>
            </w:pPr>
          </w:p>
        </w:tc>
        <w:tc>
          <w:tcPr>
            <w:tcW w:w="1134" w:type="dxa"/>
            <w:vMerge/>
            <w:tcBorders>
              <w:left w:val="nil"/>
              <w:bottom w:val="single" w:sz="4" w:space="0" w:color="auto"/>
              <w:right w:val="nil"/>
            </w:tcBorders>
            <w:shd w:val="clear" w:color="auto" w:fill="auto"/>
            <w:noWrap/>
            <w:vAlign w:val="bottom"/>
          </w:tcPr>
          <w:p w:rsidR="00D85FAC" w:rsidRPr="00FA1BEF" w:rsidRDefault="00D85FAC" w:rsidP="00D85FAC">
            <w:pPr>
              <w:pStyle w:val="table2"/>
              <w:rPr>
                <w:lang w:eastAsia="en-AU"/>
              </w:rPr>
            </w:pPr>
          </w:p>
        </w:tc>
      </w:tr>
    </w:tbl>
    <w:p w:rsidR="00D85FAC" w:rsidRDefault="00D85FAC" w:rsidP="00D85FAC">
      <w:pPr>
        <w:pStyle w:val="tablenote"/>
      </w:pPr>
      <w:r w:rsidRPr="00FA1BEF">
        <w:t>T</w:t>
      </w:r>
      <w:r w:rsidRPr="00FA1BEF">
        <w:rPr>
          <w:snapToGrid w:val="0"/>
          <w:position w:val="3"/>
          <w:sz w:val="9"/>
          <w:szCs w:val="0"/>
          <w:u w:color="000000"/>
        </w:rPr>
        <w:t>2</w:t>
      </w:r>
      <w:r w:rsidRPr="00FA1BEF">
        <w:t xml:space="preserve"> = T squared or T x T</w:t>
      </w:r>
    </w:p>
    <w:p w:rsidR="00D85FAC" w:rsidRDefault="00D85FAC" w:rsidP="00D85FAC">
      <w:pPr>
        <w:rPr>
          <w:szCs w:val="22"/>
        </w:rPr>
      </w:pPr>
      <w:r w:rsidRPr="00FA1BEF">
        <w:rPr>
          <w:szCs w:val="22"/>
        </w:rPr>
        <w:lastRenderedPageBreak/>
        <w:t xml:space="preserve">Since water temperature can be easily manipulated, a laboratory study was carried out to examine snail egg production using three temperatures (26, 29 and 32°C) spanning a range relevant to Magela and Gulungul Creeks. This experiment, conducted in the </w:t>
      </w:r>
      <w:r w:rsidRPr="001A36A8">
        <w:rPr>
          <w:b/>
          <w:i/>
          <w:sz w:val="26"/>
          <w:szCs w:val="22"/>
        </w:rPr>
        <w:t>eriss</w:t>
      </w:r>
      <w:r w:rsidRPr="00FA1BEF">
        <w:rPr>
          <w:szCs w:val="22"/>
        </w:rPr>
        <w:t xml:space="preserve"> Darwin ecotoxicology laboratory in October 2011, used an in-house protocol (Houston </w:t>
      </w:r>
      <w:r>
        <w:rPr>
          <w:szCs w:val="22"/>
        </w:rPr>
        <w:t>et al</w:t>
      </w:r>
      <w:r w:rsidRPr="00FA1BEF">
        <w:rPr>
          <w:szCs w:val="22"/>
        </w:rPr>
        <w:t xml:space="preserve"> 2007, similar to the field protocol. This involves, exposing replicate pairs of snails for four days to Magela Creek water collected from upstream of the Ranger mine. Results of the laboratory experiment are provided in Figure 4. ANOVA showed significant difference in snail egg number between water temperature treatments. Tukey</w:t>
      </w:r>
      <w:r>
        <w:rPr>
          <w:szCs w:val="22"/>
        </w:rPr>
        <w:t>’</w:t>
      </w:r>
      <w:r w:rsidRPr="00FA1BEF">
        <w:rPr>
          <w:szCs w:val="22"/>
        </w:rPr>
        <w:t xml:space="preserve">s multiple comparison </w:t>
      </w:r>
      <w:proofErr w:type="gramStart"/>
      <w:r w:rsidRPr="00FA1BEF">
        <w:rPr>
          <w:szCs w:val="22"/>
        </w:rPr>
        <w:t>test</w:t>
      </w:r>
      <w:proofErr w:type="gramEnd"/>
      <w:r w:rsidRPr="00FA1BEF">
        <w:rPr>
          <w:szCs w:val="22"/>
        </w:rPr>
        <w:t xml:space="preserve"> showing no significant difference between egg numbers at 29 and 32°C, but significant differences in egg numbers between t</w:t>
      </w:r>
      <w:r>
        <w:rPr>
          <w:szCs w:val="22"/>
        </w:rPr>
        <w:t>hese two temperatures and 26°C.</w:t>
      </w:r>
    </w:p>
    <w:p w:rsidR="00D85FAC" w:rsidRPr="00FA1BEF" w:rsidRDefault="00D85FAC" w:rsidP="00D85FAC">
      <w:pPr>
        <w:jc w:val="center"/>
        <w:rPr>
          <w:szCs w:val="22"/>
        </w:rPr>
      </w:pPr>
      <w:r w:rsidRPr="00FA1BEF">
        <w:rPr>
          <w:noProof/>
          <w:lang w:eastAsia="en-AU"/>
        </w:rPr>
        <w:drawing>
          <wp:inline distT="0" distB="0" distL="0" distR="0">
            <wp:extent cx="4102167" cy="2909508"/>
            <wp:effectExtent l="0" t="0" r="0" b="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screen"/>
                    <a:srcRect/>
                    <a:stretch>
                      <a:fillRect/>
                    </a:stretch>
                  </pic:blipFill>
                  <pic:spPr bwMode="auto">
                    <a:xfrm>
                      <a:off x="0" y="0"/>
                      <a:ext cx="4112669" cy="2916957"/>
                    </a:xfrm>
                    <a:prstGeom prst="rect">
                      <a:avLst/>
                    </a:prstGeom>
                    <a:noFill/>
                    <a:ln w="9525">
                      <a:noFill/>
                      <a:miter lim="800000"/>
                      <a:headEnd/>
                      <a:tailEnd/>
                    </a:ln>
                  </pic:spPr>
                </pic:pic>
              </a:graphicData>
            </a:graphic>
          </wp:inline>
        </w:drawing>
      </w:r>
    </w:p>
    <w:p w:rsidR="00D85FAC" w:rsidRPr="00FA1BEF" w:rsidRDefault="00D85FAC" w:rsidP="00D85FAC">
      <w:pPr>
        <w:pStyle w:val="figurecaption"/>
      </w:pPr>
      <w:r w:rsidRPr="00FA1BEF">
        <w:rPr>
          <w:b/>
        </w:rPr>
        <w:t xml:space="preserve">Figure </w:t>
      </w:r>
      <w:proofErr w:type="gramStart"/>
      <w:r w:rsidRPr="00FA1BEF">
        <w:rPr>
          <w:b/>
        </w:rPr>
        <w:t>3</w:t>
      </w:r>
      <w:r w:rsidRPr="00FA1BEF">
        <w:t xml:space="preserve">  Box</w:t>
      </w:r>
      <w:proofErr w:type="gramEnd"/>
      <w:r w:rsidRPr="00FA1BEF">
        <w:t xml:space="preserve"> plots of mean snail egg number observed in in situ toxicity monitoring tests in Gulungul and Magela Creeks, 2007–2011, grouped according to ambient electrical conductivity in creek waters. Box plots show median, range, 25</w:t>
      </w:r>
      <w:r w:rsidRPr="00FA1BEF">
        <w:rPr>
          <w:vertAlign w:val="superscript"/>
        </w:rPr>
        <w:t>th</w:t>
      </w:r>
      <w:r w:rsidRPr="00FA1BEF">
        <w:t xml:space="preserve"> and 75</w:t>
      </w:r>
      <w:r w:rsidRPr="00FA1BEF">
        <w:rPr>
          <w:vertAlign w:val="superscript"/>
        </w:rPr>
        <w:t>th</w:t>
      </w:r>
      <w:r w:rsidRPr="00FA1BEF">
        <w:t xml:space="preserve"> percentiles. Points at a greater distance from the median than 1.5 times the Inter-Quartile Range are plotted individually as asterisks (</w:t>
      </w:r>
      <w:r>
        <w:t>‘</w:t>
      </w:r>
      <w:r w:rsidRPr="00FA1BEF">
        <w:t>outliers</w:t>
      </w:r>
      <w:r>
        <w:t>’</w:t>
      </w:r>
      <w:r w:rsidRPr="00FA1BEF">
        <w:t>).</w:t>
      </w:r>
    </w:p>
    <w:p w:rsidR="00D85FAC" w:rsidRPr="00FA1BEF" w:rsidRDefault="00D85FAC" w:rsidP="00D85FAC">
      <w:pPr>
        <w:jc w:val="center"/>
        <w:rPr>
          <w:lang w:val="en-US"/>
        </w:rPr>
      </w:pPr>
      <w:r w:rsidRPr="00FA1BEF">
        <w:rPr>
          <w:noProof/>
          <w:lang w:eastAsia="en-AU"/>
        </w:rPr>
        <w:drawing>
          <wp:inline distT="0" distB="0" distL="0" distR="0">
            <wp:extent cx="4525010" cy="2627952"/>
            <wp:effectExtent l="19050" t="0" r="8890"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screen"/>
                    <a:srcRect/>
                    <a:stretch>
                      <a:fillRect/>
                    </a:stretch>
                  </pic:blipFill>
                  <pic:spPr bwMode="auto">
                    <a:xfrm>
                      <a:off x="0" y="0"/>
                      <a:ext cx="4526381" cy="2628748"/>
                    </a:xfrm>
                    <a:prstGeom prst="rect">
                      <a:avLst/>
                    </a:prstGeom>
                    <a:noFill/>
                    <a:ln w="9525">
                      <a:noFill/>
                      <a:miter lim="800000"/>
                      <a:headEnd/>
                      <a:tailEnd/>
                    </a:ln>
                  </pic:spPr>
                </pic:pic>
              </a:graphicData>
            </a:graphic>
          </wp:inline>
        </w:drawing>
      </w:r>
    </w:p>
    <w:p w:rsidR="00D85FAC" w:rsidRPr="00FA1BEF" w:rsidRDefault="00D85FAC" w:rsidP="00D85FAC">
      <w:pPr>
        <w:pStyle w:val="figurecaption"/>
      </w:pPr>
      <w:r w:rsidRPr="00FA1BEF">
        <w:rPr>
          <w:b/>
        </w:rPr>
        <w:t xml:space="preserve">Figure </w:t>
      </w:r>
      <w:proofErr w:type="gramStart"/>
      <w:r w:rsidRPr="00FA1BEF">
        <w:rPr>
          <w:b/>
        </w:rPr>
        <w:t>4</w:t>
      </w:r>
      <w:r>
        <w:rPr>
          <w:b/>
        </w:rPr>
        <w:t xml:space="preserve"> </w:t>
      </w:r>
      <w:r w:rsidRPr="00FA1BEF">
        <w:t xml:space="preserve"> Effect</w:t>
      </w:r>
      <w:proofErr w:type="gramEnd"/>
      <w:r w:rsidRPr="00FA1BEF">
        <w:t xml:space="preserve"> of temperature on </w:t>
      </w:r>
      <w:r w:rsidRPr="00FA1BEF">
        <w:rPr>
          <w:i/>
        </w:rPr>
        <w:t>Amerianna cumingi</w:t>
      </w:r>
      <w:r w:rsidRPr="00FA1BEF">
        <w:t xml:space="preserve"> egg production in laboratory and field (in situ) experiments</w:t>
      </w:r>
      <w:r>
        <w:t xml:space="preserve"> (2006–07 to 2010–11 wet seasons)</w:t>
      </w:r>
      <w:r w:rsidRPr="00FA1BEF">
        <w:t>. Data represent mean ± SE where N for laboratory tests is 6 replicates per treatment.</w:t>
      </w:r>
    </w:p>
    <w:p w:rsidR="00D85FAC" w:rsidRPr="00FA1BEF" w:rsidRDefault="00D85FAC" w:rsidP="00D85FAC">
      <w:pPr>
        <w:rPr>
          <w:szCs w:val="22"/>
        </w:rPr>
      </w:pPr>
      <w:r w:rsidRPr="00FA1BEF">
        <w:rPr>
          <w:szCs w:val="22"/>
        </w:rPr>
        <w:lastRenderedPageBreak/>
        <w:t>Snail egg response data from the in situ toxicity monitoring tests were separated into groups for which the four-day median water temperature differed by one degree increments. Mean egg numbers for the field and laboratory tests are plotted against temperature, in Figure 4. The field results shown in Figure 4 confirm the optimum temperature for reproduction reached near 29°C, in accordance with the laboratory results. For the field results, egg number is not a smooth unimodal response over the temperature range and that variability is likely to be associated with the variability in water temperature itself observed over the four-day exposure periods (unlike the constant water temperatures maintained in the laboratory), and potential interaction with EC, median values for which varied amongst the different tests.</w:t>
      </w:r>
    </w:p>
    <w:p w:rsidR="00D85FAC" w:rsidRPr="00FA1BEF" w:rsidRDefault="00D85FAC" w:rsidP="00D85FAC">
      <w:pPr>
        <w:rPr>
          <w:szCs w:val="22"/>
        </w:rPr>
      </w:pPr>
      <w:r w:rsidRPr="00FA1BEF">
        <w:rPr>
          <w:szCs w:val="22"/>
        </w:rPr>
        <w:t>ANCOVA testing confirmed the observations above, finding a significant quadratic water temperature relationship with mean egg number (P&lt;0.01). While the linear EC relationship with mean egg number was not significant (P = 0.078), a significant interaction was found between EC and water temperature (P&lt;0.01) in the effect of these water quality variables upon mean egg number. Other important ANCOVA results included:</w:t>
      </w:r>
    </w:p>
    <w:p w:rsidR="00D85FAC" w:rsidRPr="00FA1BEF" w:rsidRDefault="00D85FAC" w:rsidP="00D85FAC">
      <w:pPr>
        <w:pStyle w:val="Normallist1"/>
      </w:pPr>
      <w:r>
        <w:t>i</w:t>
      </w:r>
      <w:r>
        <w:tab/>
      </w:r>
      <w:r w:rsidRPr="00FA1BEF">
        <w:t>Significant interaction between water temperature (Te) and year (Yr) (P&lt;0.05) in their effect upon mean egg number, indicating the unimodal response between water temperature and egg number shifted or varied in intensity amongst years.</w:t>
      </w:r>
    </w:p>
    <w:p w:rsidR="00D85FAC" w:rsidRPr="00FA1BEF" w:rsidRDefault="00D85FAC" w:rsidP="00D85FAC">
      <w:pPr>
        <w:pStyle w:val="Normallist1"/>
        <w:rPr>
          <w:szCs w:val="22"/>
        </w:rPr>
      </w:pPr>
      <w:proofErr w:type="gramStart"/>
      <w:r>
        <w:rPr>
          <w:szCs w:val="22"/>
        </w:rPr>
        <w:t>ii</w:t>
      </w:r>
      <w:proofErr w:type="gramEnd"/>
      <w:r>
        <w:rPr>
          <w:szCs w:val="22"/>
        </w:rPr>
        <w:tab/>
      </w:r>
      <w:r w:rsidRPr="00FA1BEF">
        <w:rPr>
          <w:szCs w:val="22"/>
        </w:rPr>
        <w:t xml:space="preserve">No </w:t>
      </w:r>
      <w:r w:rsidRPr="00931E58">
        <w:t>significant</w:t>
      </w:r>
      <w:r w:rsidRPr="00FA1BEF">
        <w:rPr>
          <w:szCs w:val="22"/>
        </w:rPr>
        <w:t xml:space="preserve"> interaction between either EC or Te and creek (Ck) or location (Loc) (upstream-downstream), indicating the EC and temperature effects were consistent for all (four) creek sites.</w:t>
      </w:r>
    </w:p>
    <w:p w:rsidR="00D85FAC" w:rsidRPr="00FA1BEF" w:rsidRDefault="00D85FAC" w:rsidP="00D85FAC">
      <w:pPr>
        <w:pStyle w:val="Normallist1"/>
        <w:rPr>
          <w:szCs w:val="22"/>
        </w:rPr>
      </w:pPr>
      <w:r>
        <w:rPr>
          <w:szCs w:val="22"/>
        </w:rPr>
        <w:t>iii</w:t>
      </w:r>
      <w:r>
        <w:rPr>
          <w:szCs w:val="22"/>
        </w:rPr>
        <w:tab/>
      </w:r>
      <w:r w:rsidRPr="00FA1BEF">
        <w:rPr>
          <w:szCs w:val="22"/>
        </w:rPr>
        <w:t>No significant interaction for EC x Te x Yr, EC x Te x Ck or EC x Te x Loc indicating the significant EC x Te  effect was consistent amongst years, between the two creeks and between upstream-downstream locations.</w:t>
      </w:r>
    </w:p>
    <w:p w:rsidR="00D85FAC" w:rsidRPr="001A36A8" w:rsidRDefault="00D85FAC" w:rsidP="00D85FAC">
      <w:pPr>
        <w:rPr>
          <w:spacing w:val="-2"/>
          <w:szCs w:val="22"/>
        </w:rPr>
      </w:pPr>
      <w:r w:rsidRPr="001A36A8">
        <w:rPr>
          <w:spacing w:val="-2"/>
          <w:szCs w:val="22"/>
        </w:rPr>
        <w:t>The consistency of the EC x Te</w:t>
      </w:r>
      <w:proofErr w:type="gramStart"/>
      <w:r w:rsidRPr="001A36A8">
        <w:rPr>
          <w:spacing w:val="-2"/>
          <w:szCs w:val="22"/>
        </w:rPr>
        <w:t>  interaction</w:t>
      </w:r>
      <w:proofErr w:type="gramEnd"/>
      <w:r w:rsidRPr="001A36A8">
        <w:rPr>
          <w:spacing w:val="-2"/>
          <w:szCs w:val="22"/>
        </w:rPr>
        <w:t xml:space="preserve"> amongst years, creeks and locations (from above) enabled pooling of the data to better characterise the EC x temperature effect. For this, plots of EC and snail egg number were prepared using one degree increments in median water temperature (Figure 5). The changing relationship of the snail reproduction response to EC with rising water temperature is evident, with enhanced effect with increasing EC at lower water temperatures (27–29°C), an increasingly neutral effect at intermediate temperature (~30) and an increasingly reduced/negative effect at higher water temperatures (&gt;30). The possible physiological mechanism underpinning these observations is not considered further here. As the higher EC values (&gt;20 µS/cm) are typically associated with the downstream sites (Figure 5), and are indicative of exposure to mine runoff waters containing MgSO</w:t>
      </w:r>
      <w:r w:rsidRPr="001A36A8">
        <w:rPr>
          <w:snapToGrid w:val="0"/>
          <w:spacing w:val="-2"/>
          <w:position w:val="-5"/>
          <w:sz w:val="15"/>
          <w:szCs w:val="0"/>
          <w:u w:color="000000"/>
        </w:rPr>
        <w:t>4</w:t>
      </w:r>
      <w:r w:rsidRPr="001A36A8">
        <w:rPr>
          <w:spacing w:val="-2"/>
          <w:szCs w:val="22"/>
        </w:rPr>
        <w:t>, then it can be concluded that mine water discharges are contributing to the differences in snail response at the downstream sites compared to the upstream sites, in addition to temperature and other natural environmental variables. However, over the commonly-observed temperature range observed in creek waters (28 to 31°C), representing 79% of the tests conducted in the 2007–2011 period, such effects (enhancement or suppression) are subtle and not significant (Figure 5).</w:t>
      </w:r>
    </w:p>
    <w:p w:rsidR="00D85FAC" w:rsidRDefault="00D85FAC" w:rsidP="00D85FAC">
      <w:pPr>
        <w:rPr>
          <w:szCs w:val="22"/>
          <w:lang w:val="en-US"/>
        </w:rPr>
      </w:pPr>
      <w:r w:rsidRPr="00FA1BEF">
        <w:rPr>
          <w:szCs w:val="22"/>
        </w:rPr>
        <w:t>Various multiple regression equations were calculated using stepwise regression on the pooled creek, location and year data to best account for the variation in mean egg number. These relationships are summarised in Table 3.</w:t>
      </w:r>
      <w:r w:rsidRPr="00FA1BEF">
        <w:rPr>
          <w:szCs w:val="22"/>
          <w:lang w:val="en-US"/>
        </w:rPr>
        <w:t xml:space="preserve"> The best multiple regression model for which all independent variables were significant (P&lt;0.05) included the terms </w:t>
      </w:r>
      <w:r w:rsidRPr="00FA1BEF">
        <w:rPr>
          <w:szCs w:val="22"/>
          <w:lang w:eastAsia="en-AU"/>
        </w:rPr>
        <w:t xml:space="preserve">EC, T and EC x T (the third parameter representing the EC x temperature interaction). Even so, the amount of variation </w:t>
      </w:r>
      <w:r w:rsidRPr="00FA1BEF">
        <w:rPr>
          <w:szCs w:val="22"/>
          <w:lang w:val="en-US"/>
        </w:rPr>
        <w:t>in egg number accounted for by the environmental factors included in this model was only 14% (see R</w:t>
      </w:r>
      <w:r w:rsidRPr="00FA1BEF">
        <w:rPr>
          <w:szCs w:val="22"/>
          <w:vertAlign w:val="superscript"/>
          <w:lang w:val="en-US"/>
        </w:rPr>
        <w:t>2</w:t>
      </w:r>
      <w:r w:rsidRPr="00FA1BEF">
        <w:rPr>
          <w:szCs w:val="22"/>
          <w:lang w:val="en-US"/>
        </w:rPr>
        <w:t xml:space="preserve"> values in Table 3), leaving a large amount of variation in egg number unaccounted for. Nevertheless, a conceptual understanding of the snail egg response is greatly enhanced with this regression approach.</w:t>
      </w:r>
    </w:p>
    <w:p w:rsidR="00D85FAC" w:rsidRPr="00FA1BEF" w:rsidRDefault="00D85FAC" w:rsidP="00D85FAC">
      <w:pPr>
        <w:rPr>
          <w:szCs w:val="22"/>
          <w:lang w:val="en-US"/>
        </w:rPr>
      </w:pPr>
      <w:r w:rsidRPr="00FA1BEF">
        <w:rPr>
          <w:szCs w:val="22"/>
          <w:lang w:val="en-US"/>
        </w:rPr>
        <w:lastRenderedPageBreak/>
        <w:t>The utility of this newly-acquired information on the snail egg response to EC and water temperature for assessing toxicity monitoring results is considered further below (section 5).</w:t>
      </w:r>
    </w:p>
    <w:p w:rsidR="00D85FAC" w:rsidRPr="00FA1BEF" w:rsidRDefault="00D85FAC" w:rsidP="00D85FAC">
      <w:pPr>
        <w:rPr>
          <w:szCs w:val="22"/>
          <w:lang w:val="en-US"/>
        </w:rPr>
      </w:pPr>
    </w:p>
    <w:p w:rsidR="00D85FAC" w:rsidRPr="00FA1BEF" w:rsidRDefault="00D85FAC" w:rsidP="00D85FAC">
      <w:r w:rsidRPr="00FA1BEF">
        <w:rPr>
          <w:noProof/>
          <w:lang w:eastAsia="en-AU"/>
        </w:rPr>
        <w:drawing>
          <wp:inline distT="0" distB="0" distL="0" distR="0">
            <wp:extent cx="5274310" cy="4687264"/>
            <wp:effectExtent l="0" t="0" r="2540" b="0"/>
            <wp:docPr id="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screen"/>
                    <a:srcRect/>
                    <a:stretch>
                      <a:fillRect/>
                    </a:stretch>
                  </pic:blipFill>
                  <pic:spPr bwMode="auto">
                    <a:xfrm>
                      <a:off x="0" y="0"/>
                      <a:ext cx="5274310" cy="4687264"/>
                    </a:xfrm>
                    <a:prstGeom prst="rect">
                      <a:avLst/>
                    </a:prstGeom>
                    <a:noFill/>
                    <a:ln w="9525">
                      <a:noFill/>
                      <a:miter lim="800000"/>
                      <a:headEnd/>
                      <a:tailEnd/>
                    </a:ln>
                  </pic:spPr>
                </pic:pic>
              </a:graphicData>
            </a:graphic>
          </wp:inline>
        </w:drawing>
      </w:r>
    </w:p>
    <w:p w:rsidR="00D85FAC" w:rsidRPr="00FA1BEF" w:rsidRDefault="00D85FAC" w:rsidP="00D85FAC">
      <w:pPr>
        <w:pStyle w:val="figurecaption"/>
      </w:pPr>
      <w:r w:rsidRPr="00FA1BEF">
        <w:rPr>
          <w:b/>
        </w:rPr>
        <w:t xml:space="preserve">Figure </w:t>
      </w:r>
      <w:proofErr w:type="gramStart"/>
      <w:r>
        <w:rPr>
          <w:b/>
        </w:rPr>
        <w:t xml:space="preserve">5 </w:t>
      </w:r>
      <w:r w:rsidRPr="00FA1BEF">
        <w:t xml:space="preserve"> Relationship</w:t>
      </w:r>
      <w:proofErr w:type="gramEnd"/>
      <w:r w:rsidRPr="00FA1BEF">
        <w:t xml:space="preserve"> between mean snail egg number and median electrical conductivity for the field tests, conducted in both Magela and Gulungul creeks, 2007 to 2011, grouped by increasing (one-degree) median water temperature increments from 27 degrees to 33 degrees . Significant trend line indicated by solid line and non-significant trend lines by dashed lines. Data from the </w:t>
      </w:r>
      <w:r w:rsidRPr="00FA1BEF">
        <w:rPr>
          <w:szCs w:val="22"/>
        </w:rPr>
        <w:t>3</w:t>
      </w:r>
      <w:r w:rsidRPr="00FA1BEF">
        <w:rPr>
          <w:szCs w:val="22"/>
          <w:vertAlign w:val="superscript"/>
        </w:rPr>
        <w:t>rd</w:t>
      </w:r>
      <w:r w:rsidRPr="00FA1BEF">
        <w:rPr>
          <w:szCs w:val="22"/>
        </w:rPr>
        <w:t>, 4</w:t>
      </w:r>
      <w:r w:rsidRPr="00FA1BEF">
        <w:rPr>
          <w:szCs w:val="22"/>
          <w:vertAlign w:val="superscript"/>
        </w:rPr>
        <w:t>th</w:t>
      </w:r>
      <w:r w:rsidRPr="00FA1BEF">
        <w:rPr>
          <w:szCs w:val="22"/>
        </w:rPr>
        <w:t xml:space="preserve"> and 5</w:t>
      </w:r>
      <w:r w:rsidRPr="00FA1BEF">
        <w:rPr>
          <w:szCs w:val="22"/>
          <w:vertAlign w:val="superscript"/>
        </w:rPr>
        <w:t>th</w:t>
      </w:r>
      <w:r w:rsidRPr="00FA1BEF">
        <w:rPr>
          <w:szCs w:val="22"/>
        </w:rPr>
        <w:t xml:space="preserve"> tests of the 2009</w:t>
      </w:r>
      <w:r w:rsidRPr="00FA1BEF">
        <w:rPr>
          <w:spacing w:val="-2"/>
          <w:szCs w:val="22"/>
          <w:lang w:eastAsia="en-AU"/>
        </w:rPr>
        <w:t>–</w:t>
      </w:r>
      <w:r w:rsidRPr="00FA1BEF">
        <w:rPr>
          <w:szCs w:val="22"/>
        </w:rPr>
        <w:t>10 season for Magela Creek are indicated by numbers 3, 4 and 5 respectively, adjacent to the relevant data points.</w:t>
      </w:r>
    </w:p>
    <w:p w:rsidR="00D85FAC" w:rsidRPr="00FA1BEF" w:rsidRDefault="00D85FAC" w:rsidP="00D85FAC">
      <w:pPr>
        <w:pStyle w:val="Heading2"/>
      </w:pPr>
      <w:bookmarkStart w:id="325" w:name="_Toc313523513"/>
      <w:bookmarkStart w:id="326" w:name="_Toc316985362"/>
      <w:bookmarkStart w:id="327" w:name="_Toc240277495"/>
      <w:r w:rsidRPr="00FA1BEF">
        <w:t>Assessment of toxicity monitoring results from 2009–10 wet season using snail egg number-environment relationships</w:t>
      </w:r>
      <w:bookmarkEnd w:id="325"/>
      <w:bookmarkEnd w:id="326"/>
    </w:p>
    <w:p w:rsidR="00D85FAC" w:rsidRPr="00FA1BEF" w:rsidRDefault="00D85FAC" w:rsidP="00D85FAC">
      <w:pPr>
        <w:rPr>
          <w:szCs w:val="22"/>
        </w:rPr>
      </w:pPr>
      <w:r w:rsidRPr="00FA1BEF">
        <w:rPr>
          <w:szCs w:val="22"/>
        </w:rPr>
        <w:t>Using the enhanced conceptual understanding of the response of snail reproduction to EC and water temperature described above, and the results to date that indicate the amounts of SIM and SOM trapped in the test containers do not enhance egg numbers, the results of toxicity monitoring results for which significant disparities have been observed in snail egg number between upstream and downstream sites, can be rea</w:t>
      </w:r>
      <w:r>
        <w:rPr>
          <w:szCs w:val="22"/>
        </w:rPr>
        <w:t>s</w:t>
      </w:r>
      <w:r w:rsidRPr="00FA1BEF">
        <w:rPr>
          <w:szCs w:val="22"/>
        </w:rPr>
        <w:t>sessed. Such disparities were identified above (see Background section 1) for the 3</w:t>
      </w:r>
      <w:r w:rsidRPr="00FA1BEF">
        <w:rPr>
          <w:szCs w:val="22"/>
          <w:vertAlign w:val="superscript"/>
        </w:rPr>
        <w:t>rd</w:t>
      </w:r>
      <w:r w:rsidRPr="00FA1BEF">
        <w:rPr>
          <w:szCs w:val="22"/>
        </w:rPr>
        <w:t>, 4</w:t>
      </w:r>
      <w:r w:rsidRPr="00FA1BEF">
        <w:rPr>
          <w:szCs w:val="22"/>
          <w:vertAlign w:val="superscript"/>
        </w:rPr>
        <w:t>th</w:t>
      </w:r>
      <w:r w:rsidRPr="00FA1BEF">
        <w:rPr>
          <w:szCs w:val="22"/>
        </w:rPr>
        <w:t xml:space="preserve"> and 5</w:t>
      </w:r>
      <w:r w:rsidRPr="00FA1BEF">
        <w:rPr>
          <w:szCs w:val="22"/>
          <w:vertAlign w:val="superscript"/>
        </w:rPr>
        <w:t>th</w:t>
      </w:r>
      <w:r w:rsidRPr="00FA1BEF">
        <w:rPr>
          <w:szCs w:val="22"/>
        </w:rPr>
        <w:t xml:space="preserve"> tests of the 2009</w:t>
      </w:r>
      <w:r w:rsidRPr="00FA1BEF">
        <w:rPr>
          <w:spacing w:val="-2"/>
          <w:szCs w:val="22"/>
          <w:lang w:eastAsia="en-AU"/>
        </w:rPr>
        <w:t>–</w:t>
      </w:r>
      <w:r w:rsidRPr="00FA1BEF">
        <w:rPr>
          <w:szCs w:val="22"/>
        </w:rPr>
        <w:t>10 season, where mean egg number was markedly</w:t>
      </w:r>
      <w:r w:rsidRPr="00FA1BEF">
        <w:rPr>
          <w:i/>
          <w:szCs w:val="22"/>
        </w:rPr>
        <w:t xml:space="preserve"> </w:t>
      </w:r>
      <w:r w:rsidRPr="00FA1BEF">
        <w:rPr>
          <w:szCs w:val="22"/>
        </w:rPr>
        <w:t xml:space="preserve">higher (especially test 3) at the downstream site compared with the upstream site (Figure 1). Median EC and mean egg number values for the upstream and downstream sites for the three tests are marked (numbers 3, 4, 5) in their respective water temperature groups in Figure 4. </w:t>
      </w:r>
    </w:p>
    <w:p w:rsidR="00D85FAC" w:rsidRPr="007E617F" w:rsidRDefault="00D85FAC" w:rsidP="00D85FAC">
      <w:pPr>
        <w:rPr>
          <w:spacing w:val="-2"/>
          <w:szCs w:val="22"/>
        </w:rPr>
      </w:pPr>
      <w:r w:rsidRPr="007E617F">
        <w:rPr>
          <w:spacing w:val="-2"/>
          <w:szCs w:val="22"/>
        </w:rPr>
        <w:lastRenderedPageBreak/>
        <w:t>In general, the water quality conditions observed at the sites during the three tests are characterised by either lower EC and/or relatively higher water temperature which, according to the EC-egg number relationships (Figure 4), are conducive to a relative suppression in snail reproductive activity. The warmer waters observed during the third and fourth tests, in particular, were associated with either low flow conditions or the generally warmer conditions associated with a wet season of relatively low rainfall. The mine-related higher EC recorded at the downstream site over the same period of testing, may have reduced the extent of suppression that would otherwise have occurred for Test 5. Otherwise, the upstream values for Tests 3 and 4 appear to be further from the trend lines (lower than expected) than are the corresponding downstream values for the particular temperature regimes, indicating the disparity in egg number between the sites may be largely associated with conditions at the upstream control site.</w:t>
      </w:r>
    </w:p>
    <w:p w:rsidR="00D85FAC" w:rsidRPr="00FA1BEF" w:rsidRDefault="00D85FAC" w:rsidP="00D85FAC">
      <w:pPr>
        <w:pStyle w:val="Heading2"/>
      </w:pPr>
      <w:bookmarkStart w:id="328" w:name="_Toc313523514"/>
      <w:bookmarkStart w:id="329" w:name="_Toc316985363"/>
      <w:r w:rsidRPr="00FA1BEF">
        <w:t>Conclusions</w:t>
      </w:r>
      <w:bookmarkEnd w:id="328"/>
      <w:bookmarkEnd w:id="329"/>
    </w:p>
    <w:p w:rsidR="00D85FAC" w:rsidRPr="00306B42" w:rsidRDefault="00D85FAC" w:rsidP="00D85FAC">
      <w:pPr>
        <w:rPr>
          <w:szCs w:val="22"/>
        </w:rPr>
      </w:pPr>
      <w:r w:rsidRPr="00FA1BEF">
        <w:rPr>
          <w:szCs w:val="22"/>
        </w:rPr>
        <w:t xml:space="preserve">The results reported above contribute significantly to an improved understanding of the environmental factors affecting snail egg response in local creek waters. However, the relatively low predictive power of the regression equations relating egg number to EC and water temperature clearly indicate, apart from variation in the egg laying response itself, that other unmeasured factors are contributing to snail reproductive response. Wet seasons of relatively low rainfall (such as 2009–10), for example, are also associated with relatively lower catchment runoff and delivery of nutrients and suspended organic matter to receiving waters. Measurement of variables that reflect such food availability for stream organisms will be pursued further, noting the lack of correlation between egg number and SIM and SOM found during the 2010–11 wet season </w:t>
      </w:r>
      <w:r w:rsidRPr="00306B42">
        <w:rPr>
          <w:szCs w:val="22"/>
        </w:rPr>
        <w:t>suggests that dissolved nutrients may also need to be investigated. In this context freshwater snails elsewhere have been shown to be able to utilise dissolved organic carbon as a food source (Thomas</w:t>
      </w:r>
      <w:r w:rsidRPr="00306B42">
        <w:rPr>
          <w:szCs w:val="22"/>
          <w:lang w:eastAsia="en-AU"/>
        </w:rPr>
        <w:t xml:space="preserve"> &amp; Kowalczyk 1997).</w:t>
      </w:r>
    </w:p>
    <w:p w:rsidR="00D85FAC" w:rsidRPr="00FA1BEF" w:rsidRDefault="00D85FAC" w:rsidP="00D85FAC">
      <w:pPr>
        <w:rPr>
          <w:szCs w:val="22"/>
        </w:rPr>
      </w:pPr>
      <w:r w:rsidRPr="00FA1BEF">
        <w:rPr>
          <w:szCs w:val="22"/>
        </w:rPr>
        <w:t>The loadings of dissolved and suspended organic matter in receiving waters will likely vary considerably between wet seasons. In particular</w:t>
      </w:r>
      <w:r>
        <w:rPr>
          <w:szCs w:val="22"/>
        </w:rPr>
        <w:t>,</w:t>
      </w:r>
      <w:r w:rsidRPr="00FA1BEF">
        <w:rPr>
          <w:szCs w:val="22"/>
        </w:rPr>
        <w:t xml:space="preserve"> for seasonally-flowing streams subject to alternating high and low rainfall periods (see Figure 2.1 </w:t>
      </w:r>
      <w:r>
        <w:rPr>
          <w:szCs w:val="22"/>
        </w:rPr>
        <w:t>in Supervising Scientist 2011</w:t>
      </w:r>
      <w:r w:rsidRPr="00FA1BEF">
        <w:rPr>
          <w:szCs w:val="22"/>
        </w:rPr>
        <w:t xml:space="preserve">), it could be expected that there would be a very significant pulse flush of </w:t>
      </w:r>
      <w:r>
        <w:rPr>
          <w:szCs w:val="22"/>
        </w:rPr>
        <w:t>landscape-</w:t>
      </w:r>
      <w:r w:rsidRPr="00FA1BEF">
        <w:rPr>
          <w:szCs w:val="22"/>
        </w:rPr>
        <w:t xml:space="preserve">derived nutrients and organic matter to streams when switching from a low to a high rainfall period. This has been described as the </w:t>
      </w:r>
      <w:r>
        <w:rPr>
          <w:szCs w:val="22"/>
        </w:rPr>
        <w:t>‘</w:t>
      </w:r>
      <w:r w:rsidRPr="00FA1BEF">
        <w:rPr>
          <w:szCs w:val="22"/>
        </w:rPr>
        <w:t>flood pulse concept</w:t>
      </w:r>
      <w:r>
        <w:rPr>
          <w:szCs w:val="22"/>
        </w:rPr>
        <w:t>’</w:t>
      </w:r>
      <w:r w:rsidRPr="00FA1BEF">
        <w:rPr>
          <w:szCs w:val="22"/>
        </w:rPr>
        <w:t xml:space="preserve"> (Junk </w:t>
      </w:r>
      <w:r>
        <w:rPr>
          <w:szCs w:val="22"/>
        </w:rPr>
        <w:t>et al</w:t>
      </w:r>
      <w:r w:rsidRPr="00FA1BEF">
        <w:rPr>
          <w:szCs w:val="22"/>
        </w:rPr>
        <w:t xml:space="preserve"> 1989).</w:t>
      </w:r>
    </w:p>
    <w:p w:rsidR="00D85FAC" w:rsidRPr="00FA1BEF" w:rsidRDefault="00D85FAC" w:rsidP="00D85FAC">
      <w:pPr>
        <w:rPr>
          <w:szCs w:val="22"/>
        </w:rPr>
      </w:pPr>
      <w:r w:rsidRPr="00FA1BEF">
        <w:rPr>
          <w:szCs w:val="22"/>
        </w:rPr>
        <w:t xml:space="preserve">The comparatively high egg counts observed for the first three in situ tests conducted in the 2006–07 wet season (Figure 1) may be an indication of such a pulse effect (ie a high rainfall year following several below-average rainfall years), given that the EC and water temperature data associated with these tests no not account for the high egg numbers observed. It is likely that time series analysis of long-term flow data will provide a more fruitful line of investigation in explaining and accounting for such variation. </w:t>
      </w:r>
      <w:r>
        <w:rPr>
          <w:szCs w:val="22"/>
        </w:rPr>
        <w:t>In addition more detailed data will be recorded on s</w:t>
      </w:r>
      <w:r w:rsidRPr="00FA1BEF">
        <w:rPr>
          <w:szCs w:val="22"/>
        </w:rPr>
        <w:t>nail</w:t>
      </w:r>
      <w:r>
        <w:rPr>
          <w:szCs w:val="22"/>
        </w:rPr>
        <w:t xml:space="preserve"> health and physical characteristics (eg body weights) in the aquaculture facility to see if additional influencing environmental variables can be identified with potential direct relevance to the field condition</w:t>
      </w:r>
      <w:r w:rsidRPr="00FA1BEF">
        <w:rPr>
          <w:szCs w:val="22"/>
        </w:rPr>
        <w:t>.</w:t>
      </w:r>
    </w:p>
    <w:p w:rsidR="00D85FAC" w:rsidRPr="00FA1BEF" w:rsidRDefault="00D85FAC" w:rsidP="00D85FAC">
      <w:pPr>
        <w:rPr>
          <w:szCs w:val="22"/>
        </w:rPr>
      </w:pPr>
      <w:r w:rsidRPr="00FA1BEF">
        <w:rPr>
          <w:szCs w:val="22"/>
        </w:rPr>
        <w:t xml:space="preserve">A watching brief will be maintained with ongoing annual assessment and analysis of the long-term data series, in the context of water quality and stream flow variables. It is anticipated that collection of of trapped suspended matter will continue for at least one </w:t>
      </w:r>
      <w:proofErr w:type="gramStart"/>
      <w:r w:rsidRPr="00FA1BEF">
        <w:rPr>
          <w:szCs w:val="22"/>
        </w:rPr>
        <w:t>more wet</w:t>
      </w:r>
      <w:proofErr w:type="gramEnd"/>
      <w:r w:rsidRPr="00FA1BEF">
        <w:rPr>
          <w:szCs w:val="22"/>
        </w:rPr>
        <w:t xml:space="preserve"> season. Consideration will also be given to establishing a test program to investigate the effects of specific dissolved nutrients (including major ions) following the outcome of a review of what is currently known about the dependence of freshwater snails on dis</w:t>
      </w:r>
      <w:r>
        <w:rPr>
          <w:szCs w:val="22"/>
        </w:rPr>
        <w:t>solved nutrient concentrations.</w:t>
      </w:r>
    </w:p>
    <w:p w:rsidR="00D85FAC" w:rsidRPr="00FA1BEF" w:rsidRDefault="00D85FAC" w:rsidP="00D85FAC">
      <w:pPr>
        <w:pStyle w:val="Heading2"/>
      </w:pPr>
      <w:bookmarkStart w:id="330" w:name="_Toc282084593"/>
      <w:bookmarkStart w:id="331" w:name="_Toc313523515"/>
      <w:bookmarkStart w:id="332" w:name="_Toc316985364"/>
      <w:bookmarkEnd w:id="308"/>
      <w:bookmarkEnd w:id="309"/>
      <w:bookmarkEnd w:id="327"/>
      <w:r w:rsidRPr="00FA1BEF">
        <w:lastRenderedPageBreak/>
        <w:t>References</w:t>
      </w:r>
      <w:bookmarkEnd w:id="330"/>
      <w:bookmarkEnd w:id="331"/>
      <w:bookmarkEnd w:id="332"/>
    </w:p>
    <w:p w:rsidR="00D85FAC" w:rsidRDefault="00D85FAC" w:rsidP="00D85FAC">
      <w:pPr>
        <w:pStyle w:val="referencelist1"/>
        <w:spacing w:after="100" w:line="260" w:lineRule="atLeast"/>
        <w:ind w:left="357" w:hanging="357"/>
        <w:rPr>
          <w:szCs w:val="22"/>
        </w:rPr>
      </w:pPr>
      <w:r w:rsidRPr="00FA1BEF">
        <w:rPr>
          <w:szCs w:val="22"/>
          <w:lang w:eastAsia="en-AU"/>
        </w:rPr>
        <w:t xml:space="preserve">Houston M, Hogan A, van Dam R &amp; Nou S 2007. </w:t>
      </w:r>
      <w:proofErr w:type="gramStart"/>
      <w:r w:rsidRPr="00FA1BEF">
        <w:rPr>
          <w:szCs w:val="22"/>
          <w:lang w:eastAsia="en-AU"/>
        </w:rPr>
        <w:t xml:space="preserve">Procedure for the 96 hour gastropod reproduction toxicity test using </w:t>
      </w:r>
      <w:r w:rsidRPr="00FA1BEF">
        <w:rPr>
          <w:i/>
          <w:szCs w:val="22"/>
          <w:lang w:eastAsia="en-AU"/>
        </w:rPr>
        <w:t>Amerianna cumingi</w:t>
      </w:r>
      <w:r w:rsidRPr="00FA1BEF">
        <w:rPr>
          <w:szCs w:val="22"/>
          <w:lang w:eastAsia="en-AU"/>
        </w:rPr>
        <w:t>.</w:t>
      </w:r>
      <w:proofErr w:type="gramEnd"/>
      <w:r w:rsidRPr="00FA1BEF">
        <w:rPr>
          <w:szCs w:val="22"/>
          <w:lang w:eastAsia="en-AU"/>
        </w:rPr>
        <w:t xml:space="preserve"> </w:t>
      </w:r>
      <w:proofErr w:type="gramStart"/>
      <w:r w:rsidRPr="00FA1BEF">
        <w:rPr>
          <w:szCs w:val="22"/>
          <w:lang w:val="en-US"/>
        </w:rPr>
        <w:t xml:space="preserve">Internal Report 525, June, </w:t>
      </w:r>
      <w:r w:rsidRPr="00FA1BEF">
        <w:rPr>
          <w:szCs w:val="22"/>
        </w:rPr>
        <w:t>Supervising Scientist, Darwin.</w:t>
      </w:r>
      <w:proofErr w:type="gramEnd"/>
      <w:r w:rsidRPr="00FA1BEF">
        <w:rPr>
          <w:szCs w:val="22"/>
        </w:rPr>
        <w:t xml:space="preserve"> </w:t>
      </w:r>
      <w:proofErr w:type="gramStart"/>
      <w:r w:rsidRPr="00FA1BEF">
        <w:rPr>
          <w:szCs w:val="22"/>
        </w:rPr>
        <w:t>Unpublished paper.</w:t>
      </w:r>
      <w:proofErr w:type="gramEnd"/>
    </w:p>
    <w:p w:rsidR="00D85FAC" w:rsidRDefault="00D85FAC" w:rsidP="00D85FAC">
      <w:pPr>
        <w:pStyle w:val="referencelist1"/>
        <w:spacing w:after="60"/>
        <w:ind w:left="357" w:hanging="357"/>
        <w:rPr>
          <w:szCs w:val="22"/>
        </w:rPr>
      </w:pPr>
      <w:r>
        <w:rPr>
          <w:szCs w:val="22"/>
        </w:rPr>
        <w:t xml:space="preserve">Humphrey C, Buckle D &amp; Davies C 2011. </w:t>
      </w:r>
      <w:proofErr w:type="gramStart"/>
      <w:r>
        <w:rPr>
          <w:szCs w:val="22"/>
        </w:rPr>
        <w:t>In situ biological monitoring in Gulungul Creek.</w:t>
      </w:r>
      <w:proofErr w:type="gramEnd"/>
      <w:r>
        <w:rPr>
          <w:szCs w:val="22"/>
        </w:rPr>
        <w:t xml:space="preserve"> </w:t>
      </w:r>
      <w:proofErr w:type="gramStart"/>
      <w:r>
        <w:rPr>
          <w:szCs w:val="22"/>
        </w:rPr>
        <w:t xml:space="preserve">In </w:t>
      </w:r>
      <w:r>
        <w:rPr>
          <w:b/>
          <w:i/>
          <w:sz w:val="26"/>
          <w:szCs w:val="26"/>
        </w:rPr>
        <w:t>eriss</w:t>
      </w:r>
      <w:r>
        <w:t xml:space="preserve"> </w:t>
      </w:r>
      <w:r>
        <w:rPr>
          <w:i/>
        </w:rPr>
        <w:t>research summary 2009–2010</w:t>
      </w:r>
      <w:r>
        <w:t>.</w:t>
      </w:r>
      <w:proofErr w:type="gramEnd"/>
      <w:r>
        <w:rPr>
          <w:szCs w:val="22"/>
        </w:rPr>
        <w:t xml:space="preserve"> </w:t>
      </w:r>
      <w:proofErr w:type="gramStart"/>
      <w:r>
        <w:rPr>
          <w:szCs w:val="22"/>
        </w:rPr>
        <w:t>eds</w:t>
      </w:r>
      <w:proofErr w:type="gramEnd"/>
      <w:r>
        <w:rPr>
          <w:szCs w:val="22"/>
        </w:rPr>
        <w:t xml:space="preserve"> Jones DR &amp; Webb A, Supervising Scientist Report 202, Supervising Scientist, </w:t>
      </w:r>
      <w:smartTag w:uri="urn:schemas-microsoft-com:office:smarttags" w:element="place">
        <w:smartTag w:uri="urn:schemas-microsoft-com:office:smarttags" w:element="City">
          <w:r>
            <w:rPr>
              <w:szCs w:val="22"/>
            </w:rPr>
            <w:t>Darwin</w:t>
          </w:r>
        </w:smartTag>
        <w:r>
          <w:rPr>
            <w:szCs w:val="22"/>
          </w:rPr>
          <w:t xml:space="preserve"> </w:t>
        </w:r>
        <w:smartTag w:uri="urn:schemas-microsoft-com:office:smarttags" w:element="State">
          <w:r>
            <w:rPr>
              <w:szCs w:val="22"/>
            </w:rPr>
            <w:t>NT</w:t>
          </w:r>
        </w:smartTag>
      </w:smartTag>
      <w:r>
        <w:rPr>
          <w:szCs w:val="22"/>
        </w:rPr>
        <w:t>, 79–80.</w:t>
      </w:r>
    </w:p>
    <w:p w:rsidR="00D85FAC" w:rsidRDefault="00D85FAC" w:rsidP="00D85FAC">
      <w:pPr>
        <w:pStyle w:val="referencelist1"/>
        <w:spacing w:after="60"/>
        <w:ind w:left="357" w:hanging="357"/>
        <w:rPr>
          <w:szCs w:val="22"/>
        </w:rPr>
      </w:pPr>
      <w:proofErr w:type="gramStart"/>
      <w:r>
        <w:rPr>
          <w:szCs w:val="22"/>
        </w:rPr>
        <w:t>Humphrey C, Davies C &amp; Buckle D 2011.</w:t>
      </w:r>
      <w:proofErr w:type="gramEnd"/>
      <w:r>
        <w:rPr>
          <w:szCs w:val="22"/>
        </w:rPr>
        <w:t xml:space="preserve"> </w:t>
      </w:r>
      <w:proofErr w:type="gramStart"/>
      <w:r>
        <w:rPr>
          <w:szCs w:val="22"/>
        </w:rPr>
        <w:t>Toxicity monitoring in Magela Creek.</w:t>
      </w:r>
      <w:proofErr w:type="gramEnd"/>
      <w:r>
        <w:rPr>
          <w:szCs w:val="22"/>
        </w:rPr>
        <w:t xml:space="preserve"> </w:t>
      </w:r>
      <w:proofErr w:type="gramStart"/>
      <w:r>
        <w:rPr>
          <w:szCs w:val="22"/>
        </w:rPr>
        <w:t xml:space="preserve">In </w:t>
      </w:r>
      <w:r>
        <w:rPr>
          <w:b/>
          <w:i/>
          <w:sz w:val="26"/>
          <w:szCs w:val="26"/>
        </w:rPr>
        <w:t>eriss</w:t>
      </w:r>
      <w:r>
        <w:t xml:space="preserve"> </w:t>
      </w:r>
      <w:r>
        <w:rPr>
          <w:i/>
        </w:rPr>
        <w:t>research summary 2009–2010</w:t>
      </w:r>
      <w:r>
        <w:t>.</w:t>
      </w:r>
      <w:proofErr w:type="gramEnd"/>
      <w:r>
        <w:rPr>
          <w:szCs w:val="22"/>
        </w:rPr>
        <w:t xml:space="preserve"> </w:t>
      </w:r>
      <w:proofErr w:type="gramStart"/>
      <w:r>
        <w:rPr>
          <w:szCs w:val="22"/>
        </w:rPr>
        <w:t>eds</w:t>
      </w:r>
      <w:proofErr w:type="gramEnd"/>
      <w:r>
        <w:rPr>
          <w:szCs w:val="22"/>
        </w:rPr>
        <w:t xml:space="preserve"> Jones DR &amp; Webb A, Supervising Scientist Report 202, Supervising Scientist, </w:t>
      </w:r>
      <w:smartTag w:uri="urn:schemas-microsoft-com:office:smarttags" w:element="place">
        <w:smartTag w:uri="urn:schemas-microsoft-com:office:smarttags" w:element="City">
          <w:r>
            <w:rPr>
              <w:szCs w:val="22"/>
            </w:rPr>
            <w:t>Darwin</w:t>
          </w:r>
        </w:smartTag>
        <w:r>
          <w:rPr>
            <w:szCs w:val="22"/>
          </w:rPr>
          <w:t xml:space="preserve"> </w:t>
        </w:r>
        <w:smartTag w:uri="urn:schemas-microsoft-com:office:smarttags" w:element="State">
          <w:r>
            <w:rPr>
              <w:szCs w:val="22"/>
            </w:rPr>
            <w:t>NT</w:t>
          </w:r>
        </w:smartTag>
      </w:smartTag>
      <w:r>
        <w:rPr>
          <w:szCs w:val="22"/>
        </w:rPr>
        <w:t>, 56–65.</w:t>
      </w:r>
    </w:p>
    <w:p w:rsidR="00D85FAC" w:rsidRPr="007E617F" w:rsidRDefault="00D85FAC" w:rsidP="00D85FAC">
      <w:pPr>
        <w:pStyle w:val="referencelist1"/>
        <w:spacing w:after="100" w:line="260" w:lineRule="atLeast"/>
        <w:ind w:left="357" w:hanging="357"/>
        <w:rPr>
          <w:spacing w:val="-2"/>
          <w:szCs w:val="22"/>
        </w:rPr>
      </w:pPr>
      <w:proofErr w:type="gramStart"/>
      <w:r w:rsidRPr="007E617F">
        <w:rPr>
          <w:spacing w:val="-2"/>
          <w:szCs w:val="22"/>
        </w:rPr>
        <w:t>Junk WJ, Bayley PB &amp; Sparks RE 1989.</w:t>
      </w:r>
      <w:proofErr w:type="gramEnd"/>
      <w:r w:rsidRPr="007E617F">
        <w:rPr>
          <w:spacing w:val="-2"/>
          <w:szCs w:val="22"/>
        </w:rPr>
        <w:t xml:space="preserve"> </w:t>
      </w:r>
      <w:proofErr w:type="gramStart"/>
      <w:r w:rsidRPr="007E617F">
        <w:rPr>
          <w:spacing w:val="-2"/>
          <w:szCs w:val="22"/>
        </w:rPr>
        <w:t>The flood pulse concept in river floodplain systems.</w:t>
      </w:r>
      <w:proofErr w:type="gramEnd"/>
      <w:r w:rsidRPr="007E617F">
        <w:rPr>
          <w:spacing w:val="-2"/>
          <w:szCs w:val="22"/>
        </w:rPr>
        <w:t xml:space="preserve"> In </w:t>
      </w:r>
      <w:r w:rsidRPr="007E617F">
        <w:rPr>
          <w:i/>
          <w:spacing w:val="-2"/>
          <w:szCs w:val="22"/>
        </w:rPr>
        <w:t>Proceedings of the International Large River Symposium (LARS)</w:t>
      </w:r>
      <w:r w:rsidRPr="007E617F">
        <w:rPr>
          <w:spacing w:val="-2"/>
          <w:szCs w:val="22"/>
        </w:rPr>
        <w:t xml:space="preserve">, </w:t>
      </w:r>
      <w:proofErr w:type="gramStart"/>
      <w:r w:rsidRPr="007E617F">
        <w:rPr>
          <w:spacing w:val="-2"/>
          <w:szCs w:val="22"/>
        </w:rPr>
        <w:t>ed</w:t>
      </w:r>
      <w:proofErr w:type="gramEnd"/>
      <w:r w:rsidRPr="007E617F">
        <w:rPr>
          <w:spacing w:val="-2"/>
          <w:szCs w:val="22"/>
        </w:rPr>
        <w:t xml:space="preserve"> P Dodge. Canadian Special Publication of Fisheries and Aquatic Sciences, Ottawa, Canada, 110–127.</w:t>
      </w:r>
    </w:p>
    <w:p w:rsidR="00D85FAC" w:rsidRPr="00964DB7" w:rsidRDefault="00D85FAC" w:rsidP="00D85FAC">
      <w:pPr>
        <w:pStyle w:val="referencelist1"/>
        <w:spacing w:after="100" w:line="260" w:lineRule="atLeast"/>
        <w:ind w:left="357" w:hanging="357"/>
        <w:rPr>
          <w:szCs w:val="22"/>
        </w:rPr>
      </w:pPr>
      <w:proofErr w:type="gramStart"/>
      <w:r>
        <w:rPr>
          <w:szCs w:val="22"/>
        </w:rPr>
        <w:t>Supervising Scientist 2011.</w:t>
      </w:r>
      <w:proofErr w:type="gramEnd"/>
      <w:r>
        <w:rPr>
          <w:szCs w:val="22"/>
        </w:rPr>
        <w:t xml:space="preserve"> </w:t>
      </w:r>
      <w:proofErr w:type="gramStart"/>
      <w:r>
        <w:rPr>
          <w:i/>
          <w:szCs w:val="22"/>
        </w:rPr>
        <w:t>Annual report 2010–2011</w:t>
      </w:r>
      <w:r>
        <w:rPr>
          <w:szCs w:val="22"/>
        </w:rPr>
        <w:t>.</w:t>
      </w:r>
      <w:proofErr w:type="gramEnd"/>
      <w:r>
        <w:rPr>
          <w:szCs w:val="22"/>
        </w:rPr>
        <w:t xml:space="preserve"> </w:t>
      </w:r>
      <w:proofErr w:type="gramStart"/>
      <w:r>
        <w:rPr>
          <w:szCs w:val="22"/>
        </w:rPr>
        <w:t>Supervising Scientist, Darwin.</w:t>
      </w:r>
      <w:proofErr w:type="gramEnd"/>
    </w:p>
    <w:p w:rsidR="00D85FAC" w:rsidRPr="00FA1BEF" w:rsidRDefault="00D85FAC" w:rsidP="00D85FAC">
      <w:pPr>
        <w:pStyle w:val="referencelist1"/>
        <w:spacing w:after="100" w:line="260" w:lineRule="atLeast"/>
        <w:ind w:left="357" w:hanging="357"/>
        <w:rPr>
          <w:szCs w:val="22"/>
        </w:rPr>
      </w:pPr>
      <w:proofErr w:type="gramStart"/>
      <w:r w:rsidRPr="00FA1BEF">
        <w:t>Thomas</w:t>
      </w:r>
      <w:r w:rsidRPr="00FA1BEF">
        <w:rPr>
          <w:lang w:eastAsia="en-AU"/>
        </w:rPr>
        <w:t xml:space="preserve"> JD &amp; Kowalczyk C 1997.</w:t>
      </w:r>
      <w:proofErr w:type="gramEnd"/>
      <w:r w:rsidRPr="00FA1BEF">
        <w:rPr>
          <w:lang w:eastAsia="en-AU"/>
        </w:rPr>
        <w:t xml:space="preserve"> Utilization of </w:t>
      </w:r>
      <w:r>
        <w:rPr>
          <w:lang w:eastAsia="en-AU"/>
        </w:rPr>
        <w:t>d</w:t>
      </w:r>
      <w:r w:rsidRPr="00FA1BEF">
        <w:rPr>
          <w:lang w:eastAsia="en-AU"/>
        </w:rPr>
        <w:t xml:space="preserve">issolved </w:t>
      </w:r>
      <w:r>
        <w:rPr>
          <w:lang w:eastAsia="en-AU"/>
        </w:rPr>
        <w:t>o</w:t>
      </w:r>
      <w:r w:rsidRPr="00FA1BEF">
        <w:rPr>
          <w:lang w:eastAsia="en-AU"/>
        </w:rPr>
        <w:t xml:space="preserve">rganic </w:t>
      </w:r>
      <w:r>
        <w:rPr>
          <w:lang w:eastAsia="en-AU"/>
        </w:rPr>
        <w:t>m</w:t>
      </w:r>
      <w:r w:rsidRPr="00FA1BEF">
        <w:rPr>
          <w:lang w:eastAsia="en-AU"/>
        </w:rPr>
        <w:t xml:space="preserve">atter (DOM), from </w:t>
      </w:r>
      <w:r>
        <w:rPr>
          <w:lang w:eastAsia="en-AU"/>
        </w:rPr>
        <w:t>l</w:t>
      </w:r>
      <w:r w:rsidRPr="00FA1BEF">
        <w:rPr>
          <w:lang w:eastAsia="en-AU"/>
        </w:rPr>
        <w:t xml:space="preserve">iving </w:t>
      </w:r>
      <w:r>
        <w:rPr>
          <w:lang w:eastAsia="en-AU"/>
        </w:rPr>
        <w:t>m</w:t>
      </w:r>
      <w:r w:rsidRPr="00FA1BEF">
        <w:rPr>
          <w:lang w:eastAsia="en-AU"/>
        </w:rPr>
        <w:t xml:space="preserve">acrophytes, by </w:t>
      </w:r>
      <w:r>
        <w:rPr>
          <w:lang w:eastAsia="en-AU"/>
        </w:rPr>
        <w:t>p</w:t>
      </w:r>
      <w:r w:rsidRPr="00FA1BEF">
        <w:rPr>
          <w:lang w:eastAsia="en-AU"/>
        </w:rPr>
        <w:t xml:space="preserve">ulmonate </w:t>
      </w:r>
      <w:r>
        <w:rPr>
          <w:lang w:eastAsia="en-AU"/>
        </w:rPr>
        <w:t>s</w:t>
      </w:r>
      <w:r w:rsidRPr="00FA1BEF">
        <w:rPr>
          <w:lang w:eastAsia="en-AU"/>
        </w:rPr>
        <w:t xml:space="preserve">nails: Implications to the </w:t>
      </w:r>
      <w:r>
        <w:rPr>
          <w:lang w:eastAsia="en-AU"/>
        </w:rPr>
        <w:t>‘f</w:t>
      </w:r>
      <w:r w:rsidRPr="00FA1BEF">
        <w:rPr>
          <w:lang w:eastAsia="en-AU"/>
        </w:rPr>
        <w:t xml:space="preserve">ood </w:t>
      </w:r>
      <w:r>
        <w:rPr>
          <w:lang w:eastAsia="en-AU"/>
        </w:rPr>
        <w:t>w</w:t>
      </w:r>
      <w:r w:rsidRPr="00FA1BEF">
        <w:rPr>
          <w:lang w:eastAsia="en-AU"/>
        </w:rPr>
        <w:t>eb</w:t>
      </w:r>
      <w:r>
        <w:rPr>
          <w:lang w:eastAsia="en-AU"/>
        </w:rPr>
        <w:t>’</w:t>
      </w:r>
      <w:r w:rsidRPr="00FA1BEF">
        <w:rPr>
          <w:lang w:eastAsia="en-AU"/>
        </w:rPr>
        <w:t xml:space="preserve"> and </w:t>
      </w:r>
      <w:r>
        <w:rPr>
          <w:lang w:eastAsia="en-AU"/>
        </w:rPr>
        <w:t>‘m</w:t>
      </w:r>
      <w:r w:rsidRPr="00FA1BEF">
        <w:rPr>
          <w:lang w:eastAsia="en-AU"/>
        </w:rPr>
        <w:t>odule</w:t>
      </w:r>
      <w:r>
        <w:rPr>
          <w:lang w:eastAsia="en-AU"/>
        </w:rPr>
        <w:t>’</w:t>
      </w:r>
      <w:r w:rsidRPr="00FA1BEF">
        <w:rPr>
          <w:lang w:eastAsia="en-AU"/>
        </w:rPr>
        <w:t xml:space="preserve"> </w:t>
      </w:r>
      <w:r>
        <w:rPr>
          <w:lang w:eastAsia="en-AU"/>
        </w:rPr>
        <w:t>c</w:t>
      </w:r>
      <w:r w:rsidRPr="00FA1BEF">
        <w:rPr>
          <w:lang w:eastAsia="en-AU"/>
        </w:rPr>
        <w:t xml:space="preserve">oncepts. </w:t>
      </w:r>
      <w:r w:rsidRPr="00FA1BEF">
        <w:rPr>
          <w:i/>
          <w:lang w:eastAsia="en-AU"/>
        </w:rPr>
        <w:t xml:space="preserve">Comparative Biochemistry &amp; </w:t>
      </w:r>
      <w:r w:rsidRPr="00FA1BEF">
        <w:rPr>
          <w:i/>
        </w:rPr>
        <w:t>Physiology</w:t>
      </w:r>
      <w:r w:rsidRPr="00FA1BEF">
        <w:rPr>
          <w:lang w:eastAsia="en-AU"/>
        </w:rPr>
        <w:t xml:space="preserve"> 117</w:t>
      </w:r>
      <w:r w:rsidRPr="00FA1BEF">
        <w:rPr>
          <w:rFonts w:ascii="Goudy-Bold" w:hAnsi="Goudy-Bold" w:cs="Goudy-Bold"/>
          <w:bCs/>
          <w:lang w:eastAsia="en-AU"/>
        </w:rPr>
        <w:t>A</w:t>
      </w:r>
      <w:r w:rsidRPr="00FA1BEF">
        <w:rPr>
          <w:lang w:eastAsia="en-AU"/>
        </w:rPr>
        <w:t>, 105–119.</w:t>
      </w:r>
    </w:p>
    <w:p w:rsidR="00D85FAC" w:rsidRDefault="00D85FAC" w:rsidP="00D85FAC">
      <w:pPr>
        <w:spacing w:after="0" w:line="240" w:lineRule="auto"/>
        <w:jc w:val="left"/>
      </w:pPr>
    </w:p>
    <w:sectPr w:rsidR="00D85FAC" w:rsidSect="00D85FAC">
      <w:headerReference w:type="even" r:id="rId143"/>
      <w:headerReference w:type="default" r:id="rId144"/>
      <w:footerReference w:type="even" r:id="rId145"/>
      <w:footerReference w:type="default" r:id="rId146"/>
      <w:footerReference w:type="first" r:id="rId147"/>
      <w:pgSz w:w="11906" w:h="16838" w:code="9"/>
      <w:pgMar w:top="1440" w:right="1797" w:bottom="1440" w:left="1797" w:header="851" w:footer="833" w:gutter="0"/>
      <w:cols w:space="3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7D07" w:rsidRDefault="00B87D07">
      <w:r>
        <w:separator/>
      </w:r>
    </w:p>
  </w:endnote>
  <w:endnote w:type="continuationSeparator" w:id="0">
    <w:p w:rsidR="00B87D07" w:rsidRDefault="00B87D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FIGLOG+Arial,Bold">
    <w:altName w:val="Arial"/>
    <w:panose1 w:val="00000000000000000000"/>
    <w:charset w:val="00"/>
    <w:family w:val="swiss"/>
    <w:notTrueType/>
    <w:pitch w:val="default"/>
    <w:sig w:usb0="00000003" w:usb1="00000000" w:usb2="00000000" w:usb3="00000000" w:csb0="00000001" w:csb1="00000000"/>
  </w:font>
  <w:font w:name="Arial Bold Italic">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New (W1)">
    <w:altName w:val="Times New Roman"/>
    <w:charset w:val="00"/>
    <w:family w:val="roman"/>
    <w:pitch w:val="variable"/>
    <w:sig w:usb0="00000000" w:usb1="00000000" w:usb2="00000000" w:usb3="00000000" w:csb0="000001FF" w:csb1="00000000"/>
  </w:font>
  <w:font w:name="Estrangelo Edessa">
    <w:panose1 w:val="03080600000000000000"/>
    <w:charset w:val="00"/>
    <w:family w:val="script"/>
    <w:pitch w:val="variable"/>
    <w:sig w:usb0="80002043" w:usb1="00000000" w:usb2="0000008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panose1 w:val="00000000000000000000"/>
    <w:charset w:val="00"/>
    <w:family w:val="swiss"/>
    <w:notTrueType/>
    <w:pitch w:val="default"/>
    <w:sig w:usb0="00000003" w:usb1="00000000" w:usb2="00000000" w:usb3="00000000" w:csb0="00000001" w:csb1="00000000"/>
  </w:font>
  <w:font w:name="Goudy-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D85FAC">
        <w:rPr>
          <w:noProof/>
        </w:rPr>
        <w:t>20</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 PAGE ">
      <w:r w:rsidR="0066087A">
        <w:rPr>
          <w:noProof/>
        </w:rPr>
        <w:t>26</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D85FAC">
        <w:rPr>
          <w:noProof/>
        </w:rPr>
        <w:t>42</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66087A">
        <w:rPr>
          <w:noProof/>
        </w:rPr>
        <w:t>43</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66087A">
        <w:rPr>
          <w:noProof/>
        </w:rPr>
        <w:t>53</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4C3867" w:rsidRDefault="00D85FAC" w:rsidP="00D85FAC">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D85FAC">
        <w:rPr>
          <w:noProof/>
        </w:rPr>
        <w:t>182</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66087A">
        <w:rPr>
          <w:noProof/>
        </w:rPr>
        <w:t>56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66087A">
        <w:rPr>
          <w:noProof/>
        </w:rPr>
        <w:t>12</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D85FAC">
        <w:t>1</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66087A">
        <w:rPr>
          <w:noProof/>
        </w:rPr>
        <w:t>101</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6B42E4">
        <w:rPr>
          <w:noProof/>
        </w:rPr>
        <w:t>96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66087A">
        <w:rPr>
          <w:noProof/>
        </w:rPr>
        <w:t>10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 PAGE ">
      <w:r w:rsidR="0066087A">
        <w:rPr>
          <w:noProof/>
        </w:rPr>
        <w:t>23</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r>
      <w:rPr>
        <w:rStyle w:val="PageNumber"/>
      </w:rPr>
      <w:fldChar w:fldCharType="begin"/>
    </w:r>
    <w:r w:rsidR="00D85FAC">
      <w:rPr>
        <w:rStyle w:val="PageNumber"/>
      </w:rPr>
      <w:instrText xml:space="preserve"> PAGE </w:instrText>
    </w:r>
    <w:r>
      <w:rPr>
        <w:rStyle w:val="PageNumber"/>
      </w:rPr>
      <w:fldChar w:fldCharType="separate"/>
    </w:r>
    <w:r w:rsidR="0066087A">
      <w:rPr>
        <w:rStyle w:val="PageNumber"/>
        <w:noProof/>
      </w:rPr>
      <w:t>27</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8B47B4" w:rsidRDefault="00D85FAC" w:rsidP="00D85FA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Footer"/>
    </w:pPr>
    <w:fldSimple w:instr="PAGE">
      <w:r w:rsidR="00D85FAC">
        <w:rPr>
          <w:noProof/>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7D07" w:rsidRDefault="00B87D07">
      <w:r>
        <w:separator/>
      </w:r>
    </w:p>
  </w:footnote>
  <w:footnote w:type="continuationSeparator" w:id="0">
    <w:p w:rsidR="00B87D07" w:rsidRDefault="00B87D07">
      <w:r>
        <w:continuationSeparator/>
      </w:r>
    </w:p>
  </w:footnote>
  <w:footnote w:id="1">
    <w:p w:rsidR="00D85FAC" w:rsidRDefault="00D85FAC" w:rsidP="00D85FAC">
      <w:pPr>
        <w:pStyle w:val="FootnoteText"/>
        <w:spacing w:after="0"/>
      </w:pPr>
      <w:r>
        <w:rPr>
          <w:rStyle w:val="FootnoteReference"/>
        </w:rPr>
        <w:footnoteRef/>
      </w:r>
      <w:r>
        <w:t xml:space="preserve"> </w:t>
      </w:r>
      <w:r>
        <w:tab/>
        <w:t xml:space="preserve">Dr Riaz Akber, </w:t>
      </w:r>
      <w:r w:rsidRPr="007660F2">
        <w:t>Safe Radiation, Brisbane</w:t>
      </w:r>
      <w:r>
        <w:t xml:space="preserve"> (www.saferadiation.com)</w:t>
      </w:r>
    </w:p>
  </w:footnote>
  <w:footnote w:id="2">
    <w:p w:rsidR="00D85FAC" w:rsidRDefault="00D85FAC" w:rsidP="00D85FAC">
      <w:pPr>
        <w:pStyle w:val="FootnoteText"/>
      </w:pPr>
      <w:r>
        <w:rPr>
          <w:rStyle w:val="FootnoteReference"/>
        </w:rPr>
        <w:footnoteRef/>
      </w:r>
      <w:r>
        <w:t xml:space="preserve"> </w:t>
      </w:r>
      <w:r>
        <w:tab/>
        <w:t>Dr Ping Lu, Manager Ecology, Energy Resources of Australia Ltd, GPO Box 2394 Darwin NT 0801</w:t>
      </w:r>
    </w:p>
  </w:footnote>
  <w:footnote w:id="3">
    <w:p w:rsidR="00D85FAC" w:rsidRDefault="00D85FAC" w:rsidP="00D85FAC">
      <w:pPr>
        <w:pStyle w:val="FootnoteText"/>
        <w:spacing w:after="0"/>
      </w:pPr>
      <w:r>
        <w:rPr>
          <w:rStyle w:val="FootnoteReference"/>
        </w:rPr>
        <w:footnoteRef/>
      </w:r>
      <w:r>
        <w:t xml:space="preserve"> </w:t>
      </w:r>
      <w:r>
        <w:tab/>
      </w:r>
      <w:proofErr w:type="gramStart"/>
      <w:r w:rsidRPr="00AC2B5B">
        <w:t>Aquatic Solutions International, Dundas, New South Wales, 2117, Australia</w:t>
      </w:r>
      <w:r>
        <w:t>.</w:t>
      </w:r>
      <w:proofErr w:type="gramEnd"/>
    </w:p>
  </w:footnote>
  <w:footnote w:id="4">
    <w:p w:rsidR="00D85FAC" w:rsidRDefault="00D85FAC" w:rsidP="00D85FAC">
      <w:pPr>
        <w:pStyle w:val="FootnoteText"/>
        <w:spacing w:after="0"/>
      </w:pPr>
      <w:r>
        <w:rPr>
          <w:rStyle w:val="FootnoteReference"/>
        </w:rPr>
        <w:footnoteRef/>
      </w:r>
      <w:r>
        <w:t xml:space="preserve"> </w:t>
      </w:r>
      <w:r>
        <w:tab/>
      </w:r>
      <w:proofErr w:type="gramStart"/>
      <w:r w:rsidRPr="00AC2B5B">
        <w:t xml:space="preserve">The </w:t>
      </w:r>
      <w:smartTag w:uri="urn:schemas-microsoft-com:office:smarttags" w:element="PlaceType">
        <w:r w:rsidRPr="00AC2B5B">
          <w:t>University</w:t>
        </w:r>
      </w:smartTag>
      <w:r w:rsidRPr="00AC2B5B">
        <w:t xml:space="preserve"> of </w:t>
      </w:r>
      <w:smartTag w:uri="urn:schemas-microsoft-com:office:smarttags" w:element="PlaceName">
        <w:r w:rsidRPr="00AC2B5B">
          <w:t>Queensland</w:t>
        </w:r>
      </w:smartTag>
      <w:r w:rsidRPr="00AC2B5B">
        <w:t>, National Research Centre</w:t>
      </w:r>
      <w:r>
        <w:t xml:space="preserve"> for Environmental Toxicology, </w:t>
      </w:r>
      <w:r w:rsidRPr="00AC2B5B">
        <w:t xml:space="preserve">Coopers </w:t>
      </w:r>
      <w:smartTag w:uri="urn:schemas-microsoft-com:office:smarttags" w:element="PlaceName">
        <w:r w:rsidRPr="00AC2B5B">
          <w:t>Plains</w:t>
        </w:r>
      </w:smartTag>
      <w:r w:rsidRPr="00AC2B5B">
        <w:t xml:space="preserve">, </w:t>
      </w:r>
      <w:smartTag w:uri="urn:schemas-microsoft-com:office:smarttags" w:element="State">
        <w:r w:rsidRPr="00AC2B5B">
          <w:t>Queensland</w:t>
        </w:r>
      </w:smartTag>
      <w:r w:rsidRPr="00AC2B5B">
        <w:t>, 4108, Australia</w:t>
      </w:r>
      <w:r>
        <w:t>.</w:t>
      </w:r>
      <w:proofErr w:type="gramEnd"/>
    </w:p>
  </w:footnote>
  <w:footnote w:id="5">
    <w:p w:rsidR="00D85FAC" w:rsidRDefault="00D85FAC" w:rsidP="00D85FAC">
      <w:pPr>
        <w:pStyle w:val="FootnoteText"/>
      </w:pPr>
      <w:r>
        <w:rPr>
          <w:rStyle w:val="FootnoteReference"/>
        </w:rPr>
        <w:footnoteRef/>
      </w:r>
      <w:r>
        <w:t xml:space="preserve"> </w:t>
      </w:r>
      <w:r>
        <w:tab/>
      </w:r>
      <w:r w:rsidRPr="00AC2B5B">
        <w:t xml:space="preserve">The </w:t>
      </w:r>
      <w:smartTag w:uri="urn:schemas-microsoft-com:office:smarttags" w:element="PlaceType">
        <w:r w:rsidRPr="00AC2B5B">
          <w:t>University</w:t>
        </w:r>
      </w:smartTag>
      <w:r w:rsidRPr="00AC2B5B">
        <w:t xml:space="preserve"> of </w:t>
      </w:r>
      <w:proofErr w:type="gramStart"/>
      <w:r w:rsidRPr="00AC2B5B">
        <w:t>Queensland,</w:t>
      </w:r>
      <w:proofErr w:type="gramEnd"/>
      <w:r w:rsidRPr="00AC2B5B">
        <w:t xml:space="preserve"> Centre for Mined Land Rehabilitation, </w:t>
      </w:r>
      <w:smartTag w:uri="urn:schemas-microsoft-com:office:smarttags" w:element="country-region">
        <w:r w:rsidRPr="00AC2B5B">
          <w:t>St Lucia</w:t>
        </w:r>
      </w:smartTag>
      <w:r w:rsidRPr="00AC2B5B">
        <w:t xml:space="preserve">, </w:t>
      </w:r>
      <w:smartTag w:uri="urn:schemas-microsoft-com:office:smarttags" w:element="State">
        <w:r w:rsidRPr="00AC2B5B">
          <w:t>Queensland</w:t>
        </w:r>
      </w:smartTag>
      <w:r w:rsidRPr="00AC2B5B">
        <w:t>, 4067, Australia</w:t>
      </w:r>
      <w:r>
        <w:t>.</w:t>
      </w:r>
    </w:p>
  </w:footnote>
  <w:footnote w:id="6">
    <w:p w:rsidR="00D85FAC" w:rsidRPr="00A773B6" w:rsidRDefault="00D85FAC" w:rsidP="00D85FAC">
      <w:pPr>
        <w:pStyle w:val="FootnoteText"/>
        <w:spacing w:after="0"/>
        <w:rPr>
          <w:spacing w:val="-2"/>
        </w:rPr>
      </w:pPr>
      <w:r>
        <w:rPr>
          <w:rStyle w:val="FootnoteReference"/>
        </w:rPr>
        <w:footnoteRef/>
      </w:r>
      <w:r>
        <w:t xml:space="preserve"> </w:t>
      </w:r>
      <w:r>
        <w:tab/>
      </w:r>
      <w:r w:rsidRPr="00A773B6">
        <w:rPr>
          <w:spacing w:val="-2"/>
          <w:szCs w:val="18"/>
        </w:rPr>
        <w:t xml:space="preserve">Centre for Environmental Contaminants Research, CSIRO Land </w:t>
      </w:r>
      <w:r>
        <w:rPr>
          <w:spacing w:val="-2"/>
          <w:szCs w:val="18"/>
        </w:rPr>
        <w:t>&amp;</w:t>
      </w:r>
      <w:r w:rsidRPr="00A773B6">
        <w:rPr>
          <w:spacing w:val="-2"/>
          <w:szCs w:val="18"/>
        </w:rPr>
        <w:t xml:space="preserve"> Water, Locked Bag 2007, Kirrawee, NSW 2232</w:t>
      </w:r>
    </w:p>
  </w:footnote>
  <w:footnote w:id="7">
    <w:p w:rsidR="00D85FAC" w:rsidRDefault="00D85FAC" w:rsidP="00D85FAC">
      <w:pPr>
        <w:pStyle w:val="FootnoteText"/>
        <w:spacing w:after="0"/>
      </w:pPr>
      <w:r>
        <w:rPr>
          <w:rStyle w:val="FootnoteReference"/>
        </w:rPr>
        <w:footnoteRef/>
      </w:r>
      <w:r>
        <w:t xml:space="preserve"> </w:t>
      </w:r>
      <w:r>
        <w:tab/>
      </w:r>
      <w:proofErr w:type="gramStart"/>
      <w:r>
        <w:t xml:space="preserve">School of Environmental and Life Sciences, Charles Darwin University, </w:t>
      </w:r>
      <w:r w:rsidRPr="00EA1569">
        <w:t xml:space="preserve">Darwin, </w:t>
      </w:r>
      <w:r>
        <w:t>NT</w:t>
      </w:r>
      <w:r w:rsidRPr="00EA1569">
        <w:t xml:space="preserve"> 0909</w:t>
      </w:r>
      <w:r>
        <w:t>.</w:t>
      </w:r>
      <w:proofErr w:type="gramEnd"/>
    </w:p>
  </w:footnote>
  <w:footnote w:id="8">
    <w:p w:rsidR="00D85FAC" w:rsidRDefault="00D85FAC" w:rsidP="00D85FAC">
      <w:pPr>
        <w:pStyle w:val="FootnoteText"/>
      </w:pPr>
      <w:r>
        <w:rPr>
          <w:rStyle w:val="FootnoteReference"/>
        </w:rPr>
        <w:footnoteRef/>
      </w:r>
      <w:r>
        <w:t xml:space="preserve"> </w:t>
      </w:r>
      <w:r>
        <w:tab/>
      </w:r>
      <w:r w:rsidRPr="007C748C">
        <w:t>Aquatic Solutions International, 5 Perry St, Dundas Valley</w:t>
      </w:r>
      <w:r>
        <w:t xml:space="preserve"> NSW</w:t>
      </w:r>
      <w:r w:rsidRPr="007C748C">
        <w:t xml:space="preserve"> 2117, Australia</w:t>
      </w:r>
    </w:p>
  </w:footnote>
  <w:footnote w:id="9">
    <w:p w:rsidR="00D85FAC" w:rsidRDefault="00D85FAC" w:rsidP="00D85FAC">
      <w:pPr>
        <w:pStyle w:val="FootnoteText"/>
      </w:pPr>
      <w:r>
        <w:rPr>
          <w:rStyle w:val="FootnoteReference"/>
        </w:rPr>
        <w:footnoteRef/>
      </w:r>
      <w:r>
        <w:t xml:space="preserve"> </w:t>
      </w:r>
      <w:r>
        <w:tab/>
        <w:t>CSIRO Land and Water, Locked Bag 2007, Kirrawee, NSW 2232, Australia</w:t>
      </w:r>
    </w:p>
  </w:footnote>
  <w:footnote w:id="10">
    <w:p w:rsidR="00D85FAC" w:rsidRDefault="00D85FAC" w:rsidP="00D85FAC">
      <w:pPr>
        <w:pStyle w:val="FootnoteText"/>
        <w:spacing w:after="60" w:line="200" w:lineRule="exact"/>
        <w:ind w:left="238" w:hanging="238"/>
      </w:pPr>
      <w:r>
        <w:rPr>
          <w:rStyle w:val="FootnoteReference"/>
        </w:rPr>
        <w:footnoteRef/>
      </w:r>
      <w:r>
        <w:t xml:space="preserve"> </w:t>
      </w:r>
      <w:r>
        <w:tab/>
        <w:t>NOEC – No-Observed-Effect-Concentration; BEC10 – 10% bounded effect concentration, MDEC – minimum detectable effect concentration; low IC</w:t>
      </w:r>
      <w:r w:rsidRPr="00DD1258">
        <w:rPr>
          <w:snapToGrid w:val="0"/>
          <w:color w:val="000000"/>
          <w:position w:val="-4"/>
          <w:sz w:val="12"/>
          <w:szCs w:val="0"/>
          <w:u w:color="000000"/>
        </w:rPr>
        <w:t>x</w:t>
      </w:r>
      <w:r>
        <w:t>; concentration inhibiting the response by a small/acceptable percentage relative to the control response (eg 10% – IC10); IC50 – concentration inhibiting the response by 50% relative to the control response.</w:t>
      </w:r>
    </w:p>
  </w:footnote>
  <w:footnote w:id="11">
    <w:p w:rsidR="00D85FAC" w:rsidRDefault="00D85FAC" w:rsidP="00D85FAC">
      <w:pPr>
        <w:pStyle w:val="FootnoteText"/>
        <w:spacing w:after="0" w:line="240" w:lineRule="auto"/>
        <w:ind w:left="238" w:hanging="238"/>
      </w:pPr>
      <w:r>
        <w:rPr>
          <w:rStyle w:val="FootnoteReference"/>
        </w:rPr>
        <w:footnoteRef/>
      </w:r>
      <w:r>
        <w:t xml:space="preserve"> </w:t>
      </w:r>
      <w:r>
        <w:tab/>
        <w:t xml:space="preserve">Two strains of </w:t>
      </w:r>
      <w:r w:rsidRPr="00F17D57">
        <w:rPr>
          <w:i/>
        </w:rPr>
        <w:t>Chlorella</w:t>
      </w:r>
      <w:r>
        <w:t xml:space="preserve"> have been included in the analysis, although one of the strains (</w:t>
      </w:r>
      <w:r w:rsidRPr="00F17D57">
        <w:rPr>
          <w:i/>
        </w:rPr>
        <w:t>Chlorella</w:t>
      </w:r>
      <w:r>
        <w:t xml:space="preserve"> sp 2) is from Papua New Guinea and is believed to be a different species (J Stauber pers comm). It is included because the work presented here also forms part of a larger body of work that will be relevant to the revision of the ANZECC/ARMCANZ (2000) default national trigger values for U.</w:t>
      </w:r>
    </w:p>
  </w:footnote>
  <w:footnote w:id="12">
    <w:p w:rsidR="00D85FAC" w:rsidRDefault="00D85FAC" w:rsidP="00D85FAC">
      <w:pPr>
        <w:pStyle w:val="FootnoteText"/>
      </w:pPr>
      <w:r>
        <w:rPr>
          <w:rStyle w:val="FootnoteReference"/>
        </w:rPr>
        <w:footnoteRef/>
      </w:r>
      <w:r>
        <w:t xml:space="preserve"> </w:t>
      </w:r>
      <w:r>
        <w:tab/>
      </w:r>
      <w:r w:rsidRPr="00FE3D95">
        <w:t xml:space="preserve">Physico-chemical influences on U toxicity to </w:t>
      </w:r>
      <w:r w:rsidRPr="00FE3D95">
        <w:rPr>
          <w:i/>
        </w:rPr>
        <w:t>M. macleayi</w:t>
      </w:r>
      <w:r w:rsidRPr="00FE3D95">
        <w:t xml:space="preserve"> could not be explored due to the lack of (i) reported physico-chemical data, and (ii) studies specifically addressing such effects.</w:t>
      </w:r>
    </w:p>
  </w:footnote>
  <w:footnote w:id="13">
    <w:p w:rsidR="00D85FAC" w:rsidRDefault="00D85FAC" w:rsidP="00D85FAC">
      <w:pPr>
        <w:pStyle w:val="FootnoteText"/>
        <w:spacing w:after="0" w:line="240" w:lineRule="auto"/>
        <w:ind w:left="238" w:hanging="238"/>
      </w:pPr>
      <w:r>
        <w:rPr>
          <w:rStyle w:val="FootnoteReference"/>
        </w:rPr>
        <w:footnoteRef/>
      </w:r>
      <w:r>
        <w:t xml:space="preserve"> </w:t>
      </w:r>
      <w:r>
        <w:tab/>
      </w:r>
      <w:r w:rsidRPr="00D24C22">
        <w:t xml:space="preserve">The </w:t>
      </w:r>
      <w:smartTag w:uri="urn:schemas-microsoft-com:office:smarttags" w:element="PlaceType">
        <w:r w:rsidRPr="00D24C22">
          <w:t>University</w:t>
        </w:r>
      </w:smartTag>
      <w:r w:rsidRPr="00D24C22">
        <w:t xml:space="preserve"> of </w:t>
      </w:r>
      <w:smartTag w:uri="urn:schemas-microsoft-com:office:smarttags" w:element="PlaceName">
        <w:r w:rsidRPr="00D24C22">
          <w:t>Queensland</w:t>
        </w:r>
      </w:smartTag>
      <w:r w:rsidRPr="00D24C22">
        <w:t xml:space="preserve">, National Research Centre for Environmental Toxicology, Coopers </w:t>
      </w:r>
      <w:smartTag w:uri="urn:schemas-microsoft-com:office:smarttags" w:element="PlaceName">
        <w:r w:rsidRPr="00D24C22">
          <w:t>Plains</w:t>
        </w:r>
      </w:smartTag>
      <w:r w:rsidRPr="00D24C22">
        <w:t xml:space="preserve">, </w:t>
      </w:r>
      <w:smartTag w:uri="urn:schemas-microsoft-com:office:smarttags" w:element="State">
        <w:r w:rsidRPr="00D24C22">
          <w:t>Queensland</w:t>
        </w:r>
      </w:smartTag>
      <w:r w:rsidRPr="00D24C22">
        <w:t xml:space="preserve">, 4108, </w:t>
      </w:r>
      <w:smartTag w:uri="urn:schemas-microsoft-com:office:smarttags" w:element="place">
        <w:smartTag w:uri="urn:schemas-microsoft-com:office:smarttags" w:element="country-region">
          <w:r w:rsidRPr="00D24C22">
            <w:t>Australia</w:t>
          </w:r>
        </w:smartTag>
      </w:smartTag>
    </w:p>
  </w:footnote>
  <w:footnote w:id="14">
    <w:p w:rsidR="00D85FAC" w:rsidRDefault="00D85FAC" w:rsidP="00D85FAC">
      <w:pPr>
        <w:pStyle w:val="FootnoteText"/>
        <w:spacing w:after="0" w:line="240" w:lineRule="auto"/>
        <w:ind w:left="238" w:hanging="238"/>
      </w:pPr>
      <w:r>
        <w:rPr>
          <w:rStyle w:val="FootnoteReference"/>
        </w:rPr>
        <w:footnoteRef/>
      </w:r>
      <w:r>
        <w:t xml:space="preserve"> </w:t>
      </w:r>
      <w:r>
        <w:tab/>
      </w:r>
      <w:r w:rsidRPr="00D24C22">
        <w:t xml:space="preserve">The </w:t>
      </w:r>
      <w:smartTag w:uri="urn:schemas-microsoft-com:office:smarttags" w:element="PlaceType">
        <w:r w:rsidRPr="00D24C22">
          <w:t>University</w:t>
        </w:r>
      </w:smartTag>
      <w:r w:rsidRPr="00D24C22">
        <w:t xml:space="preserve"> of </w:t>
      </w:r>
      <w:smartTag w:uri="urn:schemas-microsoft-com:office:smarttags" w:element="State">
        <w:r w:rsidRPr="00D24C22">
          <w:t>Queensland</w:t>
        </w:r>
      </w:smartTag>
      <w:r w:rsidRPr="00D24C22">
        <w:t xml:space="preserve">, Centre for Mined Land Rehabilitation, </w:t>
      </w:r>
      <w:smartTag w:uri="urn:schemas-microsoft-com:office:smarttags" w:element="country-region">
        <w:r w:rsidRPr="00D24C22">
          <w:t>St Lucia</w:t>
        </w:r>
      </w:smartTag>
      <w:r w:rsidRPr="00D24C22">
        <w:t xml:space="preserve">, </w:t>
      </w:r>
      <w:smartTag w:uri="urn:schemas-microsoft-com:office:smarttags" w:element="State">
        <w:r w:rsidRPr="00D24C22">
          <w:t>Queensland</w:t>
        </w:r>
      </w:smartTag>
      <w:r w:rsidRPr="00D24C22">
        <w:t xml:space="preserve">, 4067, </w:t>
      </w:r>
      <w:smartTag w:uri="urn:schemas-microsoft-com:office:smarttags" w:element="place">
        <w:smartTag w:uri="urn:schemas-microsoft-com:office:smarttags" w:element="country-region">
          <w:r w:rsidRPr="00D24C22">
            <w:t>Australia</w:t>
          </w:r>
        </w:smartTag>
      </w:smartTag>
    </w:p>
  </w:footnote>
  <w:footnote w:id="15">
    <w:p w:rsidR="00D85FAC" w:rsidRDefault="00D85FAC" w:rsidP="00D85FAC">
      <w:pPr>
        <w:pStyle w:val="FootnoteText"/>
        <w:spacing w:after="0" w:line="240" w:lineRule="auto"/>
        <w:ind w:left="238" w:hanging="238"/>
      </w:pPr>
      <w:r>
        <w:rPr>
          <w:rStyle w:val="FootnoteReference"/>
        </w:rPr>
        <w:footnoteRef/>
      </w:r>
      <w:r>
        <w:t xml:space="preserve"> </w:t>
      </w:r>
      <w:r>
        <w:tab/>
      </w:r>
      <w:r w:rsidRPr="00D24C22">
        <w:t xml:space="preserve">Aquatic Solutions International, </w:t>
      </w:r>
      <w:smartTag w:uri="urn:schemas-microsoft-com:office:smarttags" w:element="City">
        <w:r w:rsidRPr="00D24C22">
          <w:t>Dundas</w:t>
        </w:r>
      </w:smartTag>
      <w:r w:rsidRPr="00D24C22">
        <w:t xml:space="preserve">, </w:t>
      </w:r>
      <w:smartTag w:uri="urn:schemas-microsoft-com:office:smarttags" w:element="State">
        <w:r w:rsidRPr="00D24C22">
          <w:t xml:space="preserve">New </w:t>
        </w:r>
        <w:smartTag w:uri="urn:schemas-microsoft-com:office:smarttags" w:element="City">
          <w:r w:rsidRPr="00D24C22">
            <w:t>South</w:t>
          </w:r>
        </w:smartTag>
        <w:r w:rsidRPr="00D24C22">
          <w:t xml:space="preserve"> </w:t>
        </w:r>
        <w:smartTag w:uri="urn:schemas-microsoft-com:office:smarttags" w:element="State">
          <w:r w:rsidRPr="00D24C22">
            <w:t>Wa</w:t>
          </w:r>
        </w:smartTag>
        <w:r w:rsidRPr="00D24C22">
          <w:t>les</w:t>
        </w:r>
      </w:smartTag>
      <w:r w:rsidRPr="00D24C22">
        <w:t xml:space="preserve">, 2117, </w:t>
      </w:r>
      <w:smartTag w:uri="urn:schemas-microsoft-com:office:smarttags" w:element="place">
        <w:smartTag w:uri="urn:schemas-microsoft-com:office:smarttags" w:element="country-region">
          <w:r w:rsidRPr="00D24C22">
            <w:t>Australia</w:t>
          </w:r>
        </w:smartTag>
      </w:smartTag>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pPr>
      <w:pStyle w:val="Header"/>
      <w:jc w:val="right"/>
      <w:rPr>
        <w:smallCaps/>
        <w:sz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C3E00" w:rsidRDefault="00D85FAC" w:rsidP="00D85FAC">
    <w:pPr>
      <w:pStyle w:val="Header"/>
      <w:jc w:val="right"/>
      <w:rPr>
        <w:rFonts w:ascii="Arial" w:hAnsi="Arial"/>
        <w:noProof/>
        <w:sz w:val="16"/>
      </w:rPr>
    </w:pPr>
    <w:r w:rsidRPr="009C3E00">
      <w:rPr>
        <w:rFonts w:ascii="Arial" w:hAnsi="Arial"/>
        <w:noProof/>
        <w:sz w:val="16"/>
      </w:rPr>
      <w:t xml:space="preserve">Dissolved organic carbon ameliorates aluminium toxicity to three tropical freshwater organisms </w:t>
    </w:r>
    <w:r w:rsidRPr="009C3E00">
      <w:rPr>
        <w:rFonts w:ascii="Arial" w:hAnsi="Arial"/>
        <w:noProof/>
        <w:sz w:val="16"/>
      </w:rPr>
      <w:br/>
      <w:t>(MA Trenfield, SJ Markich, JC Ng, B Noller, &amp; RA van Dam)</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C3E00" w:rsidRDefault="00D85FAC" w:rsidP="00D85FAC">
    <w:pPr>
      <w:pStyle w:val="Header"/>
      <w:jc w:val="right"/>
      <w:rPr>
        <w:rFonts w:ascii="Arial" w:hAnsi="Arial"/>
        <w:noProof/>
        <w:sz w:val="16"/>
      </w:rPr>
    </w:pPr>
    <w:r w:rsidRPr="009C3E00">
      <w:rPr>
        <w:rFonts w:ascii="Arial" w:hAnsi="Arial"/>
        <w:noProof/>
        <w:sz w:val="16"/>
      </w:rPr>
      <w:t>KKN 1.2.4  Ecotoxicology</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rsidP="00D85FAC">
    <w:pPr>
      <w:pStyle w:val="Header"/>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C3E00" w:rsidRDefault="00D85FAC" w:rsidP="00D85FAC">
    <w:pPr>
      <w:pStyle w:val="Header"/>
      <w:jc w:val="right"/>
      <w:rPr>
        <w:rFonts w:ascii="Arial" w:hAnsi="Arial"/>
        <w:noProof/>
        <w:sz w:val="16"/>
      </w:rPr>
    </w:pPr>
    <w:r w:rsidRPr="009C3E00">
      <w:rPr>
        <w:rFonts w:ascii="Arial" w:hAnsi="Arial"/>
        <w:noProof/>
        <w:sz w:val="16"/>
      </w:rPr>
      <w:t xml:space="preserve">Dissolved organic carbon ameliorates aluminium toxicity to three tropical freshwater organisms </w:t>
    </w:r>
    <w:r w:rsidRPr="009C3E00">
      <w:rPr>
        <w:rFonts w:ascii="Arial" w:hAnsi="Arial"/>
        <w:noProof/>
        <w:sz w:val="16"/>
      </w:rPr>
      <w:br/>
      <w:t>(MA Trenfield, SJ Markich, JC Ng, B Noller, &amp; RA van Dam)</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C3E00" w:rsidRDefault="00D85FAC" w:rsidP="00D85FAC">
    <w:pPr>
      <w:pStyle w:val="Header"/>
      <w:jc w:val="right"/>
      <w:rPr>
        <w:rFonts w:ascii="Arial" w:hAnsi="Arial"/>
        <w:noProof/>
        <w:sz w:val="16"/>
      </w:rPr>
    </w:pPr>
    <w:r w:rsidRPr="009C3E00">
      <w:rPr>
        <w:rFonts w:ascii="Arial" w:hAnsi="Arial"/>
        <w:noProof/>
        <w:sz w:val="16"/>
      </w:rPr>
      <w:t>Ecotoxicological assessment of distillate from a pilot brine concentrator plant (AJ Harford &amp; RA van Dam)</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C3E00" w:rsidRDefault="00D85FAC" w:rsidP="00D85FAC">
    <w:pPr>
      <w:pStyle w:val="Header"/>
      <w:jc w:val="right"/>
      <w:rPr>
        <w:rFonts w:ascii="Arial" w:hAnsi="Arial"/>
        <w:noProof/>
        <w:sz w:val="16"/>
      </w:rPr>
    </w:pPr>
    <w:r w:rsidRPr="009C3E00">
      <w:rPr>
        <w:rFonts w:ascii="Arial" w:hAnsi="Arial"/>
        <w:noProof/>
        <w:sz w:val="16"/>
      </w:rPr>
      <w:t>Effects of magnesium pulse exposures on aquatic organisms (MA Trenfield, AC Hogan, AJ Harford &amp; RA van Dam)</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D6633" w:rsidRDefault="00D85FAC" w:rsidP="00D85FAC">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A3051E" w:rsidRDefault="00D85FAC" w:rsidP="00D85FAC">
    <w:pPr>
      <w:pStyle w:val="Header"/>
    </w:pPr>
    <w:r>
      <w:t xml:space="preserve">KKN </w:t>
    </w:r>
    <w:proofErr w:type="gramStart"/>
    <w:r>
      <w:t>1.2.4  Ecotoxicology</w:t>
    </w:r>
    <w:proofErr w:type="gramEnd"/>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pPr>
      <w:pStyle w:val="Header"/>
      <w:jc w:val="right"/>
      <w:rPr>
        <w:smallCaps/>
        <w:sz w:val="18"/>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3A4" w:rsidRPr="004843A4" w:rsidRDefault="004843A4" w:rsidP="004843A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081B24">
    <w:pPr>
      <w:pStyle w:val="Header"/>
      <w:jc w:val="right"/>
      <w:rPr>
        <w:sz w:val="14"/>
      </w:rPr>
    </w:pPr>
    <w:fldSimple w:instr=" FILENAME \* Lower\p  \* MERGEFORMAT ">
      <w:r w:rsidR="00D85FAC" w:rsidRPr="007C5FC0">
        <w:rPr>
          <w:noProof/>
          <w:sz w:val="14"/>
        </w:rPr>
        <w:t>c:\ann-webb\ssrs\ssr203</w:t>
      </w:r>
      <w:r w:rsidR="00D85FAC">
        <w:rPr>
          <w:noProof/>
        </w:rPr>
        <w:t>\ssr203_research summary 2010-11.docx</w:t>
      </w:r>
    </w:fldSimple>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rsidP="00D85FAC">
    <w:pPr>
      <w:pStyle w:val="Header"/>
      <w:rPr>
        <w:smallCaps/>
        <w:sz w:val="18"/>
      </w:rPr>
    </w:pPr>
    <w:r>
      <w:t xml:space="preserve">KKN </w:t>
    </w:r>
    <w:proofErr w:type="gramStart"/>
    <w:r>
      <w:t>1.2.4  Ecotoxicology</w:t>
    </w:r>
    <w:proofErr w:type="gramEnd"/>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4843A4" w:rsidRDefault="00D85FAC" w:rsidP="00D85FAC">
    <w:pPr>
      <w:pStyle w:val="Header"/>
      <w:jc w:val="right"/>
      <w:rPr>
        <w:rFonts w:ascii="Arial" w:hAnsi="Arial"/>
        <w:noProof/>
        <w:sz w:val="16"/>
      </w:rPr>
    </w:pPr>
    <w:r w:rsidRPr="004843A4">
      <w:rPr>
        <w:rFonts w:ascii="Arial" w:hAnsi="Arial"/>
        <w:noProof/>
        <w:sz w:val="16"/>
      </w:rPr>
      <w:t xml:space="preserve">Development of a reference toxicity testing program for routine toxicity test species (KL Cheng, AJ Harford </w:t>
    </w:r>
    <w:r w:rsidR="004843A4">
      <w:rPr>
        <w:rFonts w:ascii="Arial" w:hAnsi="Arial"/>
        <w:noProof/>
        <w:sz w:val="16"/>
      </w:rPr>
      <w:br/>
    </w:r>
    <w:r w:rsidRPr="004843A4">
      <w:rPr>
        <w:rFonts w:ascii="Arial" w:hAnsi="Arial"/>
        <w:noProof/>
        <w:sz w:val="16"/>
      </w:rPr>
      <w:t>&amp; RA van Dam)</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rsidP="00D85FAC">
    <w:pPr>
      <w:pStyle w:val="Header"/>
      <w:jc w:val="right"/>
      <w:rPr>
        <w:sz w:val="14"/>
      </w:rPr>
    </w:pPr>
    <w:r>
      <w:rPr>
        <w:sz w:val="14"/>
      </w:rPr>
      <w:t xml:space="preserve">KKN </w:t>
    </w:r>
    <w:proofErr w:type="gramStart"/>
    <w:r>
      <w:rPr>
        <w:sz w:val="14"/>
      </w:rPr>
      <w:t>1.2.4  Ecotoxicology</w:t>
    </w:r>
    <w:proofErr w:type="gramEnd"/>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4843A4" w:rsidRDefault="00D85FAC" w:rsidP="00D85FAC">
    <w:pPr>
      <w:pStyle w:val="Header"/>
      <w:jc w:val="right"/>
      <w:rPr>
        <w:rFonts w:ascii="Arial" w:hAnsi="Arial"/>
        <w:noProof/>
        <w:sz w:val="16"/>
      </w:rPr>
    </w:pPr>
    <w:r w:rsidRPr="004843A4">
      <w:rPr>
        <w:rFonts w:ascii="Arial" w:hAnsi="Arial"/>
        <w:noProof/>
        <w:sz w:val="16"/>
      </w:rPr>
      <w:t>The toxicity of uranium (U) to sediment biota of Magela Creek backflow billabong environments (AJ Harford, RA van Dam, CL Humprey, DR Jones, S Simpson, AA Chariton, KS Gibb &amp; JL Stauber)</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4843A4" w:rsidRDefault="00D85FAC" w:rsidP="00D85FAC">
    <w:pPr>
      <w:pStyle w:val="Header"/>
      <w:jc w:val="right"/>
      <w:rPr>
        <w:rFonts w:ascii="Arial" w:hAnsi="Arial"/>
        <w:noProof/>
        <w:sz w:val="16"/>
      </w:rPr>
    </w:pPr>
    <w:r w:rsidRPr="004843A4">
      <w:rPr>
        <w:rFonts w:ascii="Arial" w:hAnsi="Arial"/>
        <w:noProof/>
        <w:sz w:val="16"/>
      </w:rPr>
      <w:t>KKN 1.2.4  Ecotoxicology</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4843A4" w:rsidRDefault="00D85FAC" w:rsidP="00D85FAC">
    <w:pPr>
      <w:pStyle w:val="Header"/>
      <w:jc w:val="right"/>
      <w:rPr>
        <w:rFonts w:ascii="Arial" w:hAnsi="Arial"/>
        <w:noProof/>
        <w:sz w:val="16"/>
      </w:rPr>
    </w:pPr>
    <w:r w:rsidRPr="004843A4">
      <w:rPr>
        <w:rFonts w:ascii="Arial" w:hAnsi="Arial"/>
        <w:noProof/>
        <w:sz w:val="16"/>
      </w:rPr>
      <w:t>Towards revising the Limit for uranium in Magela Creek: standardisation of toxicity data and incorporation of the effect of dissolved organic carbon (RA van Dam, AJ Harford, MA Trenfield, AC Hogan, SJ Markich &amp; JL Stauber)</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r>
      <w:cr/>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rsidP="00D85FAC">
    <w:pPr>
      <w:pStyle w:val="Header"/>
      <w:rPr>
        <w:smallCaps/>
        <w:sz w:val="18"/>
      </w:rPr>
    </w:pPr>
    <w:r>
      <w:t xml:space="preserve">KKN </w:t>
    </w:r>
    <w:proofErr w:type="gramStart"/>
    <w:r>
      <w:t>1.2.4  Ecotoxicology</w:t>
    </w:r>
    <w:proofErr w:type="gramEnd"/>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4843A4" w:rsidRDefault="00D85FAC" w:rsidP="00D85FAC">
    <w:pPr>
      <w:pStyle w:val="Header"/>
      <w:jc w:val="right"/>
      <w:rPr>
        <w:rFonts w:ascii="Arial" w:hAnsi="Arial"/>
        <w:noProof/>
        <w:sz w:val="16"/>
      </w:rPr>
    </w:pPr>
    <w:r w:rsidRPr="004843A4">
      <w:rPr>
        <w:rFonts w:ascii="Arial" w:hAnsi="Arial"/>
        <w:noProof/>
        <w:sz w:val="16"/>
      </w:rPr>
      <w:t xml:space="preserve">Toxicity of uranium to </w:t>
    </w:r>
    <w:r w:rsidRPr="004843A4">
      <w:rPr>
        <w:rFonts w:ascii="Arial" w:hAnsi="Arial"/>
        <w:i/>
        <w:noProof/>
        <w:sz w:val="16"/>
      </w:rPr>
      <w:t>Euglena gracilis</w:t>
    </w:r>
    <w:r w:rsidRPr="004843A4">
      <w:rPr>
        <w:rFonts w:ascii="Arial" w:hAnsi="Arial"/>
        <w:noProof/>
        <w:sz w:val="16"/>
      </w:rPr>
      <w:t xml:space="preserve"> and the influence of DOC (MA Trenfield, JC Ng B Noller, SJ Markich </w:t>
    </w:r>
    <w:r w:rsidR="004926E3">
      <w:rPr>
        <w:rFonts w:ascii="Arial" w:hAnsi="Arial"/>
        <w:noProof/>
        <w:sz w:val="16"/>
      </w:rPr>
      <w:br/>
    </w:r>
    <w:r w:rsidRPr="004843A4">
      <w:rPr>
        <w:rFonts w:ascii="Arial" w:hAnsi="Arial"/>
        <w:noProof/>
        <w:sz w:val="16"/>
      </w:rPr>
      <w:t>&amp; RA van Dam)</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477852" w:rsidRDefault="00D85FAC" w:rsidP="00D85FAC">
    <w:pPr>
      <w:pStyle w:val="Header"/>
    </w:pPr>
    <w:r>
      <w:rPr>
        <w:noProof/>
      </w:rPr>
      <w:t>KKN 1.3.1  Surface water, groundwater, chemical, biological, sediment, radiological monitoring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rsidP="00D85FAC">
    <w:pPr>
      <w:pStyle w:val="Header"/>
    </w:pPr>
    <w:r>
      <w:t xml:space="preserve">KKN </w:t>
    </w:r>
    <w:proofErr w:type="gramStart"/>
    <w:r>
      <w:t>1.2.1  Ecological</w:t>
    </w:r>
    <w:proofErr w:type="gramEnd"/>
    <w:r>
      <w:t xml:space="preserve"> risks via the surface water pathway</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C3666E" w:rsidRDefault="00D85FAC" w:rsidP="00D85FAC">
    <w:pPr>
      <w:pStyle w:val="Header"/>
      <w:jc w:val="right"/>
      <w:rPr>
        <w:rFonts w:ascii="Arial" w:hAnsi="Arial"/>
        <w:sz w:val="16"/>
      </w:rPr>
    </w:pPr>
    <w:r w:rsidRPr="00C3666E">
      <w:rPr>
        <w:rFonts w:ascii="Arial" w:hAnsi="Arial"/>
        <w:sz w:val="16"/>
      </w:rPr>
      <w:t>Recent developments in Magela Creek solute loads (K Turner, DR Jones &amp; WD Erskine)</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6772D2" w:rsidRDefault="00D85FAC" w:rsidP="00D85FAC">
    <w:pPr>
      <w:pStyle w:val="Header"/>
      <w:jc w:val="right"/>
      <w:rPr>
        <w:rFonts w:ascii="Arial" w:hAnsi="Arial"/>
        <w:sz w:val="16"/>
      </w:rPr>
    </w:pPr>
    <w:r w:rsidRPr="006772D2">
      <w:rPr>
        <w:rFonts w:ascii="Arial" w:hAnsi="Arial"/>
        <w:sz w:val="16"/>
      </w:rPr>
      <w:t xml:space="preserve">KKN </w:t>
    </w:r>
    <w:proofErr w:type="gramStart"/>
    <w:r w:rsidRPr="006772D2">
      <w:rPr>
        <w:rFonts w:ascii="Arial" w:hAnsi="Arial"/>
        <w:sz w:val="16"/>
      </w:rPr>
      <w:t>1.3.1  Surface</w:t>
    </w:r>
    <w:proofErr w:type="gramEnd"/>
    <w:r w:rsidRPr="006772D2">
      <w:rPr>
        <w:rFonts w:ascii="Arial" w:hAnsi="Arial"/>
        <w:sz w:val="16"/>
      </w:rPr>
      <w:t xml:space="preserve"> water, groundwater, chemical, biological, sediment, radiological monitoring</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C3666E" w:rsidRDefault="00D85FAC" w:rsidP="00D85FAC">
    <w:pPr>
      <w:pStyle w:val="Header"/>
      <w:jc w:val="right"/>
      <w:rPr>
        <w:rFonts w:ascii="Arial" w:hAnsi="Arial"/>
        <w:sz w:val="16"/>
      </w:rPr>
    </w:pPr>
    <w:r w:rsidRPr="00C3666E">
      <w:rPr>
        <w:rFonts w:ascii="Arial" w:hAnsi="Arial"/>
        <w:sz w:val="16"/>
      </w:rPr>
      <w:t xml:space="preserve">Atmospheric radioactivity monitoring in the vicinity of Ranger and Jabiluka </w:t>
    </w:r>
    <w:r w:rsidRPr="00C3666E">
      <w:rPr>
        <w:rFonts w:ascii="Arial" w:hAnsi="Arial"/>
        <w:sz w:val="16"/>
      </w:rPr>
      <w:br/>
      <w:t>(C Doering, R Cahill, J Pfitzner &amp; A Bollhöfer)</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66E" w:rsidRPr="00C3666E" w:rsidRDefault="00C3666E" w:rsidP="00C3666E">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C3666E" w:rsidRDefault="00D85FAC" w:rsidP="00D85FAC">
    <w:pPr>
      <w:pStyle w:val="Header"/>
      <w:jc w:val="right"/>
      <w:rPr>
        <w:rFonts w:ascii="Arial" w:hAnsi="Arial"/>
        <w:sz w:val="16"/>
      </w:rPr>
    </w:pPr>
    <w:r w:rsidRPr="00C3666E">
      <w:rPr>
        <w:rFonts w:ascii="Arial" w:hAnsi="Arial"/>
        <w:sz w:val="16"/>
      </w:rPr>
      <w:t xml:space="preserve">Chemical and physical monitoring of Magela Creek (A Frostick, K Turner, L Curtis, S Fagan, L Chandler </w:t>
    </w:r>
    <w:r w:rsidR="00C3666E">
      <w:rPr>
        <w:rFonts w:ascii="Arial" w:hAnsi="Arial"/>
        <w:sz w:val="16"/>
      </w:rPr>
      <w:br/>
    </w:r>
    <w:r w:rsidRPr="00C3666E">
      <w:rPr>
        <w:rFonts w:ascii="Arial" w:hAnsi="Arial"/>
        <w:sz w:val="16"/>
      </w:rPr>
      <w:t>&amp; WD Erskine)</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C3666E" w:rsidRDefault="00D85FAC" w:rsidP="00D85FAC">
    <w:pPr>
      <w:pStyle w:val="Header"/>
      <w:jc w:val="right"/>
      <w:rPr>
        <w:rFonts w:ascii="Arial" w:hAnsi="Arial"/>
        <w:sz w:val="16"/>
      </w:rPr>
    </w:pPr>
    <w:r w:rsidRPr="00C3666E">
      <w:rPr>
        <w:rFonts w:ascii="Arial" w:hAnsi="Arial"/>
        <w:sz w:val="16"/>
      </w:rPr>
      <w:t>Chemical and physical monitoring of Gulungul Creek (A Frostick, K Turner, L Curtis &amp; WD Erskine)</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C3666E" w:rsidRDefault="00D85FAC" w:rsidP="00D85FAC">
    <w:pPr>
      <w:pStyle w:val="Header"/>
      <w:jc w:val="right"/>
      <w:rPr>
        <w:rFonts w:ascii="Arial" w:hAnsi="Arial"/>
        <w:sz w:val="16"/>
      </w:rPr>
    </w:pPr>
    <w:r w:rsidRPr="00C3666E">
      <w:rPr>
        <w:rFonts w:ascii="Arial" w:hAnsi="Arial"/>
        <w:sz w:val="16"/>
      </w:rPr>
      <w:t>Surface water radiological monitoring in the vicinity of Ranger and Jabiluka (P Medley, F Evans &amp; A Bollhöfer)</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C3666E" w:rsidRDefault="00D85FAC" w:rsidP="00D85FAC">
    <w:pPr>
      <w:pStyle w:val="Header"/>
      <w:jc w:val="right"/>
      <w:rPr>
        <w:rFonts w:ascii="Arial" w:hAnsi="Arial"/>
        <w:sz w:val="16"/>
      </w:rPr>
    </w:pPr>
    <w:r w:rsidRPr="00C3666E">
      <w:rPr>
        <w:rFonts w:ascii="Arial" w:hAnsi="Arial"/>
        <w:sz w:val="16"/>
      </w:rPr>
      <w:t>Toxicity monitoring in Magela and Gulungul creeks (C Humphrey, C Davies, M Ellis &amp; D Buckle)</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C3666E" w:rsidRDefault="00D85FAC" w:rsidP="00D85FAC">
    <w:pPr>
      <w:pStyle w:val="Header"/>
      <w:jc w:val="right"/>
      <w:rPr>
        <w:rFonts w:ascii="Arial" w:hAnsi="Arial"/>
        <w:sz w:val="16"/>
      </w:rPr>
    </w:pPr>
    <w:r w:rsidRPr="00C3666E">
      <w:rPr>
        <w:rFonts w:ascii="Arial" w:hAnsi="Arial"/>
        <w:sz w:val="16"/>
      </w:rPr>
      <w:t xml:space="preserve">Bioaccumulation of uranium and radium in freshwater mussels from Mudginberri Billabong </w:t>
    </w:r>
    <w:r w:rsidRPr="00C3666E">
      <w:rPr>
        <w:rFonts w:ascii="Arial" w:hAnsi="Arial"/>
        <w:sz w:val="16"/>
      </w:rPr>
      <w:br/>
      <w:t>(A Bollhöfer, B Ryan, C Humphrey &amp; T Fox)</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510599" w:rsidRDefault="00D85FAC" w:rsidP="00D85FAC">
    <w:pPr>
      <w:pStyle w:val="Header"/>
      <w:jc w:val="right"/>
      <w:rPr>
        <w:rFonts w:ascii="Arial" w:hAnsi="Arial"/>
        <w:sz w:val="16"/>
      </w:rPr>
    </w:pPr>
    <w:r w:rsidRPr="00510599">
      <w:rPr>
        <w:rFonts w:ascii="Arial" w:hAnsi="Arial"/>
        <w:sz w:val="16"/>
      </w:rPr>
      <w:t>Monitoring using macroinvertebrate community structure (C Humphrey, L Chandler, C Camilleri &amp; J Hanley)</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C3E00" w:rsidRDefault="00D85FAC" w:rsidP="00D85FAC">
    <w:pPr>
      <w:pStyle w:val="Header"/>
      <w:jc w:val="right"/>
      <w:rPr>
        <w:rFonts w:ascii="Arial" w:hAnsi="Arial"/>
        <w:noProof/>
        <w:sz w:val="16"/>
      </w:rPr>
    </w:pPr>
    <w:r w:rsidRPr="009C3E00">
      <w:rPr>
        <w:rFonts w:ascii="Arial" w:hAnsi="Arial"/>
        <w:noProof/>
        <w:sz w:val="16"/>
      </w:rPr>
      <w:t xml:space="preserve">Conceptual models of contaminant transport pathways for the operational phase of the Ranger mine </w:t>
    </w:r>
    <w:r w:rsidRPr="009C3E00">
      <w:rPr>
        <w:rFonts w:ascii="Arial" w:hAnsi="Arial"/>
        <w:noProof/>
        <w:sz w:val="16"/>
      </w:rPr>
      <w:br/>
      <w:t>(S Parker, RE Bartolo &amp; RA van Dam)</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477852" w:rsidRDefault="00D85FAC" w:rsidP="00D85FAC">
    <w:pPr>
      <w:pStyle w:val="Header"/>
      <w:jc w:val="right"/>
    </w:pPr>
    <w:r w:rsidRPr="00964CBE">
      <w:t>Monitoring using</w:t>
    </w:r>
    <w:r>
      <w:t xml:space="preserve"> </w:t>
    </w:r>
    <w:r w:rsidRPr="00964CBE">
      <w:t>fish community structure</w:t>
    </w:r>
    <w:r>
      <w:t xml:space="preserve"> (</w:t>
    </w:r>
    <w:r w:rsidRPr="0066010C">
      <w:t>D Buckle, C Davies &amp; C Humphrey)</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pPr>
      <w:pStyle w:val="Header"/>
      <w:jc w:val="right"/>
      <w:rPr>
        <w:smallCaps/>
        <w:sz w:val="18"/>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510599" w:rsidRDefault="00D85FAC" w:rsidP="00D85FAC">
    <w:pPr>
      <w:pStyle w:val="Header"/>
      <w:jc w:val="right"/>
      <w:rPr>
        <w:rFonts w:ascii="Arial" w:hAnsi="Arial"/>
        <w:sz w:val="16"/>
      </w:rPr>
    </w:pPr>
    <w:r w:rsidRPr="00510599">
      <w:rPr>
        <w:rFonts w:ascii="Arial" w:hAnsi="Arial"/>
        <w:sz w:val="16"/>
      </w:rPr>
      <w:t>Ranger stream monitoring research: Further analysis of toxicity monitoring data for Magela and Gulungul creeks (C</w:t>
    </w:r>
    <w:r w:rsidR="00510599">
      <w:rPr>
        <w:rFonts w:ascii="Arial" w:hAnsi="Arial"/>
        <w:sz w:val="16"/>
      </w:rPr>
      <w:t> </w:t>
    </w:r>
    <w:r w:rsidRPr="00510599">
      <w:rPr>
        <w:rFonts w:ascii="Arial" w:hAnsi="Arial"/>
        <w:sz w:val="16"/>
      </w:rPr>
      <w:t>Humphrey, D Buckle &amp; C Davies)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C3E00" w:rsidRDefault="00D85FAC" w:rsidP="00D85FAC">
    <w:pPr>
      <w:pStyle w:val="Header"/>
      <w:jc w:val="right"/>
      <w:rPr>
        <w:rFonts w:ascii="Arial" w:hAnsi="Arial"/>
        <w:noProof/>
        <w:sz w:val="16"/>
      </w:rPr>
    </w:pPr>
    <w:r w:rsidRPr="009C3E00">
      <w:rPr>
        <w:rFonts w:ascii="Arial" w:hAnsi="Arial"/>
        <w:noProof/>
        <w:sz w:val="16"/>
      </w:rPr>
      <w:t>KKN 1.2.1  Ecological risks via the surface water pathway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rsidP="00D85FAC">
    <w:pPr>
      <w:pStyle w:val="Header"/>
    </w:pPr>
    <w:r>
      <w:t xml:space="preserve">KKN </w:t>
    </w:r>
    <w:proofErr w:type="gramStart"/>
    <w:r>
      <w:t>1.2.2  Land</w:t>
    </w:r>
    <w:proofErr w:type="gramEnd"/>
    <w:r>
      <w:t xml:space="preserve"> irrigation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C3E00" w:rsidRDefault="00D85FAC" w:rsidP="00D85FAC">
    <w:pPr>
      <w:pStyle w:val="Header"/>
      <w:jc w:val="right"/>
      <w:rPr>
        <w:rFonts w:ascii="Arial" w:hAnsi="Arial"/>
        <w:noProof/>
        <w:sz w:val="16"/>
      </w:rPr>
    </w:pPr>
    <w:r w:rsidRPr="009C3E00">
      <w:rPr>
        <w:rFonts w:ascii="Arial" w:hAnsi="Arial"/>
        <w:noProof/>
        <w:sz w:val="16"/>
      </w:rPr>
      <w:t xml:space="preserve">Characterisation of contamination at land application areas at Ranger (collaborative project with ERA) </w:t>
    </w:r>
    <w:r w:rsidRPr="009C3E00">
      <w:rPr>
        <w:rFonts w:ascii="Arial" w:hAnsi="Arial"/>
        <w:noProof/>
        <w:sz w:val="16"/>
      </w:rPr>
      <w:br/>
      <w:t>(R Akber, A Bollhöfer &amp; P Lu</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Pr="009C3E00" w:rsidRDefault="00D85FAC" w:rsidP="00D85FAC">
    <w:pPr>
      <w:pStyle w:val="Header"/>
      <w:jc w:val="right"/>
      <w:rPr>
        <w:rFonts w:ascii="Arial" w:hAnsi="Arial"/>
        <w:noProof/>
        <w:sz w:val="16"/>
      </w:rPr>
    </w:pPr>
    <w:r w:rsidRPr="009C3E00">
      <w:rPr>
        <w:rFonts w:ascii="Arial" w:hAnsi="Arial"/>
        <w:noProof/>
        <w:sz w:val="16"/>
      </w:rPr>
      <w:t>KKN 1.2.2  Land irrigation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FAC" w:rsidRDefault="00D85FAC" w:rsidP="00D85FAC">
    <w:pPr>
      <w:pStyle w:val="Header"/>
    </w:pPr>
    <w:r>
      <w:t xml:space="preserve">KKN </w:t>
    </w:r>
    <w:proofErr w:type="gramStart"/>
    <w:r>
      <w:t>1.2.4  Ecotoxicology</w:t>
    </w:r>
    <w:proofErr w:type="gram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A01A0"/>
    <w:multiLevelType w:val="hybridMultilevel"/>
    <w:tmpl w:val="2BE0A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0982936"/>
    <w:multiLevelType w:val="hybridMultilevel"/>
    <w:tmpl w:val="B824CCFE"/>
    <w:lvl w:ilvl="0" w:tplc="2F704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64B5B03"/>
    <w:multiLevelType w:val="hybridMultilevel"/>
    <w:tmpl w:val="0E564588"/>
    <w:lvl w:ilvl="0" w:tplc="3FF880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1"/>
  </w:num>
  <w:num w:numId="5">
    <w:abstractNumId w:val="2"/>
  </w:num>
  <w:num w:numId="6">
    <w:abstractNumId w:val="3"/>
  </w:num>
  <w:num w:numId="7">
    <w:abstractNumId w:val="0"/>
  </w:num>
  <w:num w:numId="8">
    <w:abstractNumId w:val="3"/>
    <w:lvlOverride w:ilvl="0">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intFractionalCharacterWidth/>
  <w:hideSpellingErrors/>
  <w:hideGrammaticalErrors/>
  <w:proofState w:grammar="clean"/>
  <w:stylePaneFormatFilter w:val="3F01"/>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numRestart w:val="eachSect"/>
    <w:footnote w:id="-1"/>
    <w:footnote w:id="0"/>
  </w:footnotePr>
  <w:endnotePr>
    <w:endnote w:id="-1"/>
    <w:endnote w:id="0"/>
  </w:endnotePr>
  <w:compat/>
  <w:rsids>
    <w:rsidRoot w:val="009C3E00"/>
    <w:rsid w:val="00000C98"/>
    <w:rsid w:val="00006C0E"/>
    <w:rsid w:val="0001589D"/>
    <w:rsid w:val="00017B14"/>
    <w:rsid w:val="00017DB7"/>
    <w:rsid w:val="0002272C"/>
    <w:rsid w:val="0003782C"/>
    <w:rsid w:val="00050B13"/>
    <w:rsid w:val="0005479D"/>
    <w:rsid w:val="000669BE"/>
    <w:rsid w:val="00066C4E"/>
    <w:rsid w:val="000713C6"/>
    <w:rsid w:val="00075939"/>
    <w:rsid w:val="00081B24"/>
    <w:rsid w:val="000845D9"/>
    <w:rsid w:val="00087931"/>
    <w:rsid w:val="00097528"/>
    <w:rsid w:val="000A2B5B"/>
    <w:rsid w:val="000B2922"/>
    <w:rsid w:val="000B29C9"/>
    <w:rsid w:val="000B2D97"/>
    <w:rsid w:val="000B2EEC"/>
    <w:rsid w:val="000B3732"/>
    <w:rsid w:val="000B545B"/>
    <w:rsid w:val="000B7847"/>
    <w:rsid w:val="000C092F"/>
    <w:rsid w:val="000C0E75"/>
    <w:rsid w:val="000C571C"/>
    <w:rsid w:val="000C6829"/>
    <w:rsid w:val="000D11B6"/>
    <w:rsid w:val="000E50A5"/>
    <w:rsid w:val="000E58C4"/>
    <w:rsid w:val="000E65F5"/>
    <w:rsid w:val="000E76C9"/>
    <w:rsid w:val="000E7C07"/>
    <w:rsid w:val="000F0830"/>
    <w:rsid w:val="000F5233"/>
    <w:rsid w:val="00110195"/>
    <w:rsid w:val="00111997"/>
    <w:rsid w:val="0011217A"/>
    <w:rsid w:val="00113765"/>
    <w:rsid w:val="0011436C"/>
    <w:rsid w:val="001214C4"/>
    <w:rsid w:val="00123CF8"/>
    <w:rsid w:val="00125327"/>
    <w:rsid w:val="00125F0A"/>
    <w:rsid w:val="0012678B"/>
    <w:rsid w:val="001269FC"/>
    <w:rsid w:val="001270F4"/>
    <w:rsid w:val="00134186"/>
    <w:rsid w:val="00134695"/>
    <w:rsid w:val="00134D9F"/>
    <w:rsid w:val="00142D27"/>
    <w:rsid w:val="00145731"/>
    <w:rsid w:val="00154A5E"/>
    <w:rsid w:val="001601EF"/>
    <w:rsid w:val="00163EEA"/>
    <w:rsid w:val="001656AC"/>
    <w:rsid w:val="0016597F"/>
    <w:rsid w:val="00176891"/>
    <w:rsid w:val="00180D27"/>
    <w:rsid w:val="0019142D"/>
    <w:rsid w:val="001A4E41"/>
    <w:rsid w:val="001A7136"/>
    <w:rsid w:val="001B053F"/>
    <w:rsid w:val="001B09BD"/>
    <w:rsid w:val="001B78A2"/>
    <w:rsid w:val="001B7E04"/>
    <w:rsid w:val="001C0E26"/>
    <w:rsid w:val="001C1173"/>
    <w:rsid w:val="001C2362"/>
    <w:rsid w:val="001C3301"/>
    <w:rsid w:val="001C3A3E"/>
    <w:rsid w:val="001C4EE1"/>
    <w:rsid w:val="001C6950"/>
    <w:rsid w:val="001D61DA"/>
    <w:rsid w:val="001E2550"/>
    <w:rsid w:val="001E300A"/>
    <w:rsid w:val="001E357E"/>
    <w:rsid w:val="001E6A03"/>
    <w:rsid w:val="001F4AA1"/>
    <w:rsid w:val="00211FB4"/>
    <w:rsid w:val="00213B63"/>
    <w:rsid w:val="00213B6C"/>
    <w:rsid w:val="00214161"/>
    <w:rsid w:val="002142E4"/>
    <w:rsid w:val="002156A7"/>
    <w:rsid w:val="00215B62"/>
    <w:rsid w:val="00221233"/>
    <w:rsid w:val="00222BE9"/>
    <w:rsid w:val="00223FBD"/>
    <w:rsid w:val="002245D8"/>
    <w:rsid w:val="00226125"/>
    <w:rsid w:val="00226DCA"/>
    <w:rsid w:val="00226F5A"/>
    <w:rsid w:val="00231192"/>
    <w:rsid w:val="002326AF"/>
    <w:rsid w:val="00233DF2"/>
    <w:rsid w:val="00235C96"/>
    <w:rsid w:val="00235E84"/>
    <w:rsid w:val="00235F26"/>
    <w:rsid w:val="00235F94"/>
    <w:rsid w:val="00243311"/>
    <w:rsid w:val="002448D0"/>
    <w:rsid w:val="00245C83"/>
    <w:rsid w:val="0025118E"/>
    <w:rsid w:val="00277807"/>
    <w:rsid w:val="00280BAB"/>
    <w:rsid w:val="002B4431"/>
    <w:rsid w:val="002B44AF"/>
    <w:rsid w:val="002B4C07"/>
    <w:rsid w:val="002C106A"/>
    <w:rsid w:val="002C380E"/>
    <w:rsid w:val="002D23B7"/>
    <w:rsid w:val="002D35E4"/>
    <w:rsid w:val="002D447D"/>
    <w:rsid w:val="002E2F0F"/>
    <w:rsid w:val="002E3D13"/>
    <w:rsid w:val="002E5826"/>
    <w:rsid w:val="002F0BA5"/>
    <w:rsid w:val="002F707B"/>
    <w:rsid w:val="003100CE"/>
    <w:rsid w:val="00311B98"/>
    <w:rsid w:val="00313409"/>
    <w:rsid w:val="00315F5E"/>
    <w:rsid w:val="0031698F"/>
    <w:rsid w:val="00317937"/>
    <w:rsid w:val="00317AF0"/>
    <w:rsid w:val="00320C74"/>
    <w:rsid w:val="0032274C"/>
    <w:rsid w:val="00322964"/>
    <w:rsid w:val="00325CC8"/>
    <w:rsid w:val="003263BE"/>
    <w:rsid w:val="00327272"/>
    <w:rsid w:val="00327BBC"/>
    <w:rsid w:val="0033105C"/>
    <w:rsid w:val="00331506"/>
    <w:rsid w:val="0034332C"/>
    <w:rsid w:val="003448B8"/>
    <w:rsid w:val="00346BE6"/>
    <w:rsid w:val="00347201"/>
    <w:rsid w:val="00355414"/>
    <w:rsid w:val="00356AF1"/>
    <w:rsid w:val="003667F8"/>
    <w:rsid w:val="00370817"/>
    <w:rsid w:val="00371A8C"/>
    <w:rsid w:val="00376E45"/>
    <w:rsid w:val="0037727B"/>
    <w:rsid w:val="00384BD8"/>
    <w:rsid w:val="00386168"/>
    <w:rsid w:val="00386C78"/>
    <w:rsid w:val="00394A27"/>
    <w:rsid w:val="00396106"/>
    <w:rsid w:val="003A067F"/>
    <w:rsid w:val="003A0DD0"/>
    <w:rsid w:val="003A26E8"/>
    <w:rsid w:val="003A2704"/>
    <w:rsid w:val="003B1789"/>
    <w:rsid w:val="003B299C"/>
    <w:rsid w:val="003B3460"/>
    <w:rsid w:val="003C76D0"/>
    <w:rsid w:val="003D1712"/>
    <w:rsid w:val="003D55F8"/>
    <w:rsid w:val="003D7C88"/>
    <w:rsid w:val="003D7C8C"/>
    <w:rsid w:val="003E08F8"/>
    <w:rsid w:val="003E4BFC"/>
    <w:rsid w:val="003E54C7"/>
    <w:rsid w:val="003E64BA"/>
    <w:rsid w:val="003F13C7"/>
    <w:rsid w:val="003F3829"/>
    <w:rsid w:val="00400D67"/>
    <w:rsid w:val="00404DF1"/>
    <w:rsid w:val="00406518"/>
    <w:rsid w:val="004117E8"/>
    <w:rsid w:val="00413BFC"/>
    <w:rsid w:val="00414B20"/>
    <w:rsid w:val="004207B3"/>
    <w:rsid w:val="00425A27"/>
    <w:rsid w:val="00430666"/>
    <w:rsid w:val="00445C20"/>
    <w:rsid w:val="004479D5"/>
    <w:rsid w:val="00451B07"/>
    <w:rsid w:val="00454032"/>
    <w:rsid w:val="00457754"/>
    <w:rsid w:val="0046129E"/>
    <w:rsid w:val="00463B64"/>
    <w:rsid w:val="00465089"/>
    <w:rsid w:val="004657FE"/>
    <w:rsid w:val="004756D5"/>
    <w:rsid w:val="004761F4"/>
    <w:rsid w:val="004767AE"/>
    <w:rsid w:val="00480BD5"/>
    <w:rsid w:val="00482DE9"/>
    <w:rsid w:val="0048329E"/>
    <w:rsid w:val="004843A4"/>
    <w:rsid w:val="004866CD"/>
    <w:rsid w:val="00486FC5"/>
    <w:rsid w:val="004926E3"/>
    <w:rsid w:val="00492C28"/>
    <w:rsid w:val="00494101"/>
    <w:rsid w:val="0049749E"/>
    <w:rsid w:val="004A4033"/>
    <w:rsid w:val="004A579F"/>
    <w:rsid w:val="004B2F3D"/>
    <w:rsid w:val="004B401B"/>
    <w:rsid w:val="004C68AF"/>
    <w:rsid w:val="004D15CD"/>
    <w:rsid w:val="004E1F27"/>
    <w:rsid w:val="004E4021"/>
    <w:rsid w:val="004F1DEB"/>
    <w:rsid w:val="004F327F"/>
    <w:rsid w:val="004F6802"/>
    <w:rsid w:val="004F6F50"/>
    <w:rsid w:val="0050266D"/>
    <w:rsid w:val="005068E7"/>
    <w:rsid w:val="00510078"/>
    <w:rsid w:val="00510599"/>
    <w:rsid w:val="00510AB6"/>
    <w:rsid w:val="0051503C"/>
    <w:rsid w:val="00516F7C"/>
    <w:rsid w:val="005227D4"/>
    <w:rsid w:val="00525BE1"/>
    <w:rsid w:val="005303CA"/>
    <w:rsid w:val="00530AA8"/>
    <w:rsid w:val="005315FA"/>
    <w:rsid w:val="005321FE"/>
    <w:rsid w:val="00533656"/>
    <w:rsid w:val="00536229"/>
    <w:rsid w:val="005439C2"/>
    <w:rsid w:val="00544239"/>
    <w:rsid w:val="00544A97"/>
    <w:rsid w:val="005479DC"/>
    <w:rsid w:val="00551213"/>
    <w:rsid w:val="00557A7B"/>
    <w:rsid w:val="00561274"/>
    <w:rsid w:val="0056309D"/>
    <w:rsid w:val="005662DE"/>
    <w:rsid w:val="00571270"/>
    <w:rsid w:val="005806E9"/>
    <w:rsid w:val="00581172"/>
    <w:rsid w:val="00586E16"/>
    <w:rsid w:val="00591815"/>
    <w:rsid w:val="00595FA4"/>
    <w:rsid w:val="005A4C7F"/>
    <w:rsid w:val="005A5C40"/>
    <w:rsid w:val="005B1EF0"/>
    <w:rsid w:val="005B4285"/>
    <w:rsid w:val="005B5ACB"/>
    <w:rsid w:val="005B68C8"/>
    <w:rsid w:val="005C7833"/>
    <w:rsid w:val="005C7EE2"/>
    <w:rsid w:val="005D1AC4"/>
    <w:rsid w:val="005D407F"/>
    <w:rsid w:val="005D52DC"/>
    <w:rsid w:val="005D60E2"/>
    <w:rsid w:val="005E354E"/>
    <w:rsid w:val="005E3E46"/>
    <w:rsid w:val="005E4AFB"/>
    <w:rsid w:val="005E68DA"/>
    <w:rsid w:val="005F327D"/>
    <w:rsid w:val="005F4A4B"/>
    <w:rsid w:val="005F65E6"/>
    <w:rsid w:val="00601C9B"/>
    <w:rsid w:val="00606BEC"/>
    <w:rsid w:val="0061240B"/>
    <w:rsid w:val="00614B21"/>
    <w:rsid w:val="0061709F"/>
    <w:rsid w:val="00624D46"/>
    <w:rsid w:val="0062759B"/>
    <w:rsid w:val="00630609"/>
    <w:rsid w:val="00635B10"/>
    <w:rsid w:val="00642034"/>
    <w:rsid w:val="00642D5F"/>
    <w:rsid w:val="00644AD8"/>
    <w:rsid w:val="006542DC"/>
    <w:rsid w:val="00654608"/>
    <w:rsid w:val="006553B6"/>
    <w:rsid w:val="0065608E"/>
    <w:rsid w:val="00656167"/>
    <w:rsid w:val="0066087A"/>
    <w:rsid w:val="00666DB4"/>
    <w:rsid w:val="00667337"/>
    <w:rsid w:val="00672CB5"/>
    <w:rsid w:val="00674D13"/>
    <w:rsid w:val="0067603A"/>
    <w:rsid w:val="00676BD7"/>
    <w:rsid w:val="0067722C"/>
    <w:rsid w:val="006772D2"/>
    <w:rsid w:val="00677BB2"/>
    <w:rsid w:val="00677DF6"/>
    <w:rsid w:val="00691D8E"/>
    <w:rsid w:val="00691E0C"/>
    <w:rsid w:val="00693703"/>
    <w:rsid w:val="006969EF"/>
    <w:rsid w:val="006977F4"/>
    <w:rsid w:val="006A040F"/>
    <w:rsid w:val="006A21A8"/>
    <w:rsid w:val="006A29AE"/>
    <w:rsid w:val="006A2F31"/>
    <w:rsid w:val="006B42E4"/>
    <w:rsid w:val="006B44D2"/>
    <w:rsid w:val="006B4740"/>
    <w:rsid w:val="006C16BC"/>
    <w:rsid w:val="006C2ABD"/>
    <w:rsid w:val="006C3035"/>
    <w:rsid w:val="006C3ADE"/>
    <w:rsid w:val="006D14C8"/>
    <w:rsid w:val="006E54AF"/>
    <w:rsid w:val="006F3939"/>
    <w:rsid w:val="006F3C87"/>
    <w:rsid w:val="006F4A8E"/>
    <w:rsid w:val="00701036"/>
    <w:rsid w:val="00701E39"/>
    <w:rsid w:val="00704EA0"/>
    <w:rsid w:val="00705831"/>
    <w:rsid w:val="007135BC"/>
    <w:rsid w:val="00715816"/>
    <w:rsid w:val="0073509E"/>
    <w:rsid w:val="00735FE2"/>
    <w:rsid w:val="00743C22"/>
    <w:rsid w:val="00745AA8"/>
    <w:rsid w:val="00745D45"/>
    <w:rsid w:val="00747309"/>
    <w:rsid w:val="00751503"/>
    <w:rsid w:val="00764540"/>
    <w:rsid w:val="00764710"/>
    <w:rsid w:val="00767F4F"/>
    <w:rsid w:val="00772DBE"/>
    <w:rsid w:val="007773C1"/>
    <w:rsid w:val="00781BA0"/>
    <w:rsid w:val="007934E3"/>
    <w:rsid w:val="007936D6"/>
    <w:rsid w:val="00794C12"/>
    <w:rsid w:val="007A0813"/>
    <w:rsid w:val="007A615F"/>
    <w:rsid w:val="007B27C6"/>
    <w:rsid w:val="007B34B6"/>
    <w:rsid w:val="007B3880"/>
    <w:rsid w:val="007B4340"/>
    <w:rsid w:val="007B6D4E"/>
    <w:rsid w:val="007C1242"/>
    <w:rsid w:val="007C2263"/>
    <w:rsid w:val="007C5B39"/>
    <w:rsid w:val="007C5EC6"/>
    <w:rsid w:val="007D07BC"/>
    <w:rsid w:val="007D3A08"/>
    <w:rsid w:val="007D68EC"/>
    <w:rsid w:val="007E0142"/>
    <w:rsid w:val="007E65D9"/>
    <w:rsid w:val="007E6805"/>
    <w:rsid w:val="007F5ED7"/>
    <w:rsid w:val="007F6CE3"/>
    <w:rsid w:val="008071A0"/>
    <w:rsid w:val="00815A1F"/>
    <w:rsid w:val="00817522"/>
    <w:rsid w:val="00817627"/>
    <w:rsid w:val="00821E45"/>
    <w:rsid w:val="00826BDB"/>
    <w:rsid w:val="00831F5A"/>
    <w:rsid w:val="00835364"/>
    <w:rsid w:val="008428E5"/>
    <w:rsid w:val="0084399C"/>
    <w:rsid w:val="008513CD"/>
    <w:rsid w:val="00852E02"/>
    <w:rsid w:val="00852E88"/>
    <w:rsid w:val="00855E93"/>
    <w:rsid w:val="00857F28"/>
    <w:rsid w:val="00862649"/>
    <w:rsid w:val="008641E7"/>
    <w:rsid w:val="00870CCB"/>
    <w:rsid w:val="008712D9"/>
    <w:rsid w:val="00874E67"/>
    <w:rsid w:val="00880D91"/>
    <w:rsid w:val="00886AA4"/>
    <w:rsid w:val="008912CB"/>
    <w:rsid w:val="00895B4F"/>
    <w:rsid w:val="00896920"/>
    <w:rsid w:val="008A34C9"/>
    <w:rsid w:val="008A3864"/>
    <w:rsid w:val="008A69D5"/>
    <w:rsid w:val="008A7B98"/>
    <w:rsid w:val="008B21CC"/>
    <w:rsid w:val="008C1A00"/>
    <w:rsid w:val="008C2A7C"/>
    <w:rsid w:val="008C3B77"/>
    <w:rsid w:val="008C598B"/>
    <w:rsid w:val="008E24CB"/>
    <w:rsid w:val="008E3DBA"/>
    <w:rsid w:val="008E4325"/>
    <w:rsid w:val="008E67E0"/>
    <w:rsid w:val="008F44E5"/>
    <w:rsid w:val="008F57ED"/>
    <w:rsid w:val="009005D0"/>
    <w:rsid w:val="00911EB6"/>
    <w:rsid w:val="00914032"/>
    <w:rsid w:val="009142FA"/>
    <w:rsid w:val="009178D9"/>
    <w:rsid w:val="009212C2"/>
    <w:rsid w:val="00922F9B"/>
    <w:rsid w:val="00925EDE"/>
    <w:rsid w:val="00930FF3"/>
    <w:rsid w:val="009318CE"/>
    <w:rsid w:val="00941A63"/>
    <w:rsid w:val="009429EF"/>
    <w:rsid w:val="00944246"/>
    <w:rsid w:val="00945766"/>
    <w:rsid w:val="009459C1"/>
    <w:rsid w:val="0094612A"/>
    <w:rsid w:val="00946376"/>
    <w:rsid w:val="00946AA7"/>
    <w:rsid w:val="00953F0C"/>
    <w:rsid w:val="00954AD2"/>
    <w:rsid w:val="00963094"/>
    <w:rsid w:val="009676DA"/>
    <w:rsid w:val="00967F02"/>
    <w:rsid w:val="00976D42"/>
    <w:rsid w:val="00977BB0"/>
    <w:rsid w:val="00984157"/>
    <w:rsid w:val="00984795"/>
    <w:rsid w:val="00986822"/>
    <w:rsid w:val="009876A4"/>
    <w:rsid w:val="009909E5"/>
    <w:rsid w:val="00992DA0"/>
    <w:rsid w:val="00993F53"/>
    <w:rsid w:val="009957C5"/>
    <w:rsid w:val="009A2583"/>
    <w:rsid w:val="009A5FB0"/>
    <w:rsid w:val="009C1AF7"/>
    <w:rsid w:val="009C3E00"/>
    <w:rsid w:val="009C4161"/>
    <w:rsid w:val="009D6920"/>
    <w:rsid w:val="009E0EA3"/>
    <w:rsid w:val="009E397B"/>
    <w:rsid w:val="009E7101"/>
    <w:rsid w:val="009F0803"/>
    <w:rsid w:val="009F15D6"/>
    <w:rsid w:val="009F6522"/>
    <w:rsid w:val="00A03FA2"/>
    <w:rsid w:val="00A050B9"/>
    <w:rsid w:val="00A15AE6"/>
    <w:rsid w:val="00A22B7A"/>
    <w:rsid w:val="00A25498"/>
    <w:rsid w:val="00A25708"/>
    <w:rsid w:val="00A27F8A"/>
    <w:rsid w:val="00A321D9"/>
    <w:rsid w:val="00A32CB9"/>
    <w:rsid w:val="00A346F7"/>
    <w:rsid w:val="00A34C1B"/>
    <w:rsid w:val="00A3527B"/>
    <w:rsid w:val="00A464D5"/>
    <w:rsid w:val="00A512F1"/>
    <w:rsid w:val="00A52D6E"/>
    <w:rsid w:val="00A57542"/>
    <w:rsid w:val="00A61748"/>
    <w:rsid w:val="00A62268"/>
    <w:rsid w:val="00A62C27"/>
    <w:rsid w:val="00A63FD5"/>
    <w:rsid w:val="00A657FD"/>
    <w:rsid w:val="00A74A35"/>
    <w:rsid w:val="00A85E4F"/>
    <w:rsid w:val="00A861E2"/>
    <w:rsid w:val="00A918BB"/>
    <w:rsid w:val="00A94040"/>
    <w:rsid w:val="00A96176"/>
    <w:rsid w:val="00AA34DA"/>
    <w:rsid w:val="00AA3BDE"/>
    <w:rsid w:val="00AA3D6F"/>
    <w:rsid w:val="00AA4F45"/>
    <w:rsid w:val="00AA763E"/>
    <w:rsid w:val="00AA7A0E"/>
    <w:rsid w:val="00AA7DB0"/>
    <w:rsid w:val="00AB3335"/>
    <w:rsid w:val="00AB3EB9"/>
    <w:rsid w:val="00AC1960"/>
    <w:rsid w:val="00AC76DB"/>
    <w:rsid w:val="00AD0B6C"/>
    <w:rsid w:val="00AD0E22"/>
    <w:rsid w:val="00AE00CF"/>
    <w:rsid w:val="00AF0824"/>
    <w:rsid w:val="00AF2ABA"/>
    <w:rsid w:val="00B0177E"/>
    <w:rsid w:val="00B01AF0"/>
    <w:rsid w:val="00B1003A"/>
    <w:rsid w:val="00B14C89"/>
    <w:rsid w:val="00B208E1"/>
    <w:rsid w:val="00B23F79"/>
    <w:rsid w:val="00B24861"/>
    <w:rsid w:val="00B310C0"/>
    <w:rsid w:val="00B515EF"/>
    <w:rsid w:val="00B527A4"/>
    <w:rsid w:val="00B55093"/>
    <w:rsid w:val="00B57DBA"/>
    <w:rsid w:val="00B6029B"/>
    <w:rsid w:val="00B6095B"/>
    <w:rsid w:val="00B62C88"/>
    <w:rsid w:val="00B63343"/>
    <w:rsid w:val="00B64E71"/>
    <w:rsid w:val="00B66F58"/>
    <w:rsid w:val="00B76697"/>
    <w:rsid w:val="00B83178"/>
    <w:rsid w:val="00B85A5C"/>
    <w:rsid w:val="00B8630E"/>
    <w:rsid w:val="00B86674"/>
    <w:rsid w:val="00B87D07"/>
    <w:rsid w:val="00B90AB1"/>
    <w:rsid w:val="00B924A2"/>
    <w:rsid w:val="00B92DD7"/>
    <w:rsid w:val="00B97C80"/>
    <w:rsid w:val="00BA7217"/>
    <w:rsid w:val="00BA7FF7"/>
    <w:rsid w:val="00BB32F7"/>
    <w:rsid w:val="00BB7038"/>
    <w:rsid w:val="00BB7F0E"/>
    <w:rsid w:val="00BC0B47"/>
    <w:rsid w:val="00BC0C5D"/>
    <w:rsid w:val="00BC2592"/>
    <w:rsid w:val="00BC364D"/>
    <w:rsid w:val="00BC5B18"/>
    <w:rsid w:val="00BD074F"/>
    <w:rsid w:val="00BD42D1"/>
    <w:rsid w:val="00BE0AEE"/>
    <w:rsid w:val="00BE2324"/>
    <w:rsid w:val="00BE28B0"/>
    <w:rsid w:val="00BE6172"/>
    <w:rsid w:val="00BF3A98"/>
    <w:rsid w:val="00C0482E"/>
    <w:rsid w:val="00C104ED"/>
    <w:rsid w:val="00C120F3"/>
    <w:rsid w:val="00C132A2"/>
    <w:rsid w:val="00C1445E"/>
    <w:rsid w:val="00C1660F"/>
    <w:rsid w:val="00C16FB6"/>
    <w:rsid w:val="00C2224D"/>
    <w:rsid w:val="00C3004F"/>
    <w:rsid w:val="00C308F0"/>
    <w:rsid w:val="00C31720"/>
    <w:rsid w:val="00C34B03"/>
    <w:rsid w:val="00C3666E"/>
    <w:rsid w:val="00C3775D"/>
    <w:rsid w:val="00C37DF0"/>
    <w:rsid w:val="00C46D53"/>
    <w:rsid w:val="00C55B73"/>
    <w:rsid w:val="00C61C5E"/>
    <w:rsid w:val="00C620C4"/>
    <w:rsid w:val="00C637AC"/>
    <w:rsid w:val="00C646F8"/>
    <w:rsid w:val="00C649FC"/>
    <w:rsid w:val="00C6779C"/>
    <w:rsid w:val="00C7221B"/>
    <w:rsid w:val="00C84273"/>
    <w:rsid w:val="00C84B98"/>
    <w:rsid w:val="00C94FB9"/>
    <w:rsid w:val="00C95117"/>
    <w:rsid w:val="00C96358"/>
    <w:rsid w:val="00C978A4"/>
    <w:rsid w:val="00CA0335"/>
    <w:rsid w:val="00CA2C35"/>
    <w:rsid w:val="00CA6136"/>
    <w:rsid w:val="00CA6FAA"/>
    <w:rsid w:val="00CB17F9"/>
    <w:rsid w:val="00CB3C73"/>
    <w:rsid w:val="00CC06F9"/>
    <w:rsid w:val="00CD35DC"/>
    <w:rsid w:val="00CD3A88"/>
    <w:rsid w:val="00CD6922"/>
    <w:rsid w:val="00CE200E"/>
    <w:rsid w:val="00CE5DC5"/>
    <w:rsid w:val="00CE7036"/>
    <w:rsid w:val="00CF3120"/>
    <w:rsid w:val="00CF4C4E"/>
    <w:rsid w:val="00D01FDF"/>
    <w:rsid w:val="00D3065D"/>
    <w:rsid w:val="00D41D04"/>
    <w:rsid w:val="00D42073"/>
    <w:rsid w:val="00D4231A"/>
    <w:rsid w:val="00D44129"/>
    <w:rsid w:val="00D444BD"/>
    <w:rsid w:val="00D44924"/>
    <w:rsid w:val="00D46CBF"/>
    <w:rsid w:val="00D55CEB"/>
    <w:rsid w:val="00D56FD0"/>
    <w:rsid w:val="00D5773F"/>
    <w:rsid w:val="00D60ED8"/>
    <w:rsid w:val="00D61DB6"/>
    <w:rsid w:val="00D63FD9"/>
    <w:rsid w:val="00D716AC"/>
    <w:rsid w:val="00D77C3E"/>
    <w:rsid w:val="00D85FAC"/>
    <w:rsid w:val="00DA0BA8"/>
    <w:rsid w:val="00DA1E1D"/>
    <w:rsid w:val="00DA240F"/>
    <w:rsid w:val="00DA5E0F"/>
    <w:rsid w:val="00DA7E32"/>
    <w:rsid w:val="00DB41D8"/>
    <w:rsid w:val="00DC4DA7"/>
    <w:rsid w:val="00DD0076"/>
    <w:rsid w:val="00DD0D7B"/>
    <w:rsid w:val="00DD4F41"/>
    <w:rsid w:val="00DE4192"/>
    <w:rsid w:val="00DE60B1"/>
    <w:rsid w:val="00DE6BCF"/>
    <w:rsid w:val="00DF1F6B"/>
    <w:rsid w:val="00DF3E74"/>
    <w:rsid w:val="00E01296"/>
    <w:rsid w:val="00E11374"/>
    <w:rsid w:val="00E122A4"/>
    <w:rsid w:val="00E1324A"/>
    <w:rsid w:val="00E1621C"/>
    <w:rsid w:val="00E16763"/>
    <w:rsid w:val="00E2354F"/>
    <w:rsid w:val="00E24065"/>
    <w:rsid w:val="00E30C70"/>
    <w:rsid w:val="00E32EB8"/>
    <w:rsid w:val="00E36CA9"/>
    <w:rsid w:val="00E36FAF"/>
    <w:rsid w:val="00E408D3"/>
    <w:rsid w:val="00E43C18"/>
    <w:rsid w:val="00E513FB"/>
    <w:rsid w:val="00E534CC"/>
    <w:rsid w:val="00E53C0F"/>
    <w:rsid w:val="00E56C72"/>
    <w:rsid w:val="00E57C7E"/>
    <w:rsid w:val="00E60560"/>
    <w:rsid w:val="00E61FFD"/>
    <w:rsid w:val="00E63E7C"/>
    <w:rsid w:val="00E7741E"/>
    <w:rsid w:val="00E858BF"/>
    <w:rsid w:val="00E86865"/>
    <w:rsid w:val="00E873EC"/>
    <w:rsid w:val="00E90067"/>
    <w:rsid w:val="00E93AB9"/>
    <w:rsid w:val="00EA142C"/>
    <w:rsid w:val="00EA37E8"/>
    <w:rsid w:val="00EA400E"/>
    <w:rsid w:val="00EA43B5"/>
    <w:rsid w:val="00EA4F58"/>
    <w:rsid w:val="00EA54C5"/>
    <w:rsid w:val="00EA6A34"/>
    <w:rsid w:val="00EB4E2E"/>
    <w:rsid w:val="00EB4F5C"/>
    <w:rsid w:val="00EC033C"/>
    <w:rsid w:val="00EC0787"/>
    <w:rsid w:val="00EC3042"/>
    <w:rsid w:val="00EC7E08"/>
    <w:rsid w:val="00ED1053"/>
    <w:rsid w:val="00EE2797"/>
    <w:rsid w:val="00EE319D"/>
    <w:rsid w:val="00EE70A1"/>
    <w:rsid w:val="00EF0C63"/>
    <w:rsid w:val="00EF69FF"/>
    <w:rsid w:val="00F028C0"/>
    <w:rsid w:val="00F0423E"/>
    <w:rsid w:val="00F15B3B"/>
    <w:rsid w:val="00F15F53"/>
    <w:rsid w:val="00F167CB"/>
    <w:rsid w:val="00F23506"/>
    <w:rsid w:val="00F25869"/>
    <w:rsid w:val="00F274D2"/>
    <w:rsid w:val="00F342EE"/>
    <w:rsid w:val="00F344E8"/>
    <w:rsid w:val="00F4009A"/>
    <w:rsid w:val="00F41E45"/>
    <w:rsid w:val="00F478B6"/>
    <w:rsid w:val="00F504B4"/>
    <w:rsid w:val="00F523CA"/>
    <w:rsid w:val="00F54767"/>
    <w:rsid w:val="00F57D8F"/>
    <w:rsid w:val="00F6647C"/>
    <w:rsid w:val="00F71F1C"/>
    <w:rsid w:val="00F76205"/>
    <w:rsid w:val="00F92BC1"/>
    <w:rsid w:val="00F935E5"/>
    <w:rsid w:val="00FA1789"/>
    <w:rsid w:val="00FA18C0"/>
    <w:rsid w:val="00FA29AC"/>
    <w:rsid w:val="00FB63F8"/>
    <w:rsid w:val="00FB782D"/>
    <w:rsid w:val="00FC0B7C"/>
    <w:rsid w:val="00FC229A"/>
    <w:rsid w:val="00FC4C3D"/>
    <w:rsid w:val="00FD3FBB"/>
    <w:rsid w:val="00FE1E4F"/>
    <w:rsid w:val="00FF1A8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1"/>
    <o:shapelayout v:ext="edit">
      <o:idmap v:ext="edit" data="1"/>
      <o:rules v:ext="edit">
        <o:r id="V:Rule3" type="connector" idref="#_x0000_s1034"/>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lsdException w:name="caption" w:semiHidden="1" w:unhideWhenUsed="1" w:qFormat="1"/>
    <w:lsdException w:name="line number" w:uiPriority="2"/>
    <w:lsdException w:name="endnote reference" w:uiPriority="2"/>
    <w:lsdException w:name="Title" w:qFormat="1"/>
    <w:lsdException w:name="Default Paragraph Font" w:uiPriority="2"/>
    <w:lsdException w:name="Subtitle" w:qFormat="1"/>
    <w:lsdException w:name="Hyperlink" w:uiPriority="99"/>
    <w:lsdException w:name="Strong" w:uiPriority="2" w:qFormat="1"/>
    <w:lsdException w:name="Emphasis" w:uiPriority="20" w:qFormat="1"/>
    <w:lsdException w:name="Plain Text" w:uiPriority="99"/>
    <w:lsdException w:name="HTML Cite" w:uiPriority="2"/>
    <w:lsdException w:name="HTML Code" w:uiPriority="2"/>
    <w:lsdException w:name="HTML Definition" w:uiPriority="2"/>
    <w:lsdException w:name="HTML Keyboard" w:uiPriority="2"/>
    <w:lsdException w:name="HTML Sample" w:uiPriority="2"/>
    <w:lsdException w:name="HTML Typewriter" w:uiPriority="2"/>
    <w:lsdException w:name="HTML Variable" w:uiPriority="2"/>
    <w:lsdException w:name="No List" w:uiPriority="99"/>
    <w:lsdException w:name="Placeholder Text" w:semiHidden="1" w:uiPriority="2"/>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2" w:qFormat="1"/>
    <w:lsdException w:name="Intense Reference" w:uiPriority="2" w:qFormat="1"/>
    <w:lsdException w:name="Book Title" w:uiPriority="2" w:qFormat="1"/>
    <w:lsdException w:name="Bibliography" w:semiHidden="1" w:unhideWhenUsed="1"/>
    <w:lsdException w:name="TOC Heading" w:semiHidden="1" w:uiPriority="39" w:unhideWhenUsed="1" w:qFormat="1"/>
  </w:latentStyles>
  <w:style w:type="paragraph" w:default="1" w:styleId="Normal">
    <w:name w:val="Normal"/>
    <w:qFormat/>
    <w:rsid w:val="00D85FAC"/>
    <w:pPr>
      <w:spacing w:after="120" w:line="280" w:lineRule="atLeast"/>
      <w:jc w:val="both"/>
    </w:pPr>
    <w:rPr>
      <w:sz w:val="22"/>
      <w:lang w:eastAsia="en-US"/>
    </w:rPr>
  </w:style>
  <w:style w:type="paragraph" w:styleId="Heading1">
    <w:name w:val="heading 1"/>
    <w:next w:val="Normal"/>
    <w:link w:val="Heading1Char"/>
    <w:uiPriority w:val="1"/>
    <w:qFormat/>
    <w:rsid w:val="00322964"/>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qFormat/>
    <w:rsid w:val="00322964"/>
    <w:pPr>
      <w:keepNext/>
      <w:spacing w:before="240" w:after="140" w:line="350" w:lineRule="exact"/>
      <w:outlineLvl w:val="1"/>
    </w:pPr>
    <w:rPr>
      <w:rFonts w:ascii="Arial" w:hAnsi="Arial"/>
      <w:b/>
      <w:sz w:val="28"/>
      <w:lang w:eastAsia="en-US"/>
    </w:rPr>
  </w:style>
  <w:style w:type="paragraph" w:styleId="Heading3">
    <w:name w:val="heading 3"/>
    <w:next w:val="Normal"/>
    <w:link w:val="Heading3Char"/>
    <w:qFormat/>
    <w:rsid w:val="00322964"/>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322964"/>
    <w:pPr>
      <w:keepNext/>
      <w:spacing w:before="100" w:after="20" w:line="250" w:lineRule="exact"/>
      <w:outlineLvl w:val="3"/>
    </w:pPr>
    <w:rPr>
      <w:rFonts w:ascii="Arial" w:hAnsi="Arial"/>
      <w:b/>
      <w:lang w:eastAsia="en-US"/>
    </w:rPr>
  </w:style>
  <w:style w:type="paragraph" w:styleId="Heading5">
    <w:name w:val="heading 5"/>
    <w:next w:val="Normal"/>
    <w:link w:val="Heading5Char"/>
    <w:qFormat/>
    <w:rsid w:val="00322964"/>
    <w:pPr>
      <w:keepNext/>
      <w:spacing w:before="60" w:after="20" w:line="250" w:lineRule="exact"/>
      <w:outlineLvl w:val="4"/>
    </w:pPr>
    <w:rPr>
      <w:rFonts w:ascii="Arial" w:hAnsi="Arial"/>
      <w:i/>
      <w:lang w:eastAsia="en-US"/>
    </w:rPr>
  </w:style>
  <w:style w:type="paragraph" w:styleId="Heading6">
    <w:name w:val="heading 6"/>
    <w:basedOn w:val="Normal"/>
    <w:next w:val="Normal"/>
    <w:link w:val="Heading6Char"/>
    <w:qFormat/>
    <w:rsid w:val="00322964"/>
    <w:pPr>
      <w:keepNext/>
      <w:spacing w:before="60" w:after="20" w:line="250" w:lineRule="atLeast"/>
      <w:jc w:val="left"/>
      <w:outlineLvl w:val="5"/>
    </w:pPr>
    <w:rPr>
      <w:b/>
      <w:sz w:val="20"/>
    </w:rPr>
  </w:style>
  <w:style w:type="paragraph" w:styleId="Heading7">
    <w:name w:val="heading 7"/>
    <w:basedOn w:val="Normal"/>
    <w:next w:val="Normal"/>
    <w:qFormat/>
    <w:rsid w:val="00322964"/>
    <w:pPr>
      <w:spacing w:before="60" w:after="40" w:line="240" w:lineRule="atLeast"/>
      <w:jc w:val="left"/>
      <w:outlineLvl w:val="6"/>
    </w:pPr>
    <w:rPr>
      <w:i/>
      <w:sz w:val="20"/>
    </w:rPr>
  </w:style>
  <w:style w:type="paragraph" w:styleId="Heading8">
    <w:name w:val="heading 8"/>
    <w:qFormat/>
    <w:rsid w:val="00322964"/>
    <w:pPr>
      <w:spacing w:after="240" w:line="260" w:lineRule="atLeast"/>
      <w:jc w:val="center"/>
      <w:outlineLvl w:val="7"/>
    </w:pPr>
    <w:rPr>
      <w:rFonts w:ascii="Arial" w:hAnsi="Arial"/>
      <w:lang w:eastAsia="en-US"/>
    </w:rPr>
  </w:style>
  <w:style w:type="paragraph" w:styleId="Heading9">
    <w:name w:val="heading 9"/>
    <w:qFormat/>
    <w:rsid w:val="00322964"/>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85FAC"/>
    <w:rPr>
      <w:rFonts w:ascii="Arial" w:hAnsi="Arial"/>
      <w:b/>
      <w:sz w:val="36"/>
      <w:lang w:eastAsia="en-US"/>
    </w:rPr>
  </w:style>
  <w:style w:type="character" w:customStyle="1" w:styleId="Heading2Char">
    <w:name w:val="Heading 2 Char"/>
    <w:basedOn w:val="DefaultParagraphFont"/>
    <w:link w:val="Heading2"/>
    <w:rsid w:val="00D85FAC"/>
    <w:rPr>
      <w:rFonts w:ascii="Arial" w:hAnsi="Arial"/>
      <w:b/>
      <w:sz w:val="28"/>
      <w:lang w:eastAsia="en-US"/>
    </w:rPr>
  </w:style>
  <w:style w:type="character" w:customStyle="1" w:styleId="Heading3Char">
    <w:name w:val="Heading 3 Char"/>
    <w:basedOn w:val="DefaultParagraphFont"/>
    <w:link w:val="Heading3"/>
    <w:rsid w:val="00D85FAC"/>
    <w:rPr>
      <w:rFonts w:ascii="Arial" w:hAnsi="Arial"/>
      <w:b/>
      <w:sz w:val="24"/>
      <w:lang w:eastAsia="en-US"/>
    </w:rPr>
  </w:style>
  <w:style w:type="character" w:customStyle="1" w:styleId="Heading4Char">
    <w:name w:val="Heading 4 Char"/>
    <w:basedOn w:val="DefaultParagraphFont"/>
    <w:link w:val="Heading4"/>
    <w:rsid w:val="00D85FAC"/>
    <w:rPr>
      <w:rFonts w:ascii="Arial" w:hAnsi="Arial"/>
      <w:b/>
      <w:lang w:eastAsia="en-US"/>
    </w:rPr>
  </w:style>
  <w:style w:type="character" w:customStyle="1" w:styleId="Heading5Char">
    <w:name w:val="Heading 5 Char"/>
    <w:basedOn w:val="DefaultParagraphFont"/>
    <w:link w:val="Heading5"/>
    <w:rsid w:val="00D85FAC"/>
    <w:rPr>
      <w:rFonts w:ascii="Arial" w:hAnsi="Arial"/>
      <w:i/>
      <w:lang w:eastAsia="en-US"/>
    </w:rPr>
  </w:style>
  <w:style w:type="character" w:customStyle="1" w:styleId="Heading6Char">
    <w:name w:val="Heading 6 Char"/>
    <w:basedOn w:val="DefaultParagraphFont"/>
    <w:link w:val="Heading6"/>
    <w:rsid w:val="00D85FAC"/>
    <w:rPr>
      <w:b/>
      <w:lang w:eastAsia="en-US"/>
    </w:rPr>
  </w:style>
  <w:style w:type="paragraph" w:styleId="TOC1">
    <w:name w:val="toc 1"/>
    <w:uiPriority w:val="39"/>
    <w:rsid w:val="009909E5"/>
    <w:pPr>
      <w:tabs>
        <w:tab w:val="left" w:pos="357"/>
        <w:tab w:val="right" w:pos="8250"/>
      </w:tabs>
      <w:spacing w:before="240" w:after="60" w:line="300" w:lineRule="atLeast"/>
      <w:ind w:left="357" w:right="1077" w:hanging="357"/>
    </w:pPr>
    <w:rPr>
      <w:rFonts w:ascii="Arial Bold" w:hAnsi="Arial Bold"/>
      <w:b/>
      <w:bCs/>
      <w:sz w:val="24"/>
      <w:lang w:eastAsia="en-US"/>
    </w:rPr>
  </w:style>
  <w:style w:type="paragraph" w:styleId="TOC4">
    <w:name w:val="toc 4"/>
    <w:basedOn w:val="TOC1"/>
    <w:uiPriority w:val="39"/>
    <w:rsid w:val="009909E5"/>
    <w:pPr>
      <w:tabs>
        <w:tab w:val="left" w:pos="8307"/>
      </w:tabs>
      <w:spacing w:before="40" w:after="40" w:line="260" w:lineRule="atLeast"/>
      <w:ind w:left="1554" w:hanging="482"/>
    </w:pPr>
    <w:rPr>
      <w:b w:val="0"/>
      <w:i/>
      <w:sz w:val="18"/>
      <w:szCs w:val="18"/>
    </w:rPr>
  </w:style>
  <w:style w:type="paragraph" w:styleId="TOC3">
    <w:name w:val="toc 3"/>
    <w:basedOn w:val="TOC1"/>
    <w:uiPriority w:val="39"/>
    <w:rsid w:val="009909E5"/>
    <w:pPr>
      <w:tabs>
        <w:tab w:val="left" w:pos="8307"/>
      </w:tabs>
      <w:spacing w:before="60" w:line="280" w:lineRule="atLeast"/>
      <w:ind w:left="1071"/>
    </w:pPr>
    <w:rPr>
      <w:b w:val="0"/>
      <w:iCs/>
      <w:sz w:val="20"/>
    </w:rPr>
  </w:style>
  <w:style w:type="paragraph" w:styleId="TOC2">
    <w:name w:val="toc 2"/>
    <w:basedOn w:val="TOC1"/>
    <w:uiPriority w:val="39"/>
    <w:rsid w:val="009909E5"/>
    <w:pPr>
      <w:tabs>
        <w:tab w:val="left" w:pos="8307"/>
      </w:tabs>
      <w:spacing w:before="60" w:line="280" w:lineRule="atLeast"/>
      <w:ind w:left="839" w:hanging="482"/>
    </w:pPr>
    <w:rPr>
      <w:b w:val="0"/>
      <w:sz w:val="22"/>
    </w:rPr>
  </w:style>
  <w:style w:type="paragraph" w:styleId="Footer">
    <w:name w:val="footer"/>
    <w:link w:val="FooterChar"/>
    <w:uiPriority w:val="99"/>
    <w:rsid w:val="00322964"/>
    <w:pPr>
      <w:jc w:val="center"/>
    </w:pPr>
    <w:rPr>
      <w:rFonts w:ascii="Arial" w:hAnsi="Arial"/>
      <w:lang w:eastAsia="en-US"/>
    </w:rPr>
  </w:style>
  <w:style w:type="character" w:customStyle="1" w:styleId="FooterChar">
    <w:name w:val="Footer Char"/>
    <w:basedOn w:val="DefaultParagraphFont"/>
    <w:link w:val="Footer"/>
    <w:uiPriority w:val="99"/>
    <w:rsid w:val="00D85FAC"/>
    <w:rPr>
      <w:rFonts w:ascii="Arial" w:hAnsi="Arial"/>
      <w:lang w:eastAsia="en-US"/>
    </w:rPr>
  </w:style>
  <w:style w:type="paragraph" w:styleId="Header">
    <w:name w:val="header"/>
    <w:link w:val="HeaderChar"/>
    <w:qFormat/>
    <w:rsid w:val="00322964"/>
    <w:rPr>
      <w:lang w:eastAsia="en-US"/>
    </w:rPr>
  </w:style>
  <w:style w:type="character" w:customStyle="1" w:styleId="HeaderChar">
    <w:name w:val="Header Char"/>
    <w:basedOn w:val="DefaultParagraphFont"/>
    <w:link w:val="Header"/>
    <w:rsid w:val="00D85FAC"/>
    <w:rPr>
      <w:lang w:eastAsia="en-US"/>
    </w:rPr>
  </w:style>
  <w:style w:type="paragraph" w:styleId="NormalIndent">
    <w:name w:val="Normal Indent"/>
    <w:basedOn w:val="Normal"/>
    <w:rsid w:val="00322964"/>
    <w:pPr>
      <w:ind w:firstLine="360"/>
    </w:pPr>
  </w:style>
  <w:style w:type="paragraph" w:customStyle="1" w:styleId="Normallist1">
    <w:name w:val="Normal list 1"/>
    <w:basedOn w:val="Normal"/>
    <w:uiPriority w:val="2"/>
    <w:qFormat/>
    <w:rsid w:val="00322964"/>
    <w:pPr>
      <w:ind w:left="360" w:hanging="360"/>
    </w:pPr>
  </w:style>
  <w:style w:type="paragraph" w:customStyle="1" w:styleId="Normalno">
    <w:name w:val="Normal no #"/>
    <w:basedOn w:val="Normal"/>
    <w:rsid w:val="00322964"/>
    <w:pPr>
      <w:spacing w:after="0"/>
    </w:pPr>
  </w:style>
  <w:style w:type="paragraph" w:customStyle="1" w:styleId="byline">
    <w:name w:val="byline"/>
    <w:next w:val="Normal"/>
    <w:rsid w:val="00322964"/>
    <w:pPr>
      <w:spacing w:before="240" w:after="60"/>
    </w:pPr>
    <w:rPr>
      <w:rFonts w:ascii="Arial" w:hAnsi="Arial"/>
      <w:b/>
      <w:lang w:eastAsia="en-US"/>
    </w:rPr>
  </w:style>
  <w:style w:type="paragraph" w:customStyle="1" w:styleId="Normallist2">
    <w:name w:val="Normal list 2"/>
    <w:basedOn w:val="Normal"/>
    <w:link w:val="Normallist2Char"/>
    <w:qFormat/>
    <w:rsid w:val="00322964"/>
    <w:pPr>
      <w:ind w:left="720" w:hanging="360"/>
    </w:pPr>
  </w:style>
  <w:style w:type="character" w:customStyle="1" w:styleId="Normallist2Char">
    <w:name w:val="Normal list 2 Char"/>
    <w:link w:val="Normallist2"/>
    <w:rsid w:val="00D85FAC"/>
    <w:rPr>
      <w:sz w:val="22"/>
      <w:lang w:eastAsia="en-US"/>
    </w:rPr>
  </w:style>
  <w:style w:type="paragraph" w:customStyle="1" w:styleId="subhead">
    <w:name w:val="subhead"/>
    <w:next w:val="Normal"/>
    <w:rsid w:val="00322964"/>
    <w:pPr>
      <w:spacing w:before="140" w:after="300"/>
      <w:jc w:val="center"/>
    </w:pPr>
    <w:rPr>
      <w:rFonts w:ascii="Arial" w:hAnsi="Arial"/>
      <w:sz w:val="30"/>
      <w:lang w:eastAsia="en-US"/>
    </w:rPr>
  </w:style>
  <w:style w:type="paragraph" w:customStyle="1" w:styleId="figurecaption">
    <w:name w:val="figure caption"/>
    <w:next w:val="Normal"/>
    <w:link w:val="figurecaptionChar"/>
    <w:uiPriority w:val="2"/>
    <w:qFormat/>
    <w:rsid w:val="00322964"/>
    <w:pPr>
      <w:spacing w:after="240" w:line="240" w:lineRule="atLeast"/>
      <w:jc w:val="center"/>
    </w:pPr>
    <w:rPr>
      <w:rFonts w:ascii="Arial" w:hAnsi="Arial"/>
      <w:sz w:val="18"/>
      <w:lang w:eastAsia="en-US"/>
    </w:rPr>
  </w:style>
  <w:style w:type="character" w:customStyle="1" w:styleId="figurecaptionChar">
    <w:name w:val="figure caption Char"/>
    <w:basedOn w:val="DefaultParagraphFont"/>
    <w:link w:val="figurecaption"/>
    <w:uiPriority w:val="2"/>
    <w:rsid w:val="00D85FAC"/>
    <w:rPr>
      <w:rFonts w:ascii="Arial" w:hAnsi="Arial"/>
      <w:sz w:val="18"/>
      <w:lang w:eastAsia="en-US"/>
    </w:rPr>
  </w:style>
  <w:style w:type="paragraph" w:customStyle="1" w:styleId="tablecaption">
    <w:name w:val="table caption"/>
    <w:next w:val="Normal"/>
    <w:link w:val="tablecaptionChar"/>
    <w:qFormat/>
    <w:rsid w:val="00322964"/>
    <w:pPr>
      <w:keepNext/>
      <w:spacing w:before="120" w:after="120" w:line="240" w:lineRule="atLeast"/>
    </w:pPr>
    <w:rPr>
      <w:rFonts w:ascii="Arial" w:hAnsi="Arial"/>
      <w:sz w:val="18"/>
      <w:lang w:eastAsia="en-US"/>
    </w:rPr>
  </w:style>
  <w:style w:type="character" w:customStyle="1" w:styleId="tablecaptionChar">
    <w:name w:val="table caption Char"/>
    <w:basedOn w:val="DefaultParagraphFont"/>
    <w:link w:val="tablecaption"/>
    <w:rsid w:val="00D85FAC"/>
    <w:rPr>
      <w:rFonts w:ascii="Arial" w:hAnsi="Arial"/>
      <w:sz w:val="18"/>
      <w:lang w:eastAsia="en-US"/>
    </w:rPr>
  </w:style>
  <w:style w:type="paragraph" w:customStyle="1" w:styleId="table1">
    <w:name w:val="table 1"/>
    <w:link w:val="table1Char"/>
    <w:uiPriority w:val="2"/>
    <w:qFormat/>
    <w:rsid w:val="00322964"/>
    <w:pPr>
      <w:spacing w:before="60" w:after="60" w:line="200" w:lineRule="atLeast"/>
    </w:pPr>
    <w:rPr>
      <w:rFonts w:ascii="Arial" w:hAnsi="Arial"/>
      <w:sz w:val="16"/>
      <w:lang w:eastAsia="en-US"/>
    </w:rPr>
  </w:style>
  <w:style w:type="character" w:customStyle="1" w:styleId="table1Char">
    <w:name w:val="table 1 Char"/>
    <w:basedOn w:val="DefaultParagraphFont"/>
    <w:link w:val="table1"/>
    <w:uiPriority w:val="2"/>
    <w:rsid w:val="00D85FAC"/>
    <w:rPr>
      <w:rFonts w:ascii="Arial" w:hAnsi="Arial"/>
      <w:sz w:val="16"/>
      <w:lang w:eastAsia="en-US"/>
    </w:rPr>
  </w:style>
  <w:style w:type="paragraph" w:customStyle="1" w:styleId="table1list">
    <w:name w:val="table 1 list"/>
    <w:basedOn w:val="table1"/>
    <w:rsid w:val="00322964"/>
    <w:pPr>
      <w:ind w:left="240" w:hanging="240"/>
    </w:pPr>
  </w:style>
  <w:style w:type="paragraph" w:customStyle="1" w:styleId="tablenote">
    <w:name w:val="table note"/>
    <w:basedOn w:val="table1"/>
    <w:link w:val="tablenoteChar"/>
    <w:qFormat/>
    <w:rsid w:val="00322964"/>
    <w:pPr>
      <w:tabs>
        <w:tab w:val="left" w:pos="240"/>
      </w:tabs>
      <w:spacing w:after="180" w:line="180" w:lineRule="atLeast"/>
      <w:ind w:left="238" w:hanging="238"/>
    </w:pPr>
    <w:rPr>
      <w:sz w:val="14"/>
    </w:rPr>
  </w:style>
  <w:style w:type="character" w:customStyle="1" w:styleId="tablenoteChar">
    <w:name w:val="table note Char"/>
    <w:basedOn w:val="DefaultParagraphFont"/>
    <w:link w:val="tablenote"/>
    <w:locked/>
    <w:rsid w:val="00D85FAC"/>
    <w:rPr>
      <w:rFonts w:ascii="Arial" w:hAnsi="Arial"/>
      <w:sz w:val="14"/>
      <w:lang w:eastAsia="en-US"/>
    </w:rPr>
  </w:style>
  <w:style w:type="paragraph" w:customStyle="1" w:styleId="bulletlist1">
    <w:name w:val="bullet list 1"/>
    <w:basedOn w:val="Normal"/>
    <w:link w:val="bulletlist1Char"/>
    <w:qFormat/>
    <w:rsid w:val="00322964"/>
    <w:pPr>
      <w:tabs>
        <w:tab w:val="num" w:pos="720"/>
      </w:tabs>
      <w:ind w:left="720" w:hanging="360"/>
    </w:pPr>
  </w:style>
  <w:style w:type="character" w:customStyle="1" w:styleId="bulletlist1Char">
    <w:name w:val="bullet list 1 Char"/>
    <w:basedOn w:val="DefaultParagraphFont"/>
    <w:link w:val="bulletlist1"/>
    <w:rsid w:val="00D85FAC"/>
    <w:rPr>
      <w:sz w:val="22"/>
      <w:lang w:eastAsia="en-US"/>
    </w:rPr>
  </w:style>
  <w:style w:type="paragraph" w:customStyle="1" w:styleId="4point">
    <w:name w:val="4 point #"/>
    <w:qFormat/>
    <w:rsid w:val="00322964"/>
    <w:rPr>
      <w:sz w:val="8"/>
      <w:lang w:eastAsia="en-US"/>
    </w:rPr>
  </w:style>
  <w:style w:type="paragraph" w:customStyle="1" w:styleId="referencelist1">
    <w:name w:val="reference list 1"/>
    <w:link w:val="referencelist1Char"/>
    <w:qFormat/>
    <w:rsid w:val="00322964"/>
    <w:pPr>
      <w:spacing w:after="120" w:line="280" w:lineRule="atLeast"/>
      <w:ind w:left="360" w:hanging="360"/>
      <w:jc w:val="both"/>
    </w:pPr>
    <w:rPr>
      <w:sz w:val="22"/>
      <w:lang w:eastAsia="en-US"/>
    </w:rPr>
  </w:style>
  <w:style w:type="character" w:customStyle="1" w:styleId="referencelist1Char">
    <w:name w:val="reference list 1 Char"/>
    <w:basedOn w:val="DefaultParagraphFont"/>
    <w:link w:val="referencelist1"/>
    <w:rsid w:val="00D85FAC"/>
    <w:rPr>
      <w:sz w:val="22"/>
      <w:lang w:eastAsia="en-US"/>
    </w:rPr>
  </w:style>
  <w:style w:type="paragraph" w:customStyle="1" w:styleId="table2">
    <w:name w:val="table 2"/>
    <w:basedOn w:val="table1"/>
    <w:qFormat/>
    <w:rsid w:val="00322964"/>
    <w:pPr>
      <w:spacing w:before="20" w:after="20"/>
    </w:pPr>
  </w:style>
  <w:style w:type="paragraph" w:customStyle="1" w:styleId="equation1">
    <w:name w:val="equation 1"/>
    <w:basedOn w:val="Normal"/>
    <w:rsid w:val="00322964"/>
    <w:pPr>
      <w:tabs>
        <w:tab w:val="right" w:pos="5280"/>
      </w:tabs>
      <w:spacing w:before="40" w:after="140"/>
      <w:ind w:left="360"/>
      <w:jc w:val="left"/>
    </w:pPr>
    <w:rPr>
      <w:rFonts w:ascii="Arial" w:hAnsi="Arial"/>
      <w:sz w:val="20"/>
    </w:rPr>
  </w:style>
  <w:style w:type="paragraph" w:customStyle="1" w:styleId="verso1">
    <w:name w:val="verso 1"/>
    <w:rsid w:val="00322964"/>
    <w:pPr>
      <w:spacing w:after="80" w:line="220" w:lineRule="atLeast"/>
      <w:ind w:left="240" w:right="720"/>
    </w:pPr>
    <w:rPr>
      <w:rFonts w:ascii="Arial" w:hAnsi="Arial"/>
      <w:sz w:val="18"/>
      <w:lang w:eastAsia="en-US"/>
    </w:rPr>
  </w:style>
  <w:style w:type="paragraph" w:styleId="FootnoteText">
    <w:name w:val="footnote text"/>
    <w:basedOn w:val="Normal"/>
    <w:link w:val="FootnoteTextChar"/>
    <w:semiHidden/>
    <w:rsid w:val="00322964"/>
    <w:pPr>
      <w:tabs>
        <w:tab w:val="left" w:pos="240"/>
      </w:tabs>
      <w:spacing w:after="80" w:line="240" w:lineRule="atLeast"/>
      <w:ind w:left="240" w:hanging="240"/>
    </w:pPr>
    <w:rPr>
      <w:sz w:val="18"/>
    </w:rPr>
  </w:style>
  <w:style w:type="character" w:customStyle="1" w:styleId="FootnoteTextChar">
    <w:name w:val="Footnote Text Char"/>
    <w:basedOn w:val="DefaultParagraphFont"/>
    <w:link w:val="FootnoteText"/>
    <w:semiHidden/>
    <w:rsid w:val="00D85FAC"/>
    <w:rPr>
      <w:sz w:val="18"/>
      <w:lang w:eastAsia="en-US"/>
    </w:rPr>
  </w:style>
  <w:style w:type="paragraph" w:styleId="Bibliography">
    <w:name w:val="Bibliography"/>
    <w:basedOn w:val="referencelist1"/>
    <w:rsid w:val="00322964"/>
  </w:style>
  <w:style w:type="paragraph" w:customStyle="1" w:styleId="address">
    <w:name w:val="address"/>
    <w:basedOn w:val="Heading4"/>
    <w:qFormat/>
    <w:rsid w:val="00322964"/>
    <w:pPr>
      <w:spacing w:after="800"/>
      <w:jc w:val="center"/>
    </w:pPr>
    <w:rPr>
      <w:b w:val="0"/>
    </w:rPr>
  </w:style>
  <w:style w:type="paragraph" w:customStyle="1" w:styleId="Normallist3">
    <w:name w:val="Normal list 3"/>
    <w:basedOn w:val="Normallist2"/>
    <w:rsid w:val="00322964"/>
    <w:pPr>
      <w:ind w:left="1320"/>
    </w:pPr>
  </w:style>
  <w:style w:type="paragraph" w:customStyle="1" w:styleId="quote">
    <w:name w:val="quote"/>
    <w:basedOn w:val="Normal"/>
    <w:qFormat/>
    <w:rsid w:val="00322964"/>
    <w:pPr>
      <w:spacing w:line="260" w:lineRule="atLeast"/>
      <w:ind w:left="360"/>
    </w:pPr>
    <w:rPr>
      <w:sz w:val="20"/>
    </w:rPr>
  </w:style>
  <w:style w:type="paragraph" w:customStyle="1" w:styleId="bulletlist2">
    <w:name w:val="bullet list 2"/>
    <w:basedOn w:val="bulletlist1"/>
    <w:qFormat/>
    <w:rsid w:val="00322964"/>
    <w:pPr>
      <w:tabs>
        <w:tab w:val="clear" w:pos="720"/>
        <w:tab w:val="num" w:pos="717"/>
      </w:tabs>
      <w:ind w:left="357" w:firstLine="0"/>
    </w:pPr>
  </w:style>
  <w:style w:type="paragraph" w:customStyle="1" w:styleId="landscape">
    <w:name w:val="landscape#"/>
    <w:basedOn w:val="Normal"/>
    <w:qFormat/>
    <w:rsid w:val="00322964"/>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authors">
    <w:name w:val="authors"/>
    <w:basedOn w:val="Heading3"/>
    <w:uiPriority w:val="2"/>
    <w:rsid w:val="00322964"/>
    <w:pPr>
      <w:spacing w:after="400"/>
      <w:jc w:val="center"/>
    </w:pPr>
  </w:style>
  <w:style w:type="paragraph" w:customStyle="1" w:styleId="numberlist1">
    <w:name w:val="number list 1"/>
    <w:basedOn w:val="Normal"/>
    <w:qFormat/>
    <w:rsid w:val="00322964"/>
    <w:pPr>
      <w:tabs>
        <w:tab w:val="num" w:pos="360"/>
      </w:tabs>
      <w:ind w:left="360" w:hanging="360"/>
    </w:pPr>
    <w:rPr>
      <w:snapToGrid w:val="0"/>
    </w:rPr>
  </w:style>
  <w:style w:type="paragraph" w:customStyle="1" w:styleId="platecaption">
    <w:name w:val="plate caption"/>
    <w:basedOn w:val="figurecaption"/>
    <w:link w:val="platecaptionChar"/>
    <w:qFormat/>
    <w:rsid w:val="00322964"/>
  </w:style>
  <w:style w:type="character" w:customStyle="1" w:styleId="platecaptionChar">
    <w:name w:val="plate caption Char"/>
    <w:basedOn w:val="figurecaptionChar"/>
    <w:link w:val="platecaption"/>
    <w:rsid w:val="00D85FAC"/>
  </w:style>
  <w:style w:type="character" w:styleId="Emphasis">
    <w:name w:val="Emphasis"/>
    <w:basedOn w:val="DefaultParagraphFont"/>
    <w:uiPriority w:val="20"/>
    <w:qFormat/>
    <w:rsid w:val="00322964"/>
    <w:rPr>
      <w:i/>
      <w:iCs/>
    </w:rPr>
  </w:style>
  <w:style w:type="paragraph" w:styleId="Quote0">
    <w:name w:val="Quote"/>
    <w:basedOn w:val="Normal"/>
    <w:next w:val="Normal"/>
    <w:link w:val="QuoteChar"/>
    <w:uiPriority w:val="2"/>
    <w:rsid w:val="00322964"/>
    <w:rPr>
      <w:i/>
      <w:iCs/>
      <w:color w:val="000000" w:themeColor="text1"/>
    </w:rPr>
  </w:style>
  <w:style w:type="character" w:customStyle="1" w:styleId="QuoteChar">
    <w:name w:val="Quote Char"/>
    <w:basedOn w:val="DefaultParagraphFont"/>
    <w:link w:val="Quote0"/>
    <w:uiPriority w:val="2"/>
    <w:rsid w:val="00322964"/>
    <w:rPr>
      <w:i/>
      <w:iCs/>
      <w:color w:val="000000" w:themeColor="text1"/>
      <w:sz w:val="22"/>
      <w:lang w:eastAsia="en-US"/>
    </w:rPr>
  </w:style>
  <w:style w:type="paragraph" w:styleId="NoSpacing">
    <w:name w:val="No Spacing"/>
    <w:uiPriority w:val="2"/>
    <w:rsid w:val="00322964"/>
    <w:pPr>
      <w:jc w:val="both"/>
    </w:pPr>
    <w:rPr>
      <w:sz w:val="22"/>
      <w:lang w:eastAsia="en-US"/>
    </w:rPr>
  </w:style>
  <w:style w:type="paragraph" w:styleId="Title">
    <w:name w:val="Title"/>
    <w:basedOn w:val="Normal"/>
    <w:next w:val="Normal"/>
    <w:link w:val="TitleChar"/>
    <w:qFormat/>
    <w:rsid w:val="003229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22964"/>
    <w:rPr>
      <w:rFonts w:asciiTheme="majorHAnsi" w:eastAsiaTheme="majorEastAsia" w:hAnsiTheme="majorHAnsi" w:cstheme="majorBidi"/>
      <w:color w:val="17365D" w:themeColor="text2" w:themeShade="BF"/>
      <w:spacing w:val="5"/>
      <w:kern w:val="28"/>
      <w:sz w:val="52"/>
      <w:szCs w:val="52"/>
      <w:lang w:eastAsia="en-US"/>
    </w:rPr>
  </w:style>
  <w:style w:type="character" w:styleId="SubtleEmphasis">
    <w:name w:val="Subtle Emphasis"/>
    <w:basedOn w:val="DefaultParagraphFont"/>
    <w:uiPriority w:val="2"/>
    <w:rsid w:val="00322964"/>
    <w:rPr>
      <w:i/>
      <w:iCs/>
      <w:color w:val="808080" w:themeColor="text1" w:themeTint="7F"/>
    </w:rPr>
  </w:style>
  <w:style w:type="character" w:styleId="IntenseEmphasis">
    <w:name w:val="Intense Emphasis"/>
    <w:basedOn w:val="DefaultParagraphFont"/>
    <w:uiPriority w:val="2"/>
    <w:rsid w:val="00322964"/>
    <w:rPr>
      <w:b/>
      <w:bCs/>
      <w:i/>
      <w:iCs/>
      <w:color w:val="4F81BD" w:themeColor="accent1"/>
    </w:rPr>
  </w:style>
  <w:style w:type="paragraph" w:styleId="IntenseQuote">
    <w:name w:val="Intense Quote"/>
    <w:basedOn w:val="Normal"/>
    <w:next w:val="Normal"/>
    <w:link w:val="IntenseQuoteChar"/>
    <w:uiPriority w:val="2"/>
    <w:rsid w:val="003229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2"/>
    <w:rsid w:val="00322964"/>
    <w:rPr>
      <w:b/>
      <w:bCs/>
      <w:i/>
      <w:iCs/>
      <w:color w:val="4F81BD" w:themeColor="accent1"/>
      <w:sz w:val="22"/>
      <w:lang w:eastAsia="en-US"/>
    </w:rPr>
  </w:style>
  <w:style w:type="character" w:styleId="SubtleReference">
    <w:name w:val="Subtle Reference"/>
    <w:basedOn w:val="DefaultParagraphFont"/>
    <w:uiPriority w:val="2"/>
    <w:rsid w:val="00322964"/>
    <w:rPr>
      <w:smallCaps/>
      <w:color w:val="C0504D" w:themeColor="accent2"/>
      <w:u w:val="single"/>
    </w:rPr>
  </w:style>
  <w:style w:type="character" w:styleId="IntenseReference">
    <w:name w:val="Intense Reference"/>
    <w:basedOn w:val="DefaultParagraphFont"/>
    <w:uiPriority w:val="2"/>
    <w:rsid w:val="00322964"/>
    <w:rPr>
      <w:b/>
      <w:bCs/>
      <w:smallCaps/>
      <w:color w:val="C0504D" w:themeColor="accent2"/>
      <w:spacing w:val="5"/>
      <w:u w:val="single"/>
    </w:rPr>
  </w:style>
  <w:style w:type="paragraph" w:styleId="ListParagraph">
    <w:name w:val="List Paragraph"/>
    <w:basedOn w:val="Normal"/>
    <w:uiPriority w:val="34"/>
    <w:qFormat/>
    <w:rsid w:val="00322964"/>
    <w:pPr>
      <w:ind w:left="720"/>
      <w:contextualSpacing/>
    </w:pPr>
  </w:style>
  <w:style w:type="character" w:styleId="Strong">
    <w:name w:val="Strong"/>
    <w:basedOn w:val="DefaultParagraphFont"/>
    <w:uiPriority w:val="2"/>
    <w:rsid w:val="00322964"/>
    <w:rPr>
      <w:b/>
      <w:bCs/>
    </w:rPr>
  </w:style>
  <w:style w:type="paragraph" w:styleId="Subtitle">
    <w:name w:val="Subtitle"/>
    <w:basedOn w:val="Normal"/>
    <w:next w:val="Normal"/>
    <w:link w:val="SubtitleChar"/>
    <w:qFormat/>
    <w:rsid w:val="003229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22964"/>
    <w:rPr>
      <w:rFonts w:asciiTheme="majorHAnsi" w:eastAsiaTheme="majorEastAsia" w:hAnsiTheme="majorHAnsi" w:cstheme="majorBidi"/>
      <w:i/>
      <w:iCs/>
      <w:color w:val="4F81BD" w:themeColor="accent1"/>
      <w:spacing w:val="15"/>
      <w:sz w:val="24"/>
      <w:szCs w:val="24"/>
      <w:lang w:eastAsia="en-US"/>
    </w:rPr>
  </w:style>
  <w:style w:type="character" w:styleId="BookTitle">
    <w:name w:val="Book Title"/>
    <w:basedOn w:val="DefaultParagraphFont"/>
    <w:uiPriority w:val="2"/>
    <w:rsid w:val="00322964"/>
    <w:rPr>
      <w:b/>
      <w:bCs/>
      <w:smallCaps/>
      <w:spacing w:val="5"/>
    </w:rPr>
  </w:style>
  <w:style w:type="paragraph" w:styleId="BalloonText">
    <w:name w:val="Balloon Text"/>
    <w:basedOn w:val="Normal"/>
    <w:link w:val="BalloonTextChar"/>
    <w:rsid w:val="00D85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5FAC"/>
    <w:rPr>
      <w:rFonts w:ascii="Tahoma" w:hAnsi="Tahoma" w:cs="Tahoma"/>
      <w:sz w:val="16"/>
      <w:szCs w:val="16"/>
      <w:lang w:eastAsia="en-US"/>
    </w:rPr>
  </w:style>
  <w:style w:type="table" w:styleId="TableGrid">
    <w:name w:val="Table Grid"/>
    <w:basedOn w:val="TableNormal"/>
    <w:rsid w:val="00D85FAC"/>
    <w:pPr>
      <w:spacing w:after="10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D85FAC"/>
    <w:rPr>
      <w:rFonts w:cs="Times New Roman"/>
      <w:color w:val="0000FF"/>
      <w:u w:val="single"/>
    </w:rPr>
  </w:style>
  <w:style w:type="paragraph" w:customStyle="1" w:styleId="TCTableBody">
    <w:name w:val="TC_Table_Body"/>
    <w:basedOn w:val="Normal"/>
    <w:rsid w:val="00D85FAC"/>
    <w:pPr>
      <w:spacing w:after="200" w:line="240" w:lineRule="auto"/>
    </w:pPr>
    <w:rPr>
      <w:rFonts w:ascii="Times" w:hAnsi="Times"/>
      <w:sz w:val="24"/>
      <w:lang w:val="en-US"/>
    </w:rPr>
  </w:style>
  <w:style w:type="character" w:styleId="PageNumber">
    <w:name w:val="page number"/>
    <w:basedOn w:val="DefaultParagraphFont"/>
    <w:rsid w:val="00D85FAC"/>
  </w:style>
  <w:style w:type="character" w:styleId="FootnoteReference">
    <w:name w:val="footnote reference"/>
    <w:basedOn w:val="DefaultParagraphFont"/>
    <w:rsid w:val="00D85FAC"/>
    <w:rPr>
      <w:vertAlign w:val="superscript"/>
    </w:rPr>
  </w:style>
  <w:style w:type="paragraph" w:styleId="NormalWeb">
    <w:name w:val="Normal (Web)"/>
    <w:basedOn w:val="Normal"/>
    <w:rsid w:val="00D85FAC"/>
    <w:pPr>
      <w:spacing w:before="100" w:beforeAutospacing="1" w:after="100" w:afterAutospacing="1" w:line="240" w:lineRule="auto"/>
      <w:jc w:val="left"/>
    </w:pPr>
    <w:rPr>
      <w:sz w:val="24"/>
      <w:szCs w:val="24"/>
      <w:lang w:eastAsia="en-AU"/>
    </w:rPr>
  </w:style>
  <w:style w:type="character" w:styleId="CommentReference">
    <w:name w:val="annotation reference"/>
    <w:basedOn w:val="DefaultParagraphFont"/>
    <w:rsid w:val="00D85FAC"/>
    <w:rPr>
      <w:sz w:val="16"/>
      <w:szCs w:val="16"/>
    </w:rPr>
  </w:style>
  <w:style w:type="paragraph" w:styleId="CommentText">
    <w:name w:val="annotation text"/>
    <w:basedOn w:val="Normal"/>
    <w:link w:val="CommentTextChar"/>
    <w:rsid w:val="00D85FAC"/>
    <w:pPr>
      <w:spacing w:after="100" w:line="260" w:lineRule="atLeast"/>
      <w:jc w:val="left"/>
    </w:pPr>
    <w:rPr>
      <w:sz w:val="20"/>
    </w:rPr>
  </w:style>
  <w:style w:type="character" w:customStyle="1" w:styleId="CommentTextChar">
    <w:name w:val="Comment Text Char"/>
    <w:basedOn w:val="DefaultParagraphFont"/>
    <w:link w:val="CommentText"/>
    <w:rsid w:val="00D85FAC"/>
    <w:rPr>
      <w:lang w:eastAsia="en-US"/>
    </w:rPr>
  </w:style>
  <w:style w:type="paragraph" w:styleId="ListBullet">
    <w:name w:val="List Bullet"/>
    <w:basedOn w:val="Normal"/>
    <w:rsid w:val="00D85FAC"/>
    <w:pPr>
      <w:tabs>
        <w:tab w:val="num" w:pos="360"/>
      </w:tabs>
      <w:spacing w:after="100" w:line="260" w:lineRule="atLeast"/>
      <w:ind w:left="360" w:hanging="360"/>
      <w:jc w:val="left"/>
    </w:pPr>
    <w:rPr>
      <w:sz w:val="20"/>
    </w:rPr>
  </w:style>
  <w:style w:type="paragraph" w:styleId="BodyText2">
    <w:name w:val="Body Text 2"/>
    <w:basedOn w:val="Normal"/>
    <w:link w:val="BodyText2Char"/>
    <w:rsid w:val="00D85FAC"/>
    <w:pPr>
      <w:spacing w:after="100" w:line="260" w:lineRule="atLeast"/>
      <w:ind w:right="288"/>
      <w:jc w:val="left"/>
    </w:pPr>
    <w:rPr>
      <w:sz w:val="20"/>
      <w:szCs w:val="14"/>
    </w:rPr>
  </w:style>
  <w:style w:type="character" w:customStyle="1" w:styleId="BodyText2Char">
    <w:name w:val="Body Text 2 Char"/>
    <w:basedOn w:val="DefaultParagraphFont"/>
    <w:link w:val="BodyText2"/>
    <w:rsid w:val="00D85FAC"/>
    <w:rPr>
      <w:szCs w:val="14"/>
      <w:lang w:eastAsia="en-US"/>
    </w:rPr>
  </w:style>
  <w:style w:type="paragraph" w:styleId="CommentSubject">
    <w:name w:val="annotation subject"/>
    <w:basedOn w:val="CommentText"/>
    <w:next w:val="CommentText"/>
    <w:link w:val="CommentSubjectChar"/>
    <w:rsid w:val="00D85FAC"/>
    <w:pPr>
      <w:spacing w:after="120" w:line="280" w:lineRule="atLeast"/>
      <w:jc w:val="both"/>
    </w:pPr>
    <w:rPr>
      <w:b/>
      <w:bCs/>
    </w:rPr>
  </w:style>
  <w:style w:type="character" w:customStyle="1" w:styleId="CommentSubjectChar">
    <w:name w:val="Comment Subject Char"/>
    <w:basedOn w:val="CommentTextChar"/>
    <w:link w:val="CommentSubject"/>
    <w:rsid w:val="00D85FAC"/>
    <w:rPr>
      <w:b/>
      <w:bCs/>
    </w:rPr>
  </w:style>
  <w:style w:type="paragraph" w:customStyle="1" w:styleId="CM23">
    <w:name w:val="CM23"/>
    <w:basedOn w:val="Normal"/>
    <w:next w:val="Normal"/>
    <w:rsid w:val="00D85FAC"/>
    <w:pPr>
      <w:widowControl w:val="0"/>
      <w:autoSpaceDE w:val="0"/>
      <w:autoSpaceDN w:val="0"/>
      <w:adjustRightInd w:val="0"/>
      <w:spacing w:after="190" w:line="240" w:lineRule="auto"/>
      <w:jc w:val="left"/>
    </w:pPr>
    <w:rPr>
      <w:rFonts w:ascii="FIGLOG+Arial,Bold" w:hAnsi="FIGLOG+Arial,Bold"/>
      <w:sz w:val="24"/>
      <w:szCs w:val="24"/>
      <w:lang w:eastAsia="en-AU"/>
    </w:rPr>
  </w:style>
  <w:style w:type="paragraph" w:customStyle="1" w:styleId="Default">
    <w:name w:val="Default"/>
    <w:rsid w:val="00D85FAC"/>
    <w:pPr>
      <w:widowControl w:val="0"/>
      <w:autoSpaceDE w:val="0"/>
      <w:autoSpaceDN w:val="0"/>
      <w:adjustRightInd w:val="0"/>
    </w:pPr>
    <w:rPr>
      <w:rFonts w:ascii="FIGLOG+Arial,Bold" w:hAnsi="FIGLOG+Arial,Bold" w:cs="FIGLOG+Arial,Bold"/>
      <w:color w:val="000000"/>
      <w:sz w:val="24"/>
      <w:szCs w:val="24"/>
    </w:rPr>
  </w:style>
  <w:style w:type="paragraph" w:customStyle="1" w:styleId="CM20">
    <w:name w:val="CM20"/>
    <w:basedOn w:val="Default"/>
    <w:next w:val="Default"/>
    <w:rsid w:val="00D85FAC"/>
    <w:pPr>
      <w:spacing w:after="303"/>
    </w:pPr>
    <w:rPr>
      <w:rFonts w:cs="Times New Roman"/>
      <w:color w:val="auto"/>
    </w:rPr>
  </w:style>
  <w:style w:type="paragraph" w:customStyle="1" w:styleId="CM6">
    <w:name w:val="CM6"/>
    <w:basedOn w:val="Default"/>
    <w:next w:val="Default"/>
    <w:rsid w:val="00D85FAC"/>
    <w:rPr>
      <w:rFonts w:cs="Times New Roman"/>
      <w:color w:val="auto"/>
    </w:rPr>
  </w:style>
  <w:style w:type="paragraph" w:customStyle="1" w:styleId="referencelist10">
    <w:name w:val="referencelist1"/>
    <w:basedOn w:val="Normal"/>
    <w:rsid w:val="00D85FAC"/>
    <w:pPr>
      <w:ind w:left="360" w:hanging="360"/>
    </w:pPr>
    <w:rPr>
      <w:szCs w:val="22"/>
      <w:lang w:eastAsia="en-AU"/>
    </w:rPr>
  </w:style>
  <w:style w:type="paragraph" w:styleId="Caption">
    <w:name w:val="caption"/>
    <w:basedOn w:val="Normal"/>
    <w:next w:val="Normal"/>
    <w:qFormat/>
    <w:rsid w:val="00D85FAC"/>
    <w:pPr>
      <w:spacing w:before="120" w:line="260" w:lineRule="atLeast"/>
      <w:jc w:val="left"/>
    </w:pPr>
    <w:rPr>
      <w:b/>
      <w:bCs/>
      <w:sz w:val="20"/>
    </w:rPr>
  </w:style>
  <w:style w:type="paragraph" w:styleId="BlockText">
    <w:name w:val="Block Text"/>
    <w:basedOn w:val="Normal"/>
    <w:rsid w:val="00D85FAC"/>
    <w:pPr>
      <w:ind w:left="1440" w:right="1440"/>
    </w:pPr>
  </w:style>
  <w:style w:type="paragraph" w:styleId="BodyText">
    <w:name w:val="Body Text"/>
    <w:basedOn w:val="Normal"/>
    <w:link w:val="BodyTextChar"/>
    <w:rsid w:val="00D85FAC"/>
  </w:style>
  <w:style w:type="character" w:customStyle="1" w:styleId="BodyTextChar">
    <w:name w:val="Body Text Char"/>
    <w:basedOn w:val="DefaultParagraphFont"/>
    <w:link w:val="BodyText"/>
    <w:rsid w:val="00D85FAC"/>
    <w:rPr>
      <w:sz w:val="22"/>
      <w:lang w:eastAsia="en-US"/>
    </w:rPr>
  </w:style>
  <w:style w:type="paragraph" w:styleId="BodyText3">
    <w:name w:val="Body Text 3"/>
    <w:basedOn w:val="Normal"/>
    <w:link w:val="BodyText3Char"/>
    <w:rsid w:val="00D85FAC"/>
    <w:rPr>
      <w:sz w:val="16"/>
      <w:szCs w:val="16"/>
    </w:rPr>
  </w:style>
  <w:style w:type="character" w:customStyle="1" w:styleId="BodyText3Char">
    <w:name w:val="Body Text 3 Char"/>
    <w:basedOn w:val="DefaultParagraphFont"/>
    <w:link w:val="BodyText3"/>
    <w:rsid w:val="00D85FAC"/>
    <w:rPr>
      <w:sz w:val="16"/>
      <w:szCs w:val="16"/>
      <w:lang w:eastAsia="en-US"/>
    </w:rPr>
  </w:style>
  <w:style w:type="paragraph" w:styleId="BodyTextFirstIndent">
    <w:name w:val="Body Text First Indent"/>
    <w:basedOn w:val="BodyText"/>
    <w:link w:val="BodyTextFirstIndentChar"/>
    <w:rsid w:val="00D85FAC"/>
    <w:pPr>
      <w:ind w:firstLine="210"/>
    </w:pPr>
  </w:style>
  <w:style w:type="character" w:customStyle="1" w:styleId="BodyTextFirstIndentChar">
    <w:name w:val="Body Text First Indent Char"/>
    <w:basedOn w:val="BodyTextChar"/>
    <w:link w:val="BodyTextFirstIndent"/>
    <w:rsid w:val="00D85FAC"/>
  </w:style>
  <w:style w:type="paragraph" w:styleId="BodyTextIndent">
    <w:name w:val="Body Text Indent"/>
    <w:basedOn w:val="Normal"/>
    <w:link w:val="BodyTextIndentChar"/>
    <w:rsid w:val="00D85FAC"/>
    <w:pPr>
      <w:ind w:left="283"/>
    </w:pPr>
  </w:style>
  <w:style w:type="character" w:customStyle="1" w:styleId="BodyTextIndentChar">
    <w:name w:val="Body Text Indent Char"/>
    <w:basedOn w:val="DefaultParagraphFont"/>
    <w:link w:val="BodyTextIndent"/>
    <w:rsid w:val="00D85FAC"/>
    <w:rPr>
      <w:sz w:val="22"/>
      <w:lang w:eastAsia="en-US"/>
    </w:rPr>
  </w:style>
  <w:style w:type="paragraph" w:styleId="BodyTextFirstIndent2">
    <w:name w:val="Body Text First Indent 2"/>
    <w:basedOn w:val="BodyTextIndent"/>
    <w:link w:val="BodyTextFirstIndent2Char"/>
    <w:rsid w:val="00D85FAC"/>
    <w:pPr>
      <w:ind w:firstLine="210"/>
    </w:pPr>
  </w:style>
  <w:style w:type="character" w:customStyle="1" w:styleId="BodyTextFirstIndent2Char">
    <w:name w:val="Body Text First Indent 2 Char"/>
    <w:basedOn w:val="BodyTextIndentChar"/>
    <w:link w:val="BodyTextFirstIndent2"/>
    <w:rsid w:val="00D85FAC"/>
  </w:style>
  <w:style w:type="paragraph" w:styleId="BodyTextIndent2">
    <w:name w:val="Body Text Indent 2"/>
    <w:basedOn w:val="Normal"/>
    <w:link w:val="BodyTextIndent2Char"/>
    <w:rsid w:val="00D85FAC"/>
    <w:pPr>
      <w:spacing w:line="480" w:lineRule="auto"/>
      <w:ind w:left="283"/>
    </w:pPr>
  </w:style>
  <w:style w:type="character" w:customStyle="1" w:styleId="BodyTextIndent2Char">
    <w:name w:val="Body Text Indent 2 Char"/>
    <w:basedOn w:val="DefaultParagraphFont"/>
    <w:link w:val="BodyTextIndent2"/>
    <w:rsid w:val="00D85FAC"/>
    <w:rPr>
      <w:sz w:val="22"/>
      <w:lang w:eastAsia="en-US"/>
    </w:rPr>
  </w:style>
  <w:style w:type="paragraph" w:styleId="BodyTextIndent3">
    <w:name w:val="Body Text Indent 3"/>
    <w:basedOn w:val="Normal"/>
    <w:link w:val="BodyTextIndent3Char"/>
    <w:rsid w:val="00D85FAC"/>
    <w:pPr>
      <w:ind w:left="283"/>
    </w:pPr>
    <w:rPr>
      <w:sz w:val="16"/>
      <w:szCs w:val="16"/>
    </w:rPr>
  </w:style>
  <w:style w:type="character" w:customStyle="1" w:styleId="BodyTextIndent3Char">
    <w:name w:val="Body Text Indent 3 Char"/>
    <w:basedOn w:val="DefaultParagraphFont"/>
    <w:link w:val="BodyTextIndent3"/>
    <w:rsid w:val="00D85FAC"/>
    <w:rPr>
      <w:sz w:val="16"/>
      <w:szCs w:val="16"/>
      <w:lang w:eastAsia="en-US"/>
    </w:rPr>
  </w:style>
  <w:style w:type="paragraph" w:styleId="Closing">
    <w:name w:val="Closing"/>
    <w:basedOn w:val="Normal"/>
    <w:link w:val="ClosingChar"/>
    <w:rsid w:val="00D85FAC"/>
    <w:pPr>
      <w:ind w:left="4252"/>
    </w:pPr>
  </w:style>
  <w:style w:type="character" w:customStyle="1" w:styleId="ClosingChar">
    <w:name w:val="Closing Char"/>
    <w:basedOn w:val="DefaultParagraphFont"/>
    <w:link w:val="Closing"/>
    <w:rsid w:val="00D85FAC"/>
    <w:rPr>
      <w:sz w:val="22"/>
      <w:lang w:eastAsia="en-US"/>
    </w:rPr>
  </w:style>
  <w:style w:type="paragraph" w:styleId="Date">
    <w:name w:val="Date"/>
    <w:basedOn w:val="Normal"/>
    <w:next w:val="Normal"/>
    <w:link w:val="DateChar"/>
    <w:rsid w:val="00D85FAC"/>
  </w:style>
  <w:style w:type="character" w:customStyle="1" w:styleId="DateChar">
    <w:name w:val="Date Char"/>
    <w:basedOn w:val="DefaultParagraphFont"/>
    <w:link w:val="Date"/>
    <w:rsid w:val="00D85FAC"/>
    <w:rPr>
      <w:sz w:val="22"/>
      <w:lang w:eastAsia="en-US"/>
    </w:rPr>
  </w:style>
  <w:style w:type="paragraph" w:styleId="DocumentMap">
    <w:name w:val="Document Map"/>
    <w:basedOn w:val="Normal"/>
    <w:link w:val="DocumentMapChar"/>
    <w:rsid w:val="00D85FAC"/>
    <w:pPr>
      <w:shd w:val="clear" w:color="auto" w:fill="000080"/>
    </w:pPr>
    <w:rPr>
      <w:rFonts w:ascii="Tahoma" w:hAnsi="Tahoma" w:cs="Tahoma"/>
      <w:sz w:val="20"/>
    </w:rPr>
  </w:style>
  <w:style w:type="character" w:customStyle="1" w:styleId="DocumentMapChar">
    <w:name w:val="Document Map Char"/>
    <w:basedOn w:val="DefaultParagraphFont"/>
    <w:link w:val="DocumentMap"/>
    <w:rsid w:val="00D85FAC"/>
    <w:rPr>
      <w:rFonts w:ascii="Tahoma" w:hAnsi="Tahoma" w:cs="Tahoma"/>
      <w:shd w:val="clear" w:color="auto" w:fill="000080"/>
      <w:lang w:eastAsia="en-US"/>
    </w:rPr>
  </w:style>
  <w:style w:type="paragraph" w:styleId="E-mailSignature">
    <w:name w:val="E-mail Signature"/>
    <w:basedOn w:val="Normal"/>
    <w:link w:val="E-mailSignatureChar"/>
    <w:rsid w:val="00D85FAC"/>
  </w:style>
  <w:style w:type="character" w:customStyle="1" w:styleId="E-mailSignatureChar">
    <w:name w:val="E-mail Signature Char"/>
    <w:basedOn w:val="DefaultParagraphFont"/>
    <w:link w:val="E-mailSignature"/>
    <w:rsid w:val="00D85FAC"/>
    <w:rPr>
      <w:sz w:val="22"/>
      <w:lang w:eastAsia="en-US"/>
    </w:rPr>
  </w:style>
  <w:style w:type="paragraph" w:styleId="EndnoteText">
    <w:name w:val="endnote text"/>
    <w:basedOn w:val="Normal"/>
    <w:link w:val="EndnoteTextChar"/>
    <w:rsid w:val="00D85FAC"/>
    <w:rPr>
      <w:sz w:val="20"/>
    </w:rPr>
  </w:style>
  <w:style w:type="character" w:customStyle="1" w:styleId="EndnoteTextChar">
    <w:name w:val="Endnote Text Char"/>
    <w:basedOn w:val="DefaultParagraphFont"/>
    <w:link w:val="EndnoteText"/>
    <w:rsid w:val="00D85FAC"/>
    <w:rPr>
      <w:lang w:eastAsia="en-US"/>
    </w:rPr>
  </w:style>
  <w:style w:type="paragraph" w:styleId="EnvelopeAddress">
    <w:name w:val="envelope address"/>
    <w:basedOn w:val="Normal"/>
    <w:rsid w:val="00D85FA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85FAC"/>
    <w:rPr>
      <w:rFonts w:ascii="Arial" w:hAnsi="Arial" w:cs="Arial"/>
      <w:sz w:val="20"/>
    </w:rPr>
  </w:style>
  <w:style w:type="paragraph" w:styleId="HTMLAddress">
    <w:name w:val="HTML Address"/>
    <w:basedOn w:val="Normal"/>
    <w:link w:val="HTMLAddressChar"/>
    <w:rsid w:val="00D85FAC"/>
    <w:rPr>
      <w:i/>
      <w:iCs/>
    </w:rPr>
  </w:style>
  <w:style w:type="character" w:customStyle="1" w:styleId="HTMLAddressChar">
    <w:name w:val="HTML Address Char"/>
    <w:basedOn w:val="DefaultParagraphFont"/>
    <w:link w:val="HTMLAddress"/>
    <w:rsid w:val="00D85FAC"/>
    <w:rPr>
      <w:i/>
      <w:iCs/>
      <w:sz w:val="22"/>
      <w:lang w:eastAsia="en-US"/>
    </w:rPr>
  </w:style>
  <w:style w:type="paragraph" w:styleId="HTMLPreformatted">
    <w:name w:val="HTML Preformatted"/>
    <w:basedOn w:val="Normal"/>
    <w:link w:val="HTMLPreformattedChar"/>
    <w:rsid w:val="00D85FAC"/>
    <w:rPr>
      <w:rFonts w:ascii="Courier New" w:hAnsi="Courier New" w:cs="Courier New"/>
      <w:sz w:val="20"/>
    </w:rPr>
  </w:style>
  <w:style w:type="character" w:customStyle="1" w:styleId="HTMLPreformattedChar">
    <w:name w:val="HTML Preformatted Char"/>
    <w:basedOn w:val="DefaultParagraphFont"/>
    <w:link w:val="HTMLPreformatted"/>
    <w:rsid w:val="00D85FAC"/>
    <w:rPr>
      <w:rFonts w:ascii="Courier New" w:hAnsi="Courier New" w:cs="Courier New"/>
      <w:lang w:eastAsia="en-US"/>
    </w:rPr>
  </w:style>
  <w:style w:type="paragraph" w:styleId="Index1">
    <w:name w:val="index 1"/>
    <w:basedOn w:val="Normal"/>
    <w:next w:val="Normal"/>
    <w:autoRedefine/>
    <w:rsid w:val="00D85FAC"/>
    <w:pPr>
      <w:ind w:left="220" w:hanging="220"/>
    </w:pPr>
  </w:style>
  <w:style w:type="paragraph" w:styleId="Index2">
    <w:name w:val="index 2"/>
    <w:basedOn w:val="Normal"/>
    <w:next w:val="Normal"/>
    <w:autoRedefine/>
    <w:rsid w:val="00D85FAC"/>
    <w:pPr>
      <w:ind w:left="440" w:hanging="220"/>
    </w:pPr>
  </w:style>
  <w:style w:type="paragraph" w:styleId="Index3">
    <w:name w:val="index 3"/>
    <w:basedOn w:val="Normal"/>
    <w:next w:val="Normal"/>
    <w:autoRedefine/>
    <w:rsid w:val="00D85FAC"/>
    <w:pPr>
      <w:ind w:left="660" w:hanging="220"/>
    </w:pPr>
  </w:style>
  <w:style w:type="paragraph" w:styleId="Index4">
    <w:name w:val="index 4"/>
    <w:basedOn w:val="Normal"/>
    <w:next w:val="Normal"/>
    <w:autoRedefine/>
    <w:rsid w:val="00D85FAC"/>
    <w:pPr>
      <w:ind w:left="880" w:hanging="220"/>
    </w:pPr>
  </w:style>
  <w:style w:type="paragraph" w:styleId="Index5">
    <w:name w:val="index 5"/>
    <w:basedOn w:val="Normal"/>
    <w:next w:val="Normal"/>
    <w:autoRedefine/>
    <w:rsid w:val="00D85FAC"/>
    <w:pPr>
      <w:ind w:left="1100" w:hanging="220"/>
    </w:pPr>
  </w:style>
  <w:style w:type="paragraph" w:styleId="Index6">
    <w:name w:val="index 6"/>
    <w:basedOn w:val="Normal"/>
    <w:next w:val="Normal"/>
    <w:autoRedefine/>
    <w:rsid w:val="00D85FAC"/>
    <w:pPr>
      <w:ind w:left="1320" w:hanging="220"/>
    </w:pPr>
  </w:style>
  <w:style w:type="paragraph" w:styleId="Index7">
    <w:name w:val="index 7"/>
    <w:basedOn w:val="Normal"/>
    <w:next w:val="Normal"/>
    <w:autoRedefine/>
    <w:rsid w:val="00D85FAC"/>
    <w:pPr>
      <w:ind w:left="1540" w:hanging="220"/>
    </w:pPr>
  </w:style>
  <w:style w:type="paragraph" w:styleId="Index8">
    <w:name w:val="index 8"/>
    <w:basedOn w:val="Normal"/>
    <w:next w:val="Normal"/>
    <w:autoRedefine/>
    <w:rsid w:val="00D85FAC"/>
    <w:pPr>
      <w:ind w:left="1760" w:hanging="220"/>
    </w:pPr>
  </w:style>
  <w:style w:type="paragraph" w:styleId="Index9">
    <w:name w:val="index 9"/>
    <w:basedOn w:val="Normal"/>
    <w:next w:val="Normal"/>
    <w:autoRedefine/>
    <w:rsid w:val="00D85FAC"/>
    <w:pPr>
      <w:ind w:left="1980" w:hanging="220"/>
    </w:pPr>
  </w:style>
  <w:style w:type="paragraph" w:styleId="IndexHeading">
    <w:name w:val="index heading"/>
    <w:basedOn w:val="Normal"/>
    <w:next w:val="Index1"/>
    <w:rsid w:val="00D85FAC"/>
    <w:rPr>
      <w:rFonts w:ascii="Arial" w:hAnsi="Arial" w:cs="Arial"/>
      <w:b/>
      <w:bCs/>
    </w:rPr>
  </w:style>
  <w:style w:type="paragraph" w:styleId="List">
    <w:name w:val="List"/>
    <w:basedOn w:val="Normal"/>
    <w:rsid w:val="00D85FAC"/>
    <w:pPr>
      <w:ind w:left="283" w:hanging="283"/>
    </w:pPr>
  </w:style>
  <w:style w:type="paragraph" w:styleId="List2">
    <w:name w:val="List 2"/>
    <w:basedOn w:val="Normal"/>
    <w:rsid w:val="00D85FAC"/>
    <w:pPr>
      <w:ind w:left="566" w:hanging="283"/>
    </w:pPr>
  </w:style>
  <w:style w:type="paragraph" w:styleId="List3">
    <w:name w:val="List 3"/>
    <w:basedOn w:val="Normal"/>
    <w:rsid w:val="00D85FAC"/>
    <w:pPr>
      <w:ind w:left="849" w:hanging="283"/>
    </w:pPr>
  </w:style>
  <w:style w:type="paragraph" w:styleId="List4">
    <w:name w:val="List 4"/>
    <w:basedOn w:val="Normal"/>
    <w:rsid w:val="00D85FAC"/>
    <w:pPr>
      <w:ind w:left="1132" w:hanging="283"/>
    </w:pPr>
  </w:style>
  <w:style w:type="paragraph" w:styleId="List5">
    <w:name w:val="List 5"/>
    <w:basedOn w:val="Normal"/>
    <w:rsid w:val="00D85FAC"/>
    <w:pPr>
      <w:ind w:left="1415" w:hanging="283"/>
    </w:pPr>
  </w:style>
  <w:style w:type="paragraph" w:styleId="ListBullet2">
    <w:name w:val="List Bullet 2"/>
    <w:basedOn w:val="Normal"/>
    <w:rsid w:val="00D85FAC"/>
    <w:pPr>
      <w:tabs>
        <w:tab w:val="num" w:pos="643"/>
      </w:tabs>
      <w:ind w:left="643" w:hanging="360"/>
    </w:pPr>
  </w:style>
  <w:style w:type="paragraph" w:styleId="ListBullet3">
    <w:name w:val="List Bullet 3"/>
    <w:basedOn w:val="Normal"/>
    <w:rsid w:val="00D85FAC"/>
    <w:pPr>
      <w:tabs>
        <w:tab w:val="num" w:pos="926"/>
      </w:tabs>
      <w:ind w:left="926" w:hanging="360"/>
    </w:pPr>
  </w:style>
  <w:style w:type="paragraph" w:styleId="ListBullet4">
    <w:name w:val="List Bullet 4"/>
    <w:basedOn w:val="Normal"/>
    <w:rsid w:val="00D85FAC"/>
    <w:pPr>
      <w:tabs>
        <w:tab w:val="num" w:pos="1209"/>
      </w:tabs>
      <w:ind w:left="1209" w:hanging="360"/>
    </w:pPr>
  </w:style>
  <w:style w:type="paragraph" w:styleId="ListBullet5">
    <w:name w:val="List Bullet 5"/>
    <w:basedOn w:val="Normal"/>
    <w:rsid w:val="00D85FAC"/>
    <w:pPr>
      <w:tabs>
        <w:tab w:val="num" w:pos="1492"/>
      </w:tabs>
      <w:ind w:left="1492" w:hanging="360"/>
    </w:pPr>
  </w:style>
  <w:style w:type="paragraph" w:styleId="ListContinue">
    <w:name w:val="List Continue"/>
    <w:basedOn w:val="Normal"/>
    <w:rsid w:val="00D85FAC"/>
    <w:pPr>
      <w:ind w:left="283"/>
    </w:pPr>
  </w:style>
  <w:style w:type="paragraph" w:styleId="ListContinue2">
    <w:name w:val="List Continue 2"/>
    <w:basedOn w:val="Normal"/>
    <w:rsid w:val="00D85FAC"/>
    <w:pPr>
      <w:ind w:left="566"/>
    </w:pPr>
  </w:style>
  <w:style w:type="paragraph" w:styleId="ListContinue3">
    <w:name w:val="List Continue 3"/>
    <w:basedOn w:val="Normal"/>
    <w:rsid w:val="00D85FAC"/>
    <w:pPr>
      <w:ind w:left="849"/>
    </w:pPr>
  </w:style>
  <w:style w:type="paragraph" w:styleId="ListContinue4">
    <w:name w:val="List Continue 4"/>
    <w:basedOn w:val="Normal"/>
    <w:rsid w:val="00D85FAC"/>
    <w:pPr>
      <w:ind w:left="1132"/>
    </w:pPr>
  </w:style>
  <w:style w:type="paragraph" w:styleId="ListContinue5">
    <w:name w:val="List Continue 5"/>
    <w:basedOn w:val="Normal"/>
    <w:rsid w:val="00D85FAC"/>
    <w:pPr>
      <w:ind w:left="1415"/>
    </w:pPr>
  </w:style>
  <w:style w:type="paragraph" w:styleId="ListNumber">
    <w:name w:val="List Number"/>
    <w:basedOn w:val="Normal"/>
    <w:rsid w:val="00D85FAC"/>
    <w:pPr>
      <w:tabs>
        <w:tab w:val="num" w:pos="360"/>
      </w:tabs>
      <w:ind w:left="360" w:hanging="360"/>
    </w:pPr>
  </w:style>
  <w:style w:type="paragraph" w:styleId="ListNumber2">
    <w:name w:val="List Number 2"/>
    <w:basedOn w:val="Normal"/>
    <w:rsid w:val="00D85FAC"/>
    <w:pPr>
      <w:tabs>
        <w:tab w:val="num" w:pos="643"/>
      </w:tabs>
      <w:ind w:left="643" w:hanging="360"/>
    </w:pPr>
  </w:style>
  <w:style w:type="paragraph" w:styleId="ListNumber3">
    <w:name w:val="List Number 3"/>
    <w:basedOn w:val="Normal"/>
    <w:rsid w:val="00D85FAC"/>
    <w:pPr>
      <w:tabs>
        <w:tab w:val="num" w:pos="926"/>
      </w:tabs>
      <w:ind w:left="926" w:hanging="360"/>
    </w:pPr>
  </w:style>
  <w:style w:type="paragraph" w:styleId="ListNumber4">
    <w:name w:val="List Number 4"/>
    <w:basedOn w:val="Normal"/>
    <w:rsid w:val="00D85FAC"/>
    <w:pPr>
      <w:tabs>
        <w:tab w:val="num" w:pos="1209"/>
      </w:tabs>
      <w:ind w:left="1209" w:hanging="360"/>
    </w:pPr>
  </w:style>
  <w:style w:type="paragraph" w:styleId="ListNumber5">
    <w:name w:val="List Number 5"/>
    <w:basedOn w:val="Normal"/>
    <w:rsid w:val="00D85FAC"/>
    <w:pPr>
      <w:tabs>
        <w:tab w:val="num" w:pos="1492"/>
      </w:tabs>
      <w:ind w:left="1492" w:hanging="360"/>
    </w:pPr>
  </w:style>
  <w:style w:type="paragraph" w:styleId="MacroText">
    <w:name w:val="macro"/>
    <w:link w:val="MacroTextChar"/>
    <w:rsid w:val="00D85FAC"/>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character" w:customStyle="1" w:styleId="MacroTextChar">
    <w:name w:val="Macro Text Char"/>
    <w:basedOn w:val="DefaultParagraphFont"/>
    <w:link w:val="MacroText"/>
    <w:rsid w:val="00D85FAC"/>
    <w:rPr>
      <w:rFonts w:ascii="Courier New" w:hAnsi="Courier New" w:cs="Courier New"/>
      <w:lang w:eastAsia="en-US"/>
    </w:rPr>
  </w:style>
  <w:style w:type="paragraph" w:styleId="MessageHeader">
    <w:name w:val="Message Header"/>
    <w:basedOn w:val="Normal"/>
    <w:link w:val="MessageHeaderChar"/>
    <w:rsid w:val="00D85FA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85FAC"/>
    <w:rPr>
      <w:rFonts w:ascii="Arial" w:hAnsi="Arial" w:cs="Arial"/>
      <w:sz w:val="24"/>
      <w:szCs w:val="24"/>
      <w:shd w:val="pct20" w:color="auto" w:fill="auto"/>
      <w:lang w:eastAsia="en-US"/>
    </w:rPr>
  </w:style>
  <w:style w:type="paragraph" w:styleId="NoteHeading">
    <w:name w:val="Note Heading"/>
    <w:basedOn w:val="Normal"/>
    <w:next w:val="Normal"/>
    <w:link w:val="NoteHeadingChar"/>
    <w:rsid w:val="00D85FAC"/>
  </w:style>
  <w:style w:type="character" w:customStyle="1" w:styleId="NoteHeadingChar">
    <w:name w:val="Note Heading Char"/>
    <w:basedOn w:val="DefaultParagraphFont"/>
    <w:link w:val="NoteHeading"/>
    <w:rsid w:val="00D85FAC"/>
    <w:rPr>
      <w:sz w:val="22"/>
      <w:lang w:eastAsia="en-US"/>
    </w:rPr>
  </w:style>
  <w:style w:type="paragraph" w:styleId="PlainText">
    <w:name w:val="Plain Text"/>
    <w:basedOn w:val="Normal"/>
    <w:link w:val="PlainTextChar"/>
    <w:uiPriority w:val="99"/>
    <w:rsid w:val="00D85FAC"/>
    <w:rPr>
      <w:rFonts w:ascii="Courier New" w:hAnsi="Courier New"/>
      <w:sz w:val="20"/>
    </w:rPr>
  </w:style>
  <w:style w:type="character" w:customStyle="1" w:styleId="PlainTextChar">
    <w:name w:val="Plain Text Char"/>
    <w:basedOn w:val="DefaultParagraphFont"/>
    <w:link w:val="PlainText"/>
    <w:uiPriority w:val="99"/>
    <w:rsid w:val="00D85FAC"/>
    <w:rPr>
      <w:rFonts w:ascii="Courier New" w:hAnsi="Courier New"/>
      <w:lang w:eastAsia="en-US"/>
    </w:rPr>
  </w:style>
  <w:style w:type="paragraph" w:styleId="Salutation">
    <w:name w:val="Salutation"/>
    <w:basedOn w:val="Normal"/>
    <w:next w:val="Normal"/>
    <w:link w:val="SalutationChar"/>
    <w:rsid w:val="00D85FAC"/>
  </w:style>
  <w:style w:type="character" w:customStyle="1" w:styleId="SalutationChar">
    <w:name w:val="Salutation Char"/>
    <w:basedOn w:val="DefaultParagraphFont"/>
    <w:link w:val="Salutation"/>
    <w:rsid w:val="00D85FAC"/>
    <w:rPr>
      <w:sz w:val="22"/>
      <w:lang w:eastAsia="en-US"/>
    </w:rPr>
  </w:style>
  <w:style w:type="paragraph" w:styleId="Signature">
    <w:name w:val="Signature"/>
    <w:basedOn w:val="Normal"/>
    <w:link w:val="SignatureChar"/>
    <w:rsid w:val="00D85FAC"/>
    <w:pPr>
      <w:ind w:left="4252"/>
    </w:pPr>
  </w:style>
  <w:style w:type="character" w:customStyle="1" w:styleId="SignatureChar">
    <w:name w:val="Signature Char"/>
    <w:basedOn w:val="DefaultParagraphFont"/>
    <w:link w:val="Signature"/>
    <w:rsid w:val="00D85FAC"/>
    <w:rPr>
      <w:sz w:val="22"/>
      <w:lang w:eastAsia="en-US"/>
    </w:rPr>
  </w:style>
  <w:style w:type="paragraph" w:styleId="TableofAuthorities">
    <w:name w:val="table of authorities"/>
    <w:basedOn w:val="Normal"/>
    <w:next w:val="Normal"/>
    <w:rsid w:val="00D85FAC"/>
    <w:pPr>
      <w:ind w:left="220" w:hanging="220"/>
    </w:pPr>
  </w:style>
  <w:style w:type="paragraph" w:styleId="TableofFigures">
    <w:name w:val="table of figures"/>
    <w:basedOn w:val="Normal"/>
    <w:next w:val="Normal"/>
    <w:rsid w:val="00D85FAC"/>
  </w:style>
  <w:style w:type="paragraph" w:styleId="TOAHeading">
    <w:name w:val="toa heading"/>
    <w:basedOn w:val="Normal"/>
    <w:next w:val="Normal"/>
    <w:rsid w:val="00D85FAC"/>
    <w:pPr>
      <w:spacing w:before="120"/>
    </w:pPr>
    <w:rPr>
      <w:rFonts w:ascii="Arial" w:hAnsi="Arial" w:cs="Arial"/>
      <w:b/>
      <w:bCs/>
      <w:sz w:val="24"/>
      <w:szCs w:val="24"/>
    </w:rPr>
  </w:style>
  <w:style w:type="paragraph" w:styleId="TOC5">
    <w:name w:val="toc 5"/>
    <w:basedOn w:val="Normal"/>
    <w:next w:val="Normal"/>
    <w:autoRedefine/>
    <w:uiPriority w:val="39"/>
    <w:rsid w:val="00D85FAC"/>
    <w:pPr>
      <w:ind w:left="880"/>
    </w:pPr>
  </w:style>
  <w:style w:type="paragraph" w:styleId="TOC6">
    <w:name w:val="toc 6"/>
    <w:basedOn w:val="Normal"/>
    <w:next w:val="Normal"/>
    <w:autoRedefine/>
    <w:uiPriority w:val="39"/>
    <w:rsid w:val="00D85FAC"/>
    <w:pPr>
      <w:ind w:left="1100"/>
    </w:pPr>
  </w:style>
  <w:style w:type="paragraph" w:styleId="TOC7">
    <w:name w:val="toc 7"/>
    <w:basedOn w:val="Normal"/>
    <w:next w:val="Normal"/>
    <w:autoRedefine/>
    <w:uiPriority w:val="39"/>
    <w:rsid w:val="00D85FAC"/>
    <w:pPr>
      <w:ind w:left="1320"/>
    </w:pPr>
  </w:style>
  <w:style w:type="paragraph" w:styleId="TOC8">
    <w:name w:val="toc 8"/>
    <w:basedOn w:val="Normal"/>
    <w:next w:val="Normal"/>
    <w:autoRedefine/>
    <w:uiPriority w:val="39"/>
    <w:rsid w:val="00D85FAC"/>
    <w:pPr>
      <w:ind w:left="1540"/>
    </w:pPr>
  </w:style>
  <w:style w:type="paragraph" w:styleId="TOC9">
    <w:name w:val="toc 9"/>
    <w:basedOn w:val="Normal"/>
    <w:next w:val="Normal"/>
    <w:autoRedefine/>
    <w:uiPriority w:val="39"/>
    <w:rsid w:val="00D85FAC"/>
    <w:pPr>
      <w:ind w:left="1760"/>
    </w:pPr>
  </w:style>
  <w:style w:type="character" w:customStyle="1" w:styleId="CharChar">
    <w:name w:val="Char Char"/>
    <w:rsid w:val="00D85FAC"/>
    <w:rPr>
      <w:rFonts w:ascii="Arial" w:hAnsi="Arial"/>
      <w:i/>
      <w:lang w:val="en-AU" w:eastAsia="en-US" w:bidi="ar-SA"/>
    </w:rPr>
  </w:style>
  <w:style w:type="table" w:styleId="TableSimple1">
    <w:name w:val="Table Simple 1"/>
    <w:basedOn w:val="TableNormal"/>
    <w:rsid w:val="00D85FAC"/>
    <w:pPr>
      <w:spacing w:after="120" w:line="28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FollowedHyperlink">
    <w:name w:val="FollowedHyperlink"/>
    <w:rsid w:val="00D85FAC"/>
    <w:rPr>
      <w:color w:val="800080"/>
      <w:u w:val="single"/>
    </w:rPr>
  </w:style>
  <w:style w:type="paragraph" w:customStyle="1" w:styleId="project-title">
    <w:name w:val="project-title"/>
    <w:basedOn w:val="Heading4"/>
    <w:rsid w:val="00D85FAC"/>
    <w:pPr>
      <w:spacing w:before="240"/>
    </w:pPr>
    <w:rPr>
      <w:rFonts w:ascii="Arial Bold Italic" w:hAnsi="Arial Bold Italic"/>
      <w:i/>
    </w:rPr>
  </w:style>
  <w:style w:type="character" w:customStyle="1" w:styleId="textstyle01">
    <w:name w:val="textstyle01"/>
    <w:basedOn w:val="DefaultParagraphFont"/>
    <w:rsid w:val="00D85FAC"/>
    <w:rPr>
      <w:rFonts w:ascii="Georgia" w:hAnsi="Georgia" w:hint="default"/>
      <w:b w:val="0"/>
      <w:bCs w:val="0"/>
      <w:i w:val="0"/>
      <w:iCs w:val="0"/>
      <w:strike w:val="0"/>
      <w:dstrike w:val="0"/>
      <w:color w:val="31221B"/>
      <w:sz w:val="20"/>
      <w:szCs w:val="20"/>
      <w:u w:val="none"/>
      <w:effect w:val="none"/>
    </w:rPr>
  </w:style>
  <w:style w:type="paragraph" w:customStyle="1" w:styleId="FigureCaption0">
    <w:name w:val="Figure Caption"/>
    <w:basedOn w:val="Caption"/>
    <w:next w:val="Normal"/>
    <w:link w:val="FigureCaptionChar0"/>
    <w:rsid w:val="00D85FAC"/>
    <w:pPr>
      <w:keepNext/>
      <w:keepLines/>
      <w:spacing w:before="0" w:after="360" w:line="240" w:lineRule="auto"/>
      <w:ind w:left="1418" w:hanging="1418"/>
    </w:pPr>
    <w:rPr>
      <w:rFonts w:ascii="Arial" w:hAnsi="Arial"/>
      <w:bCs w:val="0"/>
      <w:sz w:val="22"/>
    </w:rPr>
  </w:style>
  <w:style w:type="character" w:customStyle="1" w:styleId="FigureCaptionChar0">
    <w:name w:val="Figure Caption Char"/>
    <w:basedOn w:val="DefaultParagraphFont"/>
    <w:link w:val="FigureCaption0"/>
    <w:rsid w:val="00D85FAC"/>
    <w:rPr>
      <w:rFonts w:ascii="Arial" w:hAnsi="Arial"/>
      <w:b/>
      <w:sz w:val="22"/>
      <w:lang w:eastAsia="en-US"/>
    </w:rPr>
  </w:style>
  <w:style w:type="paragraph" w:customStyle="1" w:styleId="References">
    <w:name w:val="References"/>
    <w:basedOn w:val="Normal"/>
    <w:link w:val="ReferencesChar"/>
    <w:uiPriority w:val="99"/>
    <w:rsid w:val="00D85FAC"/>
    <w:pPr>
      <w:spacing w:after="0" w:line="240" w:lineRule="auto"/>
      <w:ind w:left="567" w:hanging="567"/>
    </w:pPr>
    <w:rPr>
      <w:sz w:val="20"/>
      <w:szCs w:val="24"/>
    </w:rPr>
  </w:style>
  <w:style w:type="character" w:customStyle="1" w:styleId="ReferencesChar">
    <w:name w:val="References Char"/>
    <w:basedOn w:val="DefaultParagraphFont"/>
    <w:link w:val="References"/>
    <w:uiPriority w:val="99"/>
    <w:locked/>
    <w:rsid w:val="00D85FAC"/>
    <w:rPr>
      <w:szCs w:val="24"/>
      <w:lang w:eastAsia="en-US"/>
    </w:rPr>
  </w:style>
  <w:style w:type="paragraph" w:styleId="TOCHeading">
    <w:name w:val="TOC Heading"/>
    <w:basedOn w:val="Heading1"/>
    <w:next w:val="Normal"/>
    <w:uiPriority w:val="39"/>
    <w:unhideWhenUsed/>
    <w:qFormat/>
    <w:rsid w:val="00D85FAC"/>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character" w:styleId="HTMLAcronym">
    <w:name w:val="HTML Acronym"/>
    <w:basedOn w:val="DefaultParagraphFont"/>
    <w:rsid w:val="00D85FA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42.emf"/><Relationship Id="rId21" Type="http://schemas.openxmlformats.org/officeDocument/2006/relationships/header" Target="header8.xml"/><Relationship Id="rId42" Type="http://schemas.openxmlformats.org/officeDocument/2006/relationships/header" Target="header15.xml"/><Relationship Id="rId47" Type="http://schemas.openxmlformats.org/officeDocument/2006/relationships/image" Target="media/image10.emf"/><Relationship Id="rId63" Type="http://schemas.openxmlformats.org/officeDocument/2006/relationships/oleObject" Target="embeddings/oleObject4.bin"/><Relationship Id="rId68" Type="http://schemas.openxmlformats.org/officeDocument/2006/relationships/header" Target="header21.xml"/><Relationship Id="rId84" Type="http://schemas.openxmlformats.org/officeDocument/2006/relationships/footer" Target="footer16.xml"/><Relationship Id="rId89" Type="http://schemas.openxmlformats.org/officeDocument/2006/relationships/image" Target="media/image22.emf"/><Relationship Id="rId112" Type="http://schemas.openxmlformats.org/officeDocument/2006/relationships/image" Target="media/image38.jpeg"/><Relationship Id="rId133" Type="http://schemas.openxmlformats.org/officeDocument/2006/relationships/image" Target="media/image54.wmf"/><Relationship Id="rId138" Type="http://schemas.openxmlformats.org/officeDocument/2006/relationships/header" Target="header40.xml"/><Relationship Id="rId16" Type="http://schemas.openxmlformats.org/officeDocument/2006/relationships/header" Target="header4.xml"/><Relationship Id="rId107" Type="http://schemas.openxmlformats.org/officeDocument/2006/relationships/image" Target="media/image33.emf"/><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oleObject" Target="embeddings/oleObject2.bin"/><Relationship Id="rId53" Type="http://schemas.openxmlformats.org/officeDocument/2006/relationships/chart" Target="charts/chart2.xml"/><Relationship Id="rId58" Type="http://schemas.openxmlformats.org/officeDocument/2006/relationships/footer" Target="footer11.xml"/><Relationship Id="rId74" Type="http://schemas.openxmlformats.org/officeDocument/2006/relationships/image" Target="media/image16.emf"/><Relationship Id="rId79" Type="http://schemas.openxmlformats.org/officeDocument/2006/relationships/image" Target="media/image21.emf"/><Relationship Id="rId102" Type="http://schemas.openxmlformats.org/officeDocument/2006/relationships/image" Target="media/image30.png"/><Relationship Id="rId123" Type="http://schemas.openxmlformats.org/officeDocument/2006/relationships/header" Target="header35.xml"/><Relationship Id="rId128" Type="http://schemas.openxmlformats.org/officeDocument/2006/relationships/header" Target="header37.xml"/><Relationship Id="rId144" Type="http://schemas.openxmlformats.org/officeDocument/2006/relationships/header" Target="header42.xml"/><Relationship Id="rId149"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23.emf"/><Relationship Id="rId95" Type="http://schemas.openxmlformats.org/officeDocument/2006/relationships/image" Target="media/image26.jpeg"/><Relationship Id="rId22" Type="http://schemas.openxmlformats.org/officeDocument/2006/relationships/hyperlink" Target="http://cran.ms.unimelb.edu.au/" TargetMode="External"/><Relationship Id="rId27" Type="http://schemas.openxmlformats.org/officeDocument/2006/relationships/header" Target="header10.xml"/><Relationship Id="rId43" Type="http://schemas.openxmlformats.org/officeDocument/2006/relationships/header" Target="header16.xml"/><Relationship Id="rId48" Type="http://schemas.openxmlformats.org/officeDocument/2006/relationships/image" Target="media/image11.emf"/><Relationship Id="rId64" Type="http://schemas.openxmlformats.org/officeDocument/2006/relationships/image" Target="media/image14.emf"/><Relationship Id="rId69" Type="http://schemas.openxmlformats.org/officeDocument/2006/relationships/footer" Target="footer13.xml"/><Relationship Id="rId113" Type="http://schemas.openxmlformats.org/officeDocument/2006/relationships/image" Target="media/image39.emf"/><Relationship Id="rId118" Type="http://schemas.openxmlformats.org/officeDocument/2006/relationships/image" Target="media/image43.emf"/><Relationship Id="rId134" Type="http://schemas.openxmlformats.org/officeDocument/2006/relationships/image" Target="media/image55.wmf"/><Relationship Id="rId139" Type="http://schemas.openxmlformats.org/officeDocument/2006/relationships/image" Target="media/image58.emf"/><Relationship Id="rId80" Type="http://schemas.openxmlformats.org/officeDocument/2006/relationships/header" Target="header23.xml"/><Relationship Id="rId85"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footer" Target="footer6.xml"/><Relationship Id="rId38" Type="http://schemas.openxmlformats.org/officeDocument/2006/relationships/image" Target="media/image7.emf"/><Relationship Id="rId46" Type="http://schemas.openxmlformats.org/officeDocument/2006/relationships/image" Target="media/image9.emf"/><Relationship Id="rId59" Type="http://schemas.openxmlformats.org/officeDocument/2006/relationships/footer" Target="footer12.xml"/><Relationship Id="rId67" Type="http://schemas.openxmlformats.org/officeDocument/2006/relationships/header" Target="header20.xml"/><Relationship Id="rId103" Type="http://schemas.openxmlformats.org/officeDocument/2006/relationships/image" Target="media/image31.png"/><Relationship Id="rId108" Type="http://schemas.openxmlformats.org/officeDocument/2006/relationships/image" Target="media/image34.emf"/><Relationship Id="rId116" Type="http://schemas.openxmlformats.org/officeDocument/2006/relationships/image" Target="media/image41.emf"/><Relationship Id="rId124" Type="http://schemas.openxmlformats.org/officeDocument/2006/relationships/image" Target="media/image48.emf"/><Relationship Id="rId129" Type="http://schemas.openxmlformats.org/officeDocument/2006/relationships/image" Target="media/image51.emf"/><Relationship Id="rId137" Type="http://schemas.openxmlformats.org/officeDocument/2006/relationships/image" Target="media/image57.emf"/><Relationship Id="rId20" Type="http://schemas.openxmlformats.org/officeDocument/2006/relationships/header" Target="header7.xml"/><Relationship Id="rId41" Type="http://schemas.openxmlformats.org/officeDocument/2006/relationships/image" Target="media/image8.emf"/><Relationship Id="rId54" Type="http://schemas.openxmlformats.org/officeDocument/2006/relationships/chart" Target="charts/chart3.xml"/><Relationship Id="rId62" Type="http://schemas.openxmlformats.org/officeDocument/2006/relationships/image" Target="media/image13.emf"/><Relationship Id="rId70" Type="http://schemas.openxmlformats.org/officeDocument/2006/relationships/footer" Target="footer14.xml"/><Relationship Id="rId75" Type="http://schemas.openxmlformats.org/officeDocument/2006/relationships/image" Target="media/image17.emf"/><Relationship Id="rId83" Type="http://schemas.openxmlformats.org/officeDocument/2006/relationships/header" Target="header26.xml"/><Relationship Id="rId88" Type="http://schemas.openxmlformats.org/officeDocument/2006/relationships/footer" Target="footer19.xml"/><Relationship Id="rId91" Type="http://schemas.openxmlformats.org/officeDocument/2006/relationships/hyperlink" Target="http://probes.invitrogen.com/media/pis/mp36103.pdf" TargetMode="External"/><Relationship Id="rId96" Type="http://schemas.openxmlformats.org/officeDocument/2006/relationships/image" Target="media/image27.jpeg"/><Relationship Id="rId111" Type="http://schemas.openxmlformats.org/officeDocument/2006/relationships/image" Target="media/image37.emf"/><Relationship Id="rId132" Type="http://schemas.openxmlformats.org/officeDocument/2006/relationships/image" Target="media/image53.wmf"/><Relationship Id="rId140" Type="http://schemas.openxmlformats.org/officeDocument/2006/relationships/image" Target="media/image59.emf"/><Relationship Id="rId145"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header" Target="header11.xml"/><Relationship Id="rId36" Type="http://schemas.openxmlformats.org/officeDocument/2006/relationships/image" Target="media/image6.emf"/><Relationship Id="rId49" Type="http://schemas.openxmlformats.org/officeDocument/2006/relationships/header" Target="header17.xml"/><Relationship Id="rId57" Type="http://schemas.openxmlformats.org/officeDocument/2006/relationships/header" Target="header19.xml"/><Relationship Id="rId106" Type="http://schemas.openxmlformats.org/officeDocument/2006/relationships/image" Target="media/image32.emf"/><Relationship Id="rId114" Type="http://schemas.openxmlformats.org/officeDocument/2006/relationships/header" Target="header34.xml"/><Relationship Id="rId119" Type="http://schemas.openxmlformats.org/officeDocument/2006/relationships/image" Target="media/image44.emf"/><Relationship Id="rId127" Type="http://schemas.openxmlformats.org/officeDocument/2006/relationships/image" Target="media/image50.emf"/><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7.xml"/><Relationship Id="rId52" Type="http://schemas.openxmlformats.org/officeDocument/2006/relationships/chart" Target="charts/chart1.xml"/><Relationship Id="rId60" Type="http://schemas.openxmlformats.org/officeDocument/2006/relationships/image" Target="media/image12.emf"/><Relationship Id="rId65" Type="http://schemas.openxmlformats.org/officeDocument/2006/relationships/oleObject" Target="embeddings/oleObject5.bin"/><Relationship Id="rId73" Type="http://schemas.openxmlformats.org/officeDocument/2006/relationships/image" Target="media/image15.jpeg"/><Relationship Id="rId78" Type="http://schemas.openxmlformats.org/officeDocument/2006/relationships/image" Target="media/image20.emf"/><Relationship Id="rId81" Type="http://schemas.openxmlformats.org/officeDocument/2006/relationships/header" Target="header24.xml"/><Relationship Id="rId86" Type="http://schemas.openxmlformats.org/officeDocument/2006/relationships/header" Target="header27.xml"/><Relationship Id="rId94" Type="http://schemas.openxmlformats.org/officeDocument/2006/relationships/image" Target="media/image25.jpeg"/><Relationship Id="rId99" Type="http://schemas.openxmlformats.org/officeDocument/2006/relationships/header" Target="header31.xml"/><Relationship Id="rId101" Type="http://schemas.openxmlformats.org/officeDocument/2006/relationships/image" Target="media/image29.png"/><Relationship Id="rId122" Type="http://schemas.openxmlformats.org/officeDocument/2006/relationships/image" Target="media/image47.emf"/><Relationship Id="rId130" Type="http://schemas.openxmlformats.org/officeDocument/2006/relationships/image" Target="media/image52.emf"/><Relationship Id="rId135" Type="http://schemas.openxmlformats.org/officeDocument/2006/relationships/header" Target="header39.xml"/><Relationship Id="rId143" Type="http://schemas.openxmlformats.org/officeDocument/2006/relationships/header" Target="header41.xml"/><Relationship Id="rId14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jpeg"/><Relationship Id="rId39" Type="http://schemas.openxmlformats.org/officeDocument/2006/relationships/package" Target="embeddings/Microsoft_Office_Excel_Worksheet1.xlsx"/><Relationship Id="rId109" Type="http://schemas.openxmlformats.org/officeDocument/2006/relationships/image" Target="media/image35.jpeg"/><Relationship Id="rId34" Type="http://schemas.openxmlformats.org/officeDocument/2006/relationships/image" Target="media/image5.emf"/><Relationship Id="rId50" Type="http://schemas.openxmlformats.org/officeDocument/2006/relationships/footer" Target="footer9.xml"/><Relationship Id="rId55" Type="http://schemas.openxmlformats.org/officeDocument/2006/relationships/chart" Target="charts/chart4.xml"/><Relationship Id="rId76" Type="http://schemas.openxmlformats.org/officeDocument/2006/relationships/image" Target="media/image18.emf"/><Relationship Id="rId97" Type="http://schemas.openxmlformats.org/officeDocument/2006/relationships/header" Target="header29.xml"/><Relationship Id="rId104" Type="http://schemas.openxmlformats.org/officeDocument/2006/relationships/header" Target="header32.xml"/><Relationship Id="rId120" Type="http://schemas.openxmlformats.org/officeDocument/2006/relationships/image" Target="media/image45.emf"/><Relationship Id="rId125" Type="http://schemas.openxmlformats.org/officeDocument/2006/relationships/header" Target="header36.xml"/><Relationship Id="rId141" Type="http://schemas.openxmlformats.org/officeDocument/2006/relationships/image" Target="media/image60.emf"/><Relationship Id="rId146" Type="http://schemas.openxmlformats.org/officeDocument/2006/relationships/footer" Target="footer21.xml"/><Relationship Id="rId7" Type="http://schemas.openxmlformats.org/officeDocument/2006/relationships/webSettings" Target="webSettings.xml"/><Relationship Id="rId71" Type="http://schemas.openxmlformats.org/officeDocument/2006/relationships/header" Target="header22.xml"/><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image" Target="media/image3.emf"/><Relationship Id="rId40" Type="http://schemas.openxmlformats.org/officeDocument/2006/relationships/header" Target="header14.xml"/><Relationship Id="rId45" Type="http://schemas.openxmlformats.org/officeDocument/2006/relationships/footer" Target="footer8.xml"/><Relationship Id="rId66" Type="http://schemas.openxmlformats.org/officeDocument/2006/relationships/chart" Target="charts/chart5.xml"/><Relationship Id="rId87" Type="http://schemas.openxmlformats.org/officeDocument/2006/relationships/footer" Target="footer18.xml"/><Relationship Id="rId110" Type="http://schemas.openxmlformats.org/officeDocument/2006/relationships/image" Target="media/image36.emf"/><Relationship Id="rId115" Type="http://schemas.openxmlformats.org/officeDocument/2006/relationships/image" Target="media/image40.png"/><Relationship Id="rId131" Type="http://schemas.openxmlformats.org/officeDocument/2006/relationships/header" Target="header38.xml"/><Relationship Id="rId136" Type="http://schemas.openxmlformats.org/officeDocument/2006/relationships/image" Target="media/image56.emf"/><Relationship Id="rId61" Type="http://schemas.openxmlformats.org/officeDocument/2006/relationships/oleObject" Target="embeddings/oleObject3.bin"/><Relationship Id="rId82" Type="http://schemas.openxmlformats.org/officeDocument/2006/relationships/header" Target="header25.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4.xml"/><Relationship Id="rId35" Type="http://schemas.openxmlformats.org/officeDocument/2006/relationships/oleObject" Target="embeddings/oleObject1.bin"/><Relationship Id="rId56" Type="http://schemas.openxmlformats.org/officeDocument/2006/relationships/header" Target="header18.xml"/><Relationship Id="rId77" Type="http://schemas.openxmlformats.org/officeDocument/2006/relationships/image" Target="media/image19.emf"/><Relationship Id="rId100" Type="http://schemas.openxmlformats.org/officeDocument/2006/relationships/image" Target="media/image28.emf"/><Relationship Id="rId105" Type="http://schemas.openxmlformats.org/officeDocument/2006/relationships/header" Target="header33.xml"/><Relationship Id="rId126" Type="http://schemas.openxmlformats.org/officeDocument/2006/relationships/image" Target="media/image49.emf"/><Relationship Id="rId147" Type="http://schemas.openxmlformats.org/officeDocument/2006/relationships/footer" Target="footer22.xml"/><Relationship Id="rId8" Type="http://schemas.openxmlformats.org/officeDocument/2006/relationships/footnotes" Target="footnotes.xml"/><Relationship Id="rId51" Type="http://schemas.openxmlformats.org/officeDocument/2006/relationships/footer" Target="footer10.xml"/><Relationship Id="rId72" Type="http://schemas.openxmlformats.org/officeDocument/2006/relationships/footer" Target="footer15.xml"/><Relationship Id="rId93" Type="http://schemas.openxmlformats.org/officeDocument/2006/relationships/image" Target="media/image24.jpeg"/><Relationship Id="rId98" Type="http://schemas.openxmlformats.org/officeDocument/2006/relationships/header" Target="header30.xml"/><Relationship Id="rId121" Type="http://schemas.openxmlformats.org/officeDocument/2006/relationships/image" Target="media/image46.emf"/><Relationship Id="rId142" Type="http://schemas.openxmlformats.org/officeDocument/2006/relationships/image" Target="media/image61.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vnt01flpr01\user$\A02244\My%20Documents\Ecotox%20Lab\Reftox\control%20charts%20for%20report%20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vnt01flpr01\user$\A02244\My%20Documents\Ecotox%20Lab\Reftox\control%20charts%20for%20report%20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vnt01flpr01\user$\A02244\My%20Documents\Ecotox%20Lab\Reftox%20charts%20use%20th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3438041730194866"/>
          <c:y val="8.5309336332958396E-2"/>
          <c:w val="0.82557796342478174"/>
          <c:h val="0.70954498743212668"/>
        </c:manualLayout>
      </c:layout>
      <c:scatterChart>
        <c:scatterStyle val="lineMarker"/>
        <c:ser>
          <c:idx val="0"/>
          <c:order val="0"/>
          <c:tx>
            <c:v>IC50 (95% CL)</c:v>
          </c:tx>
          <c:spPr>
            <a:ln w="28575">
              <a:noFill/>
            </a:ln>
          </c:spPr>
          <c:marker>
            <c:symbol val="diamond"/>
            <c:size val="5"/>
            <c:spPr>
              <a:solidFill>
                <a:srgbClr val="000000"/>
              </a:solidFill>
              <a:ln>
                <a:solidFill>
                  <a:srgbClr val="000000"/>
                </a:solidFill>
                <a:prstDash val="solid"/>
              </a:ln>
            </c:spPr>
          </c:marker>
          <c:errBars>
            <c:errDir val="y"/>
            <c:errBarType val="both"/>
            <c:errValType val="cust"/>
            <c:plus>
              <c:numRef>
                <c:f>'[1]Chlorella U'!$H$8:$H$27</c:f>
                <c:numCache>
                  <c:formatCode>General</c:formatCode>
                  <c:ptCount val="20"/>
                  <c:pt idx="0">
                    <c:v>15</c:v>
                  </c:pt>
                  <c:pt idx="1">
                    <c:v>23.4</c:v>
                  </c:pt>
                  <c:pt idx="2">
                    <c:v>2.5999999999999943</c:v>
                  </c:pt>
                  <c:pt idx="4">
                    <c:v>6.3999999999999986</c:v>
                  </c:pt>
                  <c:pt idx="5">
                    <c:v>17.100000000000001</c:v>
                  </c:pt>
                  <c:pt idx="7">
                    <c:v>11.400000000000002</c:v>
                  </c:pt>
                  <c:pt idx="8">
                    <c:v>4.6000000000000005</c:v>
                  </c:pt>
                  <c:pt idx="9">
                    <c:v>36.100000000000009</c:v>
                  </c:pt>
                  <c:pt idx="10">
                    <c:v>10.3</c:v>
                  </c:pt>
                  <c:pt idx="11">
                    <c:v>8.5940000000000012</c:v>
                  </c:pt>
                  <c:pt idx="12">
                    <c:v>7</c:v>
                  </c:pt>
                  <c:pt idx="13">
                    <c:v>3.1579999999999995</c:v>
                  </c:pt>
                  <c:pt idx="14">
                    <c:v>1.9800000000000197</c:v>
                  </c:pt>
                  <c:pt idx="15">
                    <c:v>8.09</c:v>
                  </c:pt>
                  <c:pt idx="16">
                    <c:v>4.8639999999999946</c:v>
                  </c:pt>
                  <c:pt idx="17">
                    <c:v>5.9550000000000018</c:v>
                  </c:pt>
                  <c:pt idx="18">
                    <c:v>4</c:v>
                  </c:pt>
                  <c:pt idx="19">
                    <c:v>5.18</c:v>
                  </c:pt>
                </c:numCache>
              </c:numRef>
            </c:plus>
            <c:minus>
              <c:numRef>
                <c:f>'[1]Chlorella U'!$F$8:$F$27</c:f>
                <c:numCache>
                  <c:formatCode>General</c:formatCode>
                  <c:ptCount val="20"/>
                  <c:pt idx="0">
                    <c:v>13</c:v>
                  </c:pt>
                  <c:pt idx="1">
                    <c:v>13.3</c:v>
                  </c:pt>
                  <c:pt idx="2">
                    <c:v>3.5</c:v>
                  </c:pt>
                  <c:pt idx="4">
                    <c:v>9.1000000000000014</c:v>
                  </c:pt>
                  <c:pt idx="5">
                    <c:v>31.3</c:v>
                  </c:pt>
                  <c:pt idx="7">
                    <c:v>11.8</c:v>
                  </c:pt>
                  <c:pt idx="8">
                    <c:v>5.6999999999999957</c:v>
                  </c:pt>
                  <c:pt idx="9">
                    <c:v>11.700000000000001</c:v>
                  </c:pt>
                  <c:pt idx="10">
                    <c:v>10.400000000000002</c:v>
                  </c:pt>
                  <c:pt idx="11">
                    <c:v>8.1750000000000007</c:v>
                  </c:pt>
                  <c:pt idx="12">
                    <c:v>10</c:v>
                  </c:pt>
                  <c:pt idx="13">
                    <c:v>3.3419999999999987</c:v>
                  </c:pt>
                  <c:pt idx="14">
                    <c:v>3.8200000000000003</c:v>
                  </c:pt>
                  <c:pt idx="15">
                    <c:v>3.629999999999999</c:v>
                  </c:pt>
                  <c:pt idx="16">
                    <c:v>6.0299999999999976</c:v>
                  </c:pt>
                  <c:pt idx="17">
                    <c:v>4.734</c:v>
                  </c:pt>
                  <c:pt idx="18">
                    <c:v>5</c:v>
                  </c:pt>
                  <c:pt idx="19">
                    <c:v>5.4400000000000013</c:v>
                  </c:pt>
                </c:numCache>
              </c:numRef>
            </c:minus>
            <c:spPr>
              <a:ln w="12700">
                <a:solidFill>
                  <a:srgbClr val="000000"/>
                </a:solidFill>
                <a:prstDash val="solid"/>
              </a:ln>
            </c:spPr>
          </c:errBars>
          <c:xVal>
            <c:numRef>
              <c:f>'[1]Chlorella U'!$A$4:$A$27</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'[1]Chlorella U'!$D$7:$D$27</c:f>
              <c:numCache>
                <c:formatCode>General</c:formatCode>
                <c:ptCount val="21"/>
                <c:pt idx="0">
                  <c:v>74</c:v>
                </c:pt>
                <c:pt idx="1">
                  <c:v>37</c:v>
                </c:pt>
                <c:pt idx="2">
                  <c:v>30</c:v>
                </c:pt>
                <c:pt idx="3">
                  <c:v>38.700000000000003</c:v>
                </c:pt>
                <c:pt idx="5">
                  <c:v>52.7</c:v>
                </c:pt>
                <c:pt idx="6">
                  <c:v>60.6</c:v>
                </c:pt>
                <c:pt idx="8">
                  <c:v>37.9</c:v>
                </c:pt>
                <c:pt idx="9">
                  <c:v>37.300000000000004</c:v>
                </c:pt>
                <c:pt idx="10">
                  <c:v>33.800000000000004</c:v>
                </c:pt>
                <c:pt idx="11">
                  <c:v>34.700000000000003</c:v>
                </c:pt>
                <c:pt idx="12">
                  <c:v>15.225</c:v>
                </c:pt>
                <c:pt idx="13">
                  <c:v>43</c:v>
                </c:pt>
                <c:pt idx="14">
                  <c:v>10.117999999999999</c:v>
                </c:pt>
                <c:pt idx="15">
                  <c:v>14.52</c:v>
                </c:pt>
                <c:pt idx="16">
                  <c:v>29.979999999999986</c:v>
                </c:pt>
                <c:pt idx="17">
                  <c:v>32.056000000000004</c:v>
                </c:pt>
                <c:pt idx="18">
                  <c:v>20.215</c:v>
                </c:pt>
                <c:pt idx="19">
                  <c:v>33</c:v>
                </c:pt>
                <c:pt idx="20">
                  <c:v>22.8</c:v>
                </c:pt>
              </c:numCache>
            </c:numRef>
          </c:yVal>
        </c:ser>
        <c:ser>
          <c:idx val="1"/>
          <c:order val="1"/>
          <c:tx>
            <c:v>Upper 99% confidence limit</c:v>
          </c:tx>
          <c:spPr>
            <a:ln w="25400">
              <a:solidFill>
                <a:srgbClr val="000000"/>
              </a:solidFill>
              <a:prstDash val="lgDash"/>
            </a:ln>
          </c:spPr>
          <c:marker>
            <c:symbol val="none"/>
          </c:marker>
          <c:xVal>
            <c:numRef>
              <c:f>'[1]Chlorella U'!$A$4:$A$28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'[1]Chlorella U'!$K$4:$K$30</c:f>
              <c:numCache>
                <c:formatCode>General</c:formatCode>
                <c:ptCount val="27"/>
                <c:pt idx="0">
                  <c:v>86.994127750074043</c:v>
                </c:pt>
                <c:pt idx="1">
                  <c:v>86.994127750074043</c:v>
                </c:pt>
                <c:pt idx="2">
                  <c:v>86.994127750074043</c:v>
                </c:pt>
                <c:pt idx="3">
                  <c:v>86.994127750074043</c:v>
                </c:pt>
                <c:pt idx="4">
                  <c:v>86.994127750074043</c:v>
                </c:pt>
                <c:pt idx="5">
                  <c:v>86.994127750074043</c:v>
                </c:pt>
                <c:pt idx="6">
                  <c:v>86.994127750074043</c:v>
                </c:pt>
                <c:pt idx="7">
                  <c:v>86.994127750074043</c:v>
                </c:pt>
                <c:pt idx="8">
                  <c:v>86.994127750074043</c:v>
                </c:pt>
                <c:pt idx="9">
                  <c:v>86.994127750074043</c:v>
                </c:pt>
                <c:pt idx="10">
                  <c:v>86.994127750074043</c:v>
                </c:pt>
                <c:pt idx="11">
                  <c:v>86.994127750074043</c:v>
                </c:pt>
                <c:pt idx="12">
                  <c:v>86.994127750074043</c:v>
                </c:pt>
                <c:pt idx="13">
                  <c:v>86.994127750074043</c:v>
                </c:pt>
                <c:pt idx="14">
                  <c:v>86.994127750074043</c:v>
                </c:pt>
                <c:pt idx="15">
                  <c:v>86.994127750074043</c:v>
                </c:pt>
                <c:pt idx="16">
                  <c:v>86.994127750074043</c:v>
                </c:pt>
                <c:pt idx="17">
                  <c:v>86.994127750074043</c:v>
                </c:pt>
                <c:pt idx="18">
                  <c:v>86.994127750074043</c:v>
                </c:pt>
                <c:pt idx="19">
                  <c:v>86.994127750074043</c:v>
                </c:pt>
                <c:pt idx="20">
                  <c:v>86.994127750074043</c:v>
                </c:pt>
                <c:pt idx="21">
                  <c:v>86.994127750074043</c:v>
                </c:pt>
                <c:pt idx="22">
                  <c:v>86.994127750074043</c:v>
                </c:pt>
                <c:pt idx="23">
                  <c:v>86.994127750074043</c:v>
                </c:pt>
                <c:pt idx="24">
                  <c:v>86.994127750074043</c:v>
                </c:pt>
                <c:pt idx="25">
                  <c:v>86.994127750074043</c:v>
                </c:pt>
                <c:pt idx="26">
                  <c:v>86.994127750074043</c:v>
                </c:pt>
              </c:numCache>
            </c:numRef>
          </c:yVal>
        </c:ser>
        <c:ser>
          <c:idx val="2"/>
          <c:order val="2"/>
          <c:tx>
            <c:v>Lower 99% confidence limit</c:v>
          </c:tx>
          <c:spPr>
            <a:ln w="25400">
              <a:solidFill>
                <a:srgbClr val="000000"/>
              </a:solidFill>
              <a:prstDash val="lgDash"/>
            </a:ln>
          </c:spPr>
          <c:marker>
            <c:symbol val="none"/>
          </c:marker>
          <c:xVal>
            <c:numRef>
              <c:f>'[1]Chlorella U'!$A$4:$A$28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'[1]Chlorella U'!$O$4:$O$30</c:f>
              <c:numCache>
                <c:formatCode>General</c:formatCode>
                <c:ptCount val="27"/>
                <c:pt idx="0">
                  <c:v>-14.532727750072548</c:v>
                </c:pt>
                <c:pt idx="1">
                  <c:v>-14.532727750072548</c:v>
                </c:pt>
                <c:pt idx="2">
                  <c:v>-14.532727750072548</c:v>
                </c:pt>
                <c:pt idx="3">
                  <c:v>-14.532727750072548</c:v>
                </c:pt>
                <c:pt idx="4">
                  <c:v>-14.532727750072548</c:v>
                </c:pt>
                <c:pt idx="5">
                  <c:v>-14.532727750072548</c:v>
                </c:pt>
                <c:pt idx="6">
                  <c:v>-14.532727750072548</c:v>
                </c:pt>
                <c:pt idx="7">
                  <c:v>-14.532727750072548</c:v>
                </c:pt>
                <c:pt idx="8">
                  <c:v>-14.532727750072548</c:v>
                </c:pt>
                <c:pt idx="9">
                  <c:v>-14.532727750072548</c:v>
                </c:pt>
                <c:pt idx="10">
                  <c:v>-14.532727750072548</c:v>
                </c:pt>
                <c:pt idx="11">
                  <c:v>-14.532727750072548</c:v>
                </c:pt>
                <c:pt idx="12">
                  <c:v>-14.532727750072548</c:v>
                </c:pt>
                <c:pt idx="13">
                  <c:v>-14.532727750072548</c:v>
                </c:pt>
                <c:pt idx="14">
                  <c:v>-14.532727750072548</c:v>
                </c:pt>
                <c:pt idx="15">
                  <c:v>-14.532727750072548</c:v>
                </c:pt>
                <c:pt idx="16">
                  <c:v>-14.532727750072548</c:v>
                </c:pt>
                <c:pt idx="17">
                  <c:v>-14.532727750072548</c:v>
                </c:pt>
                <c:pt idx="18">
                  <c:v>-14.532727750072548</c:v>
                </c:pt>
                <c:pt idx="19">
                  <c:v>-14.532727750072548</c:v>
                </c:pt>
                <c:pt idx="20">
                  <c:v>-14.532727750072548</c:v>
                </c:pt>
                <c:pt idx="21">
                  <c:v>-14.532727750072548</c:v>
                </c:pt>
                <c:pt idx="22">
                  <c:v>-14.532727750072548</c:v>
                </c:pt>
                <c:pt idx="23">
                  <c:v>-14.532727750072548</c:v>
                </c:pt>
                <c:pt idx="24">
                  <c:v>-14.532727750072548</c:v>
                </c:pt>
                <c:pt idx="25">
                  <c:v>-14.532727750072548</c:v>
                </c:pt>
                <c:pt idx="26">
                  <c:v>-14.532727750072548</c:v>
                </c:pt>
              </c:numCache>
            </c:numRef>
          </c:yVal>
        </c:ser>
        <c:ser>
          <c:idx val="3"/>
          <c:order val="3"/>
          <c:tx>
            <c:v>Upper warning limit</c:v>
          </c:tx>
          <c:spPr>
            <a:ln w="25400">
              <a:solidFill>
                <a:srgbClr val="000000"/>
              </a:solidFill>
              <a:prstDash val="sysDash"/>
            </a:ln>
          </c:spPr>
          <c:marker>
            <c:symbol val="none"/>
          </c:marker>
          <c:xVal>
            <c:numRef>
              <c:f>'[1]Chlorella U'!$A$4:$A$28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'[1]Chlorella U'!$L$4:$L$30</c:f>
              <c:numCache>
                <c:formatCode>General</c:formatCode>
                <c:ptCount val="27"/>
                <c:pt idx="0">
                  <c:v>71.097390665400226</c:v>
                </c:pt>
                <c:pt idx="1">
                  <c:v>71.097390665400226</c:v>
                </c:pt>
                <c:pt idx="2">
                  <c:v>71.097390665400226</c:v>
                </c:pt>
                <c:pt idx="3">
                  <c:v>71.097390665400226</c:v>
                </c:pt>
                <c:pt idx="4">
                  <c:v>71.097390665400226</c:v>
                </c:pt>
                <c:pt idx="5">
                  <c:v>71.097390665400226</c:v>
                </c:pt>
                <c:pt idx="6">
                  <c:v>71.097390665400226</c:v>
                </c:pt>
                <c:pt idx="7">
                  <c:v>71.097390665400226</c:v>
                </c:pt>
                <c:pt idx="8">
                  <c:v>71.097390665400226</c:v>
                </c:pt>
                <c:pt idx="9">
                  <c:v>71.097390665400226</c:v>
                </c:pt>
                <c:pt idx="10">
                  <c:v>71.097390665400226</c:v>
                </c:pt>
                <c:pt idx="11">
                  <c:v>71.097390665400226</c:v>
                </c:pt>
                <c:pt idx="12">
                  <c:v>71.097390665400226</c:v>
                </c:pt>
                <c:pt idx="13">
                  <c:v>71.097390665400226</c:v>
                </c:pt>
                <c:pt idx="14">
                  <c:v>71.097390665400226</c:v>
                </c:pt>
                <c:pt idx="15">
                  <c:v>71.097390665400226</c:v>
                </c:pt>
                <c:pt idx="16">
                  <c:v>71.097390665400226</c:v>
                </c:pt>
                <c:pt idx="17">
                  <c:v>71.097390665400226</c:v>
                </c:pt>
                <c:pt idx="18">
                  <c:v>71.097390665400226</c:v>
                </c:pt>
                <c:pt idx="19">
                  <c:v>71.097390665400226</c:v>
                </c:pt>
                <c:pt idx="20">
                  <c:v>71.097390665400226</c:v>
                </c:pt>
                <c:pt idx="21">
                  <c:v>71.097390665400226</c:v>
                </c:pt>
                <c:pt idx="22">
                  <c:v>71.097390665400226</c:v>
                </c:pt>
                <c:pt idx="23">
                  <c:v>71.097390665400226</c:v>
                </c:pt>
                <c:pt idx="24">
                  <c:v>71.097390665400226</c:v>
                </c:pt>
                <c:pt idx="25">
                  <c:v>71.097390665400226</c:v>
                </c:pt>
                <c:pt idx="26">
                  <c:v>71.097390665400226</c:v>
                </c:pt>
              </c:numCache>
            </c:numRef>
          </c:yVal>
        </c:ser>
        <c:ser>
          <c:idx val="4"/>
          <c:order val="4"/>
          <c:tx>
            <c:v>Lower warning limit</c:v>
          </c:tx>
          <c:spPr>
            <a:ln w="25400">
              <a:solidFill>
                <a:srgbClr val="000000"/>
              </a:solidFill>
              <a:prstDash val="sysDash"/>
            </a:ln>
          </c:spPr>
          <c:marker>
            <c:symbol val="none"/>
          </c:marker>
          <c:xVal>
            <c:numRef>
              <c:f>'[1]Chlorella U'!$A$4:$A$28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'[1]Chlorella U'!$N$4:$N$30</c:f>
              <c:numCache>
                <c:formatCode>General</c:formatCode>
                <c:ptCount val="27"/>
                <c:pt idx="0">
                  <c:v>1.3640093345997721</c:v>
                </c:pt>
                <c:pt idx="1">
                  <c:v>1.3640093345997721</c:v>
                </c:pt>
                <c:pt idx="2">
                  <c:v>1.3640093345997721</c:v>
                </c:pt>
                <c:pt idx="3">
                  <c:v>1.3640093345997721</c:v>
                </c:pt>
                <c:pt idx="4">
                  <c:v>1.3640093345997721</c:v>
                </c:pt>
                <c:pt idx="5">
                  <c:v>1.3640093345997721</c:v>
                </c:pt>
                <c:pt idx="6">
                  <c:v>1.3640093345997721</c:v>
                </c:pt>
                <c:pt idx="7">
                  <c:v>1.3640093345997721</c:v>
                </c:pt>
                <c:pt idx="8">
                  <c:v>1.3640093345997721</c:v>
                </c:pt>
                <c:pt idx="9">
                  <c:v>1.3640093345997721</c:v>
                </c:pt>
                <c:pt idx="10">
                  <c:v>1.3640093345997721</c:v>
                </c:pt>
                <c:pt idx="11">
                  <c:v>1.3640093345997721</c:v>
                </c:pt>
                <c:pt idx="12">
                  <c:v>1.3640093345997721</c:v>
                </c:pt>
                <c:pt idx="13">
                  <c:v>1.3640093345997721</c:v>
                </c:pt>
                <c:pt idx="14">
                  <c:v>1.3640093345997721</c:v>
                </c:pt>
                <c:pt idx="15">
                  <c:v>1.3640093345997721</c:v>
                </c:pt>
                <c:pt idx="16">
                  <c:v>1.3640093345997721</c:v>
                </c:pt>
                <c:pt idx="17">
                  <c:v>1.3640093345997721</c:v>
                </c:pt>
                <c:pt idx="18">
                  <c:v>1.3640093345997721</c:v>
                </c:pt>
                <c:pt idx="19">
                  <c:v>1.3640093345997721</c:v>
                </c:pt>
                <c:pt idx="20">
                  <c:v>1.3640093345997721</c:v>
                </c:pt>
                <c:pt idx="21">
                  <c:v>1.3640093345997721</c:v>
                </c:pt>
                <c:pt idx="22">
                  <c:v>1.3640093345997721</c:v>
                </c:pt>
                <c:pt idx="23">
                  <c:v>1.3640093345997721</c:v>
                </c:pt>
                <c:pt idx="24">
                  <c:v>1.3640093345997721</c:v>
                </c:pt>
                <c:pt idx="25">
                  <c:v>1.3640093345997721</c:v>
                </c:pt>
                <c:pt idx="26">
                  <c:v>1.3640093345997721</c:v>
                </c:pt>
              </c:numCache>
            </c:numRef>
          </c:yVal>
        </c:ser>
        <c:ser>
          <c:idx val="6"/>
          <c:order val="5"/>
          <c:tx>
            <c:v>Running mean IC50</c:v>
          </c:tx>
          <c:spPr>
            <a:ln w="25400">
              <a:solidFill>
                <a:srgbClr val="000000"/>
              </a:solidFill>
              <a:prstDash val="solid"/>
            </a:ln>
          </c:spPr>
          <c:marker>
            <c:symbol val="none"/>
          </c:marker>
          <c:xVal>
            <c:numRef>
              <c:f>'[1]Chlorella U'!$A$4:$A$28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'[1]Chlorella U'!$P$5:$P$30</c:f>
              <c:numCache>
                <c:formatCode>General</c:formatCode>
                <c:ptCount val="26"/>
                <c:pt idx="0">
                  <c:v>58.5</c:v>
                </c:pt>
                <c:pt idx="1">
                  <c:v>61.333333333333336</c:v>
                </c:pt>
                <c:pt idx="2">
                  <c:v>64.5</c:v>
                </c:pt>
                <c:pt idx="3">
                  <c:v>59</c:v>
                </c:pt>
                <c:pt idx="4">
                  <c:v>54.166666666665975</c:v>
                </c:pt>
                <c:pt idx="5">
                  <c:v>51.957142857141974</c:v>
                </c:pt>
                <c:pt idx="6">
                  <c:v>51.957142857141974</c:v>
                </c:pt>
                <c:pt idx="7">
                  <c:v>52.05</c:v>
                </c:pt>
                <c:pt idx="8">
                  <c:v>53</c:v>
                </c:pt>
                <c:pt idx="9">
                  <c:v>53</c:v>
                </c:pt>
                <c:pt idx="10">
                  <c:v>51.49</c:v>
                </c:pt>
                <c:pt idx="11">
                  <c:v>50.20000000000001</c:v>
                </c:pt>
                <c:pt idx="12">
                  <c:v>48.833333333333321</c:v>
                </c:pt>
                <c:pt idx="13">
                  <c:v>47.746153846155082</c:v>
                </c:pt>
                <c:pt idx="14">
                  <c:v>45.423214285714245</c:v>
                </c:pt>
                <c:pt idx="15">
                  <c:v>45.261666666665974</c:v>
                </c:pt>
                <c:pt idx="16">
                  <c:v>43.0651875</c:v>
                </c:pt>
                <c:pt idx="17">
                  <c:v>41.38605882352941</c:v>
                </c:pt>
                <c:pt idx="18">
                  <c:v>40.752388888889413</c:v>
                </c:pt>
                <c:pt idx="19">
                  <c:v>40.29468421052632</c:v>
                </c:pt>
                <c:pt idx="20">
                  <c:v>39.290700000000363</c:v>
                </c:pt>
                <c:pt idx="21">
                  <c:v>38.991142857142854</c:v>
                </c:pt>
                <c:pt idx="22">
                  <c:v>38.25518181818201</c:v>
                </c:pt>
                <c:pt idx="23">
                  <c:v>38.25518181818201</c:v>
                </c:pt>
                <c:pt idx="24">
                  <c:v>38.25518181818201</c:v>
                </c:pt>
                <c:pt idx="25">
                  <c:v>38.25518181818201</c:v>
                </c:pt>
              </c:numCache>
            </c:numRef>
          </c:yVal>
        </c:ser>
        <c:axId val="185300480"/>
        <c:axId val="185307136"/>
      </c:scatterChart>
      <c:valAx>
        <c:axId val="185300480"/>
        <c:scaling>
          <c:orientation val="minMax"/>
          <c:max val="20"/>
          <c:min val="0"/>
        </c:scaling>
        <c:axPos val="b"/>
        <c:title>
          <c:tx>
            <c:rich>
              <a:bodyPr/>
              <a:lstStyle/>
              <a:p>
                <a:pPr>
                  <a:defRPr sz="1000" b="1" i="0" u="none" strike="noStrike" baseline="0">
                    <a:solidFill>
                      <a:srgbClr val="000000"/>
                    </a:solidFill>
                    <a:latin typeface="Arial"/>
                    <a:ea typeface="Arial"/>
                    <a:cs typeface="Arial"/>
                  </a:defRPr>
                </a:pPr>
                <a:r>
                  <a:rPr lang="en-AU" sz="1000"/>
                  <a:t>Test number</a:t>
                </a:r>
              </a:p>
            </c:rich>
          </c:tx>
          <c:layout>
            <c:manualLayout>
              <c:xMode val="edge"/>
              <c:yMode val="edge"/>
              <c:x val="0.43715744171684873"/>
              <c:y val="0.89724244538877174"/>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5307136"/>
        <c:crossesAt val="-20"/>
        <c:crossBetween val="midCat"/>
        <c:majorUnit val="2"/>
      </c:valAx>
      <c:valAx>
        <c:axId val="185307136"/>
        <c:scaling>
          <c:orientation val="minMax"/>
        </c:scaling>
        <c:axPos val="l"/>
        <c:title>
          <c:tx>
            <c:rich>
              <a:bodyPr/>
              <a:lstStyle/>
              <a:p>
                <a:pPr>
                  <a:defRPr sz="1000" b="1" i="0" u="none" strike="noStrike" baseline="0">
                    <a:solidFill>
                      <a:srgbClr val="000000"/>
                    </a:solidFill>
                    <a:latin typeface="Arial"/>
                    <a:ea typeface="Arial"/>
                    <a:cs typeface="Arial"/>
                  </a:defRPr>
                </a:pPr>
                <a:r>
                  <a:rPr lang="en-AU" sz="1000" b="1" i="0" baseline="0"/>
                  <a:t>EC50 (µg L</a:t>
                </a:r>
                <a:r>
                  <a:rPr lang="en-AU" sz="1000" b="1" i="0" baseline="30000"/>
                  <a:t>-1</a:t>
                </a:r>
                <a:r>
                  <a:rPr lang="en-AU" sz="1000" b="1" i="0" baseline="0"/>
                  <a:t> U) </a:t>
                </a:r>
              </a:p>
            </c:rich>
          </c:tx>
          <c:layout>
            <c:manualLayout>
              <c:xMode val="edge"/>
              <c:yMode val="edge"/>
              <c:x val="1.4373828271466141E-2"/>
              <c:y val="0.3075403074615673"/>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5300480"/>
        <c:crossesAt val="-20"/>
        <c:crossBetween val="midCat"/>
      </c:valAx>
      <c:spPr>
        <a:noFill/>
        <a:ln w="12700">
          <a:solidFill>
            <a:srgbClr val="000000"/>
          </a:solidFill>
          <a:prstDash val="solid"/>
        </a:ln>
      </c:spPr>
    </c:plotArea>
    <c:plotVisOnly val="1"/>
    <c:dispBlanksAs val="gap"/>
  </c:chart>
  <c:spPr>
    <a:solidFill>
      <a:srgbClr val="FFFFFF"/>
    </a:solidFill>
    <a:ln w="3175">
      <a:noFill/>
      <a:prstDash val="solid"/>
    </a:ln>
  </c:spPr>
  <c:txPr>
    <a:bodyPr/>
    <a:lstStyle/>
    <a:p>
      <a:pPr>
        <a:defRPr sz="185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5433006695562621"/>
          <c:y val="9.7841936424613585E-2"/>
          <c:w val="0.74781671435214769"/>
          <c:h val="0.69446527517393652"/>
        </c:manualLayout>
      </c:layout>
      <c:scatterChart>
        <c:scatterStyle val="lineMarker"/>
        <c:ser>
          <c:idx val="0"/>
          <c:order val="0"/>
          <c:tx>
            <c:v>IC50</c:v>
          </c:tx>
          <c:spPr>
            <a:ln w="28575">
              <a:noFill/>
            </a:ln>
          </c:spPr>
          <c:marker>
            <c:symbol val="diamond"/>
            <c:size val="5"/>
            <c:spPr>
              <a:solidFill>
                <a:srgbClr val="000000"/>
              </a:solidFill>
              <a:ln>
                <a:solidFill>
                  <a:srgbClr val="000000"/>
                </a:solidFill>
                <a:prstDash val="solid"/>
              </a:ln>
            </c:spPr>
          </c:marker>
          <c:errBars>
            <c:errDir val="y"/>
            <c:errBarType val="both"/>
            <c:errValType val="cust"/>
            <c:plus>
              <c:numRef>
                <c:f>'[1]Flea 48h U'!$H$4:$H$22</c:f>
                <c:numCache>
                  <c:formatCode>General</c:formatCode>
                  <c:ptCount val="19"/>
                  <c:pt idx="0">
                    <c:v>29.5</c:v>
                  </c:pt>
                  <c:pt idx="1">
                    <c:v>194</c:v>
                  </c:pt>
                  <c:pt idx="2">
                    <c:v>19</c:v>
                  </c:pt>
                  <c:pt idx="3">
                    <c:v>11.650000000000006</c:v>
                  </c:pt>
                  <c:pt idx="4">
                    <c:v>7.1000000000000005</c:v>
                  </c:pt>
                  <c:pt idx="5">
                    <c:v>5.7000000000000028</c:v>
                  </c:pt>
                  <c:pt idx="6">
                    <c:v>4</c:v>
                  </c:pt>
                  <c:pt idx="7">
                    <c:v>3</c:v>
                  </c:pt>
                  <c:pt idx="8">
                    <c:v>12.3</c:v>
                  </c:pt>
                  <c:pt idx="9">
                    <c:v>12</c:v>
                  </c:pt>
                  <c:pt idx="10">
                    <c:v>2</c:v>
                  </c:pt>
                  <c:pt idx="11">
                    <c:v>1</c:v>
                  </c:pt>
                  <c:pt idx="12">
                    <c:v>2.6999999999999993</c:v>
                  </c:pt>
                  <c:pt idx="13">
                    <c:v>5</c:v>
                  </c:pt>
                  <c:pt idx="14">
                    <c:v>2.7999999999999972</c:v>
                  </c:pt>
                  <c:pt idx="15">
                    <c:v>3.5999999999999988</c:v>
                  </c:pt>
                  <c:pt idx="16">
                    <c:v>9</c:v>
                  </c:pt>
                  <c:pt idx="17">
                    <c:v>85.59</c:v>
                  </c:pt>
                  <c:pt idx="18">
                    <c:v>13.100000000000001</c:v>
                  </c:pt>
                </c:numCache>
              </c:numRef>
            </c:plus>
            <c:minus>
              <c:numRef>
                <c:f>'[1]Flea 48h U'!$F$4:$F$22</c:f>
                <c:numCache>
                  <c:formatCode>General</c:formatCode>
                  <c:ptCount val="19"/>
                  <c:pt idx="0">
                    <c:v>23.799999999999986</c:v>
                  </c:pt>
                  <c:pt idx="1">
                    <c:v>55</c:v>
                  </c:pt>
                  <c:pt idx="2">
                    <c:v>24</c:v>
                  </c:pt>
                  <c:pt idx="3">
                    <c:v>12.25</c:v>
                  </c:pt>
                  <c:pt idx="4">
                    <c:v>7.0999999999999943</c:v>
                  </c:pt>
                  <c:pt idx="5">
                    <c:v>5.6999999999999957</c:v>
                  </c:pt>
                  <c:pt idx="6">
                    <c:v>7</c:v>
                  </c:pt>
                  <c:pt idx="7">
                    <c:v>2</c:v>
                  </c:pt>
                  <c:pt idx="8">
                    <c:v>4.1099999999999985</c:v>
                  </c:pt>
                  <c:pt idx="9">
                    <c:v>9</c:v>
                  </c:pt>
                  <c:pt idx="10">
                    <c:v>2</c:v>
                  </c:pt>
                  <c:pt idx="11">
                    <c:v>0.69999999999999962</c:v>
                  </c:pt>
                  <c:pt idx="12">
                    <c:v>2.3000000000000007</c:v>
                  </c:pt>
                  <c:pt idx="13">
                    <c:v>5</c:v>
                  </c:pt>
                  <c:pt idx="14">
                    <c:v>2.7000000000000042</c:v>
                  </c:pt>
                  <c:pt idx="15">
                    <c:v>2.9000000000000004</c:v>
                  </c:pt>
                  <c:pt idx="16">
                    <c:v>8</c:v>
                  </c:pt>
                  <c:pt idx="17">
                    <c:v>0</c:v>
                  </c:pt>
                  <c:pt idx="18">
                    <c:v>12.3</c:v>
                  </c:pt>
                </c:numCache>
              </c:numRef>
            </c:minus>
            <c:spPr>
              <a:ln w="12700">
                <a:solidFill>
                  <a:srgbClr val="000000"/>
                </a:solidFill>
                <a:prstDash val="solid"/>
              </a:ln>
            </c:spPr>
          </c:errBars>
          <c:yVal>
            <c:numRef>
              <c:f>'[1]Flea 48h U'!$D$4:$D$23</c:f>
              <c:numCache>
                <c:formatCode>General</c:formatCode>
                <c:ptCount val="20"/>
                <c:pt idx="0">
                  <c:v>122</c:v>
                </c:pt>
                <c:pt idx="1">
                  <c:v>194</c:v>
                </c:pt>
                <c:pt idx="2">
                  <c:v>56</c:v>
                </c:pt>
                <c:pt idx="3">
                  <c:v>75.75</c:v>
                </c:pt>
                <c:pt idx="4">
                  <c:v>49.8</c:v>
                </c:pt>
                <c:pt idx="5">
                  <c:v>46.8</c:v>
                </c:pt>
                <c:pt idx="6">
                  <c:v>48</c:v>
                </c:pt>
                <c:pt idx="7">
                  <c:v>32</c:v>
                </c:pt>
                <c:pt idx="8">
                  <c:v>22.1</c:v>
                </c:pt>
                <c:pt idx="9">
                  <c:v>50</c:v>
                </c:pt>
                <c:pt idx="10">
                  <c:v>14</c:v>
                </c:pt>
                <c:pt idx="11">
                  <c:v>9</c:v>
                </c:pt>
                <c:pt idx="12">
                  <c:v>16.3</c:v>
                </c:pt>
                <c:pt idx="13">
                  <c:v>36</c:v>
                </c:pt>
                <c:pt idx="14">
                  <c:v>95.2</c:v>
                </c:pt>
                <c:pt idx="15">
                  <c:v>13.6</c:v>
                </c:pt>
                <c:pt idx="16">
                  <c:v>55</c:v>
                </c:pt>
                <c:pt idx="17">
                  <c:v>47.4</c:v>
                </c:pt>
                <c:pt idx="18">
                  <c:v>90.2</c:v>
                </c:pt>
              </c:numCache>
            </c:numRef>
          </c:yVal>
        </c:ser>
        <c:ser>
          <c:idx val="2"/>
          <c:order val="1"/>
          <c:tx>
            <c:v>Running Mean</c:v>
          </c:tx>
          <c:spPr>
            <a:ln w="12700">
              <a:solidFill>
                <a:srgbClr val="000000"/>
              </a:solidFill>
              <a:prstDash val="solid"/>
            </a:ln>
          </c:spPr>
          <c:marker>
            <c:symbol val="none"/>
          </c:marker>
          <c:xVal>
            <c:numRef>
              <c:f>'[1]Flea 48h U'!$A$4:$A$26</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xVal>
          <c:yVal>
            <c:numRef>
              <c:f>'[1]Flea 48h U'!$P$4:$P$22</c:f>
              <c:numCache>
                <c:formatCode>General</c:formatCode>
                <c:ptCount val="19"/>
                <c:pt idx="1">
                  <c:v>158</c:v>
                </c:pt>
                <c:pt idx="2">
                  <c:v>124</c:v>
                </c:pt>
                <c:pt idx="3">
                  <c:v>111.93750000000072</c:v>
                </c:pt>
                <c:pt idx="4">
                  <c:v>99.51</c:v>
                </c:pt>
                <c:pt idx="5">
                  <c:v>90.725000000000009</c:v>
                </c:pt>
                <c:pt idx="6">
                  <c:v>84.621428571427558</c:v>
                </c:pt>
                <c:pt idx="7">
                  <c:v>78.043750000000003</c:v>
                </c:pt>
                <c:pt idx="8">
                  <c:v>71.827777777777158</c:v>
                </c:pt>
                <c:pt idx="9">
                  <c:v>69.64500000000001</c:v>
                </c:pt>
                <c:pt idx="10">
                  <c:v>64.586363636363643</c:v>
                </c:pt>
                <c:pt idx="11">
                  <c:v>59.954166666665685</c:v>
                </c:pt>
                <c:pt idx="12">
                  <c:v>51.145833333333336</c:v>
                </c:pt>
                <c:pt idx="13">
                  <c:v>55.125000000000163</c:v>
                </c:pt>
                <c:pt idx="14">
                  <c:v>57.796666666665999</c:v>
                </c:pt>
                <c:pt idx="15">
                  <c:v>55.034375000000011</c:v>
                </c:pt>
                <c:pt idx="16">
                  <c:v>55.032352941177592</c:v>
                </c:pt>
                <c:pt idx="17">
                  <c:v>54.608333333333363</c:v>
                </c:pt>
                <c:pt idx="18">
                  <c:v>56.481578947368426</c:v>
                </c:pt>
              </c:numCache>
            </c:numRef>
          </c:yVal>
        </c:ser>
        <c:ser>
          <c:idx val="3"/>
          <c:order val="2"/>
          <c:tx>
            <c:v>Lower Warning Limit</c:v>
          </c:tx>
          <c:spPr>
            <a:ln w="25400">
              <a:solidFill>
                <a:srgbClr val="000000"/>
              </a:solidFill>
              <a:prstDash val="sysDash"/>
            </a:ln>
          </c:spPr>
          <c:marker>
            <c:symbol val="none"/>
          </c:marker>
          <c:xVal>
            <c:strRef>
              <c:f>'[1]Flea 48h U'!$C$4:$C$27</c:f>
              <c:strCache>
                <c:ptCount val="19"/>
                <c:pt idx="0">
                  <c:v>762I RefTox 01</c:v>
                </c:pt>
                <c:pt idx="1">
                  <c:v>763I RefTox 02</c:v>
                </c:pt>
                <c:pt idx="2">
                  <c:v>776I RefTox 03</c:v>
                </c:pt>
                <c:pt idx="3">
                  <c:v>788I RefTox 04</c:v>
                </c:pt>
                <c:pt idx="4">
                  <c:v>797I RefTox 05</c:v>
                </c:pt>
                <c:pt idx="5">
                  <c:v>801I RefTox 06</c:v>
                </c:pt>
                <c:pt idx="6">
                  <c:v>827I</c:v>
                </c:pt>
                <c:pt idx="7">
                  <c:v>832I</c:v>
                </c:pt>
                <c:pt idx="8">
                  <c:v>837I</c:v>
                </c:pt>
                <c:pt idx="9">
                  <c:v>855I </c:v>
                </c:pt>
                <c:pt idx="10">
                  <c:v>870I</c:v>
                </c:pt>
                <c:pt idx="11">
                  <c:v>912I</c:v>
                </c:pt>
                <c:pt idx="12">
                  <c:v>929I</c:v>
                </c:pt>
                <c:pt idx="13">
                  <c:v>1001I</c:v>
                </c:pt>
                <c:pt idx="14">
                  <c:v>1023I</c:v>
                </c:pt>
                <c:pt idx="15">
                  <c:v>1103I</c:v>
                </c:pt>
                <c:pt idx="16">
                  <c:v>1129I</c:v>
                </c:pt>
                <c:pt idx="17">
                  <c:v>1156I</c:v>
                </c:pt>
                <c:pt idx="18">
                  <c:v>1190I</c:v>
                </c:pt>
              </c:strCache>
            </c:strRef>
          </c:xVal>
          <c:yVal>
            <c:numRef>
              <c:f>'[1]Flea 48h U'!$O$4:$O$25</c:f>
              <c:numCache>
                <c:formatCode>General</c:formatCode>
                <c:ptCount val="22"/>
                <c:pt idx="0">
                  <c:v>-33.286066860673856</c:v>
                </c:pt>
                <c:pt idx="1">
                  <c:v>-33.286066860673856</c:v>
                </c:pt>
                <c:pt idx="2">
                  <c:v>-33.286066860673856</c:v>
                </c:pt>
                <c:pt idx="3">
                  <c:v>-33.286066860673856</c:v>
                </c:pt>
                <c:pt idx="4">
                  <c:v>-33.286066860673856</c:v>
                </c:pt>
                <c:pt idx="5">
                  <c:v>-33.286066860673856</c:v>
                </c:pt>
                <c:pt idx="6">
                  <c:v>-33.286066860673856</c:v>
                </c:pt>
                <c:pt idx="7">
                  <c:v>-33.286066860673856</c:v>
                </c:pt>
                <c:pt idx="8">
                  <c:v>-33.286066860673856</c:v>
                </c:pt>
                <c:pt idx="9">
                  <c:v>-33.286066860673856</c:v>
                </c:pt>
                <c:pt idx="10">
                  <c:v>-33.286066860673856</c:v>
                </c:pt>
                <c:pt idx="11">
                  <c:v>-33.286066860673856</c:v>
                </c:pt>
                <c:pt idx="12">
                  <c:v>-33.286066860673856</c:v>
                </c:pt>
                <c:pt idx="13">
                  <c:v>-33.286066860673856</c:v>
                </c:pt>
                <c:pt idx="14">
                  <c:v>-33.286066860673856</c:v>
                </c:pt>
                <c:pt idx="15">
                  <c:v>-33.286066860673856</c:v>
                </c:pt>
                <c:pt idx="16">
                  <c:v>-33.286066860673856</c:v>
                </c:pt>
                <c:pt idx="17">
                  <c:v>-33.286066860673856</c:v>
                </c:pt>
                <c:pt idx="18">
                  <c:v>-33.286066860673856</c:v>
                </c:pt>
                <c:pt idx="19">
                  <c:v>-33.286066860673856</c:v>
                </c:pt>
                <c:pt idx="20">
                  <c:v>-33.286066860673856</c:v>
                </c:pt>
                <c:pt idx="21">
                  <c:v>-33.286066860673856</c:v>
                </c:pt>
              </c:numCache>
            </c:numRef>
          </c:yVal>
        </c:ser>
        <c:ser>
          <c:idx val="4"/>
          <c:order val="3"/>
          <c:tx>
            <c:v>Upper Warning limit</c:v>
          </c:tx>
          <c:spPr>
            <a:ln w="25400">
              <a:solidFill>
                <a:srgbClr val="000000"/>
              </a:solidFill>
              <a:prstDash val="sysDash"/>
            </a:ln>
          </c:spPr>
          <c:marker>
            <c:symbol val="none"/>
          </c:marker>
          <c:xVal>
            <c:strRef>
              <c:f>'[1]Flea 48h U'!$C$4:$C$27</c:f>
              <c:strCache>
                <c:ptCount val="19"/>
                <c:pt idx="0">
                  <c:v>762I RefTox 01</c:v>
                </c:pt>
                <c:pt idx="1">
                  <c:v>763I RefTox 02</c:v>
                </c:pt>
                <c:pt idx="2">
                  <c:v>776I RefTox 03</c:v>
                </c:pt>
                <c:pt idx="3">
                  <c:v>788I RefTox 04</c:v>
                </c:pt>
                <c:pt idx="4">
                  <c:v>797I RefTox 05</c:v>
                </c:pt>
                <c:pt idx="5">
                  <c:v>801I RefTox 06</c:v>
                </c:pt>
                <c:pt idx="6">
                  <c:v>827I</c:v>
                </c:pt>
                <c:pt idx="7">
                  <c:v>832I</c:v>
                </c:pt>
                <c:pt idx="8">
                  <c:v>837I</c:v>
                </c:pt>
                <c:pt idx="9">
                  <c:v>855I </c:v>
                </c:pt>
                <c:pt idx="10">
                  <c:v>870I</c:v>
                </c:pt>
                <c:pt idx="11">
                  <c:v>912I</c:v>
                </c:pt>
                <c:pt idx="12">
                  <c:v>929I</c:v>
                </c:pt>
                <c:pt idx="13">
                  <c:v>1001I</c:v>
                </c:pt>
                <c:pt idx="14">
                  <c:v>1023I</c:v>
                </c:pt>
                <c:pt idx="15">
                  <c:v>1103I</c:v>
                </c:pt>
                <c:pt idx="16">
                  <c:v>1129I</c:v>
                </c:pt>
                <c:pt idx="17">
                  <c:v>1156I</c:v>
                </c:pt>
                <c:pt idx="18">
                  <c:v>1190I</c:v>
                </c:pt>
              </c:strCache>
            </c:strRef>
          </c:xVal>
          <c:yVal>
            <c:numRef>
              <c:f>'[1]Flea 48h U'!$L$4:$L$23</c:f>
              <c:numCache>
                <c:formatCode>General</c:formatCode>
                <c:ptCount val="20"/>
                <c:pt idx="0">
                  <c:v>146.24922475541072</c:v>
                </c:pt>
                <c:pt idx="1">
                  <c:v>146.24922475541072</c:v>
                </c:pt>
                <c:pt idx="2">
                  <c:v>146.24922475541072</c:v>
                </c:pt>
                <c:pt idx="3">
                  <c:v>146.24922475541072</c:v>
                </c:pt>
                <c:pt idx="4">
                  <c:v>146.24922475541072</c:v>
                </c:pt>
                <c:pt idx="5">
                  <c:v>146.24922475541072</c:v>
                </c:pt>
                <c:pt idx="6">
                  <c:v>146.24922475541072</c:v>
                </c:pt>
                <c:pt idx="7">
                  <c:v>146.24922475541072</c:v>
                </c:pt>
                <c:pt idx="8">
                  <c:v>146.24922475541072</c:v>
                </c:pt>
                <c:pt idx="9">
                  <c:v>146.24922475541072</c:v>
                </c:pt>
                <c:pt idx="10">
                  <c:v>146.24922475541072</c:v>
                </c:pt>
                <c:pt idx="11">
                  <c:v>146.24922475541072</c:v>
                </c:pt>
                <c:pt idx="12">
                  <c:v>146.24922475541072</c:v>
                </c:pt>
                <c:pt idx="13">
                  <c:v>146.24922475541072</c:v>
                </c:pt>
                <c:pt idx="14">
                  <c:v>146.24922475541072</c:v>
                </c:pt>
                <c:pt idx="15">
                  <c:v>146.24922475541072</c:v>
                </c:pt>
                <c:pt idx="16">
                  <c:v>146.24922475541072</c:v>
                </c:pt>
                <c:pt idx="17">
                  <c:v>146.24922475541072</c:v>
                </c:pt>
                <c:pt idx="18">
                  <c:v>146.24922475541072</c:v>
                </c:pt>
                <c:pt idx="19">
                  <c:v>146.24922475541072</c:v>
                </c:pt>
              </c:numCache>
            </c:numRef>
          </c:yVal>
        </c:ser>
        <c:ser>
          <c:idx val="5"/>
          <c:order val="4"/>
          <c:tx>
            <c:v>Lower Confidence limit</c:v>
          </c:tx>
          <c:spPr>
            <a:ln w="25400">
              <a:solidFill>
                <a:srgbClr val="000000"/>
              </a:solidFill>
              <a:prstDash val="lgDash"/>
            </a:ln>
          </c:spPr>
          <c:marker>
            <c:symbol val="none"/>
          </c:marker>
          <c:xVal>
            <c:strRef>
              <c:f>'[1]Flea 48h U'!$C$4:$C$27</c:f>
              <c:strCache>
                <c:ptCount val="19"/>
                <c:pt idx="0">
                  <c:v>762I RefTox 01</c:v>
                </c:pt>
                <c:pt idx="1">
                  <c:v>763I RefTox 02</c:v>
                </c:pt>
                <c:pt idx="2">
                  <c:v>776I RefTox 03</c:v>
                </c:pt>
                <c:pt idx="3">
                  <c:v>788I RefTox 04</c:v>
                </c:pt>
                <c:pt idx="4">
                  <c:v>797I RefTox 05</c:v>
                </c:pt>
                <c:pt idx="5">
                  <c:v>801I RefTox 06</c:v>
                </c:pt>
                <c:pt idx="6">
                  <c:v>827I</c:v>
                </c:pt>
                <c:pt idx="7">
                  <c:v>832I</c:v>
                </c:pt>
                <c:pt idx="8">
                  <c:v>837I</c:v>
                </c:pt>
                <c:pt idx="9">
                  <c:v>855I </c:v>
                </c:pt>
                <c:pt idx="10">
                  <c:v>870I</c:v>
                </c:pt>
                <c:pt idx="11">
                  <c:v>912I</c:v>
                </c:pt>
                <c:pt idx="12">
                  <c:v>929I</c:v>
                </c:pt>
                <c:pt idx="13">
                  <c:v>1001I</c:v>
                </c:pt>
                <c:pt idx="14">
                  <c:v>1023I</c:v>
                </c:pt>
                <c:pt idx="15">
                  <c:v>1103I</c:v>
                </c:pt>
                <c:pt idx="16">
                  <c:v>1129I</c:v>
                </c:pt>
                <c:pt idx="17">
                  <c:v>1156I</c:v>
                </c:pt>
                <c:pt idx="18">
                  <c:v>1190I</c:v>
                </c:pt>
              </c:strCache>
            </c:strRef>
          </c:xVal>
          <c:yVal>
            <c:numRef>
              <c:f>'[1]Flea 48h U'!$N$4:$N$23</c:f>
              <c:numCache>
                <c:formatCode>General</c:formatCode>
                <c:ptCount val="20"/>
                <c:pt idx="0">
                  <c:v>-78.169889764695</c:v>
                </c:pt>
                <c:pt idx="1">
                  <c:v>-78.169889764695</c:v>
                </c:pt>
                <c:pt idx="2">
                  <c:v>-78.169889764695</c:v>
                </c:pt>
                <c:pt idx="3">
                  <c:v>-78.169889764695</c:v>
                </c:pt>
                <c:pt idx="4">
                  <c:v>-78.169889764695</c:v>
                </c:pt>
                <c:pt idx="5">
                  <c:v>-78.169889764695</c:v>
                </c:pt>
                <c:pt idx="6">
                  <c:v>-78.169889764695</c:v>
                </c:pt>
                <c:pt idx="7">
                  <c:v>-78.169889764695</c:v>
                </c:pt>
                <c:pt idx="8">
                  <c:v>-78.169889764695</c:v>
                </c:pt>
                <c:pt idx="9">
                  <c:v>-78.169889764695</c:v>
                </c:pt>
                <c:pt idx="10">
                  <c:v>-78.169889764695</c:v>
                </c:pt>
                <c:pt idx="11">
                  <c:v>-78.169889764695</c:v>
                </c:pt>
                <c:pt idx="12">
                  <c:v>-78.169889764695</c:v>
                </c:pt>
                <c:pt idx="13">
                  <c:v>-78.169889764695</c:v>
                </c:pt>
                <c:pt idx="14">
                  <c:v>-78.169889764695</c:v>
                </c:pt>
                <c:pt idx="15">
                  <c:v>-78.169889764695</c:v>
                </c:pt>
                <c:pt idx="16">
                  <c:v>-78.169889764695</c:v>
                </c:pt>
                <c:pt idx="17">
                  <c:v>-78.169889764695</c:v>
                </c:pt>
                <c:pt idx="18">
                  <c:v>-78.169889764695</c:v>
                </c:pt>
                <c:pt idx="19">
                  <c:v>-78.169889764695</c:v>
                </c:pt>
              </c:numCache>
            </c:numRef>
          </c:yVal>
        </c:ser>
        <c:ser>
          <c:idx val="6"/>
          <c:order val="5"/>
          <c:tx>
            <c:v>Upper Confidence limit</c:v>
          </c:tx>
          <c:spPr>
            <a:ln w="25400">
              <a:solidFill>
                <a:srgbClr val="000000"/>
              </a:solidFill>
              <a:prstDash val="lgDash"/>
            </a:ln>
          </c:spPr>
          <c:marker>
            <c:symbol val="none"/>
          </c:marker>
          <c:xVal>
            <c:strRef>
              <c:f>'[1]Flea 48h U'!$C$3:$C$27</c:f>
              <c:strCache>
                <c:ptCount val="20"/>
                <c:pt idx="1">
                  <c:v>762I RefTox 01</c:v>
                </c:pt>
                <c:pt idx="2">
                  <c:v>763I RefTox 02</c:v>
                </c:pt>
                <c:pt idx="3">
                  <c:v>776I RefTox 03</c:v>
                </c:pt>
                <c:pt idx="4">
                  <c:v>788I RefTox 04</c:v>
                </c:pt>
                <c:pt idx="5">
                  <c:v>797I RefTox 05</c:v>
                </c:pt>
                <c:pt idx="6">
                  <c:v>801I RefTox 06</c:v>
                </c:pt>
                <c:pt idx="7">
                  <c:v>827I</c:v>
                </c:pt>
                <c:pt idx="8">
                  <c:v>832I</c:v>
                </c:pt>
                <c:pt idx="9">
                  <c:v>837I</c:v>
                </c:pt>
                <c:pt idx="10">
                  <c:v>855I </c:v>
                </c:pt>
                <c:pt idx="11">
                  <c:v>870I</c:v>
                </c:pt>
                <c:pt idx="12">
                  <c:v>912I</c:v>
                </c:pt>
                <c:pt idx="13">
                  <c:v>929I</c:v>
                </c:pt>
                <c:pt idx="14">
                  <c:v>1001I</c:v>
                </c:pt>
                <c:pt idx="15">
                  <c:v>1023I</c:v>
                </c:pt>
                <c:pt idx="16">
                  <c:v>1103I</c:v>
                </c:pt>
                <c:pt idx="17">
                  <c:v>1129I</c:v>
                </c:pt>
                <c:pt idx="18">
                  <c:v>1156I</c:v>
                </c:pt>
                <c:pt idx="19">
                  <c:v>1190I</c:v>
                </c:pt>
              </c:strCache>
            </c:strRef>
          </c:xVal>
          <c:yVal>
            <c:numRef>
              <c:f>'[1]Flea 48h U'!$K$4:$K$22</c:f>
              <c:numCache>
                <c:formatCode>General</c:formatCode>
                <c:ptCount val="19"/>
                <c:pt idx="0">
                  <c:v>191.13304765943187</c:v>
                </c:pt>
                <c:pt idx="1">
                  <c:v>191.13304765943187</c:v>
                </c:pt>
                <c:pt idx="2">
                  <c:v>191.13304765943187</c:v>
                </c:pt>
                <c:pt idx="3">
                  <c:v>191.13304765943187</c:v>
                </c:pt>
                <c:pt idx="4">
                  <c:v>191.13304765943187</c:v>
                </c:pt>
                <c:pt idx="5">
                  <c:v>191.13304765943187</c:v>
                </c:pt>
                <c:pt idx="6">
                  <c:v>191.13304765943187</c:v>
                </c:pt>
                <c:pt idx="7">
                  <c:v>191.13304765943187</c:v>
                </c:pt>
                <c:pt idx="8">
                  <c:v>191.13304765943187</c:v>
                </c:pt>
                <c:pt idx="9">
                  <c:v>191.13304765943187</c:v>
                </c:pt>
                <c:pt idx="10">
                  <c:v>191.13304765943187</c:v>
                </c:pt>
                <c:pt idx="11">
                  <c:v>191.13304765943187</c:v>
                </c:pt>
                <c:pt idx="12">
                  <c:v>191.13304765943187</c:v>
                </c:pt>
                <c:pt idx="13">
                  <c:v>191.13304765943187</c:v>
                </c:pt>
                <c:pt idx="14">
                  <c:v>191.13304765943187</c:v>
                </c:pt>
                <c:pt idx="15">
                  <c:v>191.13304765943187</c:v>
                </c:pt>
                <c:pt idx="16">
                  <c:v>191.13304765943187</c:v>
                </c:pt>
                <c:pt idx="17">
                  <c:v>191.13304765943187</c:v>
                </c:pt>
                <c:pt idx="18">
                  <c:v>191.13304765943187</c:v>
                </c:pt>
              </c:numCache>
            </c:numRef>
          </c:yVal>
        </c:ser>
        <c:axId val="189418880"/>
        <c:axId val="189441536"/>
      </c:scatterChart>
      <c:valAx>
        <c:axId val="189418880"/>
        <c:scaling>
          <c:orientation val="minMax"/>
          <c:max val="20"/>
          <c:min val="0"/>
        </c:scaling>
        <c:axPos val="b"/>
        <c:title>
          <c:tx>
            <c:rich>
              <a:bodyPr/>
              <a:lstStyle/>
              <a:p>
                <a:pPr>
                  <a:defRPr sz="1000" b="1" i="0" u="none" strike="noStrike" baseline="0">
                    <a:solidFill>
                      <a:srgbClr val="000000"/>
                    </a:solidFill>
                    <a:latin typeface="Arial"/>
                    <a:ea typeface="Arial"/>
                    <a:cs typeface="Arial"/>
                  </a:defRPr>
                </a:pPr>
                <a:r>
                  <a:rPr lang="en-AU" sz="1000"/>
                  <a:t>Test number</a:t>
                </a:r>
              </a:p>
            </c:rich>
          </c:tx>
          <c:layout>
            <c:manualLayout>
              <c:xMode val="edge"/>
              <c:yMode val="edge"/>
              <c:x val="0.38037939514318087"/>
              <c:y val="0.90036358302433295"/>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9441536"/>
        <c:crossesAt val="-100"/>
        <c:crossBetween val="midCat"/>
        <c:majorUnit val="2"/>
      </c:valAx>
      <c:valAx>
        <c:axId val="189441536"/>
        <c:scaling>
          <c:orientation val="minMax"/>
          <c:max val="400"/>
          <c:min val="-100"/>
        </c:scaling>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25" b="1" i="0" u="none" strike="noStrike" kern="1200" baseline="0">
                    <a:solidFill>
                      <a:srgbClr val="000000"/>
                    </a:solidFill>
                    <a:latin typeface="Arial"/>
                    <a:ea typeface="Arial"/>
                    <a:cs typeface="Arial"/>
                  </a:defRPr>
                </a:pPr>
                <a:r>
                  <a:rPr lang="en-AU" sz="1000" b="1" i="0" baseline="0"/>
                  <a:t>EC50 (µg L</a:t>
                </a:r>
                <a:r>
                  <a:rPr lang="en-AU" sz="1000" b="1" i="0" baseline="30000"/>
                  <a:t>-1</a:t>
                </a:r>
                <a:r>
                  <a:rPr lang="en-AU" sz="1000" b="1" i="0" baseline="0"/>
                  <a:t> U)</a:t>
                </a:r>
              </a:p>
              <a:p>
                <a:pPr marL="0" marR="0" indent="0" algn="ctr" defTabSz="914400" rtl="0" eaLnBrk="1" fontAlgn="auto" latinLnBrk="0" hangingPunct="1">
                  <a:lnSpc>
                    <a:spcPct val="100000"/>
                  </a:lnSpc>
                  <a:spcBef>
                    <a:spcPts val="0"/>
                  </a:spcBef>
                  <a:spcAft>
                    <a:spcPts val="0"/>
                  </a:spcAft>
                  <a:buClrTx/>
                  <a:buSzTx/>
                  <a:buFontTx/>
                  <a:buNone/>
                  <a:tabLst/>
                  <a:defRPr sz="1425" b="1" i="0" u="none" strike="noStrike" kern="1200" baseline="0">
                    <a:solidFill>
                      <a:srgbClr val="000000"/>
                    </a:solidFill>
                    <a:latin typeface="Arial"/>
                    <a:ea typeface="Arial"/>
                    <a:cs typeface="Arial"/>
                  </a:defRPr>
                </a:pPr>
                <a:endParaRPr lang="en-AU" sz="1000"/>
              </a:p>
            </c:rich>
          </c:tx>
          <c:layout>
            <c:manualLayout>
              <c:xMode val="edge"/>
              <c:yMode val="edge"/>
              <c:x val="2.7150674296343588E-2"/>
              <c:y val="0.2862020719632308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9418880"/>
        <c:crossesAt val="-100"/>
        <c:crossBetween val="midCat"/>
        <c:majorUnit val="100"/>
      </c:valAx>
      <c:spPr>
        <a:noFill/>
        <a:ln w="3175">
          <a:solidFill>
            <a:srgbClr val="000000"/>
          </a:solidFill>
          <a:prstDash val="solid"/>
        </a:ln>
      </c:spPr>
    </c:plotArea>
    <c:plotVisOnly val="1"/>
    <c:dispBlanksAs val="gap"/>
  </c:chart>
  <c:spPr>
    <a:solidFill>
      <a:srgbClr val="FFFFFF"/>
    </a:solidFill>
    <a:ln w="3175">
      <a:noFill/>
      <a:prstDash val="solid"/>
    </a:ln>
  </c:spPr>
  <c:txPr>
    <a:bodyPr/>
    <a:lstStyle/>
    <a:p>
      <a:pPr>
        <a:defRPr sz="1425"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4594164311192237"/>
          <c:y val="6.2860970763553792E-2"/>
          <c:w val="0.77170217755232562"/>
          <c:h val="0.71112801589554364"/>
        </c:manualLayout>
      </c:layout>
      <c:scatterChart>
        <c:scatterStyle val="lineMarker"/>
        <c:ser>
          <c:idx val="0"/>
          <c:order val="0"/>
          <c:tx>
            <c:v>IC50 (95% CL)</c:v>
          </c:tx>
          <c:spPr>
            <a:ln w="28575">
              <a:noFill/>
            </a:ln>
          </c:spPr>
          <c:marker>
            <c:symbol val="diamond"/>
            <c:size val="5"/>
            <c:spPr>
              <a:solidFill>
                <a:srgbClr val="000000"/>
              </a:solidFill>
              <a:ln>
                <a:solidFill>
                  <a:srgbClr val="000000"/>
                </a:solidFill>
                <a:prstDash val="solid"/>
              </a:ln>
            </c:spPr>
          </c:marker>
          <c:errBars>
            <c:errDir val="y"/>
            <c:errBarType val="both"/>
            <c:errValType val="cust"/>
            <c:plus>
              <c:numRef>
                <c:f>'[1]Hydra U'!$H$12:$H$31</c:f>
                <c:numCache>
                  <c:formatCode>General</c:formatCode>
                  <c:ptCount val="20"/>
                  <c:pt idx="0">
                    <c:v>9</c:v>
                  </c:pt>
                  <c:pt idx="1">
                    <c:v>5</c:v>
                  </c:pt>
                  <c:pt idx="2">
                    <c:v>20.003</c:v>
                  </c:pt>
                  <c:pt idx="3">
                    <c:v>32</c:v>
                  </c:pt>
                  <c:pt idx="4">
                    <c:v>8</c:v>
                  </c:pt>
                  <c:pt idx="5">
                    <c:v>23.64</c:v>
                  </c:pt>
                  <c:pt idx="6">
                    <c:v>11.878</c:v>
                  </c:pt>
                  <c:pt idx="7">
                    <c:v>19.400000000000006</c:v>
                  </c:pt>
                  <c:pt idx="8">
                    <c:v>5.1200000000000045</c:v>
                  </c:pt>
                  <c:pt idx="9">
                    <c:v>13</c:v>
                  </c:pt>
                  <c:pt idx="10">
                    <c:v>24</c:v>
                  </c:pt>
                  <c:pt idx="11">
                    <c:v>35</c:v>
                  </c:pt>
                  <c:pt idx="12">
                    <c:v>36</c:v>
                  </c:pt>
                  <c:pt idx="13">
                    <c:v>29.299999999999986</c:v>
                  </c:pt>
                  <c:pt idx="14">
                    <c:v>3.2199999999999989</c:v>
                  </c:pt>
                  <c:pt idx="15">
                    <c:v>13.870000000000006</c:v>
                  </c:pt>
                  <c:pt idx="16">
                    <c:v>4.5649999999999755</c:v>
                  </c:pt>
                  <c:pt idx="17">
                    <c:v>11</c:v>
                  </c:pt>
                  <c:pt idx="18">
                    <c:v>14</c:v>
                  </c:pt>
                  <c:pt idx="19">
                    <c:v>6.2000000000000028</c:v>
                  </c:pt>
                </c:numCache>
              </c:numRef>
            </c:plus>
            <c:minus>
              <c:numRef>
                <c:f>'[1]Hydra U'!$F$11:$F$30</c:f>
                <c:numCache>
                  <c:formatCode>General</c:formatCode>
                  <c:ptCount val="20"/>
                  <c:pt idx="0">
                    <c:v>10</c:v>
                  </c:pt>
                  <c:pt idx="1">
                    <c:v>10</c:v>
                  </c:pt>
                  <c:pt idx="2">
                    <c:v>7</c:v>
                  </c:pt>
                  <c:pt idx="3">
                    <c:v>25.962999999999667</c:v>
                  </c:pt>
                  <c:pt idx="4">
                    <c:v>17</c:v>
                  </c:pt>
                  <c:pt idx="5">
                    <c:v>11</c:v>
                  </c:pt>
                  <c:pt idx="6">
                    <c:v>28.631000000000135</c:v>
                  </c:pt>
                  <c:pt idx="7">
                    <c:v>10.678000000000001</c:v>
                  </c:pt>
                  <c:pt idx="8">
                    <c:v>57.5</c:v>
                  </c:pt>
                  <c:pt idx="9">
                    <c:v>8.8000000000000025</c:v>
                  </c:pt>
                  <c:pt idx="10">
                    <c:v>15</c:v>
                  </c:pt>
                  <c:pt idx="11">
                    <c:v>36</c:v>
                  </c:pt>
                  <c:pt idx="12">
                    <c:v>15</c:v>
                  </c:pt>
                  <c:pt idx="13">
                    <c:v>22</c:v>
                  </c:pt>
                  <c:pt idx="14">
                    <c:v>17.200000000000003</c:v>
                  </c:pt>
                  <c:pt idx="15">
                    <c:v>3.0100000000000047</c:v>
                  </c:pt>
                  <c:pt idx="16">
                    <c:v>12.970000000000002</c:v>
                  </c:pt>
                  <c:pt idx="17">
                    <c:v>5.2469999999999999</c:v>
                  </c:pt>
                  <c:pt idx="18">
                    <c:v>12</c:v>
                  </c:pt>
                  <c:pt idx="19">
                    <c:v>21</c:v>
                  </c:pt>
                </c:numCache>
              </c:numRef>
            </c:minus>
            <c:spPr>
              <a:ln w="12700">
                <a:solidFill>
                  <a:srgbClr val="000000"/>
                </a:solidFill>
                <a:prstDash val="solid"/>
              </a:ln>
            </c:spPr>
          </c:errBars>
          <c:xVal>
            <c:strRef>
              <c:f>'[1]Hydra U'!$C$12:$C$31</c:f>
              <c:strCache>
                <c:ptCount val="20"/>
                <c:pt idx="0">
                  <c:v>719B</c:v>
                </c:pt>
                <c:pt idx="1">
                  <c:v>725B</c:v>
                </c:pt>
                <c:pt idx="2">
                  <c:v>760B</c:v>
                </c:pt>
                <c:pt idx="3">
                  <c:v>771B</c:v>
                </c:pt>
                <c:pt idx="4">
                  <c:v>796B</c:v>
                </c:pt>
                <c:pt idx="5">
                  <c:v>830B</c:v>
                </c:pt>
                <c:pt idx="6">
                  <c:v>843B</c:v>
                </c:pt>
                <c:pt idx="7">
                  <c:v>879B</c:v>
                </c:pt>
                <c:pt idx="8">
                  <c:v>886B</c:v>
                </c:pt>
                <c:pt idx="9">
                  <c:v>962B</c:v>
                </c:pt>
                <c:pt idx="10">
                  <c:v>963B</c:v>
                </c:pt>
                <c:pt idx="11">
                  <c:v>969B</c:v>
                </c:pt>
                <c:pt idx="12">
                  <c:v>989B</c:v>
                </c:pt>
                <c:pt idx="13">
                  <c:v>1015B</c:v>
                </c:pt>
                <c:pt idx="14">
                  <c:v>1029B</c:v>
                </c:pt>
                <c:pt idx="15">
                  <c:v>1077B</c:v>
                </c:pt>
                <c:pt idx="16">
                  <c:v>1099B</c:v>
                </c:pt>
                <c:pt idx="17">
                  <c:v>1136B</c:v>
                </c:pt>
                <c:pt idx="18">
                  <c:v>1164B</c:v>
                </c:pt>
                <c:pt idx="19">
                  <c:v>1198B</c:v>
                </c:pt>
              </c:strCache>
            </c:strRef>
          </c:xVal>
          <c:yVal>
            <c:numRef>
              <c:f>'[1]Hydra U'!$D$12:$D$31</c:f>
              <c:numCache>
                <c:formatCode>General</c:formatCode>
                <c:ptCount val="20"/>
                <c:pt idx="0">
                  <c:v>79</c:v>
                </c:pt>
                <c:pt idx="1">
                  <c:v>83</c:v>
                </c:pt>
                <c:pt idx="2" formatCode="0">
                  <c:v>78.464000000000027</c:v>
                </c:pt>
                <c:pt idx="3">
                  <c:v>106</c:v>
                </c:pt>
                <c:pt idx="4">
                  <c:v>77</c:v>
                </c:pt>
                <c:pt idx="5">
                  <c:v>98</c:v>
                </c:pt>
                <c:pt idx="6">
                  <c:v>84</c:v>
                </c:pt>
                <c:pt idx="7">
                  <c:v>65.599999999999994</c:v>
                </c:pt>
                <c:pt idx="8">
                  <c:v>65</c:v>
                </c:pt>
                <c:pt idx="9">
                  <c:v>86</c:v>
                </c:pt>
                <c:pt idx="10">
                  <c:v>54</c:v>
                </c:pt>
                <c:pt idx="11">
                  <c:v>46</c:v>
                </c:pt>
                <c:pt idx="12">
                  <c:v>69</c:v>
                </c:pt>
                <c:pt idx="13">
                  <c:v>52.7</c:v>
                </c:pt>
                <c:pt idx="14">
                  <c:v>67.760000000000005</c:v>
                </c:pt>
                <c:pt idx="15">
                  <c:v>44.63</c:v>
                </c:pt>
                <c:pt idx="16">
                  <c:v>76.8</c:v>
                </c:pt>
                <c:pt idx="17">
                  <c:v>96</c:v>
                </c:pt>
                <c:pt idx="18">
                  <c:v>93</c:v>
                </c:pt>
                <c:pt idx="19">
                  <c:v>102.7</c:v>
                </c:pt>
              </c:numCache>
            </c:numRef>
          </c:yVal>
        </c:ser>
        <c:ser>
          <c:idx val="1"/>
          <c:order val="1"/>
          <c:tx>
            <c:v>Upper 99% confidence limit</c:v>
          </c:tx>
          <c:spPr>
            <a:ln w="25400">
              <a:solidFill>
                <a:srgbClr val="000000"/>
              </a:solidFill>
              <a:prstDash val="lgDash"/>
            </a:ln>
          </c:spPr>
          <c:marker>
            <c:symbol val="none"/>
          </c:marker>
          <c:xVal>
            <c:strRef>
              <c:f>'[1]Hydra U'!$C$11:$C$34</c:f>
              <c:strCache>
                <c:ptCount val="21"/>
                <c:pt idx="0">
                  <c:v>707B</c:v>
                </c:pt>
                <c:pt idx="1">
                  <c:v>719B</c:v>
                </c:pt>
                <c:pt idx="2">
                  <c:v>725B</c:v>
                </c:pt>
                <c:pt idx="3">
                  <c:v>760B</c:v>
                </c:pt>
                <c:pt idx="4">
                  <c:v>771B</c:v>
                </c:pt>
                <c:pt idx="5">
                  <c:v>796B</c:v>
                </c:pt>
                <c:pt idx="6">
                  <c:v>830B</c:v>
                </c:pt>
                <c:pt idx="7">
                  <c:v>843B</c:v>
                </c:pt>
                <c:pt idx="8">
                  <c:v>879B</c:v>
                </c:pt>
                <c:pt idx="9">
                  <c:v>886B</c:v>
                </c:pt>
                <c:pt idx="10">
                  <c:v>962B</c:v>
                </c:pt>
                <c:pt idx="11">
                  <c:v>963B</c:v>
                </c:pt>
                <c:pt idx="12">
                  <c:v>969B</c:v>
                </c:pt>
                <c:pt idx="13">
                  <c:v>989B</c:v>
                </c:pt>
                <c:pt idx="14">
                  <c:v>1015B</c:v>
                </c:pt>
                <c:pt idx="15">
                  <c:v>1029B</c:v>
                </c:pt>
                <c:pt idx="16">
                  <c:v>1077B</c:v>
                </c:pt>
                <c:pt idx="17">
                  <c:v>1099B</c:v>
                </c:pt>
                <c:pt idx="18">
                  <c:v>1136B</c:v>
                </c:pt>
                <c:pt idx="19">
                  <c:v>1164B</c:v>
                </c:pt>
                <c:pt idx="20">
                  <c:v>1198B</c:v>
                </c:pt>
              </c:strCache>
            </c:strRef>
          </c:xVal>
          <c:yVal>
            <c:numRef>
              <c:f>'[1]Hydra U'!$K$11:$K$35</c:f>
              <c:numCache>
                <c:formatCode>General</c:formatCode>
                <c:ptCount val="25"/>
                <c:pt idx="0">
                  <c:v>130.73711087500701</c:v>
                </c:pt>
                <c:pt idx="1">
                  <c:v>130.73711087500701</c:v>
                </c:pt>
                <c:pt idx="2">
                  <c:v>130.73711087500701</c:v>
                </c:pt>
                <c:pt idx="3">
                  <c:v>130.73711087500701</c:v>
                </c:pt>
                <c:pt idx="4">
                  <c:v>130.73711087500701</c:v>
                </c:pt>
                <c:pt idx="5">
                  <c:v>130.73711087500701</c:v>
                </c:pt>
                <c:pt idx="6">
                  <c:v>130.73711087500701</c:v>
                </c:pt>
                <c:pt idx="7">
                  <c:v>130.73711087500701</c:v>
                </c:pt>
                <c:pt idx="8">
                  <c:v>130.73711087500701</c:v>
                </c:pt>
                <c:pt idx="9">
                  <c:v>130.73711087500701</c:v>
                </c:pt>
                <c:pt idx="10">
                  <c:v>130.73711087500701</c:v>
                </c:pt>
                <c:pt idx="11">
                  <c:v>130.73711087500701</c:v>
                </c:pt>
                <c:pt idx="12">
                  <c:v>130.73711087500701</c:v>
                </c:pt>
                <c:pt idx="13">
                  <c:v>130.73711087500701</c:v>
                </c:pt>
                <c:pt idx="14">
                  <c:v>130.73711087500701</c:v>
                </c:pt>
                <c:pt idx="15">
                  <c:v>130.73711087500701</c:v>
                </c:pt>
                <c:pt idx="16">
                  <c:v>130.73711087500701</c:v>
                </c:pt>
                <c:pt idx="17">
                  <c:v>130.73711087500701</c:v>
                </c:pt>
                <c:pt idx="18">
                  <c:v>130.73711087500701</c:v>
                </c:pt>
                <c:pt idx="19">
                  <c:v>130.73711087500701</c:v>
                </c:pt>
                <c:pt idx="20">
                  <c:v>130.73711087500701</c:v>
                </c:pt>
                <c:pt idx="21">
                  <c:v>130.73711087500701</c:v>
                </c:pt>
                <c:pt idx="22">
                  <c:v>130.73711087500701</c:v>
                </c:pt>
                <c:pt idx="23">
                  <c:v>130.73711087500701</c:v>
                </c:pt>
                <c:pt idx="24">
                  <c:v>130.73711087500701</c:v>
                </c:pt>
              </c:numCache>
            </c:numRef>
          </c:yVal>
        </c:ser>
        <c:ser>
          <c:idx val="2"/>
          <c:order val="2"/>
          <c:tx>
            <c:v>Lower 99% confidence limit</c:v>
          </c:tx>
          <c:spPr>
            <a:ln w="25400">
              <a:solidFill>
                <a:srgbClr val="000000"/>
              </a:solidFill>
              <a:prstDash val="lgDash"/>
            </a:ln>
          </c:spPr>
          <c:marker>
            <c:symbol val="none"/>
          </c:marker>
          <c:xVal>
            <c:strRef>
              <c:f>'[1]Hydra U'!$C$11:$C$32</c:f>
              <c:strCache>
                <c:ptCount val="21"/>
                <c:pt idx="0">
                  <c:v>707B</c:v>
                </c:pt>
                <c:pt idx="1">
                  <c:v>719B</c:v>
                </c:pt>
                <c:pt idx="2">
                  <c:v>725B</c:v>
                </c:pt>
                <c:pt idx="3">
                  <c:v>760B</c:v>
                </c:pt>
                <c:pt idx="4">
                  <c:v>771B</c:v>
                </c:pt>
                <c:pt idx="5">
                  <c:v>796B</c:v>
                </c:pt>
                <c:pt idx="6">
                  <c:v>830B</c:v>
                </c:pt>
                <c:pt idx="7">
                  <c:v>843B</c:v>
                </c:pt>
                <c:pt idx="8">
                  <c:v>879B</c:v>
                </c:pt>
                <c:pt idx="9">
                  <c:v>886B</c:v>
                </c:pt>
                <c:pt idx="10">
                  <c:v>962B</c:v>
                </c:pt>
                <c:pt idx="11">
                  <c:v>963B</c:v>
                </c:pt>
                <c:pt idx="12">
                  <c:v>969B</c:v>
                </c:pt>
                <c:pt idx="13">
                  <c:v>989B</c:v>
                </c:pt>
                <c:pt idx="14">
                  <c:v>1015B</c:v>
                </c:pt>
                <c:pt idx="15">
                  <c:v>1029B</c:v>
                </c:pt>
                <c:pt idx="16">
                  <c:v>1077B</c:v>
                </c:pt>
                <c:pt idx="17">
                  <c:v>1099B</c:v>
                </c:pt>
                <c:pt idx="18">
                  <c:v>1136B</c:v>
                </c:pt>
                <c:pt idx="19">
                  <c:v>1164B</c:v>
                </c:pt>
                <c:pt idx="20">
                  <c:v>1198B</c:v>
                </c:pt>
              </c:strCache>
            </c:strRef>
          </c:xVal>
          <c:yVal>
            <c:numRef>
              <c:f>'[1]Hydra U'!$O$11:$O$35</c:f>
              <c:numCache>
                <c:formatCode>General</c:formatCode>
                <c:ptCount val="25"/>
                <c:pt idx="0">
                  <c:v>21.728289124993019</c:v>
                </c:pt>
                <c:pt idx="1">
                  <c:v>21.728289124993019</c:v>
                </c:pt>
                <c:pt idx="2">
                  <c:v>21.728289124993019</c:v>
                </c:pt>
                <c:pt idx="3">
                  <c:v>21.728289124993019</c:v>
                </c:pt>
                <c:pt idx="4">
                  <c:v>21.728289124993019</c:v>
                </c:pt>
                <c:pt idx="5">
                  <c:v>21.728289124993019</c:v>
                </c:pt>
                <c:pt idx="6">
                  <c:v>21.728289124993019</c:v>
                </c:pt>
                <c:pt idx="7">
                  <c:v>21.728289124993019</c:v>
                </c:pt>
                <c:pt idx="8">
                  <c:v>21.728289124993019</c:v>
                </c:pt>
                <c:pt idx="9">
                  <c:v>21.728289124993019</c:v>
                </c:pt>
                <c:pt idx="10">
                  <c:v>21.728289124993019</c:v>
                </c:pt>
                <c:pt idx="11">
                  <c:v>21.728289124993019</c:v>
                </c:pt>
                <c:pt idx="12">
                  <c:v>21.728289124993019</c:v>
                </c:pt>
                <c:pt idx="13">
                  <c:v>21.728289124993019</c:v>
                </c:pt>
                <c:pt idx="14">
                  <c:v>21.728289124993019</c:v>
                </c:pt>
                <c:pt idx="15">
                  <c:v>21.728289124993019</c:v>
                </c:pt>
                <c:pt idx="16">
                  <c:v>21.728289124993019</c:v>
                </c:pt>
                <c:pt idx="17">
                  <c:v>21.728289124993019</c:v>
                </c:pt>
                <c:pt idx="18">
                  <c:v>21.728289124993019</c:v>
                </c:pt>
                <c:pt idx="19">
                  <c:v>21.728289124993019</c:v>
                </c:pt>
                <c:pt idx="20">
                  <c:v>21.728289124993019</c:v>
                </c:pt>
                <c:pt idx="21">
                  <c:v>21.728289124993019</c:v>
                </c:pt>
                <c:pt idx="22">
                  <c:v>21.728289124993019</c:v>
                </c:pt>
                <c:pt idx="23">
                  <c:v>21.728289124993019</c:v>
                </c:pt>
                <c:pt idx="24">
                  <c:v>21.728289124993019</c:v>
                </c:pt>
              </c:numCache>
            </c:numRef>
          </c:yVal>
        </c:ser>
        <c:ser>
          <c:idx val="3"/>
          <c:order val="3"/>
          <c:tx>
            <c:v>Upper warning limit</c:v>
          </c:tx>
          <c:spPr>
            <a:ln w="25400">
              <a:solidFill>
                <a:srgbClr val="000000"/>
              </a:solidFill>
              <a:prstDash val="sysDash"/>
            </a:ln>
          </c:spPr>
          <c:marker>
            <c:symbol val="none"/>
          </c:marker>
          <c:xVal>
            <c:strRef>
              <c:f>'[1]Hydra U'!$C$11:$C$30</c:f>
              <c:strCache>
                <c:ptCount val="20"/>
                <c:pt idx="0">
                  <c:v>707B</c:v>
                </c:pt>
                <c:pt idx="1">
                  <c:v>719B</c:v>
                </c:pt>
                <c:pt idx="2">
                  <c:v>725B</c:v>
                </c:pt>
                <c:pt idx="3">
                  <c:v>760B</c:v>
                </c:pt>
                <c:pt idx="4">
                  <c:v>771B</c:v>
                </c:pt>
                <c:pt idx="5">
                  <c:v>796B</c:v>
                </c:pt>
                <c:pt idx="6">
                  <c:v>830B</c:v>
                </c:pt>
                <c:pt idx="7">
                  <c:v>843B</c:v>
                </c:pt>
                <c:pt idx="8">
                  <c:v>879B</c:v>
                </c:pt>
                <c:pt idx="9">
                  <c:v>886B</c:v>
                </c:pt>
                <c:pt idx="10">
                  <c:v>962B</c:v>
                </c:pt>
                <c:pt idx="11">
                  <c:v>963B</c:v>
                </c:pt>
                <c:pt idx="12">
                  <c:v>969B</c:v>
                </c:pt>
                <c:pt idx="13">
                  <c:v>989B</c:v>
                </c:pt>
                <c:pt idx="14">
                  <c:v>1015B</c:v>
                </c:pt>
                <c:pt idx="15">
                  <c:v>1029B</c:v>
                </c:pt>
                <c:pt idx="16">
                  <c:v>1077B</c:v>
                </c:pt>
                <c:pt idx="17">
                  <c:v>1099B</c:v>
                </c:pt>
                <c:pt idx="18">
                  <c:v>1136B</c:v>
                </c:pt>
                <c:pt idx="19">
                  <c:v>1164B</c:v>
                </c:pt>
              </c:strCache>
            </c:strRef>
          </c:xVal>
          <c:yVal>
            <c:numRef>
              <c:f>'[1]Hydra U'!$L$11:$L$35</c:f>
              <c:numCache>
                <c:formatCode>General</c:formatCode>
                <c:ptCount val="25"/>
                <c:pt idx="0">
                  <c:v>112.56897391667027</c:v>
                </c:pt>
                <c:pt idx="1">
                  <c:v>112.56897391667027</c:v>
                </c:pt>
                <c:pt idx="2">
                  <c:v>112.56897391667027</c:v>
                </c:pt>
                <c:pt idx="3">
                  <c:v>112.56897391667027</c:v>
                </c:pt>
                <c:pt idx="4">
                  <c:v>112.56897391667027</c:v>
                </c:pt>
                <c:pt idx="5">
                  <c:v>112.56897391667027</c:v>
                </c:pt>
                <c:pt idx="6">
                  <c:v>112.56897391667027</c:v>
                </c:pt>
                <c:pt idx="7">
                  <c:v>112.56897391667027</c:v>
                </c:pt>
                <c:pt idx="8">
                  <c:v>112.56897391667027</c:v>
                </c:pt>
                <c:pt idx="9">
                  <c:v>112.56897391667027</c:v>
                </c:pt>
                <c:pt idx="10">
                  <c:v>112.56897391667027</c:v>
                </c:pt>
                <c:pt idx="11">
                  <c:v>112.56897391667027</c:v>
                </c:pt>
                <c:pt idx="12">
                  <c:v>112.56897391667027</c:v>
                </c:pt>
                <c:pt idx="13">
                  <c:v>112.56897391667027</c:v>
                </c:pt>
                <c:pt idx="14">
                  <c:v>112.56897391667027</c:v>
                </c:pt>
                <c:pt idx="15">
                  <c:v>112.56897391667027</c:v>
                </c:pt>
                <c:pt idx="16">
                  <c:v>112.56897391667027</c:v>
                </c:pt>
                <c:pt idx="17">
                  <c:v>112.56897391667027</c:v>
                </c:pt>
                <c:pt idx="18">
                  <c:v>112.56897391667027</c:v>
                </c:pt>
                <c:pt idx="19">
                  <c:v>112.56897391667027</c:v>
                </c:pt>
                <c:pt idx="20">
                  <c:v>112.56897391667027</c:v>
                </c:pt>
                <c:pt idx="21">
                  <c:v>112.56897391667027</c:v>
                </c:pt>
                <c:pt idx="22">
                  <c:v>112.56897391667027</c:v>
                </c:pt>
                <c:pt idx="23">
                  <c:v>112.56897391667027</c:v>
                </c:pt>
                <c:pt idx="24">
                  <c:v>112.56897391667027</c:v>
                </c:pt>
              </c:numCache>
            </c:numRef>
          </c:yVal>
        </c:ser>
        <c:ser>
          <c:idx val="4"/>
          <c:order val="4"/>
          <c:tx>
            <c:v>Lower warning limit</c:v>
          </c:tx>
          <c:spPr>
            <a:ln w="25400">
              <a:solidFill>
                <a:srgbClr val="000000"/>
              </a:solidFill>
              <a:prstDash val="sysDash"/>
            </a:ln>
          </c:spPr>
          <c:marker>
            <c:symbol val="none"/>
          </c:marker>
          <c:xVal>
            <c:strRef>
              <c:f>'[1]Hydra U'!$C$11:$C$30</c:f>
              <c:strCache>
                <c:ptCount val="20"/>
                <c:pt idx="0">
                  <c:v>707B</c:v>
                </c:pt>
                <c:pt idx="1">
                  <c:v>719B</c:v>
                </c:pt>
                <c:pt idx="2">
                  <c:v>725B</c:v>
                </c:pt>
                <c:pt idx="3">
                  <c:v>760B</c:v>
                </c:pt>
                <c:pt idx="4">
                  <c:v>771B</c:v>
                </c:pt>
                <c:pt idx="5">
                  <c:v>796B</c:v>
                </c:pt>
                <c:pt idx="6">
                  <c:v>830B</c:v>
                </c:pt>
                <c:pt idx="7">
                  <c:v>843B</c:v>
                </c:pt>
                <c:pt idx="8">
                  <c:v>879B</c:v>
                </c:pt>
                <c:pt idx="9">
                  <c:v>886B</c:v>
                </c:pt>
                <c:pt idx="10">
                  <c:v>962B</c:v>
                </c:pt>
                <c:pt idx="11">
                  <c:v>963B</c:v>
                </c:pt>
                <c:pt idx="12">
                  <c:v>969B</c:v>
                </c:pt>
                <c:pt idx="13">
                  <c:v>989B</c:v>
                </c:pt>
                <c:pt idx="14">
                  <c:v>1015B</c:v>
                </c:pt>
                <c:pt idx="15">
                  <c:v>1029B</c:v>
                </c:pt>
                <c:pt idx="16">
                  <c:v>1077B</c:v>
                </c:pt>
                <c:pt idx="17">
                  <c:v>1099B</c:v>
                </c:pt>
                <c:pt idx="18">
                  <c:v>1136B</c:v>
                </c:pt>
                <c:pt idx="19">
                  <c:v>1164B</c:v>
                </c:pt>
              </c:strCache>
            </c:strRef>
          </c:xVal>
          <c:yVal>
            <c:numRef>
              <c:f>'[1]Hydra U'!$N$11:$N$35</c:f>
              <c:numCache>
                <c:formatCode>General</c:formatCode>
                <c:ptCount val="25"/>
                <c:pt idx="0">
                  <c:v>39.896426083328294</c:v>
                </c:pt>
                <c:pt idx="1">
                  <c:v>39.896426083328294</c:v>
                </c:pt>
                <c:pt idx="2">
                  <c:v>39.896426083328294</c:v>
                </c:pt>
                <c:pt idx="3">
                  <c:v>39.896426083328294</c:v>
                </c:pt>
                <c:pt idx="4">
                  <c:v>39.896426083328294</c:v>
                </c:pt>
                <c:pt idx="5">
                  <c:v>39.896426083328294</c:v>
                </c:pt>
                <c:pt idx="6">
                  <c:v>39.896426083328294</c:v>
                </c:pt>
                <c:pt idx="7">
                  <c:v>39.896426083328294</c:v>
                </c:pt>
                <c:pt idx="8">
                  <c:v>39.896426083328294</c:v>
                </c:pt>
                <c:pt idx="9">
                  <c:v>39.896426083328294</c:v>
                </c:pt>
                <c:pt idx="10">
                  <c:v>39.896426083328294</c:v>
                </c:pt>
                <c:pt idx="11">
                  <c:v>39.896426083328294</c:v>
                </c:pt>
                <c:pt idx="12">
                  <c:v>39.896426083328294</c:v>
                </c:pt>
                <c:pt idx="13">
                  <c:v>39.896426083328294</c:v>
                </c:pt>
                <c:pt idx="14">
                  <c:v>39.896426083328294</c:v>
                </c:pt>
                <c:pt idx="15">
                  <c:v>39.896426083328294</c:v>
                </c:pt>
                <c:pt idx="16">
                  <c:v>39.896426083328294</c:v>
                </c:pt>
                <c:pt idx="17">
                  <c:v>39.896426083328294</c:v>
                </c:pt>
                <c:pt idx="18">
                  <c:v>39.896426083328294</c:v>
                </c:pt>
                <c:pt idx="19">
                  <c:v>39.896426083328294</c:v>
                </c:pt>
                <c:pt idx="20">
                  <c:v>39.896426083328294</c:v>
                </c:pt>
                <c:pt idx="21">
                  <c:v>39.896426083328294</c:v>
                </c:pt>
                <c:pt idx="22">
                  <c:v>39.896426083328294</c:v>
                </c:pt>
                <c:pt idx="23">
                  <c:v>39.896426083328294</c:v>
                </c:pt>
                <c:pt idx="24">
                  <c:v>39.896426083328294</c:v>
                </c:pt>
              </c:numCache>
            </c:numRef>
          </c:yVal>
        </c:ser>
        <c:ser>
          <c:idx val="6"/>
          <c:order val="5"/>
          <c:tx>
            <c:v>Running mean IC50</c:v>
          </c:tx>
          <c:spPr>
            <a:ln w="12700">
              <a:solidFill>
                <a:srgbClr val="000000"/>
              </a:solidFill>
              <a:prstDash val="solid"/>
            </a:ln>
          </c:spPr>
          <c:marker>
            <c:symbol val="none"/>
          </c:marker>
          <c:xVal>
            <c:strRef>
              <c:f>'[1]Hydra U'!$C$12:$C$31</c:f>
              <c:strCache>
                <c:ptCount val="20"/>
                <c:pt idx="0">
                  <c:v>719B</c:v>
                </c:pt>
                <c:pt idx="1">
                  <c:v>725B</c:v>
                </c:pt>
                <c:pt idx="2">
                  <c:v>760B</c:v>
                </c:pt>
                <c:pt idx="3">
                  <c:v>771B</c:v>
                </c:pt>
                <c:pt idx="4">
                  <c:v>796B</c:v>
                </c:pt>
                <c:pt idx="5">
                  <c:v>830B</c:v>
                </c:pt>
                <c:pt idx="6">
                  <c:v>843B</c:v>
                </c:pt>
                <c:pt idx="7">
                  <c:v>879B</c:v>
                </c:pt>
                <c:pt idx="8">
                  <c:v>886B</c:v>
                </c:pt>
                <c:pt idx="9">
                  <c:v>962B</c:v>
                </c:pt>
                <c:pt idx="10">
                  <c:v>963B</c:v>
                </c:pt>
                <c:pt idx="11">
                  <c:v>969B</c:v>
                </c:pt>
                <c:pt idx="12">
                  <c:v>989B</c:v>
                </c:pt>
                <c:pt idx="13">
                  <c:v>1015B</c:v>
                </c:pt>
                <c:pt idx="14">
                  <c:v>1029B</c:v>
                </c:pt>
                <c:pt idx="15">
                  <c:v>1077B</c:v>
                </c:pt>
                <c:pt idx="16">
                  <c:v>1099B</c:v>
                </c:pt>
                <c:pt idx="17">
                  <c:v>1136B</c:v>
                </c:pt>
                <c:pt idx="18">
                  <c:v>1164B</c:v>
                </c:pt>
                <c:pt idx="19">
                  <c:v>1198B</c:v>
                </c:pt>
              </c:strCache>
            </c:strRef>
          </c:xVal>
          <c:yVal>
            <c:numRef>
              <c:f>'[1]Hydra U'!$P$11:$P$35</c:f>
              <c:numCache>
                <c:formatCode>General</c:formatCode>
                <c:ptCount val="25"/>
                <c:pt idx="0">
                  <c:v>99.08</c:v>
                </c:pt>
                <c:pt idx="1">
                  <c:v>96.848888888887558</c:v>
                </c:pt>
                <c:pt idx="2">
                  <c:v>95.464000000000027</c:v>
                </c:pt>
                <c:pt idx="3">
                  <c:v>93.918545454545466</c:v>
                </c:pt>
                <c:pt idx="4">
                  <c:v>94.925333333332958</c:v>
                </c:pt>
                <c:pt idx="5">
                  <c:v>93.546461538461458</c:v>
                </c:pt>
                <c:pt idx="6">
                  <c:v>93.864571428571438</c:v>
                </c:pt>
                <c:pt idx="7">
                  <c:v>93.206933333333339</c:v>
                </c:pt>
                <c:pt idx="8">
                  <c:v>91.481499999999997</c:v>
                </c:pt>
                <c:pt idx="9">
                  <c:v>89.923764705882363</c:v>
                </c:pt>
                <c:pt idx="10">
                  <c:v>89.705777777777158</c:v>
                </c:pt>
                <c:pt idx="11">
                  <c:v>87.826526315788158</c:v>
                </c:pt>
                <c:pt idx="12">
                  <c:v>85.735199999999992</c:v>
                </c:pt>
                <c:pt idx="13">
                  <c:v>84.938285714285712</c:v>
                </c:pt>
                <c:pt idx="14">
                  <c:v>83.472909090909084</c:v>
                </c:pt>
                <c:pt idx="15">
                  <c:v>82.789739130432807</c:v>
                </c:pt>
                <c:pt idx="16">
                  <c:v>81.199750000000009</c:v>
                </c:pt>
                <c:pt idx="17">
                  <c:v>81.023759999999982</c:v>
                </c:pt>
                <c:pt idx="18">
                  <c:v>82.760499999999993</c:v>
                </c:pt>
                <c:pt idx="19">
                  <c:v>82.760499999999993</c:v>
                </c:pt>
                <c:pt idx="20">
                  <c:v>82.760499999999993</c:v>
                </c:pt>
                <c:pt idx="21">
                  <c:v>82.760499999999993</c:v>
                </c:pt>
                <c:pt idx="22">
                  <c:v>82.760499999999993</c:v>
                </c:pt>
                <c:pt idx="23">
                  <c:v>82.760499999999993</c:v>
                </c:pt>
                <c:pt idx="24">
                  <c:v>82.760499999999993</c:v>
                </c:pt>
              </c:numCache>
            </c:numRef>
          </c:yVal>
        </c:ser>
        <c:axId val="187253120"/>
        <c:axId val="187255040"/>
      </c:scatterChart>
      <c:valAx>
        <c:axId val="187253120"/>
        <c:scaling>
          <c:orientation val="minMax"/>
          <c:max val="20"/>
          <c:min val="0"/>
        </c:scaling>
        <c:axPos val="b"/>
        <c:title>
          <c:tx>
            <c:rich>
              <a:bodyPr/>
              <a:lstStyle/>
              <a:p>
                <a:pPr>
                  <a:defRPr sz="1000" b="1" i="0" u="none" strike="noStrike" baseline="0">
                    <a:solidFill>
                      <a:srgbClr val="000000"/>
                    </a:solidFill>
                    <a:latin typeface="Arial"/>
                    <a:ea typeface="Arial"/>
                    <a:cs typeface="Arial"/>
                  </a:defRPr>
                </a:pPr>
                <a:r>
                  <a:rPr lang="en-AU" sz="1000"/>
                  <a:t>Test number</a:t>
                </a:r>
              </a:p>
            </c:rich>
          </c:tx>
          <c:layout>
            <c:manualLayout>
              <c:xMode val="edge"/>
              <c:yMode val="edge"/>
              <c:x val="0.32023757697355137"/>
              <c:y val="0.89822583025831304"/>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7255040"/>
        <c:crossesAt val="-50"/>
        <c:crossBetween val="midCat"/>
        <c:majorUnit val="2"/>
      </c:valAx>
      <c:valAx>
        <c:axId val="187255040"/>
        <c:scaling>
          <c:orientation val="minMax"/>
        </c:scaling>
        <c:axPos val="l"/>
        <c:title>
          <c:tx>
            <c:rich>
              <a:bodyPr/>
              <a:lstStyle/>
              <a:p>
                <a:pPr>
                  <a:defRPr sz="1000" b="1" i="0" u="none" strike="noStrike" baseline="0">
                    <a:solidFill>
                      <a:srgbClr val="000000"/>
                    </a:solidFill>
                    <a:latin typeface="Arial"/>
                    <a:ea typeface="Arial"/>
                    <a:cs typeface="Arial"/>
                  </a:defRPr>
                </a:pPr>
                <a:r>
                  <a:rPr lang="en-AU" sz="1000"/>
                  <a:t>EC50 </a:t>
                </a:r>
                <a:r>
                  <a:rPr lang="en-AU" sz="1000" b="1" i="0" u="none" strike="noStrike" baseline="0"/>
                  <a:t>(µg L</a:t>
                </a:r>
                <a:r>
                  <a:rPr lang="en-AU" sz="1000" b="1" i="0" u="none" strike="noStrike" baseline="30000"/>
                  <a:t>-1</a:t>
                </a:r>
                <a:r>
                  <a:rPr lang="en-AU" sz="1000" b="1" i="0" u="none" strike="noStrike" baseline="0"/>
                  <a:t> U) </a:t>
                </a:r>
                <a:endParaRPr lang="en-AU" sz="1000"/>
              </a:p>
            </c:rich>
          </c:tx>
          <c:layout>
            <c:manualLayout>
              <c:xMode val="edge"/>
              <c:yMode val="edge"/>
              <c:x val="1.9505749882226267E-2"/>
              <c:y val="0.2816304286119782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7253120"/>
        <c:crosses val="autoZero"/>
        <c:crossBetween val="midCat"/>
        <c:majorUnit val="40"/>
      </c:valAx>
      <c:spPr>
        <a:noFill/>
        <a:ln w="12700">
          <a:solidFill>
            <a:srgbClr val="000000"/>
          </a:solidFill>
          <a:prstDash val="solid"/>
        </a:ln>
      </c:spPr>
    </c:plotArea>
    <c:plotVisOnly val="1"/>
    <c:dispBlanksAs val="gap"/>
  </c:chart>
  <c:spPr>
    <a:solidFill>
      <a:srgbClr val="FFFFFF"/>
    </a:solidFill>
    <a:ln w="3175">
      <a:noFill/>
      <a:prstDash val="solid"/>
    </a:ln>
  </c:spPr>
  <c:txPr>
    <a:bodyPr/>
    <a:lstStyle/>
    <a:p>
      <a:pPr>
        <a:defRPr sz="1825"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6242015540136959"/>
          <c:y val="0.16852676024192628"/>
          <c:w val="0.73770354200774413"/>
          <c:h val="0.61688154797196659"/>
        </c:manualLayout>
      </c:layout>
      <c:scatterChart>
        <c:scatterStyle val="lineMarker"/>
        <c:ser>
          <c:idx val="0"/>
          <c:order val="0"/>
          <c:tx>
            <c:v>IC50 (95% CL)</c:v>
          </c:tx>
          <c:spPr>
            <a:ln w="28575">
              <a:noFill/>
            </a:ln>
          </c:spPr>
          <c:marker>
            <c:symbol val="diamond"/>
            <c:size val="5"/>
            <c:spPr>
              <a:solidFill>
                <a:srgbClr val="000000"/>
              </a:solidFill>
              <a:ln>
                <a:solidFill>
                  <a:srgbClr val="000000"/>
                </a:solidFill>
                <a:prstDash val="solid"/>
              </a:ln>
            </c:spPr>
          </c:marker>
          <c:errBars>
            <c:errDir val="y"/>
            <c:errBarType val="both"/>
            <c:errValType val="cust"/>
            <c:plus>
              <c:numRef>
                <c:f>'[1]Gudgeon U'!$H$10:$H$30</c:f>
                <c:numCache>
                  <c:formatCode>General</c:formatCode>
                  <c:ptCount val="21"/>
                  <c:pt idx="0">
                    <c:v>158</c:v>
                  </c:pt>
                  <c:pt idx="1">
                    <c:v>22</c:v>
                  </c:pt>
                  <c:pt idx="2">
                    <c:v>72</c:v>
                  </c:pt>
                  <c:pt idx="3">
                    <c:v>126</c:v>
                  </c:pt>
                  <c:pt idx="4">
                    <c:v>151</c:v>
                  </c:pt>
                  <c:pt idx="5">
                    <c:v>84</c:v>
                  </c:pt>
                  <c:pt idx="6">
                    <c:v>79</c:v>
                  </c:pt>
                  <c:pt idx="8">
                    <c:v>59</c:v>
                  </c:pt>
                  <c:pt idx="9">
                    <c:v>185</c:v>
                  </c:pt>
                  <c:pt idx="10">
                    <c:v>148</c:v>
                  </c:pt>
                  <c:pt idx="11">
                    <c:v>132</c:v>
                  </c:pt>
                  <c:pt idx="12">
                    <c:v>196</c:v>
                  </c:pt>
                  <c:pt idx="13">
                    <c:v>104</c:v>
                  </c:pt>
                  <c:pt idx="14">
                    <c:v>265</c:v>
                  </c:pt>
                  <c:pt idx="15">
                    <c:v>571</c:v>
                  </c:pt>
                  <c:pt idx="16">
                    <c:v>79</c:v>
                  </c:pt>
                  <c:pt idx="17">
                    <c:v>147</c:v>
                  </c:pt>
                  <c:pt idx="18">
                    <c:v>121</c:v>
                  </c:pt>
                  <c:pt idx="19">
                    <c:v>109</c:v>
                  </c:pt>
                  <c:pt idx="20">
                    <c:v>13</c:v>
                  </c:pt>
                </c:numCache>
              </c:numRef>
            </c:plus>
            <c:minus>
              <c:numRef>
                <c:f>'[1]Gudgeon U'!$F$10:$F$30</c:f>
                <c:numCache>
                  <c:formatCode>General</c:formatCode>
                  <c:ptCount val="21"/>
                  <c:pt idx="0">
                    <c:v>181</c:v>
                  </c:pt>
                  <c:pt idx="1">
                    <c:v>26</c:v>
                  </c:pt>
                  <c:pt idx="2">
                    <c:v>60</c:v>
                  </c:pt>
                  <c:pt idx="3">
                    <c:v>172</c:v>
                  </c:pt>
                  <c:pt idx="4">
                    <c:v>86</c:v>
                  </c:pt>
                  <c:pt idx="5">
                    <c:v>96</c:v>
                  </c:pt>
                  <c:pt idx="6">
                    <c:v>75</c:v>
                  </c:pt>
                  <c:pt idx="8">
                    <c:v>57</c:v>
                  </c:pt>
                  <c:pt idx="9">
                    <c:v>168</c:v>
                  </c:pt>
                  <c:pt idx="10">
                    <c:v>371</c:v>
                  </c:pt>
                  <c:pt idx="11">
                    <c:v>120</c:v>
                  </c:pt>
                  <c:pt idx="12">
                    <c:v>169</c:v>
                  </c:pt>
                  <c:pt idx="13">
                    <c:v>131</c:v>
                  </c:pt>
                  <c:pt idx="14">
                    <c:v>217</c:v>
                  </c:pt>
                  <c:pt idx="15">
                    <c:v>427</c:v>
                  </c:pt>
                  <c:pt idx="16">
                    <c:v>75</c:v>
                  </c:pt>
                  <c:pt idx="17">
                    <c:v>159</c:v>
                  </c:pt>
                  <c:pt idx="18">
                    <c:v>144</c:v>
                  </c:pt>
                  <c:pt idx="19">
                    <c:v>121</c:v>
                  </c:pt>
                  <c:pt idx="20">
                    <c:v>52</c:v>
                  </c:pt>
                </c:numCache>
              </c:numRef>
            </c:minus>
            <c:spPr>
              <a:ln w="12700">
                <a:solidFill>
                  <a:srgbClr val="000000"/>
                </a:solidFill>
                <a:prstDash val="solid"/>
              </a:ln>
            </c:spPr>
          </c:errBars>
          <c:xVal>
            <c:strRef>
              <c:f>'[1]Gudgeon U'!$C$11:$C$30</c:f>
              <c:strCache>
                <c:ptCount val="20"/>
                <c:pt idx="0">
                  <c:v>768E</c:v>
                </c:pt>
                <c:pt idx="1">
                  <c:v>773E*</c:v>
                </c:pt>
                <c:pt idx="2">
                  <c:v>782E*</c:v>
                </c:pt>
                <c:pt idx="3">
                  <c:v>792E</c:v>
                </c:pt>
                <c:pt idx="4">
                  <c:v>798E</c:v>
                </c:pt>
                <c:pt idx="5">
                  <c:v>841E</c:v>
                </c:pt>
                <c:pt idx="6">
                  <c:v>859E</c:v>
                </c:pt>
                <c:pt idx="7">
                  <c:v>869E</c:v>
                </c:pt>
                <c:pt idx="8">
                  <c:v>872E</c:v>
                </c:pt>
                <c:pt idx="9">
                  <c:v>875E</c:v>
                </c:pt>
                <c:pt idx="10">
                  <c:v>880E</c:v>
                </c:pt>
                <c:pt idx="11">
                  <c:v>896E</c:v>
                </c:pt>
                <c:pt idx="12">
                  <c:v>928E</c:v>
                </c:pt>
                <c:pt idx="13">
                  <c:v>950E</c:v>
                </c:pt>
                <c:pt idx="14">
                  <c:v>984E</c:v>
                </c:pt>
                <c:pt idx="15">
                  <c:v>1006E</c:v>
                </c:pt>
                <c:pt idx="16">
                  <c:v>1060E</c:v>
                </c:pt>
                <c:pt idx="17">
                  <c:v>1098E</c:v>
                </c:pt>
                <c:pt idx="18">
                  <c:v>1123E</c:v>
                </c:pt>
                <c:pt idx="19">
                  <c:v>1157E</c:v>
                </c:pt>
              </c:strCache>
            </c:strRef>
          </c:xVal>
          <c:yVal>
            <c:numRef>
              <c:f>'[1]Gudgeon U'!$D$11:$D$30</c:f>
              <c:numCache>
                <c:formatCode>General</c:formatCode>
                <c:ptCount val="20"/>
                <c:pt idx="0">
                  <c:v>1175</c:v>
                </c:pt>
                <c:pt idx="1">
                  <c:v>1167</c:v>
                </c:pt>
                <c:pt idx="2">
                  <c:v>1790</c:v>
                </c:pt>
                <c:pt idx="3">
                  <c:v>1738</c:v>
                </c:pt>
                <c:pt idx="4">
                  <c:v>1690</c:v>
                </c:pt>
                <c:pt idx="5">
                  <c:v>1570</c:v>
                </c:pt>
                <c:pt idx="6">
                  <c:v>1383</c:v>
                </c:pt>
                <c:pt idx="7">
                  <c:v>1166</c:v>
                </c:pt>
                <c:pt idx="8">
                  <c:v>1777</c:v>
                </c:pt>
                <c:pt idx="9">
                  <c:v>1428</c:v>
                </c:pt>
                <c:pt idx="10">
                  <c:v>1458</c:v>
                </c:pt>
                <c:pt idx="11">
                  <c:v>1226</c:v>
                </c:pt>
                <c:pt idx="12">
                  <c:v>1262</c:v>
                </c:pt>
                <c:pt idx="13">
                  <c:v>1191</c:v>
                </c:pt>
                <c:pt idx="14">
                  <c:v>1685</c:v>
                </c:pt>
                <c:pt idx="15">
                  <c:v>1231</c:v>
                </c:pt>
                <c:pt idx="16">
                  <c:v>1202</c:v>
                </c:pt>
                <c:pt idx="17">
                  <c:v>1252</c:v>
                </c:pt>
                <c:pt idx="18">
                  <c:v>1612</c:v>
                </c:pt>
                <c:pt idx="19">
                  <c:v>1647</c:v>
                </c:pt>
              </c:numCache>
            </c:numRef>
          </c:yVal>
        </c:ser>
        <c:ser>
          <c:idx val="1"/>
          <c:order val="1"/>
          <c:tx>
            <c:v>Upper 99% confidence limit</c:v>
          </c:tx>
          <c:spPr>
            <a:ln w="25400">
              <a:solidFill>
                <a:srgbClr val="000000"/>
              </a:solidFill>
              <a:prstDash val="lgDash"/>
            </a:ln>
          </c:spPr>
          <c:marker>
            <c:symbol val="none"/>
          </c:marker>
          <c:xVal>
            <c:strRef>
              <c:f>'[1]Gudgeon U'!$C$11:$C$30</c:f>
              <c:strCache>
                <c:ptCount val="20"/>
                <c:pt idx="0">
                  <c:v>768E</c:v>
                </c:pt>
                <c:pt idx="1">
                  <c:v>773E*</c:v>
                </c:pt>
                <c:pt idx="2">
                  <c:v>782E*</c:v>
                </c:pt>
                <c:pt idx="3">
                  <c:v>792E</c:v>
                </c:pt>
                <c:pt idx="4">
                  <c:v>798E</c:v>
                </c:pt>
                <c:pt idx="5">
                  <c:v>841E</c:v>
                </c:pt>
                <c:pt idx="6">
                  <c:v>859E</c:v>
                </c:pt>
                <c:pt idx="7">
                  <c:v>869E</c:v>
                </c:pt>
                <c:pt idx="8">
                  <c:v>872E</c:v>
                </c:pt>
                <c:pt idx="9">
                  <c:v>875E</c:v>
                </c:pt>
                <c:pt idx="10">
                  <c:v>880E</c:v>
                </c:pt>
                <c:pt idx="11">
                  <c:v>896E</c:v>
                </c:pt>
                <c:pt idx="12">
                  <c:v>928E</c:v>
                </c:pt>
                <c:pt idx="13">
                  <c:v>950E</c:v>
                </c:pt>
                <c:pt idx="14">
                  <c:v>984E</c:v>
                </c:pt>
                <c:pt idx="15">
                  <c:v>1006E</c:v>
                </c:pt>
                <c:pt idx="16">
                  <c:v>1060E</c:v>
                </c:pt>
                <c:pt idx="17">
                  <c:v>1098E</c:v>
                </c:pt>
                <c:pt idx="18">
                  <c:v>1123E</c:v>
                </c:pt>
                <c:pt idx="19">
                  <c:v>1157E</c:v>
                </c:pt>
              </c:strCache>
            </c:strRef>
          </c:xVal>
          <c:yVal>
            <c:numRef>
              <c:f>'[1]Gudgeon U'!$K$11:$K$31</c:f>
              <c:numCache>
                <c:formatCode>General</c:formatCode>
                <c:ptCount val="21"/>
                <c:pt idx="0">
                  <c:v>2169.4864006026787</c:v>
                </c:pt>
                <c:pt idx="1">
                  <c:v>2169.4864006026787</c:v>
                </c:pt>
                <c:pt idx="2">
                  <c:v>2169.4864006026787</c:v>
                </c:pt>
                <c:pt idx="3">
                  <c:v>2169.4864006026787</c:v>
                </c:pt>
                <c:pt idx="4">
                  <c:v>2169.4864006026787</c:v>
                </c:pt>
                <c:pt idx="5">
                  <c:v>2169.4864006026787</c:v>
                </c:pt>
                <c:pt idx="6">
                  <c:v>2169.4864006026787</c:v>
                </c:pt>
                <c:pt idx="7">
                  <c:v>2169.4864006026787</c:v>
                </c:pt>
                <c:pt idx="8">
                  <c:v>2169.4864006026787</c:v>
                </c:pt>
                <c:pt idx="9">
                  <c:v>2169.4864006026787</c:v>
                </c:pt>
                <c:pt idx="10">
                  <c:v>2169.4864006026787</c:v>
                </c:pt>
                <c:pt idx="11">
                  <c:v>2169.4864006026787</c:v>
                </c:pt>
                <c:pt idx="12">
                  <c:v>2169.4864006026787</c:v>
                </c:pt>
                <c:pt idx="13">
                  <c:v>2169.4864006026787</c:v>
                </c:pt>
                <c:pt idx="14">
                  <c:v>2169.4864006026787</c:v>
                </c:pt>
                <c:pt idx="15">
                  <c:v>2169.4864006026787</c:v>
                </c:pt>
                <c:pt idx="16">
                  <c:v>2169.4864006026787</c:v>
                </c:pt>
                <c:pt idx="17">
                  <c:v>2169.4864006026787</c:v>
                </c:pt>
                <c:pt idx="18">
                  <c:v>2169.4864006026787</c:v>
                </c:pt>
                <c:pt idx="19">
                  <c:v>2169.4864006026787</c:v>
                </c:pt>
                <c:pt idx="20">
                  <c:v>2169.4864006026787</c:v>
                </c:pt>
              </c:numCache>
            </c:numRef>
          </c:yVal>
        </c:ser>
        <c:ser>
          <c:idx val="2"/>
          <c:order val="2"/>
          <c:tx>
            <c:v>Lower 99% confidence limit</c:v>
          </c:tx>
          <c:spPr>
            <a:ln w="25400">
              <a:solidFill>
                <a:srgbClr val="000000"/>
              </a:solidFill>
              <a:prstDash val="lgDash"/>
            </a:ln>
          </c:spPr>
          <c:marker>
            <c:symbol val="none"/>
          </c:marker>
          <c:xVal>
            <c:strRef>
              <c:f>'[1]Gudgeon U'!$C$11:$C$30</c:f>
              <c:strCache>
                <c:ptCount val="20"/>
                <c:pt idx="0">
                  <c:v>768E</c:v>
                </c:pt>
                <c:pt idx="1">
                  <c:v>773E*</c:v>
                </c:pt>
                <c:pt idx="2">
                  <c:v>782E*</c:v>
                </c:pt>
                <c:pt idx="3">
                  <c:v>792E</c:v>
                </c:pt>
                <c:pt idx="4">
                  <c:v>798E</c:v>
                </c:pt>
                <c:pt idx="5">
                  <c:v>841E</c:v>
                </c:pt>
                <c:pt idx="6">
                  <c:v>859E</c:v>
                </c:pt>
                <c:pt idx="7">
                  <c:v>869E</c:v>
                </c:pt>
                <c:pt idx="8">
                  <c:v>872E</c:v>
                </c:pt>
                <c:pt idx="9">
                  <c:v>875E</c:v>
                </c:pt>
                <c:pt idx="10">
                  <c:v>880E</c:v>
                </c:pt>
                <c:pt idx="11">
                  <c:v>896E</c:v>
                </c:pt>
                <c:pt idx="12">
                  <c:v>928E</c:v>
                </c:pt>
                <c:pt idx="13">
                  <c:v>950E</c:v>
                </c:pt>
                <c:pt idx="14">
                  <c:v>984E</c:v>
                </c:pt>
                <c:pt idx="15">
                  <c:v>1006E</c:v>
                </c:pt>
                <c:pt idx="16">
                  <c:v>1060E</c:v>
                </c:pt>
                <c:pt idx="17">
                  <c:v>1098E</c:v>
                </c:pt>
                <c:pt idx="18">
                  <c:v>1123E</c:v>
                </c:pt>
                <c:pt idx="19">
                  <c:v>1157E</c:v>
                </c:pt>
              </c:strCache>
            </c:strRef>
          </c:xVal>
          <c:yVal>
            <c:numRef>
              <c:f>'[1]Gudgeon U'!$O$10:$O$30</c:f>
              <c:numCache>
                <c:formatCode>General</c:formatCode>
                <c:ptCount val="21"/>
                <c:pt idx="0">
                  <c:v>729.08502796874905</c:v>
                </c:pt>
                <c:pt idx="1">
                  <c:v>729.08502796874905</c:v>
                </c:pt>
                <c:pt idx="2">
                  <c:v>729.08502796874905</c:v>
                </c:pt>
                <c:pt idx="3">
                  <c:v>729.08502796874905</c:v>
                </c:pt>
                <c:pt idx="4">
                  <c:v>729.08502796874905</c:v>
                </c:pt>
                <c:pt idx="5">
                  <c:v>729.08502796874905</c:v>
                </c:pt>
                <c:pt idx="6">
                  <c:v>729.08502796874905</c:v>
                </c:pt>
                <c:pt idx="7">
                  <c:v>729.08502796874905</c:v>
                </c:pt>
                <c:pt idx="8">
                  <c:v>729.08502796874905</c:v>
                </c:pt>
                <c:pt idx="9">
                  <c:v>729.08502796874905</c:v>
                </c:pt>
                <c:pt idx="10">
                  <c:v>729.08502796874905</c:v>
                </c:pt>
                <c:pt idx="11">
                  <c:v>729.08502796874905</c:v>
                </c:pt>
                <c:pt idx="12">
                  <c:v>729.08502796874905</c:v>
                </c:pt>
                <c:pt idx="13">
                  <c:v>729.08502796874905</c:v>
                </c:pt>
                <c:pt idx="14">
                  <c:v>729.08502796874905</c:v>
                </c:pt>
                <c:pt idx="15">
                  <c:v>729.08502796874905</c:v>
                </c:pt>
                <c:pt idx="16">
                  <c:v>729.08502796874905</c:v>
                </c:pt>
                <c:pt idx="17">
                  <c:v>729.08502796874905</c:v>
                </c:pt>
                <c:pt idx="18">
                  <c:v>729.08502796874905</c:v>
                </c:pt>
                <c:pt idx="19">
                  <c:v>729.08502796874905</c:v>
                </c:pt>
                <c:pt idx="20">
                  <c:v>729.08502796874905</c:v>
                </c:pt>
              </c:numCache>
            </c:numRef>
          </c:yVal>
        </c:ser>
        <c:ser>
          <c:idx val="3"/>
          <c:order val="3"/>
          <c:tx>
            <c:v>Upper warning limit</c:v>
          </c:tx>
          <c:spPr>
            <a:ln w="25400">
              <a:solidFill>
                <a:srgbClr val="000000"/>
              </a:solidFill>
              <a:prstDash val="sysDash"/>
            </a:ln>
          </c:spPr>
          <c:marker>
            <c:symbol val="none"/>
          </c:marker>
          <c:xVal>
            <c:strRef>
              <c:f>'[1]Gudgeon U'!$C$11:$C$30</c:f>
              <c:strCache>
                <c:ptCount val="20"/>
                <c:pt idx="0">
                  <c:v>768E</c:v>
                </c:pt>
                <c:pt idx="1">
                  <c:v>773E*</c:v>
                </c:pt>
                <c:pt idx="2">
                  <c:v>782E*</c:v>
                </c:pt>
                <c:pt idx="3">
                  <c:v>792E</c:v>
                </c:pt>
                <c:pt idx="4">
                  <c:v>798E</c:v>
                </c:pt>
                <c:pt idx="5">
                  <c:v>841E</c:v>
                </c:pt>
                <c:pt idx="6">
                  <c:v>859E</c:v>
                </c:pt>
                <c:pt idx="7">
                  <c:v>869E</c:v>
                </c:pt>
                <c:pt idx="8">
                  <c:v>872E</c:v>
                </c:pt>
                <c:pt idx="9">
                  <c:v>875E</c:v>
                </c:pt>
                <c:pt idx="10">
                  <c:v>880E</c:v>
                </c:pt>
                <c:pt idx="11">
                  <c:v>896E</c:v>
                </c:pt>
                <c:pt idx="12">
                  <c:v>928E</c:v>
                </c:pt>
                <c:pt idx="13">
                  <c:v>950E</c:v>
                </c:pt>
                <c:pt idx="14">
                  <c:v>984E</c:v>
                </c:pt>
                <c:pt idx="15">
                  <c:v>1006E</c:v>
                </c:pt>
                <c:pt idx="16">
                  <c:v>1060E</c:v>
                </c:pt>
                <c:pt idx="17">
                  <c:v>1098E</c:v>
                </c:pt>
                <c:pt idx="18">
                  <c:v>1123E</c:v>
                </c:pt>
                <c:pt idx="19">
                  <c:v>1157E</c:v>
                </c:pt>
              </c:strCache>
            </c:strRef>
          </c:xVal>
          <c:yVal>
            <c:numRef>
              <c:f>'[1]Gudgeon U'!$L$11:$L$32</c:f>
              <c:numCache>
                <c:formatCode>General</c:formatCode>
                <c:ptCount val="22"/>
                <c:pt idx="0">
                  <c:v>1929.4195051637319</c:v>
                </c:pt>
                <c:pt idx="1">
                  <c:v>1929.4195051637319</c:v>
                </c:pt>
                <c:pt idx="2">
                  <c:v>1929.4195051637319</c:v>
                </c:pt>
                <c:pt idx="3">
                  <c:v>1929.4195051637319</c:v>
                </c:pt>
                <c:pt idx="4">
                  <c:v>1929.4195051637319</c:v>
                </c:pt>
                <c:pt idx="5">
                  <c:v>1929.4195051637319</c:v>
                </c:pt>
                <c:pt idx="6">
                  <c:v>1929.4195051637319</c:v>
                </c:pt>
                <c:pt idx="7">
                  <c:v>1929.4195051637319</c:v>
                </c:pt>
                <c:pt idx="8">
                  <c:v>1929.4195051637319</c:v>
                </c:pt>
                <c:pt idx="9">
                  <c:v>1929.4195051637319</c:v>
                </c:pt>
                <c:pt idx="10">
                  <c:v>1929.4195051637319</c:v>
                </c:pt>
                <c:pt idx="11">
                  <c:v>1929.4195051637319</c:v>
                </c:pt>
                <c:pt idx="12">
                  <c:v>1929.4195051637319</c:v>
                </c:pt>
                <c:pt idx="13">
                  <c:v>1929.4195051637319</c:v>
                </c:pt>
                <c:pt idx="14">
                  <c:v>1929.4195051637319</c:v>
                </c:pt>
                <c:pt idx="15">
                  <c:v>1929.4195051637319</c:v>
                </c:pt>
                <c:pt idx="16">
                  <c:v>1929.4195051637319</c:v>
                </c:pt>
                <c:pt idx="17">
                  <c:v>1929.4195051637319</c:v>
                </c:pt>
                <c:pt idx="18">
                  <c:v>1929.4195051637319</c:v>
                </c:pt>
                <c:pt idx="19">
                  <c:v>1929.4195051637319</c:v>
                </c:pt>
                <c:pt idx="20">
                  <c:v>1929.4195051637319</c:v>
                </c:pt>
                <c:pt idx="21">
                  <c:v>1929.4195051637319</c:v>
                </c:pt>
              </c:numCache>
            </c:numRef>
          </c:yVal>
        </c:ser>
        <c:ser>
          <c:idx val="4"/>
          <c:order val="4"/>
          <c:tx>
            <c:v>Lower warning limit</c:v>
          </c:tx>
          <c:spPr>
            <a:ln w="25400">
              <a:solidFill>
                <a:srgbClr val="000000"/>
              </a:solidFill>
              <a:prstDash val="sysDash"/>
            </a:ln>
          </c:spPr>
          <c:marker>
            <c:symbol val="none"/>
          </c:marker>
          <c:xVal>
            <c:strRef>
              <c:f>'[1]Gudgeon U'!$C$11:$C$30</c:f>
              <c:strCache>
                <c:ptCount val="20"/>
                <c:pt idx="0">
                  <c:v>768E</c:v>
                </c:pt>
                <c:pt idx="1">
                  <c:v>773E*</c:v>
                </c:pt>
                <c:pt idx="2">
                  <c:v>782E*</c:v>
                </c:pt>
                <c:pt idx="3">
                  <c:v>792E</c:v>
                </c:pt>
                <c:pt idx="4">
                  <c:v>798E</c:v>
                </c:pt>
                <c:pt idx="5">
                  <c:v>841E</c:v>
                </c:pt>
                <c:pt idx="6">
                  <c:v>859E</c:v>
                </c:pt>
                <c:pt idx="7">
                  <c:v>869E</c:v>
                </c:pt>
                <c:pt idx="8">
                  <c:v>872E</c:v>
                </c:pt>
                <c:pt idx="9">
                  <c:v>875E</c:v>
                </c:pt>
                <c:pt idx="10">
                  <c:v>880E</c:v>
                </c:pt>
                <c:pt idx="11">
                  <c:v>896E</c:v>
                </c:pt>
                <c:pt idx="12">
                  <c:v>928E</c:v>
                </c:pt>
                <c:pt idx="13">
                  <c:v>950E</c:v>
                </c:pt>
                <c:pt idx="14">
                  <c:v>984E</c:v>
                </c:pt>
                <c:pt idx="15">
                  <c:v>1006E</c:v>
                </c:pt>
                <c:pt idx="16">
                  <c:v>1060E</c:v>
                </c:pt>
                <c:pt idx="17">
                  <c:v>1098E</c:v>
                </c:pt>
                <c:pt idx="18">
                  <c:v>1123E</c:v>
                </c:pt>
                <c:pt idx="19">
                  <c:v>1157E</c:v>
                </c:pt>
              </c:strCache>
            </c:strRef>
          </c:xVal>
          <c:yVal>
            <c:numRef>
              <c:f>'[1]Gudgeon U'!$N$11:$N$31</c:f>
              <c:numCache>
                <c:formatCode>General</c:formatCode>
                <c:ptCount val="21"/>
                <c:pt idx="0">
                  <c:v>969.1519234077374</c:v>
                </c:pt>
                <c:pt idx="1">
                  <c:v>969.1519234077374</c:v>
                </c:pt>
                <c:pt idx="2">
                  <c:v>969.1519234077374</c:v>
                </c:pt>
                <c:pt idx="3">
                  <c:v>969.1519234077374</c:v>
                </c:pt>
                <c:pt idx="4">
                  <c:v>969.1519234077374</c:v>
                </c:pt>
                <c:pt idx="5">
                  <c:v>969.1519234077374</c:v>
                </c:pt>
                <c:pt idx="6">
                  <c:v>969.1519234077374</c:v>
                </c:pt>
                <c:pt idx="7">
                  <c:v>969.1519234077374</c:v>
                </c:pt>
                <c:pt idx="8">
                  <c:v>969.1519234077374</c:v>
                </c:pt>
                <c:pt idx="9">
                  <c:v>969.1519234077374</c:v>
                </c:pt>
                <c:pt idx="10">
                  <c:v>969.1519234077374</c:v>
                </c:pt>
                <c:pt idx="11">
                  <c:v>969.1519234077374</c:v>
                </c:pt>
                <c:pt idx="12">
                  <c:v>969.1519234077374</c:v>
                </c:pt>
                <c:pt idx="13">
                  <c:v>969.1519234077374</c:v>
                </c:pt>
                <c:pt idx="14">
                  <c:v>969.1519234077374</c:v>
                </c:pt>
                <c:pt idx="15">
                  <c:v>969.1519234077374</c:v>
                </c:pt>
                <c:pt idx="16">
                  <c:v>969.1519234077374</c:v>
                </c:pt>
                <c:pt idx="17">
                  <c:v>969.1519234077374</c:v>
                </c:pt>
                <c:pt idx="18">
                  <c:v>969.1519234077374</c:v>
                </c:pt>
                <c:pt idx="19">
                  <c:v>969.1519234077374</c:v>
                </c:pt>
                <c:pt idx="20">
                  <c:v>969.1519234077374</c:v>
                </c:pt>
              </c:numCache>
            </c:numRef>
          </c:yVal>
        </c:ser>
        <c:ser>
          <c:idx val="6"/>
          <c:order val="5"/>
          <c:tx>
            <c:v>Running mean IC50</c:v>
          </c:tx>
          <c:spPr>
            <a:ln w="12700">
              <a:solidFill>
                <a:srgbClr val="000000"/>
              </a:solidFill>
              <a:prstDash val="solid"/>
            </a:ln>
          </c:spPr>
          <c:marker>
            <c:symbol val="none"/>
          </c:marker>
          <c:xVal>
            <c:strRef>
              <c:f>'[1]Gudgeon U'!$C$11:$C$30</c:f>
              <c:strCache>
                <c:ptCount val="20"/>
                <c:pt idx="0">
                  <c:v>768E</c:v>
                </c:pt>
                <c:pt idx="1">
                  <c:v>773E*</c:v>
                </c:pt>
                <c:pt idx="2">
                  <c:v>782E*</c:v>
                </c:pt>
                <c:pt idx="3">
                  <c:v>792E</c:v>
                </c:pt>
                <c:pt idx="4">
                  <c:v>798E</c:v>
                </c:pt>
                <c:pt idx="5">
                  <c:v>841E</c:v>
                </c:pt>
                <c:pt idx="6">
                  <c:v>859E</c:v>
                </c:pt>
                <c:pt idx="7">
                  <c:v>869E</c:v>
                </c:pt>
                <c:pt idx="8">
                  <c:v>872E</c:v>
                </c:pt>
                <c:pt idx="9">
                  <c:v>875E</c:v>
                </c:pt>
                <c:pt idx="10">
                  <c:v>880E</c:v>
                </c:pt>
                <c:pt idx="11">
                  <c:v>896E</c:v>
                </c:pt>
                <c:pt idx="12">
                  <c:v>928E</c:v>
                </c:pt>
                <c:pt idx="13">
                  <c:v>950E</c:v>
                </c:pt>
                <c:pt idx="14">
                  <c:v>984E</c:v>
                </c:pt>
                <c:pt idx="15">
                  <c:v>1006E</c:v>
                </c:pt>
                <c:pt idx="16">
                  <c:v>1060E</c:v>
                </c:pt>
                <c:pt idx="17">
                  <c:v>1098E</c:v>
                </c:pt>
                <c:pt idx="18">
                  <c:v>1123E</c:v>
                </c:pt>
                <c:pt idx="19">
                  <c:v>1157E</c:v>
                </c:pt>
              </c:strCache>
            </c:strRef>
          </c:xVal>
          <c:yVal>
            <c:numRef>
              <c:f>'[1]Gudgeon U'!$P$11:$P$30</c:f>
              <c:numCache>
                <c:formatCode>General</c:formatCode>
                <c:ptCount val="20"/>
                <c:pt idx="0">
                  <c:v>1718.875</c:v>
                </c:pt>
                <c:pt idx="1">
                  <c:v>1657.5555555555561</c:v>
                </c:pt>
                <c:pt idx="2">
                  <c:v>1670.8</c:v>
                </c:pt>
                <c:pt idx="3">
                  <c:v>1676.909090909091</c:v>
                </c:pt>
                <c:pt idx="4">
                  <c:v>1678</c:v>
                </c:pt>
                <c:pt idx="5">
                  <c:v>1669.6923076922999</c:v>
                </c:pt>
                <c:pt idx="6">
                  <c:v>1649.214285714286</c:v>
                </c:pt>
                <c:pt idx="7">
                  <c:v>1617</c:v>
                </c:pt>
                <c:pt idx="8">
                  <c:v>1627</c:v>
                </c:pt>
                <c:pt idx="9">
                  <c:v>1615.2941176470588</c:v>
                </c:pt>
                <c:pt idx="10">
                  <c:v>1606.5555555555561</c:v>
                </c:pt>
                <c:pt idx="11">
                  <c:v>1586.5263157894751</c:v>
                </c:pt>
                <c:pt idx="12">
                  <c:v>1570.3</c:v>
                </c:pt>
                <c:pt idx="13">
                  <c:v>1552.2380952380952</c:v>
                </c:pt>
                <c:pt idx="14">
                  <c:v>1558.2727272727273</c:v>
                </c:pt>
                <c:pt idx="15">
                  <c:v>1544.0434782608481</c:v>
                </c:pt>
                <c:pt idx="16">
                  <c:v>1529.7916666666667</c:v>
                </c:pt>
                <c:pt idx="17">
                  <c:v>1518.6799999999998</c:v>
                </c:pt>
                <c:pt idx="18">
                  <c:v>1522.2692307692307</c:v>
                </c:pt>
                <c:pt idx="19">
                  <c:v>1526.8888888888878</c:v>
                </c:pt>
              </c:numCache>
            </c:numRef>
          </c:yVal>
        </c:ser>
        <c:axId val="189469056"/>
        <c:axId val="189470976"/>
      </c:scatterChart>
      <c:valAx>
        <c:axId val="189469056"/>
        <c:scaling>
          <c:orientation val="minMax"/>
          <c:max val="20"/>
          <c:min val="0"/>
        </c:scaling>
        <c:axPos val="b"/>
        <c:title>
          <c:tx>
            <c:rich>
              <a:bodyPr/>
              <a:lstStyle/>
              <a:p>
                <a:pPr>
                  <a:defRPr sz="1000" b="1" i="0" u="none" strike="noStrike" baseline="0">
                    <a:solidFill>
                      <a:srgbClr val="000000"/>
                    </a:solidFill>
                    <a:latin typeface="Arial"/>
                    <a:ea typeface="Arial"/>
                    <a:cs typeface="Arial"/>
                  </a:defRPr>
                </a:pPr>
                <a:r>
                  <a:rPr lang="en-AU" sz="1000"/>
                  <a:t>Test number</a:t>
                </a:r>
              </a:p>
            </c:rich>
          </c:tx>
          <c:layout>
            <c:manualLayout>
              <c:xMode val="edge"/>
              <c:yMode val="edge"/>
              <c:x val="0.43631195316332338"/>
              <c:y val="0.88862943823548324"/>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9470976"/>
        <c:crosses val="autoZero"/>
        <c:crossBetween val="midCat"/>
        <c:majorUnit val="2"/>
      </c:valAx>
      <c:valAx>
        <c:axId val="189470976"/>
        <c:scaling>
          <c:orientation val="minMax"/>
        </c:scaling>
        <c:axPos val="l"/>
        <c:title>
          <c:tx>
            <c:rich>
              <a:bodyPr/>
              <a:lstStyle/>
              <a:p>
                <a:pPr>
                  <a:defRPr sz="1000" b="1" i="0" u="none" strike="noStrike" baseline="0">
                    <a:solidFill>
                      <a:srgbClr val="000000"/>
                    </a:solidFill>
                    <a:latin typeface="Arial"/>
                    <a:ea typeface="Arial"/>
                    <a:cs typeface="Arial"/>
                  </a:defRPr>
                </a:pPr>
                <a:r>
                  <a:rPr lang="en-AU" sz="1000" b="1" i="0" baseline="0"/>
                  <a:t>EC50 (µg L</a:t>
                </a:r>
                <a:r>
                  <a:rPr lang="en-AU" sz="1000" b="1" i="0" baseline="30000"/>
                  <a:t>-1</a:t>
                </a:r>
                <a:r>
                  <a:rPr lang="en-AU" sz="1000" b="1" i="0" baseline="0"/>
                  <a:t> U)</a:t>
                </a:r>
              </a:p>
            </c:rich>
          </c:tx>
          <c:layout>
            <c:manualLayout>
              <c:xMode val="edge"/>
              <c:yMode val="edge"/>
              <c:x val="2.5491102603000925E-2"/>
              <c:y val="0.3448607264012947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9469056"/>
        <c:crosses val="autoZero"/>
        <c:crossBetween val="midCat"/>
      </c:valAx>
      <c:spPr>
        <a:noFill/>
        <a:ln w="12700">
          <a:solidFill>
            <a:srgbClr val="000000"/>
          </a:solidFill>
          <a:prstDash val="solid"/>
        </a:ln>
      </c:spPr>
    </c:plotArea>
    <c:plotVisOnly val="1"/>
    <c:dispBlanksAs val="gap"/>
  </c:chart>
  <c:spPr>
    <a:solidFill>
      <a:srgbClr val="FFFFFF"/>
    </a:solidFill>
    <a:ln w="3175">
      <a:noFill/>
      <a:prstDash val="solid"/>
    </a:ln>
  </c:spPr>
  <c:txPr>
    <a:bodyPr/>
    <a:lstStyle/>
    <a:p>
      <a:pPr>
        <a:defRPr sz="19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4931567980231991"/>
          <c:y val="0.14704727856853891"/>
          <c:w val="0.79543934057423149"/>
          <c:h val="0.61500319922696156"/>
        </c:manualLayout>
      </c:layout>
      <c:scatterChart>
        <c:scatterStyle val="lineMarker"/>
        <c:ser>
          <c:idx val="0"/>
          <c:order val="0"/>
          <c:tx>
            <c:v>IC50 (95% CL)</c:v>
          </c:tx>
          <c:spPr>
            <a:ln w="28575">
              <a:noFill/>
            </a:ln>
          </c:spPr>
          <c:marker>
            <c:symbol val="diamond"/>
            <c:size val="5"/>
            <c:spPr>
              <a:solidFill>
                <a:srgbClr val="000000"/>
              </a:solidFill>
              <a:ln>
                <a:solidFill>
                  <a:srgbClr val="000000"/>
                </a:solidFill>
                <a:prstDash val="solid"/>
              </a:ln>
            </c:spPr>
          </c:marker>
          <c:errBars>
            <c:errDir val="y"/>
            <c:errBarType val="both"/>
            <c:errValType val="cust"/>
            <c:plus>
              <c:numRef>
                <c:f>'[1]Lemna 1%CAAC'!$H$4:$H$10</c:f>
                <c:numCache>
                  <c:formatCode>General</c:formatCode>
                  <c:ptCount val="7"/>
                  <c:pt idx="0">
                    <c:v>2000</c:v>
                  </c:pt>
                  <c:pt idx="1">
                    <c:v>650</c:v>
                  </c:pt>
                  <c:pt idx="2">
                    <c:v>1050</c:v>
                  </c:pt>
                  <c:pt idx="3">
                    <c:v>540</c:v>
                  </c:pt>
                  <c:pt idx="4">
                    <c:v>2950</c:v>
                  </c:pt>
                  <c:pt idx="5">
                    <c:v>460</c:v>
                  </c:pt>
                  <c:pt idx="6">
                    <c:v>1350</c:v>
                  </c:pt>
                </c:numCache>
              </c:numRef>
            </c:plus>
            <c:minus>
              <c:numRef>
                <c:f>'[1]Lemna 1%CAAC'!$F$4:$F$21</c:f>
                <c:numCache>
                  <c:formatCode>General</c:formatCode>
                  <c:ptCount val="18"/>
                  <c:pt idx="0">
                    <c:v>2200</c:v>
                  </c:pt>
                  <c:pt idx="1">
                    <c:v>1350</c:v>
                  </c:pt>
                  <c:pt idx="2">
                    <c:v>480</c:v>
                  </c:pt>
                  <c:pt idx="3">
                    <c:v>470</c:v>
                  </c:pt>
                  <c:pt idx="4">
                    <c:v>1540</c:v>
                  </c:pt>
                  <c:pt idx="5">
                    <c:v>570</c:v>
                  </c:pt>
                  <c:pt idx="6">
                    <c:v>1270</c:v>
                  </c:pt>
                  <c:pt idx="7">
                    <c:v>0</c:v>
                  </c:pt>
                  <c:pt idx="8">
                    <c:v>0</c:v>
                  </c:pt>
                  <c:pt idx="9">
                    <c:v>0</c:v>
                  </c:pt>
                  <c:pt idx="10">
                    <c:v>0</c:v>
                  </c:pt>
                  <c:pt idx="11">
                    <c:v>0</c:v>
                  </c:pt>
                </c:numCache>
              </c:numRef>
            </c:minus>
            <c:spPr>
              <a:ln w="12700">
                <a:solidFill>
                  <a:srgbClr val="000000"/>
                </a:solidFill>
                <a:prstDash val="solid"/>
              </a:ln>
            </c:spPr>
          </c:errBars>
          <c:xVal>
            <c:numRef>
              <c:f>'[1]Lemna 1%CAAC'!$A$4:$A$27</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'[1]Lemna 1%CAAC'!$D$4:$D$25</c:f>
              <c:numCache>
                <c:formatCode>General</c:formatCode>
                <c:ptCount val="22"/>
                <c:pt idx="0">
                  <c:v>10000</c:v>
                </c:pt>
                <c:pt idx="1">
                  <c:v>11650</c:v>
                </c:pt>
                <c:pt idx="2">
                  <c:v>9480</c:v>
                </c:pt>
                <c:pt idx="3">
                  <c:v>10370</c:v>
                </c:pt>
                <c:pt idx="4">
                  <c:v>13030</c:v>
                </c:pt>
                <c:pt idx="5">
                  <c:v>10870</c:v>
                </c:pt>
                <c:pt idx="6">
                  <c:v>10450</c:v>
                </c:pt>
              </c:numCache>
            </c:numRef>
          </c:yVal>
        </c:ser>
        <c:ser>
          <c:idx val="1"/>
          <c:order val="1"/>
          <c:tx>
            <c:v>Upper 99% confidence limit</c:v>
          </c:tx>
          <c:spPr>
            <a:ln w="12700">
              <a:solidFill>
                <a:schemeClr val="tx1"/>
              </a:solidFill>
              <a:prstDash val="lgDash"/>
            </a:ln>
          </c:spPr>
          <c:marker>
            <c:symbol val="none"/>
          </c:marker>
          <c:xVal>
            <c:numRef>
              <c:f>'[1]Lemna 1%CAAC'!$A$4:$A$28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'[1]Lemna 1%CAAC'!$K$4:$K$25</c:f>
              <c:numCache>
                <c:formatCode>General</c:formatCode>
                <c:ptCount val="22"/>
                <c:pt idx="0">
                  <c:v>14381.381661943482</c:v>
                </c:pt>
                <c:pt idx="1">
                  <c:v>14381.381661943482</c:v>
                </c:pt>
                <c:pt idx="2">
                  <c:v>14381.381661943482</c:v>
                </c:pt>
                <c:pt idx="3">
                  <c:v>14381.381661943482</c:v>
                </c:pt>
                <c:pt idx="4">
                  <c:v>14381.381661943482</c:v>
                </c:pt>
                <c:pt idx="5">
                  <c:v>14381.381661943482</c:v>
                </c:pt>
                <c:pt idx="6">
                  <c:v>14381.381661943482</c:v>
                </c:pt>
                <c:pt idx="7">
                  <c:v>14381.381661943482</c:v>
                </c:pt>
                <c:pt idx="8">
                  <c:v>14381.381661943482</c:v>
                </c:pt>
                <c:pt idx="9">
                  <c:v>14381.381661943482</c:v>
                </c:pt>
                <c:pt idx="10">
                  <c:v>14381.381661943482</c:v>
                </c:pt>
                <c:pt idx="11">
                  <c:v>14381.381661943482</c:v>
                </c:pt>
              </c:numCache>
            </c:numRef>
          </c:yVal>
        </c:ser>
        <c:ser>
          <c:idx val="2"/>
          <c:order val="2"/>
          <c:tx>
            <c:v>Lower 99% confidence limit</c:v>
          </c:tx>
          <c:spPr>
            <a:ln w="12700">
              <a:solidFill>
                <a:schemeClr val="tx1"/>
              </a:solidFill>
              <a:prstDash val="lgDash"/>
            </a:ln>
          </c:spPr>
          <c:marker>
            <c:symbol val="none"/>
          </c:marker>
          <c:xVal>
            <c:numRef>
              <c:f>'[1]Lemna 1%CAAC'!$A$4:$A$28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'[1]Lemna 1%CAAC'!$O$4:$O$28</c:f>
              <c:numCache>
                <c:formatCode>General</c:formatCode>
                <c:ptCount val="25"/>
                <c:pt idx="0">
                  <c:v>7290.0469094850259</c:v>
                </c:pt>
                <c:pt idx="1">
                  <c:v>7290.0469094850259</c:v>
                </c:pt>
                <c:pt idx="2">
                  <c:v>7290.0469094850259</c:v>
                </c:pt>
                <c:pt idx="3">
                  <c:v>7290.0469094850259</c:v>
                </c:pt>
                <c:pt idx="4">
                  <c:v>7290.0469094850259</c:v>
                </c:pt>
                <c:pt idx="5">
                  <c:v>7290.0469094850259</c:v>
                </c:pt>
                <c:pt idx="6">
                  <c:v>7290.0469094850259</c:v>
                </c:pt>
                <c:pt idx="7">
                  <c:v>7290.0469094850259</c:v>
                </c:pt>
                <c:pt idx="8">
                  <c:v>7290.0469094850259</c:v>
                </c:pt>
                <c:pt idx="9">
                  <c:v>7290.0469094850259</c:v>
                </c:pt>
                <c:pt idx="10">
                  <c:v>7290.0469094850259</c:v>
                </c:pt>
                <c:pt idx="11">
                  <c:v>7290.0469094850259</c:v>
                </c:pt>
              </c:numCache>
            </c:numRef>
          </c:yVal>
        </c:ser>
        <c:ser>
          <c:idx val="3"/>
          <c:order val="3"/>
          <c:tx>
            <c:v>Upper warning limit</c:v>
          </c:tx>
          <c:spPr>
            <a:ln w="12700">
              <a:solidFill>
                <a:schemeClr val="tx1"/>
              </a:solidFill>
              <a:prstDash val="sysDash"/>
            </a:ln>
          </c:spPr>
          <c:marker>
            <c:symbol val="none"/>
          </c:marker>
          <c:xVal>
            <c:numRef>
              <c:f>'[1]Lemna 1%CAAC'!$A$4:$A$28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'[1]Lemna 1%CAAC'!$L$4:$L$23</c:f>
              <c:numCache>
                <c:formatCode>General</c:formatCode>
                <c:ptCount val="20"/>
                <c:pt idx="0">
                  <c:v>13199.49253653386</c:v>
                </c:pt>
                <c:pt idx="1">
                  <c:v>13199.49253653386</c:v>
                </c:pt>
                <c:pt idx="2">
                  <c:v>13199.49253653386</c:v>
                </c:pt>
                <c:pt idx="3">
                  <c:v>13199.49253653386</c:v>
                </c:pt>
                <c:pt idx="4">
                  <c:v>13199.49253653386</c:v>
                </c:pt>
                <c:pt idx="5">
                  <c:v>13199.49253653386</c:v>
                </c:pt>
                <c:pt idx="6">
                  <c:v>13199.49253653386</c:v>
                </c:pt>
                <c:pt idx="7">
                  <c:v>13199.49253653386</c:v>
                </c:pt>
                <c:pt idx="8">
                  <c:v>13199.49253653386</c:v>
                </c:pt>
                <c:pt idx="9">
                  <c:v>13199.49253653386</c:v>
                </c:pt>
                <c:pt idx="10">
                  <c:v>13199.49253653386</c:v>
                </c:pt>
                <c:pt idx="11">
                  <c:v>13199.49253653386</c:v>
                </c:pt>
              </c:numCache>
            </c:numRef>
          </c:yVal>
        </c:ser>
        <c:ser>
          <c:idx val="4"/>
          <c:order val="4"/>
          <c:tx>
            <c:v>Lower warning limit</c:v>
          </c:tx>
          <c:spPr>
            <a:ln w="12700">
              <a:solidFill>
                <a:schemeClr val="tx1"/>
              </a:solidFill>
              <a:prstDash val="sysDash"/>
            </a:ln>
          </c:spPr>
          <c:marker>
            <c:symbol val="none"/>
          </c:marker>
          <c:xVal>
            <c:numRef>
              <c:f>'[1]Lemna 1%CAAC'!$A$4:$A$28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'[1]Lemna 1%CAAC'!$N$4:$N$28</c:f>
              <c:numCache>
                <c:formatCode>General</c:formatCode>
                <c:ptCount val="25"/>
                <c:pt idx="0">
                  <c:v>8471.936034894703</c:v>
                </c:pt>
                <c:pt idx="1">
                  <c:v>8471.936034894703</c:v>
                </c:pt>
                <c:pt idx="2">
                  <c:v>8471.936034894703</c:v>
                </c:pt>
                <c:pt idx="3">
                  <c:v>8471.936034894703</c:v>
                </c:pt>
                <c:pt idx="4">
                  <c:v>8471.936034894703</c:v>
                </c:pt>
                <c:pt idx="5">
                  <c:v>8471.936034894703</c:v>
                </c:pt>
                <c:pt idx="6">
                  <c:v>8471.936034894703</c:v>
                </c:pt>
                <c:pt idx="7">
                  <c:v>8471.936034894703</c:v>
                </c:pt>
                <c:pt idx="8">
                  <c:v>8471.936034894703</c:v>
                </c:pt>
                <c:pt idx="9">
                  <c:v>8471.936034894703</c:v>
                </c:pt>
                <c:pt idx="10">
                  <c:v>8471.936034894703</c:v>
                </c:pt>
                <c:pt idx="11">
                  <c:v>8471.936034894703</c:v>
                </c:pt>
              </c:numCache>
            </c:numRef>
          </c:yVal>
        </c:ser>
        <c:ser>
          <c:idx val="6"/>
          <c:order val="5"/>
          <c:tx>
            <c:v>Running mean IC50</c:v>
          </c:tx>
          <c:spPr>
            <a:ln w="12700">
              <a:solidFill>
                <a:schemeClr val="tx1"/>
              </a:solidFill>
              <a:prstDash val="solid"/>
            </a:ln>
          </c:spPr>
          <c:marker>
            <c:symbol val="none"/>
          </c:marker>
          <c:xVal>
            <c:numRef>
              <c:f>'[1]Lemna 1%CAAC'!$A$4:$A$28</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'[1]Lemna 1%CAAC'!$P$4:$P$28</c:f>
              <c:numCache>
                <c:formatCode>General</c:formatCode>
                <c:ptCount val="25"/>
                <c:pt idx="0">
                  <c:v>10000</c:v>
                </c:pt>
                <c:pt idx="1">
                  <c:v>10825</c:v>
                </c:pt>
                <c:pt idx="2">
                  <c:v>10376.666666666661</c:v>
                </c:pt>
                <c:pt idx="3">
                  <c:v>10375</c:v>
                </c:pt>
                <c:pt idx="4">
                  <c:v>10906</c:v>
                </c:pt>
                <c:pt idx="5">
                  <c:v>10900</c:v>
                </c:pt>
                <c:pt idx="6">
                  <c:v>10835.71428571445</c:v>
                </c:pt>
                <c:pt idx="7">
                  <c:v>10835.71428571445</c:v>
                </c:pt>
                <c:pt idx="8">
                  <c:v>10835.71428571445</c:v>
                </c:pt>
                <c:pt idx="9">
                  <c:v>10835.71428571445</c:v>
                </c:pt>
                <c:pt idx="10">
                  <c:v>10835.71428571445</c:v>
                </c:pt>
                <c:pt idx="11">
                  <c:v>0</c:v>
                </c:pt>
              </c:numCache>
            </c:numRef>
          </c:yVal>
        </c:ser>
        <c:axId val="189576320"/>
        <c:axId val="189578240"/>
      </c:scatterChart>
      <c:valAx>
        <c:axId val="189576320"/>
        <c:scaling>
          <c:orientation val="minMax"/>
          <c:max val="8"/>
          <c:min val="1"/>
        </c:scaling>
        <c:axPos val="b"/>
        <c:title>
          <c:tx>
            <c:rich>
              <a:bodyPr/>
              <a:lstStyle/>
              <a:p>
                <a:pPr>
                  <a:defRPr sz="1000" b="1" i="0" u="none" strike="noStrike" baseline="0">
                    <a:solidFill>
                      <a:srgbClr val="000000"/>
                    </a:solidFill>
                    <a:latin typeface="Arial"/>
                    <a:ea typeface="Arial"/>
                    <a:cs typeface="Arial"/>
                  </a:defRPr>
                </a:pPr>
                <a:r>
                  <a:rPr lang="en-AU" sz="1000" b="0"/>
                  <a:t>Test number</a:t>
                </a:r>
              </a:p>
            </c:rich>
          </c:tx>
          <c:layout>
            <c:manualLayout>
              <c:xMode val="edge"/>
              <c:yMode val="edge"/>
              <c:x val="0.37956025988555392"/>
              <c:y val="0.90381426202321724"/>
            </c:manualLayout>
          </c:layout>
          <c:spPr>
            <a:noFill/>
            <a:ln w="25400">
              <a:noFill/>
            </a:ln>
          </c:spPr>
        </c:title>
        <c:numFmt formatCode="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9578240"/>
        <c:crosses val="autoZero"/>
        <c:crossBetween val="midCat"/>
        <c:majorUnit val="1"/>
      </c:valAx>
      <c:valAx>
        <c:axId val="189578240"/>
        <c:scaling>
          <c:orientation val="minMax"/>
        </c:scaling>
        <c:axPos val="l"/>
        <c:title>
          <c:tx>
            <c:rich>
              <a:bodyPr/>
              <a:lstStyle/>
              <a:p>
                <a:pPr>
                  <a:defRPr sz="1000" b="1" i="0" u="none" strike="noStrike" baseline="0">
                    <a:solidFill>
                      <a:srgbClr val="000000"/>
                    </a:solidFill>
                    <a:latin typeface="Arial"/>
                    <a:ea typeface="Arial"/>
                    <a:cs typeface="Arial"/>
                  </a:defRPr>
                </a:pPr>
                <a:r>
                  <a:rPr lang="en-AU" sz="1000" b="0"/>
                  <a:t>EC50 (</a:t>
                </a:r>
                <a:r>
                  <a:rPr lang="en-AU" sz="1000" b="0" i="0" u="none" strike="noStrike" baseline="0"/>
                  <a:t>µg L</a:t>
                </a:r>
                <a:r>
                  <a:rPr lang="en-AU" sz="1000" b="0" i="0" u="none" strike="noStrike" baseline="30000"/>
                  <a:t>-1</a:t>
                </a:r>
                <a:r>
                  <a:rPr lang="en-AU" sz="1000" b="0" i="0" u="none" strike="noStrike" baseline="0"/>
                  <a:t> U</a:t>
                </a:r>
                <a:r>
                  <a:rPr lang="en-AU" sz="1000" b="0">
                    <a:latin typeface="Arial"/>
                    <a:cs typeface="Arial"/>
                  </a:rPr>
                  <a:t>)</a:t>
                </a:r>
                <a:endParaRPr lang="en-AU" sz="1000" b="0"/>
              </a:p>
            </c:rich>
          </c:tx>
          <c:layout>
            <c:manualLayout>
              <c:xMode val="edge"/>
              <c:yMode val="edge"/>
              <c:x val="0"/>
              <c:y val="0.2917381028728878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9576320"/>
        <c:crosses val="autoZero"/>
        <c:crossBetween val="midCat"/>
        <c:majorUnit val="4000"/>
      </c:valAx>
      <c:spPr>
        <a:noFill/>
        <a:ln w="12700">
          <a:solidFill>
            <a:srgbClr val="000000"/>
          </a:solidFill>
          <a:prstDash val="solid"/>
        </a:ln>
      </c:spPr>
    </c:plotArea>
    <c:plotVisOnly val="1"/>
    <c:dispBlanksAs val="gap"/>
  </c:chart>
  <c:spPr>
    <a:solidFill>
      <a:srgbClr val="FFFFFF"/>
    </a:solidFill>
    <a:ln w="3175">
      <a:noFill/>
      <a:prstDash val="solid"/>
    </a:ln>
  </c:spPr>
  <c:txPr>
    <a:bodyPr/>
    <a:lstStyle/>
    <a:p>
      <a:pPr>
        <a:defRPr sz="185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_x0020_Section xmlns="d3d3a9f2-d6b9-4ac6-938b-c1d69a470220">Supervising Scientist Division</Publishing_x0020_Section>
    <Keywords1 xmlns="d3d3a9f2-d6b9-4ac6-938b-c1d69a470220" xsi:nil="true"/>
    <PublishingExpirationDate xmlns="http://schemas.microsoft.com/sharepoint/v3" xsi:nil="true"/>
    <Departmental_x0020_Keywords xmlns="deda4f78-c946-4019-9afe-72b647367a98" xsi:nil="true"/>
    <PublishingStartDate xmlns="http://schemas.microsoft.com/sharepoint/v3" xsi:nil="true"/>
    <Themes xmlns="d3d3a9f2-d6b9-4ac6-938b-c1d69a47022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c433e366543f397711934eb711b5bb60">
  <xsd:schema xmlns:xsd="http://www.w3.org/2001/XMLSchema" xmlns:p="http://schemas.microsoft.com/office/2006/metadata/properties" xmlns:ns1="http://schemas.microsoft.com/sharepoint/v3" xmlns:ns2="deda4f78-c946-4019-9afe-72b647367a98" xmlns:ns3="d3d3a9f2-d6b9-4ac6-938b-c1d69a470220" targetNamespace="http://schemas.microsoft.com/office/2006/metadata/properties" ma:root="true" ma:fieldsID="7f42b83dab360dc63f9daff7defe803a" ns1:_="" ns2:_="" ns3:_="">
    <xsd:import namespace="http://schemas.microsoft.com/sharepoint/v3"/>
    <xsd:import namespace="deda4f78-c946-4019-9afe-72b647367a98"/>
    <xsd:import namespace="d3d3a9f2-d6b9-4ac6-938b-c1d69a470220"/>
    <xsd:element name="properties">
      <xsd:complexType>
        <xsd:sequence>
          <xsd:element name="documentManagement">
            <xsd:complexType>
              <xsd:all>
                <xsd:element ref="ns2:Departmental_x0020_Keywords" minOccurs="0"/>
                <xsd:element ref="ns3:Publishing_x0020_Section"/>
                <xsd:element ref="ns3:Keywords1" minOccurs="0"/>
                <xsd:element ref="ns3:Themes"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deda4f78-c946-4019-9afe-72b647367a98" elementFormDefault="qualified">
    <xsd:import namespace="http://schemas.microsoft.com/office/2006/documentManagement/types"/>
    <xsd:element name="Departmental_x0020_Keywords" ma:index="2" nillable="true" ma:displayName="Departmental Keywords" ma:internalName="Departmental_x0020_Keywords">
      <xsd:simpleType>
        <xsd:restriction base="dms:Text">
          <xsd:maxLength value="255"/>
        </xsd:restriction>
      </xsd:simpleType>
    </xsd:element>
  </xsd:schema>
  <xsd:schema xmlns:xsd="http://www.w3.org/2001/XMLSchema" xmlns:dms="http://schemas.microsoft.com/office/2006/documentManagement/types" targetNamespace="d3d3a9f2-d6b9-4ac6-938b-c1d69a470220" elementFormDefault="qualified">
    <xsd:import namespace="http://schemas.microsoft.com/office/2006/documentManagement/types"/>
    <xsd:element name="Publishing_x0020_Section" ma:index="3" ma:displayName="Publishing Section" ma:description="Select a departmental owner" ma:format="Dropdown" ma:internalName="Publishing_x0020_Section">
      <xsd:simpleType>
        <xsd:restriction base="dms:Choice">
          <xsd:enumeration value="All Department"/>
          <xsd:enumeration value="Australian Antarctic Division"/>
          <xsd:enumeration value="Business Improvement Division"/>
          <xsd:enumeration value="Corporate Strategies Division"/>
          <xsd:enumeration value="Department of Climate Change"/>
          <xsd:enumeration value="Director of National Parks"/>
          <xsd:enumeration value="Environment Assessment and Compliance Division"/>
          <xsd:enumeration value="Environment Quality Division"/>
          <xsd:enumeration value="Executive"/>
          <xsd:enumeration value="Great Barrier Reef Marine Park Authority"/>
          <xsd:enumeration value="Heritage and Wildlife Division"/>
          <xsd:enumeration value="Information Management Division"/>
          <xsd:enumeration value="Land &amp; Coasts"/>
          <xsd:enumeration value="Marine Division"/>
          <xsd:enumeration value="National Water Commission"/>
          <xsd:enumeration value="Natural Resource Management Programs Division"/>
          <xsd:enumeration value="Office of the Renewable Energy Regulator"/>
          <xsd:enumeration value="Parks Australia"/>
          <xsd:enumeration value="Policy and Communications Division"/>
          <xsd:enumeration value="Renewable &amp; Energy Efficiency Division"/>
          <xsd:enumeration value="Supervising Scientist Division"/>
          <xsd:enumeration value="Sustainability Policy and Analysis Division"/>
          <xsd:enumeration value="Sustainable Population Division"/>
          <xsd:enumeration value="Sydney Harbour Federation Trust"/>
          <xsd:enumeration value="Water Group"/>
        </xsd:restriction>
      </xsd:simpleType>
    </xsd:element>
    <xsd:element name="Keywords1" ma:index="4" nillable="true" ma:displayName="Category keywords" ma:internalName="Keywords1">
      <xsd:simpleType>
        <xsd:restriction base="dms:Text">
          <xsd:maxLength value="255"/>
        </xsd:restriction>
      </xsd:simpleType>
    </xsd:element>
    <xsd:element name="Themes" ma:index="6" nillable="true" ma:displayName="Themes" ma:default="" ma:description="Select a theme that applies" ma:internalName="Themes">
      <xsd:complexType>
        <xsd:complexContent>
          <xsd:extension base="dms:MultiChoice">
            <xsd:sequence>
              <xsd:element name="Value" maxOccurs="unbounded" minOccurs="0" nillable="true">
                <xsd:simpleType>
                  <xsd:restriction base="dms:Choice">
                    <xsd:enumeration value="Arts and Culture"/>
                    <xsd:enumeration value="Atmosphere"/>
                    <xsd:enumeration value="Biodiversity"/>
                    <xsd:enumeration value="Coasts and Oceans"/>
                    <xsd:enumeration value="Education for Sustainability"/>
                    <xsd:enumeration value="Energy"/>
                    <xsd:enumeration value="EPBC Act"/>
                    <xsd:enumeration value="Heritage"/>
                    <xsd:enumeration value="Indigenous"/>
                    <xsd:enumeration value="Land management"/>
                    <xsd:enumeration value="Natural Resource Management"/>
                    <xsd:enumeration value="Parks and reserves"/>
                    <xsd:enumeration value="Wat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ma:readOnly="true"/>
        <xsd:element ref="dc:title" minOccurs="0" maxOccurs="1" ma:index="1"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3E2A92F-4CD2-43D5-918E-8E1BDEBC77DF}">
  <ds:schemaRefs>
    <ds:schemaRef ds:uri="http://schemas.microsoft.com/office/2006/metadata/properties"/>
    <ds:schemaRef ds:uri="d3d3a9f2-d6b9-4ac6-938b-c1d69a470220"/>
    <ds:schemaRef ds:uri="http://schemas.microsoft.com/sharepoint/v3"/>
    <ds:schemaRef ds:uri="deda4f78-c946-4019-9afe-72b647367a98"/>
  </ds:schemaRefs>
</ds:datastoreItem>
</file>

<file path=customXml/itemProps2.xml><?xml version="1.0" encoding="utf-8"?>
<ds:datastoreItem xmlns:ds="http://schemas.openxmlformats.org/officeDocument/2006/customXml" ds:itemID="{02FA9F88-D5E7-4C11-ADD6-31ABAB5DEDBD}">
  <ds:schemaRefs>
    <ds:schemaRef ds:uri="http://schemas.microsoft.com/sharepoint/v3/contenttype/forms"/>
  </ds:schemaRefs>
</ds:datastoreItem>
</file>

<file path=customXml/itemProps3.xml><?xml version="1.0" encoding="utf-8"?>
<ds:datastoreItem xmlns:ds="http://schemas.openxmlformats.org/officeDocument/2006/customXml" ds:itemID="{46FEA9F1-365E-48E1-936C-3BB6F1999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da4f78-c946-4019-9afe-72b647367a98"/>
    <ds:schemaRef ds:uri="d3d3a9f2-d6b9-4ac6-938b-c1d69a47022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106</Pages>
  <Words>38437</Words>
  <Characters>205952</Characters>
  <Application>Microsoft Office Word</Application>
  <DocSecurity>0</DocSecurity>
  <Lines>1716</Lines>
  <Paragraphs>487</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243902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SSR 203 Part 1:  Ranger - current operations</dc:title>
  <dc:creator>Australian Government Department of Sustainaiblity, Environment, Water, Population and Communities</dc:creator>
  <dc:description/>
  <cp:lastModifiedBy>a06368</cp:lastModifiedBy>
  <cp:revision>4</cp:revision>
  <cp:lastPrinted>1996-06-07T01:24:00Z</cp:lastPrinted>
  <dcterms:created xsi:type="dcterms:W3CDTF">2012-03-23T05:50:00Z</dcterms:created>
  <dcterms:modified xsi:type="dcterms:W3CDTF">2012-03-25T23:59:00Z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0x01010088984309824B1146AAD399139940223E</vt:lpwstr>
  </property>
</Properties>
</file>