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Default Extension="jpeg" ContentType="image/jpeg"/>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F09" w:rsidRDefault="00B36F09" w:rsidP="00B36F09">
      <w:pPr>
        <w:pStyle w:val="Heading1"/>
        <w:spacing w:before="2000"/>
      </w:pPr>
      <w:bookmarkStart w:id="0" w:name="_Toc309215800"/>
      <w:bookmarkStart w:id="1" w:name="_Toc319670741"/>
      <w:bookmarkStart w:id="2" w:name="OLE_LINK1"/>
      <w:r>
        <w:t>Part 2:  Ranger – rehabilitation</w:t>
      </w:r>
      <w:bookmarkEnd w:id="0"/>
      <w:bookmarkEnd w:id="1"/>
      <w:bookmarkEnd w:id="2"/>
    </w:p>
    <w:p w:rsidR="00B36F09" w:rsidRDefault="00B36F09" w:rsidP="00B36F09"/>
    <w:p w:rsidR="00B36F09" w:rsidRPr="00395467" w:rsidRDefault="00B36F09" w:rsidP="00B36F09"/>
    <w:p w:rsidR="00B36F09" w:rsidRDefault="00B36F09" w:rsidP="00B36F09">
      <w:pPr>
        <w:pStyle w:val="Heading4"/>
        <w:sectPr w:rsidR="00B36F09" w:rsidSect="00B36F09">
          <w:headerReference w:type="first" r:id="rId10"/>
          <w:footerReference w:type="first" r:id="rId11"/>
          <w:footnotePr>
            <w:numRestart w:val="eachSect"/>
          </w:footnotePr>
          <w:pgSz w:w="11906" w:h="16838" w:code="9"/>
          <w:pgMar w:top="1440" w:right="1797" w:bottom="1440" w:left="1797" w:header="851" w:footer="833" w:gutter="0"/>
          <w:pgNumType w:start="107"/>
          <w:cols w:space="360"/>
          <w:noEndnote/>
          <w:titlePg/>
        </w:sectPr>
      </w:pPr>
      <w:bookmarkStart w:id="3" w:name="_Toc309215803"/>
    </w:p>
    <w:p w:rsidR="00B36F09" w:rsidRPr="00667B01" w:rsidRDefault="00B36F09" w:rsidP="00B36F09">
      <w:pPr>
        <w:pStyle w:val="Heading1"/>
      </w:pPr>
      <w:bookmarkStart w:id="4" w:name="_Toc319670742"/>
      <w:r w:rsidRPr="00667B01">
        <w:lastRenderedPageBreak/>
        <w:t>Revegetation trial demonstration landfo</w:t>
      </w:r>
      <w:r>
        <w:t>r</w:t>
      </w:r>
      <w:r w:rsidRPr="00667B01">
        <w:t>m – erosion and chemistry studies</w:t>
      </w:r>
      <w:bookmarkEnd w:id="3"/>
      <w:bookmarkEnd w:id="4"/>
    </w:p>
    <w:p w:rsidR="00B36F09" w:rsidRPr="008E44C5" w:rsidRDefault="00B36F09" w:rsidP="00B36F09">
      <w:pPr>
        <w:pStyle w:val="authors"/>
        <w:spacing w:after="800"/>
      </w:pPr>
      <w:bookmarkStart w:id="5" w:name="_Toc316987245"/>
      <w:bookmarkStart w:id="6" w:name="_Toc319670743"/>
      <w:r>
        <w:t xml:space="preserve">MJ </w:t>
      </w:r>
      <w:proofErr w:type="spellStart"/>
      <w:r>
        <w:t>Saynor</w:t>
      </w:r>
      <w:proofErr w:type="spellEnd"/>
      <w:r>
        <w:t>, J Taylor, R Houghton, WD Erskine &amp; D Jones</w:t>
      </w:r>
      <w:bookmarkEnd w:id="5"/>
      <w:bookmarkEnd w:id="6"/>
    </w:p>
    <w:p w:rsidR="00B36F09" w:rsidRPr="00667B01" w:rsidRDefault="00B36F09" w:rsidP="00B36F09">
      <w:pPr>
        <w:pStyle w:val="Heading2"/>
      </w:pPr>
      <w:bookmarkStart w:id="7" w:name="_Toc313523525"/>
      <w:bookmarkStart w:id="8" w:name="_Toc316985367"/>
      <w:r w:rsidRPr="00667B01">
        <w:t>Introduction</w:t>
      </w:r>
      <w:bookmarkEnd w:id="7"/>
      <w:bookmarkEnd w:id="8"/>
    </w:p>
    <w:p w:rsidR="00B36F09" w:rsidRPr="00667B01" w:rsidRDefault="00B36F09" w:rsidP="00B36F09">
      <w:pPr>
        <w:rPr>
          <w:szCs w:val="22"/>
          <w:lang w:val="en-US"/>
        </w:rPr>
      </w:pPr>
      <w:r w:rsidRPr="00667B01">
        <w:rPr>
          <w:szCs w:val="22"/>
        </w:rPr>
        <w:t xml:space="preserve">A long-term SSD program of research to assess rainfall, runoff, and sediment and solute losses from a trial rehabilitation landform constructed at the end of 2008 by ERA is expected to proceed for five </w:t>
      </w:r>
      <w:r>
        <w:rPr>
          <w:szCs w:val="22"/>
        </w:rPr>
        <w:t xml:space="preserve">to ten </w:t>
      </w:r>
      <w:r w:rsidRPr="00667B01">
        <w:rPr>
          <w:szCs w:val="22"/>
        </w:rPr>
        <w:t>years. The purpose of the trial landform is to test, over the long term, proposed landform design and revegetation strategies for the site, such that the most appropriate one can be implemented at the completion of mineral processing. While SSD is leading the erosion assessment project, and providing most of the staff resources, there is also a substantial level of assistance and collaboration being provided by technical staff from ERA. SSD is also contributing to the revegetation component of the trial landform by work on vegetation analogue communities.</w:t>
      </w:r>
    </w:p>
    <w:p w:rsidR="00B36F09" w:rsidRPr="00667B01" w:rsidRDefault="00B36F09" w:rsidP="00B36F09">
      <w:pPr>
        <w:rPr>
          <w:szCs w:val="22"/>
        </w:rPr>
      </w:pPr>
      <w:r w:rsidRPr="00667B01">
        <w:rPr>
          <w:szCs w:val="22"/>
        </w:rPr>
        <w:t xml:space="preserve">The trial landform was designed to test two types of potential final cover materials for the rehabilitated </w:t>
      </w:r>
      <w:r>
        <w:rPr>
          <w:szCs w:val="22"/>
        </w:rPr>
        <w:t>mine landform: waste rock</w:t>
      </w:r>
      <w:r w:rsidRPr="00667B01">
        <w:rPr>
          <w:szCs w:val="22"/>
        </w:rPr>
        <w:t xml:space="preserve"> and waste rock blended with approximately 30% v/v of fine-grained weathered material (laterit</w:t>
      </w:r>
      <w:r>
        <w:rPr>
          <w:szCs w:val="22"/>
        </w:rPr>
        <w:t>ic material</w:t>
      </w:r>
      <w:r w:rsidRPr="00667B01">
        <w:rPr>
          <w:szCs w:val="22"/>
        </w:rPr>
        <w:t>). In addition to two different types of cover materials, two different planting met</w:t>
      </w:r>
      <w:r>
        <w:rPr>
          <w:szCs w:val="22"/>
        </w:rPr>
        <w:t>hods were implement</w:t>
      </w:r>
      <w:r w:rsidRPr="00667B01">
        <w:rPr>
          <w:szCs w:val="22"/>
        </w:rPr>
        <w:t>ed: direct seeding and tube stock.</w:t>
      </w:r>
    </w:p>
    <w:p w:rsidR="00B36F09" w:rsidRDefault="00B36F09" w:rsidP="00B36F09">
      <w:pPr>
        <w:rPr>
          <w:szCs w:val="22"/>
          <w:lang w:val="en-US"/>
        </w:rPr>
      </w:pPr>
      <w:r w:rsidRPr="00667B01">
        <w:rPr>
          <w:szCs w:val="22"/>
        </w:rPr>
        <w:t>The location of SSD</w:t>
      </w:r>
      <w:r>
        <w:rPr>
          <w:szCs w:val="22"/>
        </w:rPr>
        <w:t>’</w:t>
      </w:r>
      <w:r w:rsidRPr="00667B01">
        <w:rPr>
          <w:szCs w:val="22"/>
        </w:rPr>
        <w:t>s four erosion plots (30 m × 30 m) constructed during the 2009 dry season are shown in Figure 1. The first two plots contain waste rock, and the second two, mixed waste rock and laterit</w:t>
      </w:r>
      <w:r>
        <w:rPr>
          <w:szCs w:val="22"/>
        </w:rPr>
        <w:t>ic material.</w:t>
      </w:r>
      <w:r>
        <w:rPr>
          <w:szCs w:val="22"/>
          <w:lang w:val="en-US"/>
        </w:rPr>
        <w:t xml:space="preserve"> T</w:t>
      </w:r>
      <w:r w:rsidRPr="00667B01">
        <w:rPr>
          <w:szCs w:val="22"/>
          <w:lang w:val="en-US"/>
        </w:rPr>
        <w:t xml:space="preserve">he direct seeding </w:t>
      </w:r>
      <w:r>
        <w:rPr>
          <w:szCs w:val="22"/>
          <w:lang w:val="en-US"/>
        </w:rPr>
        <w:t>method failed and the two plots</w:t>
      </w:r>
      <w:r w:rsidRPr="00667B01">
        <w:rPr>
          <w:szCs w:val="22"/>
          <w:lang w:val="en-US"/>
        </w:rPr>
        <w:t xml:space="preserve"> </w:t>
      </w:r>
      <w:r>
        <w:rPr>
          <w:szCs w:val="22"/>
          <w:lang w:val="en-US"/>
        </w:rPr>
        <w:t>(erosion Plots 2 and 3) were also planted with tube stock one year after the initial planting</w:t>
      </w:r>
      <w:r w:rsidRPr="00667B01">
        <w:rPr>
          <w:szCs w:val="22"/>
          <w:lang w:val="en-US"/>
        </w:rPr>
        <w:t xml:space="preserve">. In this context it should also be noted that an approximately 75 m wide irrigation </w:t>
      </w:r>
      <w:r>
        <w:rPr>
          <w:szCs w:val="22"/>
          <w:lang w:val="en-US"/>
        </w:rPr>
        <w:t>‘</w:t>
      </w:r>
      <w:r w:rsidRPr="00667B01">
        <w:rPr>
          <w:szCs w:val="22"/>
          <w:lang w:val="en-US"/>
        </w:rPr>
        <w:t>buffer</w:t>
      </w:r>
      <w:r>
        <w:rPr>
          <w:szCs w:val="22"/>
          <w:lang w:val="en-US"/>
        </w:rPr>
        <w:t>’</w:t>
      </w:r>
      <w:r w:rsidRPr="00667B01">
        <w:rPr>
          <w:szCs w:val="22"/>
          <w:lang w:val="en-US"/>
        </w:rPr>
        <w:t xml:space="preserve"> strip was established along the eastern edge of the trial. This strip was created to protect SSD</w:t>
      </w:r>
      <w:r>
        <w:rPr>
          <w:szCs w:val="22"/>
          <w:lang w:val="en-US"/>
        </w:rPr>
        <w:t>’</w:t>
      </w:r>
      <w:r w:rsidRPr="00667B01">
        <w:rPr>
          <w:szCs w:val="22"/>
          <w:lang w:val="en-US"/>
        </w:rPr>
        <w:t xml:space="preserve">s erosion plots from supplemental irrigation during the 2009–10 dry </w:t>
      </w:r>
      <w:proofErr w:type="gramStart"/>
      <w:r w:rsidRPr="00667B01">
        <w:rPr>
          <w:szCs w:val="22"/>
          <w:lang w:val="en-US"/>
        </w:rPr>
        <w:t>season</w:t>
      </w:r>
      <w:proofErr w:type="gramEnd"/>
      <w:r w:rsidRPr="00667B01">
        <w:rPr>
          <w:szCs w:val="22"/>
          <w:lang w:val="en-US"/>
        </w:rPr>
        <w:t>. This irrigation was used to assist the establishment of vegetation across the bulk of the surface of the landform. The erosion plots were specifically excluded to prevent the application of salts contained in irrigation water and the complications this would have caused with trying to measure the intrinsic solute loads produced from the cover materials during the subsequent wet season.</w:t>
      </w:r>
      <w:r>
        <w:rPr>
          <w:szCs w:val="22"/>
          <w:lang w:val="en-US"/>
        </w:rPr>
        <w:t xml:space="preserve"> </w:t>
      </w:r>
    </w:p>
    <w:p w:rsidR="00B36F09" w:rsidRDefault="00B36F09" w:rsidP="00B36F09">
      <w:pPr>
        <w:rPr>
          <w:szCs w:val="22"/>
          <w:lang w:val="en-US"/>
        </w:rPr>
      </w:pPr>
      <w:r w:rsidRPr="00667B01">
        <w:rPr>
          <w:szCs w:val="22"/>
          <w:lang w:val="en-US"/>
        </w:rPr>
        <w:t xml:space="preserve">Due to the failure of the direct seeding treatment in the first year, </w:t>
      </w:r>
      <w:r>
        <w:rPr>
          <w:szCs w:val="22"/>
          <w:lang w:val="en-US"/>
        </w:rPr>
        <w:t xml:space="preserve">and the less than optimal survival of </w:t>
      </w:r>
      <w:proofErr w:type="spellStart"/>
      <w:r>
        <w:rPr>
          <w:szCs w:val="22"/>
          <w:lang w:val="en-US"/>
        </w:rPr>
        <w:t>tubestock</w:t>
      </w:r>
      <w:proofErr w:type="spellEnd"/>
      <w:r>
        <w:rPr>
          <w:szCs w:val="22"/>
          <w:lang w:val="en-US"/>
        </w:rPr>
        <w:t xml:space="preserve">, </w:t>
      </w:r>
      <w:r w:rsidRPr="00667B01">
        <w:rPr>
          <w:szCs w:val="22"/>
          <w:lang w:val="en-US"/>
        </w:rPr>
        <w:t xml:space="preserve">all areas on the landform, including </w:t>
      </w:r>
      <w:r>
        <w:rPr>
          <w:szCs w:val="22"/>
          <w:lang w:val="en-US"/>
        </w:rPr>
        <w:t xml:space="preserve">all four of </w:t>
      </w:r>
      <w:r w:rsidRPr="00667B01">
        <w:rPr>
          <w:szCs w:val="22"/>
          <w:lang w:val="en-US"/>
        </w:rPr>
        <w:t>the erosion plots, have now been in-fill planted with tube stock. In practice this has meant that the effect of vegetation coverage on erosion rates would likely have been minimal for all four plots over the first two wet seasons.</w:t>
      </w:r>
    </w:p>
    <w:p w:rsidR="00B36F09" w:rsidRDefault="00B36F09" w:rsidP="00B36F09">
      <w:pPr>
        <w:rPr>
          <w:szCs w:val="22"/>
          <w:lang w:val="en-US"/>
        </w:rPr>
      </w:pPr>
      <w:r>
        <w:rPr>
          <w:szCs w:val="22"/>
          <w:lang w:val="en-US"/>
        </w:rPr>
        <w:t xml:space="preserve">In this paper the results of rainfall, </w:t>
      </w:r>
      <w:proofErr w:type="spellStart"/>
      <w:r>
        <w:rPr>
          <w:szCs w:val="22"/>
          <w:lang w:val="en-US"/>
        </w:rPr>
        <w:t>bedload</w:t>
      </w:r>
      <w:proofErr w:type="spellEnd"/>
      <w:r>
        <w:rPr>
          <w:szCs w:val="22"/>
          <w:lang w:val="en-US"/>
        </w:rPr>
        <w:t xml:space="preserve"> yields and surface material grain size characteristics for the four erosion plots are reported. Historical staff resourcing issues (as discussed in progress to date below) has meant that the processing of the continuous data for the four erosion plots is not yet complete. Thus water yields, loads of fine suspended sediment and solute loads remain to be derived. These will be derived and reported during the 11/12 work year.</w:t>
      </w:r>
    </w:p>
    <w:p w:rsidR="00B36F09" w:rsidRPr="00667B01" w:rsidRDefault="00B36F09" w:rsidP="00B36F09">
      <w:pPr>
        <w:pStyle w:val="Heading2"/>
      </w:pPr>
      <w:bookmarkStart w:id="9" w:name="_Toc313523526"/>
      <w:bookmarkStart w:id="10" w:name="_Toc316985368"/>
      <w:r w:rsidRPr="00667B01">
        <w:lastRenderedPageBreak/>
        <w:t>Methods</w:t>
      </w:r>
      <w:bookmarkEnd w:id="9"/>
      <w:bookmarkEnd w:id="10"/>
    </w:p>
    <w:p w:rsidR="00B36F09" w:rsidRDefault="00B36F09" w:rsidP="00B36F09">
      <w:pPr>
        <w:rPr>
          <w:szCs w:val="22"/>
        </w:rPr>
      </w:pPr>
      <w:r w:rsidRPr="00667B01">
        <w:rPr>
          <w:szCs w:val="22"/>
        </w:rPr>
        <w:t>Each erosion plot has a raised border to exclude run</w:t>
      </w:r>
      <w:r>
        <w:rPr>
          <w:szCs w:val="22"/>
        </w:rPr>
        <w:t>-</w:t>
      </w:r>
      <w:r w:rsidRPr="00667B01">
        <w:rPr>
          <w:szCs w:val="22"/>
        </w:rPr>
        <w:t xml:space="preserve">on from outside the plot area. The </w:t>
      </w:r>
      <w:proofErr w:type="spellStart"/>
      <w:r w:rsidRPr="00667B01">
        <w:rPr>
          <w:szCs w:val="22"/>
        </w:rPr>
        <w:t>downslope</w:t>
      </w:r>
      <w:proofErr w:type="spellEnd"/>
      <w:r w:rsidRPr="00667B01">
        <w:rPr>
          <w:szCs w:val="22"/>
        </w:rPr>
        <w:t xml:space="preserve"> border consists of an exposed PVC drain to divert runoff and sediment into a stilling basin (Figure 2) before being passed through a 200 mm RBC flume which has a trapezoidal broad-crested control section (Figure 3). Discharge cannot be measured directly so the head (h) above the sill of the flume is measured and converted to discharge (Q) using the equations derived by </w:t>
      </w:r>
      <w:proofErr w:type="spellStart"/>
      <w:r w:rsidRPr="00667B01">
        <w:rPr>
          <w:szCs w:val="22"/>
        </w:rPr>
        <w:t>Bos</w:t>
      </w:r>
      <w:proofErr w:type="spellEnd"/>
      <w:r w:rsidRPr="00667B01">
        <w:rPr>
          <w:szCs w:val="22"/>
        </w:rPr>
        <w:t xml:space="preserve"> </w:t>
      </w:r>
      <w:r>
        <w:rPr>
          <w:szCs w:val="22"/>
        </w:rPr>
        <w:t>et al</w:t>
      </w:r>
      <w:r w:rsidRPr="00667B01">
        <w:rPr>
          <w:szCs w:val="22"/>
        </w:rPr>
        <w:t xml:space="preserve"> (1984) and Evans &amp; Riley (1993). Head (stage height) upstream of the control section is measured by both an optical shaft encoder (primary sensor) and pressure transducer (backup sensor). </w:t>
      </w:r>
    </w:p>
    <w:p w:rsidR="00B36F09" w:rsidRDefault="00B36F09" w:rsidP="00B36F09">
      <w:pPr>
        <w:rPr>
          <w:szCs w:val="22"/>
        </w:rPr>
      </w:pPr>
      <w:r w:rsidRPr="00667B01">
        <w:rPr>
          <w:szCs w:val="22"/>
        </w:rPr>
        <w:t>A turbidity probe is mounted at the entrance to the flume and electrical conductivity probes are located at both the inlet to the stilling basin and at the entry to the flume. An automatic pump sampler collects event-based water samples</w:t>
      </w:r>
      <w:r>
        <w:rPr>
          <w:szCs w:val="22"/>
        </w:rPr>
        <w:t xml:space="preserve"> on electrical conductivity and turbidity triggers</w:t>
      </w:r>
      <w:r w:rsidRPr="00667B01">
        <w:rPr>
          <w:szCs w:val="22"/>
        </w:rPr>
        <w:t>. Water samples were collected from all four plots in 2009/10 but only from Plot</w:t>
      </w:r>
      <w:r>
        <w:rPr>
          <w:szCs w:val="22"/>
        </w:rPr>
        <w:t>s 1 and 4 in 2010/11</w:t>
      </w:r>
      <w:r w:rsidRPr="00667B01">
        <w:rPr>
          <w:szCs w:val="22"/>
        </w:rPr>
        <w:t xml:space="preserve">. A data logger with mobile phone telemetry connection stores the above data plus rainfall intensity recorded by a tipping bucket </w:t>
      </w:r>
      <w:proofErr w:type="spellStart"/>
      <w:r w:rsidRPr="00667B01">
        <w:rPr>
          <w:szCs w:val="22"/>
        </w:rPr>
        <w:t>pluviometer</w:t>
      </w:r>
      <w:proofErr w:type="spellEnd"/>
      <w:r w:rsidRPr="00667B01">
        <w:rPr>
          <w:szCs w:val="22"/>
        </w:rPr>
        <w:t xml:space="preserve">. A fixed point camera takes photos every 15 minutes of the flume and stilling basin during the wet season on each plot. </w:t>
      </w:r>
      <w:proofErr w:type="spellStart"/>
      <w:r w:rsidRPr="00667B01">
        <w:rPr>
          <w:szCs w:val="22"/>
        </w:rPr>
        <w:t>Bedload</w:t>
      </w:r>
      <w:proofErr w:type="spellEnd"/>
      <w:r w:rsidRPr="00667B01">
        <w:rPr>
          <w:szCs w:val="22"/>
        </w:rPr>
        <w:t xml:space="preserve"> is collected manually at least </w:t>
      </w:r>
      <w:r>
        <w:rPr>
          <w:szCs w:val="22"/>
        </w:rPr>
        <w:t xml:space="preserve">monthly </w:t>
      </w:r>
      <w:r w:rsidRPr="00667B01">
        <w:rPr>
          <w:szCs w:val="22"/>
        </w:rPr>
        <w:t>from the PVC drain and from the stilling basin upslope of the flume.</w:t>
      </w:r>
    </w:p>
    <w:p w:rsidR="00B36F09" w:rsidRPr="00667B01" w:rsidRDefault="00B36F09" w:rsidP="00B36F09">
      <w:pPr>
        <w:rPr>
          <w:szCs w:val="22"/>
        </w:rPr>
      </w:pPr>
      <w:r>
        <w:rPr>
          <w:szCs w:val="22"/>
        </w:rPr>
        <w:t>When the discrete water samples collected by</w:t>
      </w:r>
      <w:r w:rsidRPr="00667B01">
        <w:rPr>
          <w:szCs w:val="22"/>
        </w:rPr>
        <w:t xml:space="preserve"> the pump samplers</w:t>
      </w:r>
      <w:r>
        <w:rPr>
          <w:szCs w:val="22"/>
        </w:rPr>
        <w:t xml:space="preserve"> are retrieved, </w:t>
      </w:r>
      <w:r w:rsidRPr="00667B01">
        <w:rPr>
          <w:szCs w:val="22"/>
        </w:rPr>
        <w:t xml:space="preserve">predetermined samples </w:t>
      </w:r>
      <w:r>
        <w:rPr>
          <w:szCs w:val="22"/>
        </w:rPr>
        <w:t xml:space="preserve">(based on measured EC trace) </w:t>
      </w:r>
      <w:r w:rsidRPr="00667B01">
        <w:rPr>
          <w:szCs w:val="22"/>
        </w:rPr>
        <w:t xml:space="preserve">are </w:t>
      </w:r>
      <w:proofErr w:type="spellStart"/>
      <w:r w:rsidRPr="00667B01">
        <w:rPr>
          <w:szCs w:val="22"/>
        </w:rPr>
        <w:t>subsampled</w:t>
      </w:r>
      <w:proofErr w:type="spellEnd"/>
      <w:r w:rsidRPr="00667B01">
        <w:rPr>
          <w:szCs w:val="22"/>
        </w:rPr>
        <w:t xml:space="preserve"> for chemical analyses. Electrical conductivity </w:t>
      </w:r>
      <w:r>
        <w:rPr>
          <w:szCs w:val="22"/>
        </w:rPr>
        <w:t>and pH are measured on site for</w:t>
      </w:r>
      <w:r w:rsidRPr="00667B01">
        <w:rPr>
          <w:szCs w:val="22"/>
        </w:rPr>
        <w:t xml:space="preserve"> each sample. </w:t>
      </w:r>
      <w:r>
        <w:rPr>
          <w:szCs w:val="22"/>
        </w:rPr>
        <w:t>The aliquots for chemical analysis</w:t>
      </w:r>
      <w:r w:rsidRPr="00667B01">
        <w:rPr>
          <w:szCs w:val="22"/>
        </w:rPr>
        <w:t xml:space="preserve"> are stored on ice and transported to </w:t>
      </w:r>
      <w:r>
        <w:rPr>
          <w:szCs w:val="22"/>
        </w:rPr>
        <w:t xml:space="preserve">the </w:t>
      </w:r>
      <w:r w:rsidRPr="00667B01">
        <w:rPr>
          <w:szCs w:val="22"/>
        </w:rPr>
        <w:t>Northern Territory Environmental Laboratories (NTEL) where</w:t>
      </w:r>
      <w:r>
        <w:rPr>
          <w:szCs w:val="22"/>
        </w:rPr>
        <w:t xml:space="preserve"> the following are determined: total nitrogen, total phosphorus, orthophosphate, chloride, aluminium, barium, calcium, copper, iron, potassium, magnesium, manganese, sodium, nickel, lead, </w:t>
      </w:r>
      <w:proofErr w:type="spellStart"/>
      <w:r>
        <w:rPr>
          <w:szCs w:val="22"/>
        </w:rPr>
        <w:t>sulfate</w:t>
      </w:r>
      <w:proofErr w:type="spellEnd"/>
      <w:r>
        <w:rPr>
          <w:szCs w:val="22"/>
        </w:rPr>
        <w:t>, silica, uranium and z</w:t>
      </w:r>
      <w:r w:rsidRPr="00667B01">
        <w:rPr>
          <w:szCs w:val="22"/>
        </w:rPr>
        <w:t xml:space="preserve">inc. The remainder of the water samples are returned to the </w:t>
      </w:r>
      <w:proofErr w:type="spellStart"/>
      <w:r w:rsidRPr="000C7F7C">
        <w:rPr>
          <w:b/>
          <w:i/>
          <w:sz w:val="26"/>
          <w:szCs w:val="22"/>
        </w:rPr>
        <w:t>eriss</w:t>
      </w:r>
      <w:proofErr w:type="spellEnd"/>
      <w:r w:rsidRPr="00667B01">
        <w:rPr>
          <w:szCs w:val="22"/>
        </w:rPr>
        <w:t xml:space="preserve"> laboratory in Darwin where turbidity is measured before the samples are filtered through a 0.45 µm cellulose nitrate filter paper to determine total suspended solids.</w:t>
      </w:r>
    </w:p>
    <w:p w:rsidR="00B36F09" w:rsidRPr="00667B01" w:rsidRDefault="00B36F09" w:rsidP="00B36F09">
      <w:pPr>
        <w:spacing w:after="0"/>
        <w:rPr>
          <w:szCs w:val="22"/>
        </w:rPr>
      </w:pPr>
    </w:p>
    <w:p w:rsidR="00B36F09" w:rsidRPr="00667B01" w:rsidRDefault="00B36F09" w:rsidP="00B36F09">
      <w:pPr>
        <w:jc w:val="center"/>
        <w:rPr>
          <w:szCs w:val="22"/>
        </w:rPr>
      </w:pPr>
      <w:r w:rsidRPr="00667B01">
        <w:rPr>
          <w:noProof/>
          <w:szCs w:val="22"/>
          <w:lang w:eastAsia="en-AU"/>
        </w:rPr>
        <w:drawing>
          <wp:inline distT="0" distB="0" distL="0" distR="0">
            <wp:extent cx="4708358" cy="3177004"/>
            <wp:effectExtent l="1905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srcRect l="1164" t="1020" r="1545" b="1837"/>
                    <a:stretch>
                      <a:fillRect/>
                    </a:stretch>
                  </pic:blipFill>
                  <pic:spPr bwMode="auto">
                    <a:xfrm>
                      <a:off x="0" y="0"/>
                      <a:ext cx="4712607" cy="3179871"/>
                    </a:xfrm>
                    <a:prstGeom prst="rect">
                      <a:avLst/>
                    </a:prstGeom>
                    <a:noFill/>
                    <a:ln w="9525">
                      <a:noFill/>
                      <a:miter lim="800000"/>
                      <a:headEnd/>
                      <a:tailEnd/>
                    </a:ln>
                  </pic:spPr>
                </pic:pic>
              </a:graphicData>
            </a:graphic>
          </wp:inline>
        </w:drawing>
      </w:r>
    </w:p>
    <w:p w:rsidR="00B36F09" w:rsidRPr="00321721" w:rsidRDefault="00B36F09" w:rsidP="00B36F09">
      <w:pPr>
        <w:pStyle w:val="figurecaption"/>
      </w:pPr>
      <w:r w:rsidRPr="00321721">
        <w:rPr>
          <w:b/>
        </w:rPr>
        <w:t xml:space="preserve">Figure </w:t>
      </w:r>
      <w:proofErr w:type="gramStart"/>
      <w:r w:rsidRPr="00321721">
        <w:rPr>
          <w:b/>
        </w:rPr>
        <w:t>1</w:t>
      </w:r>
      <w:r w:rsidRPr="00321721">
        <w:t xml:space="preserve">  Layout</w:t>
      </w:r>
      <w:proofErr w:type="gramEnd"/>
      <w:r w:rsidRPr="00321721">
        <w:t xml:space="preserve"> of the erosion plots on the trial landform</w:t>
      </w:r>
    </w:p>
    <w:p w:rsidR="00B36F09" w:rsidRPr="00667B01" w:rsidRDefault="00DD66B9" w:rsidP="00B36F09">
      <w:pPr>
        <w:jc w:val="center"/>
        <w:rPr>
          <w:szCs w:val="22"/>
        </w:rPr>
      </w:pPr>
      <w:r>
        <w:rPr>
          <w:noProof/>
          <w:szCs w:val="22"/>
          <w:lang w:eastAsia="en-AU"/>
        </w:rPr>
        <w:lastRenderedPageBreak/>
        <w:pict>
          <v:shapetype id="_x0000_t32" coordsize="21600,21600" o:spt="32" o:oned="t" path="m,l21600,21600e" filled="f">
            <v:path arrowok="t" fillok="f" o:connecttype="none"/>
            <o:lock v:ext="edit" shapetype="t"/>
          </v:shapetype>
          <v:shape id="_x0000_s1031" type="#_x0000_t32" style="position:absolute;left:0;text-align:left;margin-left:198.4pt;margin-top:128.85pt;width:108.2pt;height:41.25pt;flip:x;z-index:251665408" o:connectortype="straight">
            <v:stroke endarrow="block"/>
          </v:shape>
        </w:pict>
      </w:r>
      <w:r w:rsidRPr="00DD66B9">
        <w:rPr>
          <w:noProof/>
          <w:szCs w:val="22"/>
          <w:lang w:val="en-US" w:eastAsia="zh-TW"/>
        </w:rPr>
        <w:pict>
          <v:shapetype id="_x0000_t202" coordsize="21600,21600" o:spt="202" path="m,l,21600r21600,l21600,xe">
            <v:stroke joinstyle="miter"/>
            <v:path gradientshapeok="t" o:connecttype="rect"/>
          </v:shapetype>
          <v:shape id="_x0000_s1029" type="#_x0000_t202" style="position:absolute;left:0;text-align:left;margin-left:303.75pt;margin-top:82.05pt;width:98.15pt;height:59.75pt;z-index:251663360;mso-height-percent:200;mso-height-percent:200;mso-width-relative:margin;mso-height-relative:margin" filled="f" stroked="f">
            <v:textbox style="mso-next-textbox:#_x0000_s1029;mso-fit-shape-to-text:t">
              <w:txbxContent>
                <w:p w:rsidR="00B36F09" w:rsidRPr="004B272B" w:rsidRDefault="00B36F09" w:rsidP="00B36F09">
                  <w:pPr>
                    <w:jc w:val="left"/>
                    <w:rPr>
                      <w:rFonts w:ascii="Arial Black" w:hAnsi="Arial Black"/>
                    </w:rPr>
                  </w:pPr>
                  <w:r>
                    <w:rPr>
                      <w:rFonts w:ascii="Arial Black" w:hAnsi="Arial Black"/>
                    </w:rPr>
                    <w:t>Float well with optical shaft encoder</w:t>
                  </w:r>
                </w:p>
              </w:txbxContent>
            </v:textbox>
          </v:shape>
        </w:pict>
      </w:r>
      <w:r>
        <w:rPr>
          <w:noProof/>
          <w:szCs w:val="22"/>
          <w:lang w:eastAsia="en-AU"/>
        </w:rPr>
        <w:pict>
          <v:shape id="_x0000_s1033" type="#_x0000_t32" style="position:absolute;left:0;text-align:left;margin-left:263.65pt;margin-top:240.05pt;width:65.1pt;height:14.1pt;flip:x;z-index:251667456" o:connectortype="straight">
            <v:stroke endarrow="block"/>
          </v:shape>
        </w:pict>
      </w:r>
      <w:r w:rsidRPr="00DD66B9">
        <w:rPr>
          <w:noProof/>
          <w:szCs w:val="22"/>
          <w:lang w:val="en-US" w:eastAsia="zh-TW"/>
        </w:rPr>
        <w:pict>
          <v:shape id="_x0000_s1032" type="#_x0000_t202" style="position:absolute;left:0;text-align:left;margin-left:325.3pt;margin-top:228.75pt;width:85.1pt;height:28.7pt;z-index:251666432;mso-height-percent:200;mso-height-percent:200;mso-width-relative:margin;mso-height-relative:margin" filled="f" stroked="f">
            <v:textbox style="mso-next-textbox:#_x0000_s1032;mso-fit-shape-to-text:t">
              <w:txbxContent>
                <w:p w:rsidR="00B36F09" w:rsidRPr="006977C0" w:rsidRDefault="00B36F09" w:rsidP="00B36F09">
                  <w:pPr>
                    <w:rPr>
                      <w:rFonts w:ascii="Arial Black" w:hAnsi="Arial Black"/>
                      <w:color w:val="FFFFFF" w:themeColor="background1"/>
                    </w:rPr>
                  </w:pPr>
                  <w:r w:rsidRPr="006977C0">
                    <w:rPr>
                      <w:rFonts w:ascii="Arial Black" w:hAnsi="Arial Black"/>
                      <w:color w:val="FFFFFF" w:themeColor="background1"/>
                    </w:rPr>
                    <w:t>RBC Flume</w:t>
                  </w:r>
                </w:p>
              </w:txbxContent>
            </v:textbox>
          </v:shape>
        </w:pict>
      </w:r>
      <w:r>
        <w:rPr>
          <w:noProof/>
          <w:szCs w:val="22"/>
          <w:lang w:eastAsia="en-AU"/>
        </w:rPr>
        <w:pict>
          <v:shape id="_x0000_s1035" type="#_x0000_t32" style="position:absolute;left:0;text-align:left;margin-left:66.4pt;margin-top:173pt;width:60pt;height:70.65pt;z-index:251669504" o:connectortype="straight">
            <v:stroke endarrow="block"/>
          </v:shape>
        </w:pict>
      </w:r>
      <w:r>
        <w:rPr>
          <w:noProof/>
          <w:szCs w:val="22"/>
          <w:lang w:eastAsia="en-AU"/>
        </w:rPr>
        <w:pict>
          <v:shape id="_x0000_s1030" type="#_x0000_t32" style="position:absolute;left:0;text-align:left;margin-left:99.9pt;margin-top:111.3pt;width:30.6pt;height:17.55pt;z-index:251664384" o:connectortype="straight">
            <v:stroke endarrow="block"/>
          </v:shape>
        </w:pict>
      </w:r>
      <w:r>
        <w:rPr>
          <w:noProof/>
          <w:szCs w:val="22"/>
          <w:lang w:eastAsia="en-AU"/>
        </w:rPr>
        <w:pict>
          <v:shape id="_x0000_s1028" type="#_x0000_t32" style="position:absolute;left:0;text-align:left;margin-left:130.5pt;margin-top:41.65pt;width:46.85pt;height:6.2pt;z-index:251662336" o:connectortype="straight">
            <v:stroke endarrow="block"/>
          </v:shape>
        </w:pict>
      </w:r>
      <w:r w:rsidRPr="00DD66B9">
        <w:rPr>
          <w:noProof/>
          <w:szCs w:val="22"/>
          <w:lang w:val="en-US" w:eastAsia="zh-TW"/>
        </w:rPr>
        <w:pict>
          <v:shape id="_x0000_s1034" type="#_x0000_t202" style="position:absolute;left:0;text-align:left;margin-left:10.9pt;margin-top:149.9pt;width:91.85pt;height:27.05pt;z-index:251668480;mso-height-percent:200;mso-height-percent:200;mso-width-relative:margin;mso-height-relative:margin" filled="f" stroked="f">
            <v:textbox style="mso-next-textbox:#_x0000_s1034;mso-fit-shape-to-text:t">
              <w:txbxContent>
                <w:p w:rsidR="00B36F09" w:rsidRPr="006977C0" w:rsidRDefault="00B36F09" w:rsidP="00B36F09">
                  <w:pPr>
                    <w:rPr>
                      <w:rFonts w:ascii="Arial Black" w:hAnsi="Arial Black"/>
                      <w:color w:val="FFFFFF" w:themeColor="background1"/>
                    </w:rPr>
                  </w:pPr>
                  <w:r w:rsidRPr="006977C0">
                    <w:rPr>
                      <w:rFonts w:ascii="Arial Black" w:hAnsi="Arial Black"/>
                      <w:color w:val="FFFFFF" w:themeColor="background1"/>
                    </w:rPr>
                    <w:t>Stilling Basin</w:t>
                  </w:r>
                </w:p>
              </w:txbxContent>
            </v:textbox>
          </v:shape>
        </w:pict>
      </w:r>
      <w:r w:rsidRPr="00DD66B9">
        <w:rPr>
          <w:noProof/>
          <w:szCs w:val="22"/>
          <w:lang w:val="en-US" w:eastAsia="zh-TW"/>
        </w:rPr>
        <w:pict>
          <v:shape id="_x0000_s1027" type="#_x0000_t202" style="position:absolute;left:0;text-align:left;margin-left:42pt;margin-top:13.2pt;width:164.1pt;height:27.05pt;z-index:251661312;mso-height-percent:200;mso-height-percent:200;mso-width-relative:margin;mso-height-relative:margin" filled="f" stroked="f">
            <v:textbox style="mso-next-textbox:#_x0000_s1027;mso-fit-shape-to-text:t">
              <w:txbxContent>
                <w:p w:rsidR="00B36F09" w:rsidRPr="00875001" w:rsidRDefault="00B36F09" w:rsidP="00B36F09">
                  <w:pPr>
                    <w:jc w:val="left"/>
                    <w:rPr>
                      <w:rFonts w:ascii="Arial Black" w:hAnsi="Arial Black"/>
                    </w:rPr>
                  </w:pPr>
                  <w:r w:rsidRPr="00875001">
                    <w:rPr>
                      <w:rFonts w:ascii="Arial Black" w:hAnsi="Arial Black"/>
                    </w:rPr>
                    <w:t xml:space="preserve">Tipping Bucket </w:t>
                  </w:r>
                  <w:r>
                    <w:rPr>
                      <w:rFonts w:ascii="Arial Black" w:hAnsi="Arial Black"/>
                    </w:rPr>
                    <w:t xml:space="preserve">HS TB3 </w:t>
                  </w:r>
                  <w:r w:rsidRPr="00875001">
                    <w:rPr>
                      <w:rFonts w:ascii="Arial Black" w:hAnsi="Arial Black"/>
                    </w:rPr>
                    <w:t>rain gauge</w:t>
                  </w:r>
                </w:p>
              </w:txbxContent>
            </v:textbox>
          </v:shape>
        </w:pict>
      </w:r>
      <w:r w:rsidRPr="00DD66B9">
        <w:rPr>
          <w:noProof/>
          <w:szCs w:val="22"/>
          <w:lang w:val="en-US" w:eastAsia="zh-TW"/>
        </w:rPr>
        <w:pict>
          <v:shape id="_x0000_s1026" type="#_x0000_t202" style="position:absolute;left:0;text-align:left;margin-left:38.05pt;margin-top:93.3pt;width:73.5pt;height:27.05pt;z-index:251660288;mso-height-percent:200;mso-height-percent:200;mso-width-relative:margin;mso-height-relative:margin" filled="f" stroked="f">
            <v:textbox style="mso-next-textbox:#_x0000_s1026;mso-fit-shape-to-text:t">
              <w:txbxContent>
                <w:p w:rsidR="00B36F09" w:rsidRPr="00E07217" w:rsidRDefault="00B36F09" w:rsidP="00B36F09">
                  <w:pPr>
                    <w:rPr>
                      <w:rFonts w:ascii="Arial Black" w:hAnsi="Arial Black"/>
                    </w:rPr>
                  </w:pPr>
                  <w:r w:rsidRPr="00E07217">
                    <w:rPr>
                      <w:rFonts w:ascii="Arial Black" w:hAnsi="Arial Black"/>
                    </w:rPr>
                    <w:t>PVC pipe</w:t>
                  </w:r>
                </w:p>
              </w:txbxContent>
            </v:textbox>
          </v:shape>
        </w:pict>
      </w:r>
      <w:r w:rsidR="00B36F09" w:rsidRPr="00667B01">
        <w:rPr>
          <w:noProof/>
          <w:szCs w:val="22"/>
          <w:lang w:eastAsia="en-AU"/>
        </w:rPr>
        <w:drawing>
          <wp:inline distT="0" distB="0" distL="0" distR="0">
            <wp:extent cx="4963758" cy="3723400"/>
            <wp:effectExtent l="19050" t="0" r="8292" b="0"/>
            <wp:docPr id="39" name="Picture 2" descr="E:\Ranger Mine\Trial Landform\Plot2\2011\8-8-2011_F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nger Mine\Trial Landform\Plot2\2011\8-8-2011_Flume.jpg"/>
                    <pic:cNvPicPr>
                      <a:picLocks noChangeAspect="1" noChangeArrowheads="1"/>
                    </pic:cNvPicPr>
                  </pic:nvPicPr>
                  <pic:blipFill>
                    <a:blip r:embed="rId13" cstate="screen"/>
                    <a:srcRect/>
                    <a:stretch>
                      <a:fillRect/>
                    </a:stretch>
                  </pic:blipFill>
                  <pic:spPr bwMode="auto">
                    <a:xfrm>
                      <a:off x="0" y="0"/>
                      <a:ext cx="4975004" cy="3731836"/>
                    </a:xfrm>
                    <a:prstGeom prst="rect">
                      <a:avLst/>
                    </a:prstGeom>
                    <a:noFill/>
                    <a:ln w="9525">
                      <a:noFill/>
                      <a:miter lim="800000"/>
                      <a:headEnd/>
                      <a:tailEnd/>
                    </a:ln>
                  </pic:spPr>
                </pic:pic>
              </a:graphicData>
            </a:graphic>
          </wp:inline>
        </w:drawing>
      </w:r>
    </w:p>
    <w:p w:rsidR="00B36F09" w:rsidRPr="00321721" w:rsidRDefault="00B36F09" w:rsidP="00B36F09">
      <w:pPr>
        <w:pStyle w:val="figurecaption"/>
      </w:pPr>
      <w:r w:rsidRPr="00321721">
        <w:rPr>
          <w:b/>
        </w:rPr>
        <w:t xml:space="preserve">Figure </w:t>
      </w:r>
      <w:proofErr w:type="gramStart"/>
      <w:r w:rsidRPr="00321721">
        <w:rPr>
          <w:b/>
        </w:rPr>
        <w:t>2</w:t>
      </w:r>
      <w:r w:rsidRPr="00321721">
        <w:t xml:space="preserve">  PVC</w:t>
      </w:r>
      <w:proofErr w:type="gramEnd"/>
      <w:r w:rsidRPr="00321721">
        <w:t xml:space="preserve"> pipe along lower boundary of Plot 2 leading into the stilling basin </w:t>
      </w:r>
      <w:r>
        <w:br/>
      </w:r>
      <w:r w:rsidRPr="00321721">
        <w:t>immediately upslope of the RBC flume (8 August 2011)</w:t>
      </w:r>
    </w:p>
    <w:p w:rsidR="00B36F09" w:rsidRPr="00667B01" w:rsidRDefault="00DD66B9" w:rsidP="00B36F09">
      <w:pPr>
        <w:rPr>
          <w:szCs w:val="22"/>
        </w:rPr>
      </w:pPr>
      <w:r w:rsidRPr="00DD66B9">
        <w:rPr>
          <w:b/>
        </w:rPr>
        <w:pict>
          <v:shape id="_x0000_s1041" type="#_x0000_t32" style="position:absolute;left:0;text-align:left;margin-left:292.55pt;margin-top:59.55pt;width:29.2pt;height:7.95pt;flip:x;z-index:251675648" o:connectortype="straight" strokeweight="2.25pt">
            <v:stroke endarrow="block"/>
          </v:shape>
        </w:pict>
      </w:r>
      <w:r w:rsidRPr="00DD66B9">
        <w:rPr>
          <w:b/>
        </w:rPr>
        <w:pict>
          <v:shape id="_x0000_s1040" type="#_x0000_t202" style="position:absolute;left:0;text-align:left;margin-left:321.75pt;margin-top:46.5pt;width:78.35pt;height:28.7pt;z-index:251674624;mso-height-percent:200;mso-height-percent:200;mso-width-relative:margin;mso-height-relative:margin" filled="f" stroked="f">
            <v:textbox style="mso-next-textbox:#_x0000_s1040;mso-fit-shape-to-text:t">
              <w:txbxContent>
                <w:p w:rsidR="00B36F09" w:rsidRPr="00D46760" w:rsidRDefault="00B36F09" w:rsidP="00B36F09">
                  <w:pPr>
                    <w:rPr>
                      <w:rFonts w:ascii="Arial Black" w:hAnsi="Arial Black"/>
                      <w:color w:val="FFFFFF" w:themeColor="background1"/>
                    </w:rPr>
                  </w:pPr>
                  <w:r w:rsidRPr="00D46760">
                    <w:rPr>
                      <w:rFonts w:ascii="Arial Black" w:hAnsi="Arial Black"/>
                      <w:color w:val="FFFFFF" w:themeColor="background1"/>
                    </w:rPr>
                    <w:t>Float well</w:t>
                  </w:r>
                </w:p>
              </w:txbxContent>
            </v:textbox>
          </v:shape>
        </w:pict>
      </w:r>
      <w:r w:rsidRPr="00DD66B9">
        <w:rPr>
          <w:b/>
        </w:rPr>
        <w:pict>
          <v:shape id="_x0000_s1043" type="#_x0000_t32" style="position:absolute;left:0;text-align:left;margin-left:133pt;margin-top:263.05pt;width:44.35pt;height:.05pt;flip:x;z-index:251677696" o:connectortype="straight" strokeweight="2.25pt">
            <v:stroke endarrow="block"/>
          </v:shape>
        </w:pict>
      </w:r>
      <w:r w:rsidRPr="00DD66B9">
        <w:rPr>
          <w:b/>
        </w:rPr>
        <w:pict>
          <v:shape id="_x0000_s1042" type="#_x0000_t202" style="position:absolute;left:0;text-align:left;margin-left:173.9pt;margin-top:251.7pt;width:42.55pt;height:28.7pt;z-index:251676672;mso-height-percent:200;mso-height-percent:200;mso-width-relative:margin;mso-height-relative:margin" filled="f" stroked="f">
            <v:textbox style="mso-next-textbox:#_x0000_s1042;mso-fit-shape-to-text:t">
              <w:txbxContent>
                <w:p w:rsidR="00B36F09" w:rsidRPr="0090081F" w:rsidRDefault="00B36F09" w:rsidP="00B36F09">
                  <w:pPr>
                    <w:rPr>
                      <w:rFonts w:ascii="Arial Black" w:hAnsi="Arial Black"/>
                    </w:rPr>
                  </w:pPr>
                  <w:r>
                    <w:rPr>
                      <w:rFonts w:ascii="Arial Black" w:hAnsi="Arial Black"/>
                    </w:rPr>
                    <w:t>Exit</w:t>
                  </w:r>
                </w:p>
              </w:txbxContent>
            </v:textbox>
          </v:shape>
        </w:pict>
      </w:r>
      <w:r w:rsidRPr="00DD66B9">
        <w:rPr>
          <w:b/>
        </w:rPr>
        <w:pict>
          <v:shape id="_x0000_s1037" type="#_x0000_t32" style="position:absolute;left:0;text-align:left;margin-left:111.55pt;margin-top:111.6pt;width:81.8pt;height:29.55pt;z-index:251671552" o:connectortype="straight" strokeweight="2.25pt">
            <v:stroke endarrow="block"/>
          </v:shape>
        </w:pict>
      </w:r>
      <w:r w:rsidRPr="00DD66B9">
        <w:rPr>
          <w:b/>
        </w:rPr>
        <w:pict>
          <v:shape id="_x0000_s1036" type="#_x0000_t202" style="position:absolute;left:0;text-align:left;margin-left:30.4pt;margin-top:98.3pt;width:85.1pt;height:28.7pt;z-index:251670528;mso-height-percent:200;mso-height-percent:200;mso-width-relative:margin;mso-height-relative:margin" filled="f" stroked="f">
            <v:textbox style="mso-next-textbox:#_x0000_s1036;mso-fit-shape-to-text:t">
              <w:txbxContent>
                <w:p w:rsidR="00B36F09" w:rsidRPr="00D46760" w:rsidRDefault="00B36F09" w:rsidP="00B36F09">
                  <w:pPr>
                    <w:rPr>
                      <w:rFonts w:ascii="Arial Black" w:hAnsi="Arial Black"/>
                      <w:color w:val="FFFFFF" w:themeColor="background1"/>
                    </w:rPr>
                  </w:pPr>
                  <w:r w:rsidRPr="00D46760">
                    <w:rPr>
                      <w:rFonts w:ascii="Arial Black" w:hAnsi="Arial Black"/>
                      <w:color w:val="FFFFFF" w:themeColor="background1"/>
                    </w:rPr>
                    <w:t>RBC Flume</w:t>
                  </w:r>
                </w:p>
              </w:txbxContent>
            </v:textbox>
          </v:shape>
        </w:pict>
      </w:r>
      <w:r w:rsidRPr="00DD66B9">
        <w:rPr>
          <w:b/>
        </w:rPr>
        <w:pict>
          <v:shape id="_x0000_s1039" type="#_x0000_t32" style="position:absolute;left:0;text-align:left;margin-left:102.75pt;margin-top:67.5pt;width:84.9pt;height:41.05pt;z-index:251673600" o:connectortype="straight" strokeweight="2.25pt">
            <v:stroke endarrow="block"/>
          </v:shape>
        </w:pict>
      </w:r>
      <w:r w:rsidR="00B36F09" w:rsidRPr="00667B01">
        <w:rPr>
          <w:noProof/>
          <w:szCs w:val="22"/>
          <w:lang w:eastAsia="en-AU"/>
        </w:rPr>
        <w:drawing>
          <wp:inline distT="0" distB="0" distL="0" distR="0">
            <wp:extent cx="5153586" cy="3865047"/>
            <wp:effectExtent l="19050" t="0" r="8964" b="0"/>
            <wp:docPr id="40" name="Picture 0" descr="2-2-2010_Plo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010_Plot2-1.jpg"/>
                    <pic:cNvPicPr/>
                  </pic:nvPicPr>
                  <pic:blipFill>
                    <a:blip r:embed="rId14" cstate="screen"/>
                    <a:stretch>
                      <a:fillRect/>
                    </a:stretch>
                  </pic:blipFill>
                  <pic:spPr>
                    <a:xfrm>
                      <a:off x="0" y="0"/>
                      <a:ext cx="5153150" cy="3864720"/>
                    </a:xfrm>
                    <a:prstGeom prst="rect">
                      <a:avLst/>
                    </a:prstGeom>
                  </pic:spPr>
                </pic:pic>
              </a:graphicData>
            </a:graphic>
          </wp:inline>
        </w:drawing>
      </w:r>
    </w:p>
    <w:p w:rsidR="00B36F09" w:rsidRPr="00321721" w:rsidRDefault="00DD66B9" w:rsidP="00B36F09">
      <w:pPr>
        <w:pStyle w:val="figurecaption"/>
      </w:pPr>
      <w:r w:rsidRPr="00DD66B9">
        <w:rPr>
          <w:b/>
        </w:rPr>
        <w:pict>
          <v:shape id="_x0000_s1038" type="#_x0000_t202" style="position:absolute;left:0;text-align:left;margin-left:-1.85pt;margin-top:-287.25pt;width:139.85pt;height:54.5pt;z-index:251672576;mso-height-percent:200;mso-height-percent:200;mso-width-relative:margin;mso-height-relative:margin" filled="f" stroked="f">
            <v:textbox style="mso-next-textbox:#_x0000_s1038;mso-fit-shape-to-text:t">
              <w:txbxContent>
                <w:p w:rsidR="00B36F09" w:rsidRPr="00D46760" w:rsidRDefault="00B36F09" w:rsidP="00B36F09">
                  <w:pPr>
                    <w:jc w:val="left"/>
                    <w:rPr>
                      <w:rFonts w:ascii="Arial Black" w:hAnsi="Arial Black"/>
                      <w:color w:val="FFFFFF" w:themeColor="background1"/>
                    </w:rPr>
                  </w:pPr>
                  <w:proofErr w:type="spellStart"/>
                  <w:r w:rsidRPr="00D46760">
                    <w:rPr>
                      <w:rFonts w:ascii="Arial Black" w:hAnsi="Arial Black"/>
                      <w:color w:val="FFFFFF" w:themeColor="background1"/>
                    </w:rPr>
                    <w:t>Analite</w:t>
                  </w:r>
                  <w:proofErr w:type="spellEnd"/>
                  <w:r w:rsidRPr="00D46760">
                    <w:rPr>
                      <w:rFonts w:ascii="Arial Black" w:hAnsi="Arial Black"/>
                      <w:color w:val="FFFFFF" w:themeColor="background1"/>
                    </w:rPr>
                    <w:t xml:space="preserve"> turbidity probe and inlet to pump</w:t>
                  </w:r>
                  <w:r>
                    <w:rPr>
                      <w:rFonts w:ascii="Arial Black" w:hAnsi="Arial Black"/>
                    </w:rPr>
                    <w:t xml:space="preserve"> </w:t>
                  </w:r>
                  <w:r w:rsidRPr="00D46760">
                    <w:rPr>
                      <w:rFonts w:ascii="Arial Black" w:hAnsi="Arial Black"/>
                      <w:color w:val="FFFFFF" w:themeColor="background1"/>
                    </w:rPr>
                    <w:t>sampler</w:t>
                  </w:r>
                </w:p>
              </w:txbxContent>
            </v:textbox>
          </v:shape>
        </w:pict>
      </w:r>
      <w:r w:rsidR="00B36F09" w:rsidRPr="00321721">
        <w:rPr>
          <w:b/>
        </w:rPr>
        <w:t>Figure 3</w:t>
      </w:r>
      <w:r w:rsidR="00B36F09" w:rsidRPr="00321721">
        <w:t xml:space="preserve">  Upstream view of a 200 mm RBC Flume on Plot 2 (2 February 2010) showing float well on right hand side, and </w:t>
      </w:r>
      <w:proofErr w:type="spellStart"/>
      <w:r w:rsidR="00B36F09" w:rsidRPr="00321721">
        <w:t>Analite</w:t>
      </w:r>
      <w:proofErr w:type="spellEnd"/>
      <w:r w:rsidR="00B36F09" w:rsidRPr="00321721">
        <w:t xml:space="preserve"> NEP395GSV3 turbidity probe and inlet to the </w:t>
      </w:r>
      <w:proofErr w:type="spellStart"/>
      <w:r w:rsidR="00B36F09" w:rsidRPr="00321721">
        <w:t>Gamet</w:t>
      </w:r>
      <w:proofErr w:type="spellEnd"/>
      <w:r w:rsidR="00B36F09" w:rsidRPr="00321721">
        <w:t xml:space="preserve"> pump sampler at the entrance to the flume (WD Erskine Photo)</w:t>
      </w:r>
    </w:p>
    <w:p w:rsidR="00B36F09" w:rsidRPr="00667B01" w:rsidRDefault="00B36F09" w:rsidP="00B36F09">
      <w:pPr>
        <w:rPr>
          <w:szCs w:val="22"/>
        </w:rPr>
      </w:pPr>
      <w:r w:rsidRPr="00667B01">
        <w:rPr>
          <w:szCs w:val="22"/>
        </w:rPr>
        <w:lastRenderedPageBreak/>
        <w:t xml:space="preserve">A water year that extends from the driest month for 12 consecutive months, instead of being represented by a calendar year, is used to report the results since the use of a calendar year would inappropriately combine data from two different wet seasons. This is because the wet season in the ARR typically extends over a six to seven month period from late October in one year to the end of April in the next (for example, October 2010 to April 2011). To include, within the correct water year, significant rainfall events that can also occur </w:t>
      </w:r>
      <w:r>
        <w:rPr>
          <w:szCs w:val="22"/>
        </w:rPr>
        <w:t xml:space="preserve">over </w:t>
      </w:r>
      <w:r w:rsidRPr="00667B01">
        <w:rPr>
          <w:szCs w:val="22"/>
        </w:rPr>
        <w:t xml:space="preserve">several weeks at either end of the wet season, a </w:t>
      </w:r>
      <w:r>
        <w:rPr>
          <w:szCs w:val="22"/>
        </w:rPr>
        <w:t>‘</w:t>
      </w:r>
      <w:r w:rsidRPr="00667B01">
        <w:rPr>
          <w:szCs w:val="22"/>
        </w:rPr>
        <w:t>water year</w:t>
      </w:r>
      <w:r>
        <w:rPr>
          <w:szCs w:val="22"/>
        </w:rPr>
        <w:t>’</w:t>
      </w:r>
      <w:r w:rsidRPr="00667B01">
        <w:rPr>
          <w:szCs w:val="22"/>
        </w:rPr>
        <w:t xml:space="preserve"> has been defined as the period from </w:t>
      </w:r>
      <w:r>
        <w:rPr>
          <w:szCs w:val="22"/>
        </w:rPr>
        <w:t xml:space="preserve">1 </w:t>
      </w:r>
      <w:r w:rsidRPr="00667B01">
        <w:rPr>
          <w:szCs w:val="22"/>
        </w:rPr>
        <w:t xml:space="preserve">September in the first year to </w:t>
      </w:r>
      <w:r>
        <w:rPr>
          <w:szCs w:val="22"/>
        </w:rPr>
        <w:t xml:space="preserve">31 </w:t>
      </w:r>
      <w:r w:rsidRPr="00667B01">
        <w:rPr>
          <w:szCs w:val="22"/>
        </w:rPr>
        <w:t>August in the next.</w:t>
      </w:r>
    </w:p>
    <w:p w:rsidR="00B36F09" w:rsidRPr="000C7F7C" w:rsidRDefault="00B36F09" w:rsidP="00B36F09">
      <w:pPr>
        <w:rPr>
          <w:spacing w:val="-2"/>
          <w:szCs w:val="22"/>
        </w:rPr>
      </w:pPr>
      <w:r w:rsidRPr="000C7F7C">
        <w:rPr>
          <w:spacing w:val="-2"/>
          <w:szCs w:val="22"/>
          <w:lang w:eastAsia="en-AU"/>
        </w:rPr>
        <w:t xml:space="preserve">Sediment is transported by flowing water as either suspended load or </w:t>
      </w:r>
      <w:proofErr w:type="spellStart"/>
      <w:r w:rsidRPr="000C7F7C">
        <w:rPr>
          <w:spacing w:val="-2"/>
          <w:szCs w:val="22"/>
          <w:lang w:eastAsia="en-AU"/>
        </w:rPr>
        <w:t>bedload</w:t>
      </w:r>
      <w:proofErr w:type="spellEnd"/>
      <w:r w:rsidRPr="000C7F7C">
        <w:rPr>
          <w:spacing w:val="-2"/>
          <w:szCs w:val="22"/>
          <w:lang w:eastAsia="en-AU"/>
        </w:rPr>
        <w:t>. Suspended load refers to relatively fine-grained sediment transported in continuous or intermittent suspension, depending on grain size, flow velocity and fluid turbulence. Given that it can be transported in suspension over long distances it is most likely to have a downstream impact on water quality</w:t>
      </w:r>
      <w:r w:rsidRPr="000C7F7C">
        <w:rPr>
          <w:spacing w:val="-2"/>
          <w:szCs w:val="22"/>
        </w:rPr>
        <w:t xml:space="preserve">. </w:t>
      </w:r>
      <w:proofErr w:type="spellStart"/>
      <w:r w:rsidRPr="000C7F7C">
        <w:rPr>
          <w:spacing w:val="-2"/>
          <w:szCs w:val="22"/>
        </w:rPr>
        <w:t>Bedload</w:t>
      </w:r>
      <w:proofErr w:type="spellEnd"/>
      <w:r w:rsidRPr="000C7F7C">
        <w:rPr>
          <w:spacing w:val="-2"/>
          <w:szCs w:val="22"/>
        </w:rPr>
        <w:t xml:space="preserve"> is coarse sediment that is best defined as that part of the sediment load that moves on or near the ground surface rather than in the main bulk of overland flow. It stops moving once flow velocity reduces below a critical value. Both suspended and </w:t>
      </w:r>
      <w:proofErr w:type="spellStart"/>
      <w:r w:rsidRPr="000C7F7C">
        <w:rPr>
          <w:spacing w:val="-2"/>
          <w:szCs w:val="22"/>
        </w:rPr>
        <w:t>bedload</w:t>
      </w:r>
      <w:proofErr w:type="spellEnd"/>
      <w:r w:rsidRPr="000C7F7C">
        <w:rPr>
          <w:spacing w:val="-2"/>
          <w:szCs w:val="22"/>
        </w:rPr>
        <w:t xml:space="preserve"> sediment components are being measured as part of this project. The results of the </w:t>
      </w:r>
      <w:proofErr w:type="spellStart"/>
      <w:r w:rsidRPr="000C7F7C">
        <w:rPr>
          <w:spacing w:val="-2"/>
          <w:szCs w:val="22"/>
        </w:rPr>
        <w:t>bedload</w:t>
      </w:r>
      <w:proofErr w:type="spellEnd"/>
      <w:r w:rsidRPr="000C7F7C">
        <w:rPr>
          <w:spacing w:val="-2"/>
          <w:szCs w:val="22"/>
        </w:rPr>
        <w:t xml:space="preserve"> measurements are reported this year, with the suspended sediment data to be reported next year. </w:t>
      </w:r>
    </w:p>
    <w:p w:rsidR="00B36F09" w:rsidRDefault="00B36F09" w:rsidP="00B36F09">
      <w:pPr>
        <w:rPr>
          <w:szCs w:val="22"/>
        </w:rPr>
      </w:pPr>
      <w:proofErr w:type="spellStart"/>
      <w:r w:rsidRPr="00667B01">
        <w:rPr>
          <w:szCs w:val="22"/>
        </w:rPr>
        <w:t>Bedload</w:t>
      </w:r>
      <w:proofErr w:type="spellEnd"/>
      <w:r w:rsidRPr="00667B01">
        <w:rPr>
          <w:szCs w:val="22"/>
        </w:rPr>
        <w:t xml:space="preserve"> is trapped in either a drain at the down slope end of the plot, or in a deep collection basin </w:t>
      </w:r>
      <w:r>
        <w:rPr>
          <w:szCs w:val="22"/>
        </w:rPr>
        <w:t xml:space="preserve">(located upstream of the flow measurement flume) </w:t>
      </w:r>
      <w:r w:rsidRPr="00667B01">
        <w:rPr>
          <w:szCs w:val="22"/>
        </w:rPr>
        <w:t>at the discharge e</w:t>
      </w:r>
      <w:r>
        <w:rPr>
          <w:szCs w:val="22"/>
        </w:rPr>
        <w:t xml:space="preserve">nd of the </w:t>
      </w:r>
      <w:proofErr w:type="gramStart"/>
      <w:r>
        <w:rPr>
          <w:szCs w:val="22"/>
        </w:rPr>
        <w:t>drain .</w:t>
      </w:r>
      <w:proofErr w:type="gramEnd"/>
      <w:r>
        <w:rPr>
          <w:szCs w:val="22"/>
        </w:rPr>
        <w:t xml:space="preserve"> The sediment</w:t>
      </w:r>
      <w:r w:rsidRPr="00667B01">
        <w:rPr>
          <w:szCs w:val="22"/>
        </w:rPr>
        <w:t xml:space="preserve"> from both the drain and basin is combined to form the </w:t>
      </w:r>
      <w:proofErr w:type="spellStart"/>
      <w:r w:rsidRPr="00667B01">
        <w:rPr>
          <w:szCs w:val="22"/>
        </w:rPr>
        <w:t>bedload</w:t>
      </w:r>
      <w:proofErr w:type="spellEnd"/>
      <w:r w:rsidRPr="00667B01">
        <w:rPr>
          <w:szCs w:val="22"/>
        </w:rPr>
        <w:t xml:space="preserve"> sample. </w:t>
      </w:r>
      <w:proofErr w:type="spellStart"/>
      <w:r w:rsidRPr="00667B01">
        <w:rPr>
          <w:szCs w:val="22"/>
        </w:rPr>
        <w:t>Bedload</w:t>
      </w:r>
      <w:proofErr w:type="spellEnd"/>
      <w:r w:rsidRPr="00667B01">
        <w:rPr>
          <w:szCs w:val="22"/>
        </w:rPr>
        <w:t xml:space="preserve"> samples were collected usually at weekly to monthly intervals during the wet season, or on an as needs basis in response to isolated large rainfall events. The collected samples were transported to the </w:t>
      </w:r>
      <w:proofErr w:type="spellStart"/>
      <w:r w:rsidRPr="000C7F7C">
        <w:rPr>
          <w:b/>
          <w:i/>
          <w:sz w:val="26"/>
          <w:szCs w:val="22"/>
        </w:rPr>
        <w:t>eriss</w:t>
      </w:r>
      <w:proofErr w:type="spellEnd"/>
      <w:r w:rsidRPr="00667B01">
        <w:rPr>
          <w:szCs w:val="22"/>
        </w:rPr>
        <w:t xml:space="preserve"> laboratory in Darwin, oven dried and weighed. The grain size distribution for each </w:t>
      </w:r>
      <w:proofErr w:type="spellStart"/>
      <w:r w:rsidRPr="00667B01">
        <w:rPr>
          <w:szCs w:val="22"/>
        </w:rPr>
        <w:t>bedload</w:t>
      </w:r>
      <w:proofErr w:type="spellEnd"/>
      <w:r w:rsidRPr="00667B01">
        <w:rPr>
          <w:szCs w:val="22"/>
        </w:rPr>
        <w:t xml:space="preserve"> sample from each plot was determined using a combination of sieve and hydrometer (gravity settling) methods to determine the percentage of gravel (&gt; 2 mm), sand (&lt; 2 mm and &gt; 63 µm), and silt and clay (&lt; 63 µm). </w:t>
      </w:r>
    </w:p>
    <w:p w:rsidR="00B36F09" w:rsidRDefault="00B36F09" w:rsidP="00B36F09">
      <w:pPr>
        <w:rPr>
          <w:szCs w:val="22"/>
        </w:rPr>
      </w:pPr>
      <w:r w:rsidRPr="00667B01">
        <w:rPr>
          <w:szCs w:val="22"/>
        </w:rPr>
        <w:t>Bulk samples of surface material were collected at 12 sites across the trial landform with two samples col</w:t>
      </w:r>
      <w:r>
        <w:rPr>
          <w:szCs w:val="22"/>
        </w:rPr>
        <w:t>lected at each site. O</w:t>
      </w:r>
      <w:r w:rsidRPr="00667B01">
        <w:rPr>
          <w:szCs w:val="22"/>
        </w:rPr>
        <w:t>ne sample was</w:t>
      </w:r>
      <w:r>
        <w:rPr>
          <w:szCs w:val="22"/>
        </w:rPr>
        <w:t xml:space="preserve"> generally</w:t>
      </w:r>
      <w:r w:rsidRPr="00667B01">
        <w:rPr>
          <w:szCs w:val="22"/>
        </w:rPr>
        <w:t xml:space="preserve"> collected from between rip lines and the other sample was collected from the top of t</w:t>
      </w:r>
      <w:r>
        <w:rPr>
          <w:szCs w:val="22"/>
        </w:rPr>
        <w:t>he mound formed by the rip line. Particle size analysis by the</w:t>
      </w:r>
      <w:r w:rsidRPr="00667B01">
        <w:rPr>
          <w:szCs w:val="22"/>
        </w:rPr>
        <w:t xml:space="preserve"> combined hydrometer and sieve method </w:t>
      </w:r>
      <w:r>
        <w:rPr>
          <w:szCs w:val="22"/>
        </w:rPr>
        <w:t xml:space="preserve">(Gee &amp; </w:t>
      </w:r>
      <w:proofErr w:type="spellStart"/>
      <w:r>
        <w:rPr>
          <w:szCs w:val="22"/>
        </w:rPr>
        <w:t>Bauder</w:t>
      </w:r>
      <w:proofErr w:type="spellEnd"/>
      <w:r>
        <w:rPr>
          <w:szCs w:val="22"/>
        </w:rPr>
        <w:t xml:space="preserve"> 1986) </w:t>
      </w:r>
      <w:r w:rsidRPr="00667B01">
        <w:rPr>
          <w:szCs w:val="22"/>
        </w:rPr>
        <w:t>was undertaken on the 24 samples and graphic grain size statistics calculated from the cumulative frequency distribution</w:t>
      </w:r>
      <w:r>
        <w:rPr>
          <w:szCs w:val="22"/>
        </w:rPr>
        <w:t xml:space="preserve"> (</w:t>
      </w:r>
      <w:proofErr w:type="spellStart"/>
      <w:r>
        <w:rPr>
          <w:szCs w:val="22"/>
        </w:rPr>
        <w:t>Saynor</w:t>
      </w:r>
      <w:proofErr w:type="spellEnd"/>
      <w:r>
        <w:rPr>
          <w:szCs w:val="22"/>
        </w:rPr>
        <w:t xml:space="preserve"> &amp; Houghton 2011)</w:t>
      </w:r>
      <w:r w:rsidRPr="00667B01">
        <w:rPr>
          <w:szCs w:val="22"/>
        </w:rPr>
        <w:t xml:space="preserve">. A software package called </w:t>
      </w:r>
      <w:r>
        <w:rPr>
          <w:szCs w:val="22"/>
        </w:rPr>
        <w:t>‘</w:t>
      </w:r>
      <w:r w:rsidRPr="00667B01">
        <w:rPr>
          <w:szCs w:val="22"/>
        </w:rPr>
        <w:t xml:space="preserve">Digital </w:t>
      </w:r>
      <w:proofErr w:type="spellStart"/>
      <w:r w:rsidRPr="00667B01">
        <w:rPr>
          <w:szCs w:val="22"/>
        </w:rPr>
        <w:t>Gravelometer</w:t>
      </w:r>
      <w:proofErr w:type="spellEnd"/>
      <w:r>
        <w:rPr>
          <w:szCs w:val="22"/>
        </w:rPr>
        <w:t>’</w:t>
      </w:r>
      <w:r w:rsidRPr="00667B01">
        <w:rPr>
          <w:rFonts w:ascii="Times New (W1)" w:hAnsi="Times New (W1)"/>
          <w:snapToGrid w:val="0"/>
          <w:color w:val="000000"/>
          <w:position w:val="5"/>
          <w:szCs w:val="22"/>
          <w:u w:color="000000"/>
          <w:vertAlign w:val="superscript"/>
        </w:rPr>
        <w:t>TM</w:t>
      </w:r>
      <w:r w:rsidRPr="00667B01">
        <w:rPr>
          <w:szCs w:val="22"/>
        </w:rPr>
        <w:t xml:space="preserve"> was also used to derive particle size distributions from vertical photographs of the surface material at the same sites and the graphic grain size statistics were calculated from the cumulative frequency distribution</w:t>
      </w:r>
      <w:r>
        <w:rPr>
          <w:szCs w:val="22"/>
        </w:rPr>
        <w:t xml:space="preserve"> (</w:t>
      </w:r>
      <w:proofErr w:type="spellStart"/>
      <w:r>
        <w:rPr>
          <w:szCs w:val="22"/>
        </w:rPr>
        <w:t>Saynor</w:t>
      </w:r>
      <w:proofErr w:type="spellEnd"/>
      <w:r>
        <w:rPr>
          <w:szCs w:val="22"/>
        </w:rPr>
        <w:t xml:space="preserve"> &amp; Houghton 2011)</w:t>
      </w:r>
      <w:r w:rsidRPr="00667B01">
        <w:rPr>
          <w:szCs w:val="22"/>
        </w:rPr>
        <w:t>.</w:t>
      </w:r>
      <w:r>
        <w:rPr>
          <w:szCs w:val="22"/>
        </w:rPr>
        <w:t xml:space="preserve"> This information is required to run the CAESAR landform evolution model (Lowry et al 2012).</w:t>
      </w:r>
    </w:p>
    <w:p w:rsidR="00B36F09" w:rsidRPr="00667B01" w:rsidRDefault="00B36F09" w:rsidP="00B36F09">
      <w:pPr>
        <w:pStyle w:val="Heading2"/>
      </w:pPr>
      <w:bookmarkStart w:id="11" w:name="_Toc313523527"/>
      <w:bookmarkStart w:id="12" w:name="_Toc316985369"/>
      <w:r w:rsidRPr="00667B01">
        <w:t>Progress to date</w:t>
      </w:r>
      <w:bookmarkEnd w:id="11"/>
      <w:bookmarkEnd w:id="12"/>
    </w:p>
    <w:p w:rsidR="00B36F09" w:rsidRDefault="00B36F09" w:rsidP="00B36F09">
      <w:pPr>
        <w:rPr>
          <w:szCs w:val="22"/>
        </w:rPr>
      </w:pPr>
      <w:r w:rsidRPr="00667B01">
        <w:rPr>
          <w:szCs w:val="22"/>
        </w:rPr>
        <w:t xml:space="preserve">Due to loss of staff, </w:t>
      </w:r>
      <w:r>
        <w:rPr>
          <w:szCs w:val="22"/>
        </w:rPr>
        <w:t xml:space="preserve">processing of most of the collected data </w:t>
      </w:r>
      <w:r w:rsidRPr="00667B01">
        <w:rPr>
          <w:szCs w:val="22"/>
        </w:rPr>
        <w:t xml:space="preserve">was </w:t>
      </w:r>
      <w:r>
        <w:rPr>
          <w:szCs w:val="22"/>
        </w:rPr>
        <w:t xml:space="preserve">not </w:t>
      </w:r>
      <w:r w:rsidRPr="00667B01">
        <w:rPr>
          <w:szCs w:val="22"/>
        </w:rPr>
        <w:t>possible during the first</w:t>
      </w:r>
      <w:r>
        <w:rPr>
          <w:szCs w:val="22"/>
        </w:rPr>
        <w:t xml:space="preserve"> water year (2009/10). This situation was rectified</w:t>
      </w:r>
      <w:r w:rsidRPr="00667B01">
        <w:rPr>
          <w:szCs w:val="22"/>
        </w:rPr>
        <w:t xml:space="preserve"> in 2011 and data processing </w:t>
      </w:r>
      <w:r>
        <w:rPr>
          <w:szCs w:val="22"/>
        </w:rPr>
        <w:t xml:space="preserve">is now </w:t>
      </w:r>
      <w:r w:rsidRPr="00667B01">
        <w:rPr>
          <w:szCs w:val="22"/>
        </w:rPr>
        <w:t>well</w:t>
      </w:r>
      <w:r>
        <w:rPr>
          <w:szCs w:val="22"/>
        </w:rPr>
        <w:t xml:space="preserve"> advanced</w:t>
      </w:r>
      <w:r w:rsidRPr="00667B01">
        <w:rPr>
          <w:szCs w:val="22"/>
        </w:rPr>
        <w:t xml:space="preserve">. All rainfall data for 2009/10 and 2010/11 have been checked and any gaps </w:t>
      </w:r>
      <w:proofErr w:type="spellStart"/>
      <w:r w:rsidRPr="00667B01">
        <w:rPr>
          <w:szCs w:val="22"/>
        </w:rPr>
        <w:t>infilled</w:t>
      </w:r>
      <w:proofErr w:type="spellEnd"/>
      <w:r w:rsidRPr="00667B01">
        <w:rPr>
          <w:szCs w:val="22"/>
        </w:rPr>
        <w:t xml:space="preserve">. Water heights, </w:t>
      </w:r>
      <w:proofErr w:type="spellStart"/>
      <w:r w:rsidRPr="00667B01">
        <w:rPr>
          <w:szCs w:val="22"/>
        </w:rPr>
        <w:t>turbidities</w:t>
      </w:r>
      <w:proofErr w:type="spellEnd"/>
      <w:r w:rsidRPr="00667B01">
        <w:rPr>
          <w:szCs w:val="22"/>
        </w:rPr>
        <w:t xml:space="preserve"> and electrical </w:t>
      </w:r>
      <w:proofErr w:type="spellStart"/>
      <w:r w:rsidRPr="00667B01">
        <w:rPr>
          <w:szCs w:val="22"/>
        </w:rPr>
        <w:t>condictivities</w:t>
      </w:r>
      <w:proofErr w:type="spellEnd"/>
      <w:r w:rsidRPr="00667B01">
        <w:rPr>
          <w:szCs w:val="22"/>
        </w:rPr>
        <w:t xml:space="preserve"> for Plot 1 have been checked and any gaps </w:t>
      </w:r>
      <w:proofErr w:type="spellStart"/>
      <w:r w:rsidRPr="00667B01">
        <w:rPr>
          <w:szCs w:val="22"/>
        </w:rPr>
        <w:t>infilled</w:t>
      </w:r>
      <w:proofErr w:type="spellEnd"/>
      <w:r w:rsidRPr="00667B01">
        <w:rPr>
          <w:szCs w:val="22"/>
        </w:rPr>
        <w:t xml:space="preserve"> for the water years 2009/10 and 2010/11. Work is still in progress for </w:t>
      </w:r>
      <w:r>
        <w:rPr>
          <w:szCs w:val="22"/>
        </w:rPr>
        <w:t xml:space="preserve">the retrospective cleaning and analysis of the previous two wet season’s data for </w:t>
      </w:r>
      <w:r w:rsidRPr="00667B01">
        <w:rPr>
          <w:szCs w:val="22"/>
        </w:rPr>
        <w:t>Plots 2, 3 and 4. All continuously recorded data for the 2011/12 water year are being checked and stored on a weekly basis.</w:t>
      </w:r>
    </w:p>
    <w:p w:rsidR="00B36F09" w:rsidRDefault="00B36F09" w:rsidP="00B36F09">
      <w:pPr>
        <w:pStyle w:val="Heading2"/>
      </w:pPr>
      <w:bookmarkStart w:id="13" w:name="_Toc313523528"/>
      <w:bookmarkStart w:id="14" w:name="_Toc316985370"/>
      <w:r w:rsidRPr="00667B01">
        <w:lastRenderedPageBreak/>
        <w:t>Results</w:t>
      </w:r>
      <w:bookmarkEnd w:id="13"/>
      <w:bookmarkEnd w:id="14"/>
    </w:p>
    <w:p w:rsidR="00B36F09" w:rsidRPr="00ED30D8" w:rsidRDefault="00B36F09" w:rsidP="00B36F09">
      <w:r w:rsidRPr="00667B01">
        <w:rPr>
          <w:lang w:eastAsia="en-AU"/>
        </w:rPr>
        <w:t xml:space="preserve">Measurements of </w:t>
      </w:r>
      <w:proofErr w:type="spellStart"/>
      <w:r w:rsidRPr="00667B01">
        <w:rPr>
          <w:lang w:eastAsia="en-AU"/>
        </w:rPr>
        <w:t>bedload</w:t>
      </w:r>
      <w:proofErr w:type="spellEnd"/>
      <w:r w:rsidRPr="00667B01">
        <w:rPr>
          <w:lang w:eastAsia="en-AU"/>
        </w:rPr>
        <w:t xml:space="preserve"> yields from each plot over the past two water years are presented first followed by </w:t>
      </w:r>
      <w:r>
        <w:rPr>
          <w:lang w:eastAsia="en-AU"/>
        </w:rPr>
        <w:t xml:space="preserve">information on the particle size characteristics of the </w:t>
      </w:r>
      <w:proofErr w:type="spellStart"/>
      <w:r>
        <w:rPr>
          <w:lang w:eastAsia="en-AU"/>
        </w:rPr>
        <w:t>surficial</w:t>
      </w:r>
      <w:proofErr w:type="spellEnd"/>
      <w:r>
        <w:rPr>
          <w:lang w:eastAsia="en-AU"/>
        </w:rPr>
        <w:t xml:space="preserve"> material</w:t>
      </w:r>
      <w:r w:rsidRPr="00667B01">
        <w:rPr>
          <w:lang w:eastAsia="en-AU"/>
        </w:rPr>
        <w:t>.</w:t>
      </w:r>
    </w:p>
    <w:p w:rsidR="00B36F09" w:rsidRPr="00667B01" w:rsidRDefault="00B36F09" w:rsidP="00B36F09">
      <w:pPr>
        <w:pStyle w:val="Heading3"/>
      </w:pPr>
      <w:bookmarkStart w:id="15" w:name="_Toc313523529"/>
      <w:bookmarkStart w:id="16" w:name="_Toc316985371"/>
      <w:r w:rsidRPr="00667B01">
        <w:t xml:space="preserve">Annual </w:t>
      </w:r>
      <w:proofErr w:type="spellStart"/>
      <w:r w:rsidRPr="00667B01">
        <w:t>bedload</w:t>
      </w:r>
      <w:proofErr w:type="spellEnd"/>
      <w:r w:rsidRPr="00667B01">
        <w:t xml:space="preserve"> yields</w:t>
      </w:r>
      <w:bookmarkEnd w:id="15"/>
      <w:bookmarkEnd w:id="16"/>
    </w:p>
    <w:p w:rsidR="00B36F09" w:rsidRDefault="00B36F09" w:rsidP="00B36F09">
      <w:pPr>
        <w:rPr>
          <w:szCs w:val="22"/>
        </w:rPr>
      </w:pPr>
      <w:r w:rsidRPr="00667B01">
        <w:rPr>
          <w:szCs w:val="22"/>
        </w:rPr>
        <w:t xml:space="preserve">The </w:t>
      </w:r>
      <w:proofErr w:type="spellStart"/>
      <w:r w:rsidRPr="00667B01">
        <w:rPr>
          <w:szCs w:val="22"/>
        </w:rPr>
        <w:t>bedload</w:t>
      </w:r>
      <w:proofErr w:type="spellEnd"/>
      <w:r w:rsidRPr="00667B01">
        <w:rPr>
          <w:szCs w:val="22"/>
        </w:rPr>
        <w:t xml:space="preserve"> yields for each plot for each water </w:t>
      </w:r>
      <w:r>
        <w:rPr>
          <w:szCs w:val="22"/>
        </w:rPr>
        <w:t xml:space="preserve">year are contained in Table </w:t>
      </w:r>
      <w:r w:rsidRPr="00667B01">
        <w:rPr>
          <w:szCs w:val="22"/>
        </w:rPr>
        <w:t xml:space="preserve">1. The annual rainfall recorded for each plot for each water year is </w:t>
      </w:r>
      <w:r>
        <w:rPr>
          <w:szCs w:val="22"/>
        </w:rPr>
        <w:t xml:space="preserve">also shown in Table </w:t>
      </w:r>
      <w:r w:rsidRPr="00667B01">
        <w:rPr>
          <w:szCs w:val="22"/>
        </w:rPr>
        <w:t>1.</w:t>
      </w:r>
    </w:p>
    <w:p w:rsidR="00B36F09" w:rsidRPr="006C159F" w:rsidRDefault="00B36F09" w:rsidP="00B36F09">
      <w:pPr>
        <w:pStyle w:val="tablecaption"/>
      </w:pPr>
      <w:r w:rsidRPr="006C159F">
        <w:rPr>
          <w:b/>
        </w:rPr>
        <w:t xml:space="preserve">Table </w:t>
      </w:r>
      <w:proofErr w:type="gramStart"/>
      <w:r w:rsidRPr="006C159F">
        <w:rPr>
          <w:b/>
        </w:rPr>
        <w:t>1</w:t>
      </w:r>
      <w:r>
        <w:rPr>
          <w:b/>
        </w:rPr>
        <w:t xml:space="preserve"> </w:t>
      </w:r>
      <w:r w:rsidRPr="006C159F">
        <w:t xml:space="preserve"> Yields</w:t>
      </w:r>
      <w:proofErr w:type="gramEnd"/>
      <w:r w:rsidRPr="006C159F">
        <w:t xml:space="preserve"> and particle size distribution of </w:t>
      </w:r>
      <w:proofErr w:type="spellStart"/>
      <w:r w:rsidRPr="006C159F">
        <w:t>bedload</w:t>
      </w:r>
      <w:proofErr w:type="spellEnd"/>
      <w:r w:rsidRPr="006C159F">
        <w:t xml:space="preserve"> from the four erosion plots for 2009-10 and 2010-2011 water </w:t>
      </w:r>
      <w:proofErr w:type="spellStart"/>
      <w:r w:rsidRPr="006C159F">
        <w:t>yeras</w:t>
      </w:r>
      <w:proofErr w:type="spellEnd"/>
      <w:r w:rsidRPr="006C159F">
        <w:t xml:space="preserve"> ( September to August inclusive)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9"/>
        <w:gridCol w:w="1234"/>
        <w:gridCol w:w="1225"/>
        <w:gridCol w:w="1255"/>
        <w:gridCol w:w="1218"/>
        <w:gridCol w:w="1200"/>
        <w:gridCol w:w="1187"/>
      </w:tblGrid>
      <w:tr w:rsidR="00B36F09" w:rsidTr="008F70D3">
        <w:tc>
          <w:tcPr>
            <w:tcW w:w="1320" w:type="dxa"/>
            <w:tcBorders>
              <w:top w:val="single" w:sz="4" w:space="0" w:color="auto"/>
              <w:bottom w:val="single" w:sz="4" w:space="0" w:color="auto"/>
            </w:tcBorders>
          </w:tcPr>
          <w:p w:rsidR="00B36F09" w:rsidRPr="00B61CCD" w:rsidRDefault="00B36F09" w:rsidP="008F70D3">
            <w:pPr>
              <w:pStyle w:val="table1"/>
              <w:rPr>
                <w:b/>
              </w:rPr>
            </w:pPr>
            <w:r w:rsidRPr="00B61CCD">
              <w:rPr>
                <w:b/>
              </w:rPr>
              <w:t>Water year</w:t>
            </w:r>
          </w:p>
        </w:tc>
        <w:tc>
          <w:tcPr>
            <w:tcW w:w="1320" w:type="dxa"/>
            <w:tcBorders>
              <w:top w:val="single" w:sz="4" w:space="0" w:color="auto"/>
              <w:bottom w:val="single" w:sz="4" w:space="0" w:color="auto"/>
            </w:tcBorders>
          </w:tcPr>
          <w:p w:rsidR="00B36F09" w:rsidRPr="00B61CCD" w:rsidRDefault="00B36F09" w:rsidP="008F70D3">
            <w:pPr>
              <w:pStyle w:val="table1"/>
              <w:rPr>
                <w:b/>
              </w:rPr>
            </w:pPr>
            <w:r w:rsidRPr="00B61CCD">
              <w:rPr>
                <w:b/>
              </w:rPr>
              <w:t>Erosion plot</w:t>
            </w:r>
          </w:p>
        </w:tc>
        <w:tc>
          <w:tcPr>
            <w:tcW w:w="1320" w:type="dxa"/>
            <w:tcBorders>
              <w:top w:val="single" w:sz="4" w:space="0" w:color="auto"/>
              <w:bottom w:val="single" w:sz="4" w:space="0" w:color="auto"/>
            </w:tcBorders>
          </w:tcPr>
          <w:p w:rsidR="00B36F09" w:rsidRPr="00B61CCD" w:rsidRDefault="00B36F09" w:rsidP="008F70D3">
            <w:pPr>
              <w:pStyle w:val="table1"/>
              <w:rPr>
                <w:b/>
              </w:rPr>
            </w:pPr>
            <w:r w:rsidRPr="00B61CCD">
              <w:rPr>
                <w:b/>
              </w:rPr>
              <w:t>Annual rainfall (mm)</w:t>
            </w:r>
          </w:p>
        </w:tc>
        <w:tc>
          <w:tcPr>
            <w:tcW w:w="1320" w:type="dxa"/>
            <w:tcBorders>
              <w:top w:val="single" w:sz="4" w:space="0" w:color="auto"/>
              <w:bottom w:val="single" w:sz="4" w:space="0" w:color="auto"/>
            </w:tcBorders>
          </w:tcPr>
          <w:p w:rsidR="00B36F09" w:rsidRPr="00B61CCD" w:rsidRDefault="00B36F09" w:rsidP="008F70D3">
            <w:pPr>
              <w:pStyle w:val="table1"/>
              <w:rPr>
                <w:b/>
              </w:rPr>
            </w:pPr>
            <w:r w:rsidRPr="00B61CCD">
              <w:rPr>
                <w:b/>
              </w:rPr>
              <w:t xml:space="preserve">Annual </w:t>
            </w:r>
            <w:proofErr w:type="spellStart"/>
            <w:r w:rsidRPr="00B61CCD">
              <w:rPr>
                <w:b/>
              </w:rPr>
              <w:t>bedload</w:t>
            </w:r>
            <w:proofErr w:type="spellEnd"/>
            <w:r w:rsidRPr="00B61CCD">
              <w:rPr>
                <w:b/>
              </w:rPr>
              <w:t xml:space="preserve"> yield (t/km2.yr)</w:t>
            </w:r>
          </w:p>
        </w:tc>
        <w:tc>
          <w:tcPr>
            <w:tcW w:w="1321" w:type="dxa"/>
            <w:tcBorders>
              <w:top w:val="single" w:sz="4" w:space="0" w:color="auto"/>
              <w:bottom w:val="single" w:sz="4" w:space="0" w:color="auto"/>
            </w:tcBorders>
          </w:tcPr>
          <w:p w:rsidR="00B36F09" w:rsidRPr="00B61CCD" w:rsidRDefault="00B36F09" w:rsidP="008F70D3">
            <w:pPr>
              <w:pStyle w:val="table1"/>
              <w:rPr>
                <w:b/>
              </w:rPr>
            </w:pPr>
            <w:r w:rsidRPr="00B61CCD">
              <w:rPr>
                <w:b/>
              </w:rPr>
              <w:t xml:space="preserve">% Gravel </w:t>
            </w:r>
            <w:r w:rsidRPr="00B61CCD">
              <w:rPr>
                <w:b/>
              </w:rPr>
              <w:br/>
              <w:t>(&gt; 2 mm)</w:t>
            </w:r>
          </w:p>
        </w:tc>
        <w:tc>
          <w:tcPr>
            <w:tcW w:w="1321" w:type="dxa"/>
            <w:tcBorders>
              <w:top w:val="single" w:sz="4" w:space="0" w:color="auto"/>
              <w:bottom w:val="single" w:sz="4" w:space="0" w:color="auto"/>
            </w:tcBorders>
          </w:tcPr>
          <w:p w:rsidR="00B36F09" w:rsidRPr="00B61CCD" w:rsidRDefault="00B36F09" w:rsidP="008F70D3">
            <w:pPr>
              <w:pStyle w:val="table1"/>
              <w:rPr>
                <w:b/>
              </w:rPr>
            </w:pPr>
            <w:r w:rsidRPr="00B61CCD">
              <w:rPr>
                <w:b/>
              </w:rPr>
              <w:t xml:space="preserve">% Sand </w:t>
            </w:r>
            <w:r w:rsidRPr="00B61CCD">
              <w:rPr>
                <w:b/>
              </w:rPr>
              <w:br/>
              <w:t>(&lt; 2 mm &amp;</w:t>
            </w:r>
            <w:r w:rsidRPr="00B61CCD">
              <w:rPr>
                <w:b/>
              </w:rPr>
              <w:br/>
              <w:t xml:space="preserve"> &gt; 63 µm)</w:t>
            </w:r>
          </w:p>
        </w:tc>
        <w:tc>
          <w:tcPr>
            <w:tcW w:w="1321" w:type="dxa"/>
            <w:tcBorders>
              <w:top w:val="single" w:sz="4" w:space="0" w:color="auto"/>
              <w:bottom w:val="single" w:sz="4" w:space="0" w:color="auto"/>
            </w:tcBorders>
          </w:tcPr>
          <w:p w:rsidR="00B36F09" w:rsidRPr="00B61CCD" w:rsidRDefault="00B36F09" w:rsidP="008F70D3">
            <w:pPr>
              <w:pStyle w:val="table1"/>
              <w:rPr>
                <w:b/>
              </w:rPr>
            </w:pPr>
            <w:r w:rsidRPr="00B61CCD">
              <w:rPr>
                <w:b/>
              </w:rPr>
              <w:t>% Silt and clay (&lt; 63 µm)</w:t>
            </w:r>
          </w:p>
        </w:tc>
      </w:tr>
      <w:tr w:rsidR="00B36F09" w:rsidTr="008F70D3">
        <w:tc>
          <w:tcPr>
            <w:tcW w:w="1320" w:type="dxa"/>
            <w:tcBorders>
              <w:top w:val="single" w:sz="4" w:space="0" w:color="auto"/>
            </w:tcBorders>
          </w:tcPr>
          <w:p w:rsidR="00B36F09" w:rsidRPr="00667B01" w:rsidRDefault="00B36F09" w:rsidP="008F70D3">
            <w:pPr>
              <w:pStyle w:val="table1"/>
            </w:pPr>
            <w:r w:rsidRPr="00667B01">
              <w:t>2009–10</w:t>
            </w:r>
          </w:p>
        </w:tc>
        <w:tc>
          <w:tcPr>
            <w:tcW w:w="1320" w:type="dxa"/>
            <w:tcBorders>
              <w:top w:val="single" w:sz="4" w:space="0" w:color="auto"/>
            </w:tcBorders>
          </w:tcPr>
          <w:p w:rsidR="00B36F09" w:rsidRPr="00667B01" w:rsidRDefault="00B36F09" w:rsidP="008F70D3">
            <w:pPr>
              <w:pStyle w:val="table1"/>
            </w:pPr>
            <w:r w:rsidRPr="00667B01">
              <w:t>Plot 1</w:t>
            </w:r>
          </w:p>
        </w:tc>
        <w:tc>
          <w:tcPr>
            <w:tcW w:w="1320" w:type="dxa"/>
            <w:tcBorders>
              <w:top w:val="single" w:sz="4" w:space="0" w:color="auto"/>
            </w:tcBorders>
          </w:tcPr>
          <w:p w:rsidR="00B36F09" w:rsidRPr="00667B01" w:rsidRDefault="00B36F09" w:rsidP="008F70D3">
            <w:pPr>
              <w:pStyle w:val="table1"/>
            </w:pPr>
            <w:r w:rsidRPr="00667B01">
              <w:t>1507</w:t>
            </w:r>
          </w:p>
        </w:tc>
        <w:tc>
          <w:tcPr>
            <w:tcW w:w="1320" w:type="dxa"/>
            <w:tcBorders>
              <w:top w:val="single" w:sz="4" w:space="0" w:color="auto"/>
            </w:tcBorders>
          </w:tcPr>
          <w:p w:rsidR="00B36F09" w:rsidRPr="00667B01" w:rsidRDefault="00B36F09" w:rsidP="008F70D3">
            <w:pPr>
              <w:pStyle w:val="table1"/>
            </w:pPr>
            <w:r w:rsidRPr="00667B01">
              <w:t>108</w:t>
            </w:r>
          </w:p>
        </w:tc>
        <w:tc>
          <w:tcPr>
            <w:tcW w:w="1321" w:type="dxa"/>
            <w:tcBorders>
              <w:top w:val="single" w:sz="4" w:space="0" w:color="auto"/>
            </w:tcBorders>
          </w:tcPr>
          <w:p w:rsidR="00B36F09" w:rsidRPr="00667B01" w:rsidRDefault="00B36F09" w:rsidP="008F70D3">
            <w:pPr>
              <w:pStyle w:val="table1"/>
            </w:pPr>
            <w:r w:rsidRPr="00667B01">
              <w:t>34</w:t>
            </w:r>
          </w:p>
        </w:tc>
        <w:tc>
          <w:tcPr>
            <w:tcW w:w="1321" w:type="dxa"/>
            <w:tcBorders>
              <w:top w:val="single" w:sz="4" w:space="0" w:color="auto"/>
            </w:tcBorders>
          </w:tcPr>
          <w:p w:rsidR="00B36F09" w:rsidRPr="00667B01" w:rsidRDefault="00B36F09" w:rsidP="008F70D3">
            <w:pPr>
              <w:pStyle w:val="table1"/>
            </w:pPr>
            <w:r w:rsidRPr="00667B01">
              <w:t>60</w:t>
            </w:r>
          </w:p>
        </w:tc>
        <w:tc>
          <w:tcPr>
            <w:tcW w:w="1321" w:type="dxa"/>
            <w:tcBorders>
              <w:top w:val="single" w:sz="4" w:space="0" w:color="auto"/>
            </w:tcBorders>
          </w:tcPr>
          <w:p w:rsidR="00B36F09" w:rsidRPr="00667B01" w:rsidRDefault="00B36F09" w:rsidP="008F70D3">
            <w:pPr>
              <w:pStyle w:val="table1"/>
            </w:pPr>
            <w:r w:rsidRPr="00667B01">
              <w:t>6</w:t>
            </w:r>
          </w:p>
        </w:tc>
      </w:tr>
      <w:tr w:rsidR="00B36F09" w:rsidTr="008F70D3">
        <w:tc>
          <w:tcPr>
            <w:tcW w:w="1320" w:type="dxa"/>
          </w:tcPr>
          <w:p w:rsidR="00B36F09" w:rsidRPr="00667B01" w:rsidRDefault="00B36F09" w:rsidP="008F70D3">
            <w:pPr>
              <w:pStyle w:val="table1"/>
            </w:pPr>
            <w:r w:rsidRPr="00667B01">
              <w:t>2010–11</w:t>
            </w:r>
          </w:p>
        </w:tc>
        <w:tc>
          <w:tcPr>
            <w:tcW w:w="1320" w:type="dxa"/>
          </w:tcPr>
          <w:p w:rsidR="00B36F09" w:rsidRPr="00667B01" w:rsidRDefault="00B36F09" w:rsidP="008F70D3">
            <w:pPr>
              <w:pStyle w:val="table1"/>
            </w:pPr>
            <w:r w:rsidRPr="00667B01">
              <w:t>Plot 1</w:t>
            </w:r>
          </w:p>
        </w:tc>
        <w:tc>
          <w:tcPr>
            <w:tcW w:w="1320" w:type="dxa"/>
          </w:tcPr>
          <w:p w:rsidR="00B36F09" w:rsidRPr="00667B01" w:rsidRDefault="00B36F09" w:rsidP="008F70D3">
            <w:pPr>
              <w:pStyle w:val="table1"/>
            </w:pPr>
            <w:r w:rsidRPr="00667B01">
              <w:t>2246</w:t>
            </w:r>
          </w:p>
        </w:tc>
        <w:tc>
          <w:tcPr>
            <w:tcW w:w="1320" w:type="dxa"/>
          </w:tcPr>
          <w:p w:rsidR="00B36F09" w:rsidRPr="00667B01" w:rsidRDefault="00B36F09" w:rsidP="008F70D3">
            <w:pPr>
              <w:pStyle w:val="table1"/>
            </w:pPr>
            <w:r w:rsidRPr="00667B01">
              <w:t>62</w:t>
            </w:r>
          </w:p>
        </w:tc>
        <w:tc>
          <w:tcPr>
            <w:tcW w:w="1321" w:type="dxa"/>
          </w:tcPr>
          <w:p w:rsidR="00B36F09" w:rsidRPr="00667B01" w:rsidRDefault="00B36F09" w:rsidP="008F70D3">
            <w:pPr>
              <w:pStyle w:val="table1"/>
            </w:pPr>
            <w:r w:rsidRPr="00667B01">
              <w:t>34</w:t>
            </w:r>
          </w:p>
        </w:tc>
        <w:tc>
          <w:tcPr>
            <w:tcW w:w="1321" w:type="dxa"/>
          </w:tcPr>
          <w:p w:rsidR="00B36F09" w:rsidRPr="00667B01" w:rsidRDefault="00B36F09" w:rsidP="008F70D3">
            <w:pPr>
              <w:pStyle w:val="table1"/>
            </w:pPr>
            <w:r w:rsidRPr="00667B01">
              <w:t>63</w:t>
            </w:r>
          </w:p>
        </w:tc>
        <w:tc>
          <w:tcPr>
            <w:tcW w:w="1321" w:type="dxa"/>
          </w:tcPr>
          <w:p w:rsidR="00B36F09" w:rsidRPr="00667B01" w:rsidRDefault="00B36F09" w:rsidP="008F70D3">
            <w:pPr>
              <w:pStyle w:val="table1"/>
            </w:pPr>
            <w:r w:rsidRPr="00667B01">
              <w:t>3</w:t>
            </w:r>
          </w:p>
        </w:tc>
      </w:tr>
      <w:tr w:rsidR="00B36F09" w:rsidTr="008F70D3">
        <w:tc>
          <w:tcPr>
            <w:tcW w:w="1320" w:type="dxa"/>
          </w:tcPr>
          <w:p w:rsidR="00B36F09" w:rsidRPr="00667B01" w:rsidRDefault="00B36F09" w:rsidP="008F70D3">
            <w:pPr>
              <w:pStyle w:val="table1"/>
            </w:pPr>
            <w:r w:rsidRPr="00667B01">
              <w:t>2009–10</w:t>
            </w:r>
          </w:p>
        </w:tc>
        <w:tc>
          <w:tcPr>
            <w:tcW w:w="1320" w:type="dxa"/>
          </w:tcPr>
          <w:p w:rsidR="00B36F09" w:rsidRPr="00667B01" w:rsidRDefault="00B36F09" w:rsidP="008F70D3">
            <w:pPr>
              <w:pStyle w:val="table1"/>
            </w:pPr>
            <w:r w:rsidRPr="00667B01">
              <w:t>Plot 2</w:t>
            </w:r>
          </w:p>
        </w:tc>
        <w:tc>
          <w:tcPr>
            <w:tcW w:w="1320" w:type="dxa"/>
          </w:tcPr>
          <w:p w:rsidR="00B36F09" w:rsidRPr="00667B01" w:rsidRDefault="00B36F09" w:rsidP="008F70D3">
            <w:pPr>
              <w:pStyle w:val="table1"/>
            </w:pPr>
            <w:r w:rsidRPr="00667B01">
              <w:t>1516</w:t>
            </w:r>
          </w:p>
        </w:tc>
        <w:tc>
          <w:tcPr>
            <w:tcW w:w="1320" w:type="dxa"/>
          </w:tcPr>
          <w:p w:rsidR="00B36F09" w:rsidRPr="00667B01" w:rsidRDefault="00B36F09" w:rsidP="008F70D3">
            <w:pPr>
              <w:pStyle w:val="table1"/>
            </w:pPr>
            <w:r w:rsidRPr="00667B01">
              <w:t>143</w:t>
            </w:r>
          </w:p>
        </w:tc>
        <w:tc>
          <w:tcPr>
            <w:tcW w:w="1321" w:type="dxa"/>
          </w:tcPr>
          <w:p w:rsidR="00B36F09" w:rsidRPr="00667B01" w:rsidRDefault="00B36F09" w:rsidP="008F70D3">
            <w:pPr>
              <w:pStyle w:val="table1"/>
            </w:pPr>
            <w:r w:rsidRPr="00667B01">
              <w:t>34</w:t>
            </w:r>
          </w:p>
        </w:tc>
        <w:tc>
          <w:tcPr>
            <w:tcW w:w="1321" w:type="dxa"/>
          </w:tcPr>
          <w:p w:rsidR="00B36F09" w:rsidRPr="00667B01" w:rsidRDefault="00B36F09" w:rsidP="008F70D3">
            <w:pPr>
              <w:pStyle w:val="table1"/>
            </w:pPr>
            <w:r w:rsidRPr="00667B01">
              <w:t>55</w:t>
            </w:r>
          </w:p>
        </w:tc>
        <w:tc>
          <w:tcPr>
            <w:tcW w:w="1321" w:type="dxa"/>
          </w:tcPr>
          <w:p w:rsidR="00B36F09" w:rsidRPr="00667B01" w:rsidRDefault="00B36F09" w:rsidP="008F70D3">
            <w:pPr>
              <w:pStyle w:val="table1"/>
            </w:pPr>
            <w:r w:rsidRPr="00667B01">
              <w:t>11</w:t>
            </w:r>
          </w:p>
        </w:tc>
      </w:tr>
      <w:tr w:rsidR="00B36F09" w:rsidTr="008F70D3">
        <w:tc>
          <w:tcPr>
            <w:tcW w:w="1320" w:type="dxa"/>
          </w:tcPr>
          <w:p w:rsidR="00B36F09" w:rsidRPr="00667B01" w:rsidRDefault="00B36F09" w:rsidP="008F70D3">
            <w:pPr>
              <w:pStyle w:val="table1"/>
            </w:pPr>
            <w:r w:rsidRPr="00667B01">
              <w:t>2010–11</w:t>
            </w:r>
          </w:p>
        </w:tc>
        <w:tc>
          <w:tcPr>
            <w:tcW w:w="1320" w:type="dxa"/>
          </w:tcPr>
          <w:p w:rsidR="00B36F09" w:rsidRPr="00667B01" w:rsidRDefault="00B36F09" w:rsidP="008F70D3">
            <w:pPr>
              <w:pStyle w:val="table1"/>
            </w:pPr>
            <w:r w:rsidRPr="00667B01">
              <w:t>Plot 2</w:t>
            </w:r>
          </w:p>
        </w:tc>
        <w:tc>
          <w:tcPr>
            <w:tcW w:w="1320" w:type="dxa"/>
          </w:tcPr>
          <w:p w:rsidR="00B36F09" w:rsidRPr="00667B01" w:rsidRDefault="00B36F09" w:rsidP="008F70D3">
            <w:pPr>
              <w:pStyle w:val="table1"/>
            </w:pPr>
            <w:r w:rsidRPr="00667B01">
              <w:t>2313</w:t>
            </w:r>
          </w:p>
        </w:tc>
        <w:tc>
          <w:tcPr>
            <w:tcW w:w="1320" w:type="dxa"/>
          </w:tcPr>
          <w:p w:rsidR="00B36F09" w:rsidRPr="00667B01" w:rsidRDefault="00B36F09" w:rsidP="008F70D3">
            <w:pPr>
              <w:pStyle w:val="table1"/>
            </w:pPr>
            <w:r w:rsidRPr="00667B01">
              <w:t>112</w:t>
            </w:r>
          </w:p>
        </w:tc>
        <w:tc>
          <w:tcPr>
            <w:tcW w:w="1321" w:type="dxa"/>
          </w:tcPr>
          <w:p w:rsidR="00B36F09" w:rsidRPr="00667B01" w:rsidRDefault="00B36F09" w:rsidP="008F70D3">
            <w:pPr>
              <w:pStyle w:val="table1"/>
            </w:pPr>
            <w:r w:rsidRPr="00667B01">
              <w:t>41</w:t>
            </w:r>
          </w:p>
        </w:tc>
        <w:tc>
          <w:tcPr>
            <w:tcW w:w="1321" w:type="dxa"/>
          </w:tcPr>
          <w:p w:rsidR="00B36F09" w:rsidRPr="00667B01" w:rsidRDefault="00B36F09" w:rsidP="008F70D3">
            <w:pPr>
              <w:pStyle w:val="table1"/>
            </w:pPr>
            <w:r w:rsidRPr="00667B01">
              <w:t>55</w:t>
            </w:r>
          </w:p>
        </w:tc>
        <w:tc>
          <w:tcPr>
            <w:tcW w:w="1321" w:type="dxa"/>
          </w:tcPr>
          <w:p w:rsidR="00B36F09" w:rsidRPr="00667B01" w:rsidRDefault="00B36F09" w:rsidP="008F70D3">
            <w:pPr>
              <w:pStyle w:val="table1"/>
            </w:pPr>
            <w:r w:rsidRPr="00667B01">
              <w:t>4</w:t>
            </w:r>
          </w:p>
        </w:tc>
      </w:tr>
      <w:tr w:rsidR="00B36F09" w:rsidTr="008F70D3">
        <w:tc>
          <w:tcPr>
            <w:tcW w:w="1320" w:type="dxa"/>
          </w:tcPr>
          <w:p w:rsidR="00B36F09" w:rsidRPr="00667B01" w:rsidRDefault="00B36F09" w:rsidP="008F70D3">
            <w:pPr>
              <w:pStyle w:val="table1"/>
            </w:pPr>
            <w:r w:rsidRPr="00667B01">
              <w:t>2009–10</w:t>
            </w:r>
          </w:p>
        </w:tc>
        <w:tc>
          <w:tcPr>
            <w:tcW w:w="1320" w:type="dxa"/>
          </w:tcPr>
          <w:p w:rsidR="00B36F09" w:rsidRPr="00667B01" w:rsidRDefault="00B36F09" w:rsidP="008F70D3">
            <w:pPr>
              <w:pStyle w:val="table1"/>
            </w:pPr>
            <w:r w:rsidRPr="00667B01">
              <w:t>Plot 3</w:t>
            </w:r>
          </w:p>
        </w:tc>
        <w:tc>
          <w:tcPr>
            <w:tcW w:w="1320" w:type="dxa"/>
          </w:tcPr>
          <w:p w:rsidR="00B36F09" w:rsidRPr="00667B01" w:rsidRDefault="00B36F09" w:rsidP="008F70D3">
            <w:pPr>
              <w:pStyle w:val="table1"/>
            </w:pPr>
            <w:r w:rsidRPr="00667B01">
              <w:t>1480</w:t>
            </w:r>
          </w:p>
        </w:tc>
        <w:tc>
          <w:tcPr>
            <w:tcW w:w="1320" w:type="dxa"/>
          </w:tcPr>
          <w:p w:rsidR="00B36F09" w:rsidRPr="00667B01" w:rsidRDefault="00B36F09" w:rsidP="008F70D3">
            <w:pPr>
              <w:pStyle w:val="table1"/>
            </w:pPr>
            <w:r w:rsidRPr="00667B01">
              <w:t>115</w:t>
            </w:r>
          </w:p>
        </w:tc>
        <w:tc>
          <w:tcPr>
            <w:tcW w:w="1321" w:type="dxa"/>
          </w:tcPr>
          <w:p w:rsidR="00B36F09" w:rsidRPr="00667B01" w:rsidRDefault="00B36F09" w:rsidP="008F70D3">
            <w:pPr>
              <w:pStyle w:val="table1"/>
            </w:pPr>
            <w:r w:rsidRPr="00667B01">
              <w:t>37</w:t>
            </w:r>
          </w:p>
        </w:tc>
        <w:tc>
          <w:tcPr>
            <w:tcW w:w="1321" w:type="dxa"/>
          </w:tcPr>
          <w:p w:rsidR="00B36F09" w:rsidRPr="00667B01" w:rsidRDefault="00B36F09" w:rsidP="008F70D3">
            <w:pPr>
              <w:pStyle w:val="table1"/>
            </w:pPr>
            <w:r w:rsidRPr="00667B01">
              <w:t>59</w:t>
            </w:r>
          </w:p>
        </w:tc>
        <w:tc>
          <w:tcPr>
            <w:tcW w:w="1321" w:type="dxa"/>
          </w:tcPr>
          <w:p w:rsidR="00B36F09" w:rsidRPr="00667B01" w:rsidRDefault="00B36F09" w:rsidP="008F70D3">
            <w:pPr>
              <w:pStyle w:val="table1"/>
            </w:pPr>
            <w:r w:rsidRPr="00667B01">
              <w:t>4</w:t>
            </w:r>
          </w:p>
        </w:tc>
      </w:tr>
      <w:tr w:rsidR="00B36F09" w:rsidTr="008F70D3">
        <w:tc>
          <w:tcPr>
            <w:tcW w:w="1320" w:type="dxa"/>
          </w:tcPr>
          <w:p w:rsidR="00B36F09" w:rsidRPr="00667B01" w:rsidRDefault="00B36F09" w:rsidP="008F70D3">
            <w:pPr>
              <w:pStyle w:val="table1"/>
            </w:pPr>
            <w:r w:rsidRPr="00667B01">
              <w:t>2010–11</w:t>
            </w:r>
          </w:p>
        </w:tc>
        <w:tc>
          <w:tcPr>
            <w:tcW w:w="1320" w:type="dxa"/>
          </w:tcPr>
          <w:p w:rsidR="00B36F09" w:rsidRPr="00667B01" w:rsidRDefault="00B36F09" w:rsidP="008F70D3">
            <w:pPr>
              <w:pStyle w:val="table1"/>
            </w:pPr>
            <w:r w:rsidRPr="00667B01">
              <w:t>Plot 3</w:t>
            </w:r>
          </w:p>
        </w:tc>
        <w:tc>
          <w:tcPr>
            <w:tcW w:w="1320" w:type="dxa"/>
          </w:tcPr>
          <w:p w:rsidR="00B36F09" w:rsidRPr="00667B01" w:rsidRDefault="00B36F09" w:rsidP="008F70D3">
            <w:pPr>
              <w:pStyle w:val="table1"/>
            </w:pPr>
            <w:r w:rsidRPr="00667B01">
              <w:t>2208</w:t>
            </w:r>
          </w:p>
        </w:tc>
        <w:tc>
          <w:tcPr>
            <w:tcW w:w="1320" w:type="dxa"/>
          </w:tcPr>
          <w:p w:rsidR="00B36F09" w:rsidRPr="00667B01" w:rsidRDefault="00B36F09" w:rsidP="008F70D3">
            <w:pPr>
              <w:pStyle w:val="table1"/>
            </w:pPr>
            <w:r w:rsidRPr="00667B01">
              <w:t>57</w:t>
            </w:r>
          </w:p>
        </w:tc>
        <w:tc>
          <w:tcPr>
            <w:tcW w:w="1321" w:type="dxa"/>
          </w:tcPr>
          <w:p w:rsidR="00B36F09" w:rsidRPr="00667B01" w:rsidRDefault="00B36F09" w:rsidP="008F70D3">
            <w:pPr>
              <w:pStyle w:val="table1"/>
            </w:pPr>
            <w:r w:rsidRPr="00667B01">
              <w:t>46</w:t>
            </w:r>
          </w:p>
        </w:tc>
        <w:tc>
          <w:tcPr>
            <w:tcW w:w="1321" w:type="dxa"/>
          </w:tcPr>
          <w:p w:rsidR="00B36F09" w:rsidRPr="00667B01" w:rsidRDefault="00B36F09" w:rsidP="008F70D3">
            <w:pPr>
              <w:pStyle w:val="table1"/>
            </w:pPr>
            <w:r w:rsidRPr="00667B01">
              <w:t>53</w:t>
            </w:r>
          </w:p>
        </w:tc>
        <w:tc>
          <w:tcPr>
            <w:tcW w:w="1321" w:type="dxa"/>
          </w:tcPr>
          <w:p w:rsidR="00B36F09" w:rsidRPr="00667B01" w:rsidRDefault="00B36F09" w:rsidP="008F70D3">
            <w:pPr>
              <w:pStyle w:val="table1"/>
            </w:pPr>
            <w:r w:rsidRPr="00667B01">
              <w:t>1</w:t>
            </w:r>
          </w:p>
        </w:tc>
      </w:tr>
      <w:tr w:rsidR="00B36F09" w:rsidTr="008F70D3">
        <w:tc>
          <w:tcPr>
            <w:tcW w:w="1320" w:type="dxa"/>
          </w:tcPr>
          <w:p w:rsidR="00B36F09" w:rsidRPr="00667B01" w:rsidRDefault="00B36F09" w:rsidP="008F70D3">
            <w:pPr>
              <w:pStyle w:val="table1"/>
            </w:pPr>
            <w:r w:rsidRPr="00667B01">
              <w:t>2009–10</w:t>
            </w:r>
          </w:p>
        </w:tc>
        <w:tc>
          <w:tcPr>
            <w:tcW w:w="1320" w:type="dxa"/>
          </w:tcPr>
          <w:p w:rsidR="00B36F09" w:rsidRPr="00667B01" w:rsidRDefault="00B36F09" w:rsidP="008F70D3">
            <w:pPr>
              <w:pStyle w:val="table1"/>
            </w:pPr>
            <w:r w:rsidRPr="00667B01">
              <w:t>Plot 4</w:t>
            </w:r>
          </w:p>
        </w:tc>
        <w:tc>
          <w:tcPr>
            <w:tcW w:w="1320" w:type="dxa"/>
          </w:tcPr>
          <w:p w:rsidR="00B36F09" w:rsidRPr="00667B01" w:rsidRDefault="00B36F09" w:rsidP="008F70D3">
            <w:pPr>
              <w:pStyle w:val="table1"/>
            </w:pPr>
            <w:r w:rsidRPr="00667B01">
              <w:t>1518</w:t>
            </w:r>
          </w:p>
        </w:tc>
        <w:tc>
          <w:tcPr>
            <w:tcW w:w="1320" w:type="dxa"/>
          </w:tcPr>
          <w:p w:rsidR="00B36F09" w:rsidRPr="00667B01" w:rsidRDefault="00B36F09" w:rsidP="008F70D3">
            <w:pPr>
              <w:pStyle w:val="table1"/>
            </w:pPr>
            <w:r w:rsidRPr="00667B01">
              <w:t>137</w:t>
            </w:r>
          </w:p>
        </w:tc>
        <w:tc>
          <w:tcPr>
            <w:tcW w:w="1321" w:type="dxa"/>
          </w:tcPr>
          <w:p w:rsidR="00B36F09" w:rsidRPr="00667B01" w:rsidRDefault="00B36F09" w:rsidP="008F70D3">
            <w:pPr>
              <w:pStyle w:val="table1"/>
            </w:pPr>
            <w:r w:rsidRPr="00667B01">
              <w:t>35</w:t>
            </w:r>
          </w:p>
        </w:tc>
        <w:tc>
          <w:tcPr>
            <w:tcW w:w="1321" w:type="dxa"/>
          </w:tcPr>
          <w:p w:rsidR="00B36F09" w:rsidRPr="00667B01" w:rsidRDefault="00B36F09" w:rsidP="008F70D3">
            <w:pPr>
              <w:pStyle w:val="table1"/>
            </w:pPr>
            <w:r w:rsidRPr="00667B01">
              <w:t>61</w:t>
            </w:r>
          </w:p>
        </w:tc>
        <w:tc>
          <w:tcPr>
            <w:tcW w:w="1321" w:type="dxa"/>
          </w:tcPr>
          <w:p w:rsidR="00B36F09" w:rsidRPr="00667B01" w:rsidRDefault="00B36F09" w:rsidP="008F70D3">
            <w:pPr>
              <w:pStyle w:val="table1"/>
            </w:pPr>
            <w:r w:rsidRPr="00667B01">
              <w:t>4</w:t>
            </w:r>
          </w:p>
        </w:tc>
      </w:tr>
      <w:tr w:rsidR="00B36F09" w:rsidTr="008F70D3">
        <w:tc>
          <w:tcPr>
            <w:tcW w:w="1320" w:type="dxa"/>
            <w:tcBorders>
              <w:bottom w:val="single" w:sz="4" w:space="0" w:color="auto"/>
            </w:tcBorders>
          </w:tcPr>
          <w:p w:rsidR="00B36F09" w:rsidRPr="00667B01" w:rsidRDefault="00B36F09" w:rsidP="008F70D3">
            <w:pPr>
              <w:pStyle w:val="table1"/>
            </w:pPr>
            <w:r w:rsidRPr="00667B01">
              <w:t>2010–11</w:t>
            </w:r>
          </w:p>
        </w:tc>
        <w:tc>
          <w:tcPr>
            <w:tcW w:w="1320" w:type="dxa"/>
            <w:tcBorders>
              <w:bottom w:val="single" w:sz="4" w:space="0" w:color="auto"/>
            </w:tcBorders>
          </w:tcPr>
          <w:p w:rsidR="00B36F09" w:rsidRPr="00667B01" w:rsidRDefault="00B36F09" w:rsidP="008F70D3">
            <w:pPr>
              <w:pStyle w:val="table1"/>
            </w:pPr>
            <w:r w:rsidRPr="00667B01">
              <w:t>Plot 4</w:t>
            </w:r>
          </w:p>
        </w:tc>
        <w:tc>
          <w:tcPr>
            <w:tcW w:w="1320" w:type="dxa"/>
            <w:tcBorders>
              <w:bottom w:val="single" w:sz="4" w:space="0" w:color="auto"/>
            </w:tcBorders>
          </w:tcPr>
          <w:p w:rsidR="00B36F09" w:rsidRPr="00667B01" w:rsidRDefault="00B36F09" w:rsidP="008F70D3">
            <w:pPr>
              <w:pStyle w:val="table1"/>
            </w:pPr>
            <w:r w:rsidRPr="00667B01">
              <w:t>2319</w:t>
            </w:r>
          </w:p>
        </w:tc>
        <w:tc>
          <w:tcPr>
            <w:tcW w:w="1320" w:type="dxa"/>
            <w:tcBorders>
              <w:bottom w:val="single" w:sz="4" w:space="0" w:color="auto"/>
            </w:tcBorders>
          </w:tcPr>
          <w:p w:rsidR="00B36F09" w:rsidRPr="00667B01" w:rsidRDefault="00B36F09" w:rsidP="008F70D3">
            <w:pPr>
              <w:pStyle w:val="table1"/>
            </w:pPr>
            <w:r w:rsidRPr="00667B01">
              <w:t>55</w:t>
            </w:r>
          </w:p>
        </w:tc>
        <w:tc>
          <w:tcPr>
            <w:tcW w:w="1321" w:type="dxa"/>
            <w:tcBorders>
              <w:bottom w:val="single" w:sz="4" w:space="0" w:color="auto"/>
            </w:tcBorders>
          </w:tcPr>
          <w:p w:rsidR="00B36F09" w:rsidRPr="00667B01" w:rsidRDefault="00B36F09" w:rsidP="008F70D3">
            <w:pPr>
              <w:pStyle w:val="table1"/>
            </w:pPr>
            <w:r w:rsidRPr="00667B01">
              <w:t>50</w:t>
            </w:r>
          </w:p>
        </w:tc>
        <w:tc>
          <w:tcPr>
            <w:tcW w:w="1321" w:type="dxa"/>
            <w:tcBorders>
              <w:bottom w:val="single" w:sz="4" w:space="0" w:color="auto"/>
            </w:tcBorders>
          </w:tcPr>
          <w:p w:rsidR="00B36F09" w:rsidRPr="00667B01" w:rsidRDefault="00B36F09" w:rsidP="008F70D3">
            <w:pPr>
              <w:pStyle w:val="table1"/>
            </w:pPr>
            <w:r w:rsidRPr="00667B01">
              <w:t>49</w:t>
            </w:r>
          </w:p>
        </w:tc>
        <w:tc>
          <w:tcPr>
            <w:tcW w:w="1321" w:type="dxa"/>
            <w:tcBorders>
              <w:bottom w:val="single" w:sz="4" w:space="0" w:color="auto"/>
            </w:tcBorders>
          </w:tcPr>
          <w:p w:rsidR="00B36F09" w:rsidRPr="00667B01" w:rsidRDefault="00B36F09" w:rsidP="008F70D3">
            <w:pPr>
              <w:pStyle w:val="table1"/>
            </w:pPr>
            <w:r w:rsidRPr="00667B01">
              <w:t>1</w:t>
            </w:r>
          </w:p>
        </w:tc>
      </w:tr>
    </w:tbl>
    <w:p w:rsidR="00B36F09" w:rsidRDefault="00B36F09" w:rsidP="00B36F09">
      <w:pPr>
        <w:pStyle w:val="tablenote"/>
      </w:pPr>
    </w:p>
    <w:p w:rsidR="00B36F09" w:rsidRDefault="00B36F09" w:rsidP="00B36F09">
      <w:pPr>
        <w:rPr>
          <w:szCs w:val="22"/>
        </w:rPr>
      </w:pPr>
      <w:r w:rsidRPr="00667B01">
        <w:rPr>
          <w:szCs w:val="22"/>
        </w:rPr>
        <w:t xml:space="preserve">The 2010–11 water </w:t>
      </w:r>
      <w:proofErr w:type="gramStart"/>
      <w:r w:rsidRPr="00667B01">
        <w:rPr>
          <w:szCs w:val="22"/>
        </w:rPr>
        <w:t>year</w:t>
      </w:r>
      <w:proofErr w:type="gramEnd"/>
      <w:r w:rsidRPr="00667B01">
        <w:rPr>
          <w:szCs w:val="22"/>
        </w:rPr>
        <w:t xml:space="preserve"> was much wetter than 2009–10, with annual rainfall being between 727 and 801 mm</w:t>
      </w:r>
      <w:r>
        <w:rPr>
          <w:szCs w:val="22"/>
        </w:rPr>
        <w:t xml:space="preserve"> higher on each plot (Table </w:t>
      </w:r>
      <w:r w:rsidRPr="00667B01">
        <w:rPr>
          <w:szCs w:val="22"/>
        </w:rPr>
        <w:t xml:space="preserve">1). For a given year, </w:t>
      </w:r>
      <w:proofErr w:type="spellStart"/>
      <w:r w:rsidRPr="00667B01">
        <w:rPr>
          <w:szCs w:val="22"/>
          <w:lang w:val="en-US"/>
        </w:rPr>
        <w:t>bedload</w:t>
      </w:r>
      <w:proofErr w:type="spellEnd"/>
      <w:r w:rsidRPr="00667B01">
        <w:rPr>
          <w:szCs w:val="22"/>
          <w:lang w:val="en-US"/>
        </w:rPr>
        <w:t xml:space="preserve"> yields are similar between both surface cover types and both vegetation</w:t>
      </w:r>
      <w:r>
        <w:rPr>
          <w:szCs w:val="22"/>
          <w:lang w:val="en-US"/>
        </w:rPr>
        <w:t xml:space="preserve"> planting treatments (Table </w:t>
      </w:r>
      <w:r w:rsidRPr="00667B01">
        <w:rPr>
          <w:szCs w:val="22"/>
          <w:lang w:val="en-US"/>
        </w:rPr>
        <w:t xml:space="preserve">1). </w:t>
      </w:r>
      <w:r w:rsidRPr="00667B01">
        <w:rPr>
          <w:szCs w:val="22"/>
        </w:rPr>
        <w:t xml:space="preserve">However, the highest </w:t>
      </w:r>
      <w:proofErr w:type="spellStart"/>
      <w:r w:rsidRPr="00667B01">
        <w:rPr>
          <w:szCs w:val="22"/>
        </w:rPr>
        <w:t>bedload</w:t>
      </w:r>
      <w:proofErr w:type="spellEnd"/>
      <w:r w:rsidRPr="00667B01">
        <w:rPr>
          <w:szCs w:val="22"/>
        </w:rPr>
        <w:t xml:space="preserve"> yields were always g</w:t>
      </w:r>
      <w:r>
        <w:rPr>
          <w:szCs w:val="22"/>
        </w:rPr>
        <w:t xml:space="preserve">enerated from Plot 2 (Table </w:t>
      </w:r>
      <w:r w:rsidRPr="00667B01">
        <w:rPr>
          <w:szCs w:val="22"/>
        </w:rPr>
        <w:t xml:space="preserve">1). While it is still not clear why Plot 2 generates the highest yields, shallow rip lines dominate the lower section of the plot resulting in diffuse overland flow connecting with the down slope plot border. Unusually, </w:t>
      </w:r>
      <w:proofErr w:type="spellStart"/>
      <w:r w:rsidRPr="00667B01">
        <w:rPr>
          <w:szCs w:val="22"/>
        </w:rPr>
        <w:t>bedload</w:t>
      </w:r>
      <w:proofErr w:type="spellEnd"/>
      <w:r w:rsidRPr="00667B01">
        <w:rPr>
          <w:szCs w:val="22"/>
        </w:rPr>
        <w:t xml:space="preserve"> yields were higher in 2009–10 than in 2010–11 (Tabl</w:t>
      </w:r>
      <w:r>
        <w:rPr>
          <w:szCs w:val="22"/>
        </w:rPr>
        <w:t xml:space="preserve">e </w:t>
      </w:r>
      <w:r w:rsidRPr="00667B01">
        <w:rPr>
          <w:szCs w:val="22"/>
        </w:rPr>
        <w:t xml:space="preserve">1). This is consistent with previous research in the Alligator Rivers Region that has shown that sediment yields decline progressively over at least the first three years following a major </w:t>
      </w:r>
      <w:r>
        <w:rPr>
          <w:szCs w:val="22"/>
        </w:rPr>
        <w:t>surface disturbance (Duggan 1988</w:t>
      </w:r>
      <w:r w:rsidRPr="00667B01">
        <w:rPr>
          <w:szCs w:val="22"/>
        </w:rPr>
        <w:t>; 1994), such as the construction of an artificial landform</w:t>
      </w:r>
      <w:r>
        <w:rPr>
          <w:szCs w:val="22"/>
        </w:rPr>
        <w:t>. This decrease occurs as a result of initial flushing</w:t>
      </w:r>
      <w:r w:rsidRPr="00667B01">
        <w:rPr>
          <w:szCs w:val="22"/>
        </w:rPr>
        <w:t xml:space="preserve"> of fine particles and the formation of an armoured surface. However</w:t>
      </w:r>
      <w:r>
        <w:rPr>
          <w:szCs w:val="22"/>
        </w:rPr>
        <w:t>, it differs from</w:t>
      </w:r>
      <w:r w:rsidRPr="00667B01">
        <w:rPr>
          <w:szCs w:val="22"/>
        </w:rPr>
        <w:t xml:space="preserve"> </w:t>
      </w:r>
      <w:r>
        <w:rPr>
          <w:szCs w:val="22"/>
        </w:rPr>
        <w:t xml:space="preserve">natural land surface </w:t>
      </w:r>
      <w:r w:rsidRPr="00667B01">
        <w:rPr>
          <w:szCs w:val="22"/>
        </w:rPr>
        <w:t>environments where sediment y</w:t>
      </w:r>
      <w:r>
        <w:rPr>
          <w:szCs w:val="22"/>
        </w:rPr>
        <w:t>ields are usually</w:t>
      </w:r>
      <w:r w:rsidRPr="00667B01">
        <w:rPr>
          <w:szCs w:val="22"/>
        </w:rPr>
        <w:t xml:space="preserve"> linearly related to annual runoff or rainfall.</w:t>
      </w:r>
    </w:p>
    <w:p w:rsidR="00B36F09" w:rsidRPr="00667B01" w:rsidRDefault="00B36F09" w:rsidP="00B36F09">
      <w:pPr>
        <w:rPr>
          <w:szCs w:val="22"/>
          <w:lang w:val="en-US"/>
        </w:rPr>
      </w:pPr>
      <w:r w:rsidRPr="00667B01">
        <w:rPr>
          <w:szCs w:val="22"/>
          <w:lang w:val="en-US"/>
        </w:rPr>
        <w:t xml:space="preserve">There was a substantial flush of fine sediment (silt and clay) in the 2009–10 water </w:t>
      </w:r>
      <w:proofErr w:type="gramStart"/>
      <w:r w:rsidRPr="00667B01">
        <w:rPr>
          <w:szCs w:val="22"/>
          <w:lang w:val="en-US"/>
        </w:rPr>
        <w:t>year</w:t>
      </w:r>
      <w:proofErr w:type="gramEnd"/>
      <w:r w:rsidRPr="00667B01">
        <w:rPr>
          <w:szCs w:val="22"/>
          <w:lang w:val="en-US"/>
        </w:rPr>
        <w:t xml:space="preserve"> which had the effect of reducing the supply of this size fraction</w:t>
      </w:r>
      <w:r>
        <w:rPr>
          <w:szCs w:val="22"/>
          <w:lang w:val="en-US"/>
        </w:rPr>
        <w:t xml:space="preserve"> for the second year (Table </w:t>
      </w:r>
      <w:r w:rsidRPr="00667B01">
        <w:rPr>
          <w:szCs w:val="22"/>
          <w:lang w:val="en-US"/>
        </w:rPr>
        <w:t xml:space="preserve">1). Such early preferential removal of fine sediment usually results in an increase in the surface cover of residual gravel via a process called </w:t>
      </w:r>
      <w:proofErr w:type="spellStart"/>
      <w:r w:rsidRPr="00667B01">
        <w:rPr>
          <w:szCs w:val="22"/>
          <w:lang w:val="en-US"/>
        </w:rPr>
        <w:t>armouring</w:t>
      </w:r>
      <w:proofErr w:type="spellEnd"/>
      <w:r w:rsidRPr="00667B01">
        <w:rPr>
          <w:szCs w:val="22"/>
          <w:lang w:val="en-US"/>
        </w:rPr>
        <w:t xml:space="preserve">. Concurrently with the development of </w:t>
      </w:r>
      <w:proofErr w:type="spellStart"/>
      <w:r w:rsidRPr="00667B01">
        <w:rPr>
          <w:szCs w:val="22"/>
          <w:lang w:val="en-US"/>
        </w:rPr>
        <w:t>armouring</w:t>
      </w:r>
      <w:proofErr w:type="spellEnd"/>
      <w:r w:rsidRPr="00667B01">
        <w:rPr>
          <w:szCs w:val="22"/>
          <w:lang w:val="en-US"/>
        </w:rPr>
        <w:t xml:space="preserve"> </w:t>
      </w:r>
      <w:r w:rsidRPr="00667B01">
        <w:rPr>
          <w:szCs w:val="22"/>
        </w:rPr>
        <w:t xml:space="preserve">there </w:t>
      </w:r>
      <w:r w:rsidRPr="00667B01">
        <w:rPr>
          <w:szCs w:val="22"/>
          <w:lang w:val="en-US"/>
        </w:rPr>
        <w:t xml:space="preserve">is an increase in the percentage gravel in the </w:t>
      </w:r>
      <w:proofErr w:type="spellStart"/>
      <w:r w:rsidRPr="00667B01">
        <w:rPr>
          <w:szCs w:val="22"/>
          <w:lang w:val="en-US"/>
        </w:rPr>
        <w:t>bedload</w:t>
      </w:r>
      <w:proofErr w:type="spellEnd"/>
      <w:r w:rsidRPr="00667B01">
        <w:rPr>
          <w:szCs w:val="22"/>
          <w:lang w:val="en-US"/>
        </w:rPr>
        <w:t xml:space="preserve"> (Table</w:t>
      </w:r>
      <w:r>
        <w:rPr>
          <w:szCs w:val="22"/>
          <w:lang w:val="en-US"/>
        </w:rPr>
        <w:t xml:space="preserve"> </w:t>
      </w:r>
      <w:r w:rsidRPr="00667B01">
        <w:rPr>
          <w:szCs w:val="22"/>
          <w:lang w:val="en-US"/>
        </w:rPr>
        <w:t xml:space="preserve">1). The data indicate the high rainfall of the 2010–11 water </w:t>
      </w:r>
      <w:proofErr w:type="gramStart"/>
      <w:r w:rsidRPr="00667B01">
        <w:rPr>
          <w:szCs w:val="22"/>
          <w:lang w:val="en-US"/>
        </w:rPr>
        <w:t>year</w:t>
      </w:r>
      <w:proofErr w:type="gramEnd"/>
      <w:r w:rsidRPr="00667B01">
        <w:rPr>
          <w:szCs w:val="22"/>
          <w:lang w:val="en-US"/>
        </w:rPr>
        <w:t xml:space="preserve"> transported a greater percentage of gravel in comparison to the sand, and silt and clay fractions.</w:t>
      </w:r>
      <w:r>
        <w:rPr>
          <w:szCs w:val="22"/>
          <w:lang w:val="en-US"/>
        </w:rPr>
        <w:t xml:space="preserve"> Sand was the dominant sediment</w:t>
      </w:r>
      <w:r w:rsidRPr="00667B01">
        <w:rPr>
          <w:szCs w:val="22"/>
          <w:lang w:val="en-US"/>
        </w:rPr>
        <w:t xml:space="preserve"> fraction transported off the erosion plots, consistent with results </w:t>
      </w:r>
      <w:r>
        <w:rPr>
          <w:szCs w:val="22"/>
          <w:lang w:val="en-US"/>
        </w:rPr>
        <w:t>for other plots on</w:t>
      </w:r>
      <w:r w:rsidRPr="00667B01">
        <w:rPr>
          <w:szCs w:val="22"/>
          <w:lang w:val="en-US"/>
        </w:rPr>
        <w:t xml:space="preserve"> waste roc</w:t>
      </w:r>
      <w:r>
        <w:rPr>
          <w:szCs w:val="22"/>
          <w:lang w:val="en-US"/>
        </w:rPr>
        <w:t xml:space="preserve">k at the Ranger mine (Table </w:t>
      </w:r>
      <w:r w:rsidRPr="00667B01">
        <w:rPr>
          <w:szCs w:val="22"/>
          <w:lang w:val="en-US"/>
        </w:rPr>
        <w:t>1</w:t>
      </w:r>
      <w:proofErr w:type="gramStart"/>
      <w:r w:rsidRPr="00667B01">
        <w:rPr>
          <w:szCs w:val="22"/>
          <w:lang w:val="en-US"/>
        </w:rPr>
        <w:t>)</w:t>
      </w:r>
      <w:r>
        <w:rPr>
          <w:szCs w:val="22"/>
          <w:lang w:val="en-US"/>
        </w:rPr>
        <w:t>(</w:t>
      </w:r>
      <w:proofErr w:type="spellStart"/>
      <w:proofErr w:type="gramEnd"/>
      <w:r>
        <w:rPr>
          <w:szCs w:val="22"/>
          <w:lang w:val="en-US"/>
        </w:rPr>
        <w:t>Saynor</w:t>
      </w:r>
      <w:proofErr w:type="spellEnd"/>
      <w:r>
        <w:rPr>
          <w:szCs w:val="22"/>
          <w:lang w:val="en-US"/>
        </w:rPr>
        <w:t xml:space="preserve"> &amp; Evans 2001)</w:t>
      </w:r>
      <w:r w:rsidRPr="00667B01">
        <w:rPr>
          <w:szCs w:val="22"/>
          <w:lang w:val="en-US"/>
        </w:rPr>
        <w:t>.</w:t>
      </w:r>
    </w:p>
    <w:p w:rsidR="00B36F09" w:rsidRPr="00667B01" w:rsidRDefault="00B36F09" w:rsidP="00B36F09">
      <w:pPr>
        <w:rPr>
          <w:szCs w:val="22"/>
        </w:rPr>
      </w:pPr>
      <w:r w:rsidRPr="00667B01">
        <w:rPr>
          <w:szCs w:val="22"/>
        </w:rPr>
        <w:t xml:space="preserve">The </w:t>
      </w:r>
      <w:proofErr w:type="spellStart"/>
      <w:r w:rsidRPr="00667B01">
        <w:rPr>
          <w:szCs w:val="22"/>
        </w:rPr>
        <w:t>bedload</w:t>
      </w:r>
      <w:proofErr w:type="spellEnd"/>
      <w:r w:rsidRPr="00667B01">
        <w:rPr>
          <w:szCs w:val="22"/>
        </w:rPr>
        <w:t xml:space="preserve"> yields for both the first and second year after construction of the trial landform exceeded </w:t>
      </w:r>
      <w:proofErr w:type="gramStart"/>
      <w:r w:rsidRPr="00667B01">
        <w:rPr>
          <w:szCs w:val="22"/>
        </w:rPr>
        <w:t>55 t.km</w:t>
      </w:r>
      <w:r w:rsidRPr="00667B01">
        <w:rPr>
          <w:rFonts w:ascii="Times New (W1)" w:hAnsi="Times New (W1)"/>
          <w:szCs w:val="22"/>
          <w:vertAlign w:val="superscript"/>
        </w:rPr>
        <w:t>-2</w:t>
      </w:r>
      <w:r w:rsidRPr="00667B01">
        <w:rPr>
          <w:szCs w:val="22"/>
        </w:rPr>
        <w:t>.yr</w:t>
      </w:r>
      <w:r w:rsidRPr="00667B01">
        <w:rPr>
          <w:rFonts w:ascii="Times New (W1)" w:hAnsi="Times New (W1)"/>
          <w:szCs w:val="22"/>
          <w:vertAlign w:val="superscript"/>
        </w:rPr>
        <w:t>-1</w:t>
      </w:r>
      <w:r>
        <w:rPr>
          <w:szCs w:val="22"/>
        </w:rPr>
        <w:t xml:space="preserve"> (Table </w:t>
      </w:r>
      <w:r w:rsidRPr="00667B01">
        <w:rPr>
          <w:szCs w:val="22"/>
        </w:rPr>
        <w:t>1)</w:t>
      </w:r>
      <w:proofErr w:type="gramEnd"/>
      <w:r>
        <w:rPr>
          <w:szCs w:val="22"/>
        </w:rPr>
        <w:t>. They</w:t>
      </w:r>
      <w:r w:rsidRPr="00667B01">
        <w:rPr>
          <w:szCs w:val="22"/>
        </w:rPr>
        <w:t xml:space="preserve"> were high by Australian standards for natural land surfaces</w:t>
      </w:r>
      <w:r>
        <w:rPr>
          <w:szCs w:val="22"/>
        </w:rPr>
        <w:t>,</w:t>
      </w:r>
      <w:r w:rsidRPr="00667B01">
        <w:rPr>
          <w:szCs w:val="22"/>
        </w:rPr>
        <w:t xml:space="preserve"> where sediment yields usually range from 4</w:t>
      </w:r>
      <w:r>
        <w:rPr>
          <w:szCs w:val="22"/>
        </w:rPr>
        <w:t>–</w:t>
      </w:r>
      <w:r w:rsidRPr="00667B01">
        <w:rPr>
          <w:szCs w:val="22"/>
        </w:rPr>
        <w:t>46 t.km</w:t>
      </w:r>
      <w:r w:rsidRPr="00667B01">
        <w:rPr>
          <w:rFonts w:ascii="Times New (W1)" w:hAnsi="Times New (W1)"/>
          <w:szCs w:val="22"/>
          <w:vertAlign w:val="superscript"/>
        </w:rPr>
        <w:t>-2</w:t>
      </w:r>
      <w:r w:rsidRPr="00667B01">
        <w:rPr>
          <w:szCs w:val="22"/>
        </w:rPr>
        <w:t>.yr</w:t>
      </w:r>
      <w:r w:rsidRPr="00667B01">
        <w:rPr>
          <w:rFonts w:ascii="Times New (W1)" w:hAnsi="Times New (W1)"/>
          <w:szCs w:val="22"/>
          <w:vertAlign w:val="superscript"/>
        </w:rPr>
        <w:t>-1</w:t>
      </w:r>
      <w:r w:rsidRPr="00667B01">
        <w:rPr>
          <w:szCs w:val="22"/>
        </w:rPr>
        <w:t xml:space="preserve">, but were much less than </w:t>
      </w:r>
      <w:r w:rsidRPr="00667B01">
        <w:rPr>
          <w:szCs w:val="22"/>
        </w:rPr>
        <w:lastRenderedPageBreak/>
        <w:t>the 188</w:t>
      </w:r>
      <w:r>
        <w:rPr>
          <w:szCs w:val="22"/>
        </w:rPr>
        <w:t>–</w:t>
      </w:r>
      <w:r w:rsidRPr="00667B01">
        <w:rPr>
          <w:szCs w:val="22"/>
        </w:rPr>
        <w:t>5100 t.km</w:t>
      </w:r>
      <w:r w:rsidRPr="00667B01">
        <w:rPr>
          <w:rFonts w:ascii="Times New (W1)" w:hAnsi="Times New (W1)"/>
          <w:szCs w:val="22"/>
          <w:vertAlign w:val="superscript"/>
        </w:rPr>
        <w:t>-2</w:t>
      </w:r>
      <w:r w:rsidRPr="00667B01">
        <w:rPr>
          <w:szCs w:val="22"/>
        </w:rPr>
        <w:t>.yr</w:t>
      </w:r>
      <w:r w:rsidRPr="00667B01">
        <w:rPr>
          <w:rFonts w:ascii="Times New (W1)" w:hAnsi="Times New (W1)"/>
          <w:szCs w:val="22"/>
          <w:vertAlign w:val="superscript"/>
        </w:rPr>
        <w:t>-1</w:t>
      </w:r>
      <w:r w:rsidRPr="00667B01">
        <w:rPr>
          <w:szCs w:val="22"/>
        </w:rPr>
        <w:t xml:space="preserve"> recorded for </w:t>
      </w:r>
      <w:proofErr w:type="spellStart"/>
      <w:r w:rsidRPr="00667B01">
        <w:rPr>
          <w:szCs w:val="22"/>
        </w:rPr>
        <w:t>unrehabilitated</w:t>
      </w:r>
      <w:proofErr w:type="spellEnd"/>
      <w:r w:rsidRPr="00667B01">
        <w:rPr>
          <w:szCs w:val="22"/>
        </w:rPr>
        <w:t xml:space="preserve"> waste rock stockpiles in the </w:t>
      </w:r>
      <w:r>
        <w:rPr>
          <w:szCs w:val="22"/>
        </w:rPr>
        <w:t>ARR (Erskine &amp;</w:t>
      </w:r>
      <w:r w:rsidRPr="00667B01">
        <w:rPr>
          <w:szCs w:val="22"/>
        </w:rPr>
        <w:t xml:space="preserve"> </w:t>
      </w:r>
      <w:proofErr w:type="spellStart"/>
      <w:r w:rsidRPr="00667B01">
        <w:rPr>
          <w:szCs w:val="22"/>
        </w:rPr>
        <w:t>Saynor</w:t>
      </w:r>
      <w:proofErr w:type="spellEnd"/>
      <w:r w:rsidRPr="00667B01">
        <w:rPr>
          <w:szCs w:val="22"/>
        </w:rPr>
        <w:t xml:space="preserve"> 2000). This finding highlights the high </w:t>
      </w:r>
      <w:proofErr w:type="spellStart"/>
      <w:r w:rsidRPr="00667B01">
        <w:rPr>
          <w:szCs w:val="22"/>
        </w:rPr>
        <w:t>erodibility</w:t>
      </w:r>
      <w:proofErr w:type="spellEnd"/>
      <w:r w:rsidRPr="00667B01">
        <w:rPr>
          <w:szCs w:val="22"/>
        </w:rPr>
        <w:t xml:space="preserve"> of freshly placed waste rock and </w:t>
      </w:r>
      <w:proofErr w:type="spellStart"/>
      <w:r w:rsidRPr="00667B01">
        <w:rPr>
          <w:szCs w:val="22"/>
        </w:rPr>
        <w:t>laterite</w:t>
      </w:r>
      <w:proofErr w:type="spellEnd"/>
      <w:r w:rsidRPr="00667B01">
        <w:rPr>
          <w:szCs w:val="22"/>
        </w:rPr>
        <w:t>, and indicates the need for appropriate engineering design of drainage structures and sedimentation basins.</w:t>
      </w:r>
    </w:p>
    <w:p w:rsidR="00B36F09" w:rsidRPr="009F4232" w:rsidRDefault="00B36F09" w:rsidP="00B36F09">
      <w:pPr>
        <w:pStyle w:val="Heading3"/>
        <w:rPr>
          <w:lang w:val="en-US"/>
        </w:rPr>
      </w:pPr>
      <w:bookmarkStart w:id="17" w:name="_Toc313523530"/>
      <w:bookmarkStart w:id="18" w:name="_Toc316985372"/>
      <w:r w:rsidRPr="009F4232">
        <w:rPr>
          <w:lang w:val="en-US"/>
        </w:rPr>
        <w:t xml:space="preserve">Particle </w:t>
      </w:r>
      <w:r>
        <w:rPr>
          <w:lang w:val="en-US"/>
        </w:rPr>
        <w:t>s</w:t>
      </w:r>
      <w:r w:rsidRPr="009F4232">
        <w:rPr>
          <w:lang w:val="en-US"/>
        </w:rPr>
        <w:t xml:space="preserve">ize of </w:t>
      </w:r>
      <w:r>
        <w:rPr>
          <w:lang w:val="en-US"/>
        </w:rPr>
        <w:t>s</w:t>
      </w:r>
      <w:r w:rsidRPr="009F4232">
        <w:rPr>
          <w:lang w:val="en-US"/>
        </w:rPr>
        <w:t xml:space="preserve">urface </w:t>
      </w:r>
      <w:r>
        <w:rPr>
          <w:lang w:val="en-US"/>
        </w:rPr>
        <w:t>m</w:t>
      </w:r>
      <w:r w:rsidRPr="009F4232">
        <w:rPr>
          <w:lang w:val="en-US"/>
        </w:rPr>
        <w:t>aterial</w:t>
      </w:r>
      <w:bookmarkEnd w:id="17"/>
      <w:bookmarkEnd w:id="18"/>
    </w:p>
    <w:p w:rsidR="00B36F09" w:rsidRPr="00C869E0" w:rsidRDefault="00B36F09" w:rsidP="00B36F09">
      <w:pPr>
        <w:rPr>
          <w:szCs w:val="22"/>
        </w:rPr>
      </w:pPr>
      <w:r w:rsidRPr="00C869E0">
        <w:rPr>
          <w:szCs w:val="22"/>
        </w:rPr>
        <w:t>The results from the sieve and hydrometer met</w:t>
      </w:r>
      <w:r>
        <w:rPr>
          <w:szCs w:val="22"/>
        </w:rPr>
        <w:t>hod were used for comparisons of</w:t>
      </w:r>
      <w:r w:rsidRPr="00C869E0">
        <w:rPr>
          <w:szCs w:val="22"/>
        </w:rPr>
        <w:t xml:space="preserve"> graphic grain size statistics between the samples collected between the rip lines and those samples collected at the top of the mound created by the rip line. The results show that for three of the five graphic grain size statistics there was no significant difference between the waste rock and the waste rock mixed with lateritic material. However for graphic mean size and inclusive graphic standard deviation there were significant differences</w:t>
      </w:r>
      <w:r>
        <w:rPr>
          <w:szCs w:val="22"/>
        </w:rPr>
        <w:t xml:space="preserve"> (</w:t>
      </w:r>
      <w:proofErr w:type="spellStart"/>
      <w:r>
        <w:rPr>
          <w:szCs w:val="22"/>
        </w:rPr>
        <w:t>Saynor</w:t>
      </w:r>
      <w:proofErr w:type="spellEnd"/>
      <w:r>
        <w:rPr>
          <w:szCs w:val="22"/>
        </w:rPr>
        <w:t xml:space="preserve"> &amp; Houghton 2011)</w:t>
      </w:r>
      <w:r w:rsidRPr="00C869E0">
        <w:rPr>
          <w:szCs w:val="22"/>
        </w:rPr>
        <w:t>.</w:t>
      </w:r>
    </w:p>
    <w:p w:rsidR="00B36F09" w:rsidRPr="00C869E0" w:rsidRDefault="00B36F09" w:rsidP="00B36F09">
      <w:pPr>
        <w:rPr>
          <w:szCs w:val="22"/>
        </w:rPr>
      </w:pPr>
      <w:r w:rsidRPr="00C869E0">
        <w:rPr>
          <w:szCs w:val="22"/>
        </w:rPr>
        <w:t xml:space="preserve">The graphic grain size statistics for the combined hydrometer and sieve method were significantly different to those derived from the </w:t>
      </w:r>
      <w:r>
        <w:rPr>
          <w:szCs w:val="22"/>
        </w:rPr>
        <w:t>‘</w:t>
      </w:r>
      <w:r w:rsidRPr="00C869E0">
        <w:rPr>
          <w:szCs w:val="22"/>
        </w:rPr>
        <w:t xml:space="preserve">Digital </w:t>
      </w:r>
      <w:proofErr w:type="spellStart"/>
      <w:r w:rsidRPr="00C869E0">
        <w:rPr>
          <w:szCs w:val="22"/>
        </w:rPr>
        <w:t>Gravelometer</w:t>
      </w:r>
      <w:proofErr w:type="spellEnd"/>
      <w:r>
        <w:rPr>
          <w:szCs w:val="22"/>
        </w:rPr>
        <w:t>’</w:t>
      </w:r>
      <w:r w:rsidRPr="00C869E0">
        <w:rPr>
          <w:rFonts w:ascii="Times New (W1)" w:hAnsi="Times New (W1)"/>
          <w:snapToGrid w:val="0"/>
          <w:color w:val="000000"/>
          <w:position w:val="5"/>
          <w:szCs w:val="22"/>
          <w:u w:color="000000"/>
          <w:vertAlign w:val="superscript"/>
        </w:rPr>
        <w:t>TM</w:t>
      </w:r>
      <w:r w:rsidRPr="00C869E0">
        <w:rPr>
          <w:szCs w:val="22"/>
        </w:rPr>
        <w:t>. The reasons for the poor correspondence in graphic grain size statistics between the two methods are that</w:t>
      </w:r>
      <w:r>
        <w:rPr>
          <w:szCs w:val="22"/>
        </w:rPr>
        <w:t xml:space="preserve"> t</w:t>
      </w:r>
      <w:r w:rsidRPr="00C869E0">
        <w:rPr>
          <w:szCs w:val="22"/>
        </w:rPr>
        <w:t xml:space="preserve">he </w:t>
      </w:r>
      <w:r>
        <w:rPr>
          <w:szCs w:val="22"/>
        </w:rPr>
        <w:t>‘</w:t>
      </w:r>
      <w:r w:rsidRPr="00C869E0">
        <w:rPr>
          <w:szCs w:val="22"/>
        </w:rPr>
        <w:t xml:space="preserve">Digital </w:t>
      </w:r>
      <w:proofErr w:type="spellStart"/>
      <w:r w:rsidRPr="00C869E0">
        <w:rPr>
          <w:szCs w:val="22"/>
        </w:rPr>
        <w:t>Gravelometer</w:t>
      </w:r>
      <w:proofErr w:type="spellEnd"/>
      <w:r>
        <w:rPr>
          <w:szCs w:val="22"/>
        </w:rPr>
        <w:t>’</w:t>
      </w:r>
      <w:r w:rsidRPr="00C869E0">
        <w:rPr>
          <w:rFonts w:ascii="Times New (W1)" w:hAnsi="Times New (W1)"/>
          <w:snapToGrid w:val="0"/>
          <w:color w:val="000000"/>
          <w:position w:val="5"/>
          <w:szCs w:val="22"/>
          <w:u w:color="000000"/>
          <w:vertAlign w:val="superscript"/>
        </w:rPr>
        <w:t>TM</w:t>
      </w:r>
      <w:r w:rsidRPr="00C869E0">
        <w:rPr>
          <w:szCs w:val="22"/>
        </w:rPr>
        <w:t xml:space="preserve">: </w:t>
      </w:r>
    </w:p>
    <w:p w:rsidR="00B36F09" w:rsidRPr="00C869E0" w:rsidRDefault="00B36F09" w:rsidP="00B36F09">
      <w:pPr>
        <w:pStyle w:val="bulletlist1"/>
        <w:numPr>
          <w:ilvl w:val="0"/>
          <w:numId w:val="1"/>
        </w:numPr>
        <w:tabs>
          <w:tab w:val="clear" w:pos="720"/>
        </w:tabs>
        <w:ind w:left="357" w:hanging="357"/>
      </w:pPr>
      <w:r w:rsidRPr="00C869E0">
        <w:t>is unable to determine the full range of particle sizes as provided by the sieve and hydrometer method</w:t>
      </w:r>
      <w:r>
        <w:t>;</w:t>
      </w:r>
    </w:p>
    <w:p w:rsidR="00B36F09" w:rsidRPr="00C869E0" w:rsidRDefault="00B36F09" w:rsidP="00B36F09">
      <w:pPr>
        <w:pStyle w:val="bulletlist1"/>
        <w:numPr>
          <w:ilvl w:val="0"/>
          <w:numId w:val="1"/>
        </w:numPr>
        <w:tabs>
          <w:tab w:val="clear" w:pos="720"/>
        </w:tabs>
        <w:ind w:left="357" w:hanging="357"/>
      </w:pPr>
      <w:r w:rsidRPr="00C869E0">
        <w:t xml:space="preserve">is unduly influenced by the unevenness of the ground which creates shadows which are wrongly measured as individual </w:t>
      </w:r>
      <w:proofErr w:type="spellStart"/>
      <w:r w:rsidRPr="00C869E0">
        <w:t>clasts</w:t>
      </w:r>
      <w:proofErr w:type="spellEnd"/>
      <w:r>
        <w:t>;</w:t>
      </w:r>
      <w:r w:rsidRPr="00C869E0">
        <w:t xml:space="preserve"> </w:t>
      </w:r>
    </w:p>
    <w:p w:rsidR="00B36F09" w:rsidRPr="00C869E0" w:rsidRDefault="00B36F09" w:rsidP="00B36F09">
      <w:pPr>
        <w:pStyle w:val="bulletlist1"/>
        <w:numPr>
          <w:ilvl w:val="0"/>
          <w:numId w:val="1"/>
        </w:numPr>
        <w:tabs>
          <w:tab w:val="clear" w:pos="720"/>
        </w:tabs>
        <w:ind w:left="357" w:hanging="357"/>
      </w:pPr>
      <w:r w:rsidRPr="00C869E0">
        <w:t>has problems distinguishing the smaller particles and often aggregated the smaller particles into one large particle</w:t>
      </w:r>
      <w:r>
        <w:t>;</w:t>
      </w:r>
      <w:r w:rsidRPr="00C869E0">
        <w:t xml:space="preserve"> and</w:t>
      </w:r>
    </w:p>
    <w:p w:rsidR="00B36F09" w:rsidRPr="00C869E0" w:rsidRDefault="00B36F09" w:rsidP="00B36F09">
      <w:pPr>
        <w:pStyle w:val="bulletlist1"/>
        <w:numPr>
          <w:ilvl w:val="0"/>
          <w:numId w:val="1"/>
        </w:numPr>
        <w:tabs>
          <w:tab w:val="clear" w:pos="720"/>
        </w:tabs>
        <w:ind w:left="357" w:hanging="357"/>
      </w:pPr>
      <w:proofErr w:type="gramStart"/>
      <w:r w:rsidRPr="00C869E0">
        <w:t>had</w:t>
      </w:r>
      <w:proofErr w:type="gramEnd"/>
      <w:r w:rsidRPr="00C869E0">
        <w:t xml:space="preserve"> problems recognising individual angular </w:t>
      </w:r>
      <w:proofErr w:type="spellStart"/>
      <w:r w:rsidRPr="00C869E0">
        <w:t>clasts</w:t>
      </w:r>
      <w:proofErr w:type="spellEnd"/>
      <w:r w:rsidRPr="00C869E0">
        <w:t xml:space="preserve"> of waste rock</w:t>
      </w:r>
      <w:r>
        <w:t xml:space="preserve"> (</w:t>
      </w:r>
      <w:proofErr w:type="spellStart"/>
      <w:r>
        <w:t>Saynor</w:t>
      </w:r>
      <w:proofErr w:type="spellEnd"/>
      <w:r>
        <w:t xml:space="preserve"> &amp; Houghton 2011)</w:t>
      </w:r>
      <w:r w:rsidRPr="00C869E0">
        <w:t>.</w:t>
      </w:r>
    </w:p>
    <w:p w:rsidR="00B36F09" w:rsidRDefault="00B36F09" w:rsidP="00B36F09">
      <w:pPr>
        <w:rPr>
          <w:szCs w:val="22"/>
        </w:rPr>
      </w:pPr>
      <w:r w:rsidRPr="00C869E0">
        <w:rPr>
          <w:szCs w:val="22"/>
        </w:rPr>
        <w:t xml:space="preserve">Particle size analysis by the combined hydrometer and sieve method provides a better estimation of the size distribution of the particles present on the trial landform surface. It does, however, underestimate the amount of very large particle sizes </w:t>
      </w:r>
      <w:r>
        <w:rPr>
          <w:szCs w:val="22"/>
        </w:rPr>
        <w:t xml:space="preserve">(&gt;0.5 m in diameter) </w:t>
      </w:r>
      <w:r w:rsidRPr="00C869E0">
        <w:rPr>
          <w:szCs w:val="22"/>
        </w:rPr>
        <w:t xml:space="preserve">because it was not physically possible to collect a large enough sample to inclusively contain a sufficiently representative sample of these very large components. </w:t>
      </w:r>
      <w:r>
        <w:rPr>
          <w:szCs w:val="22"/>
        </w:rPr>
        <w:t xml:space="preserve">To do so would have entailed collecting samples of over 1 t (Gale &amp; Hoare 1992), which would not have been physically practicable given the available sample collection and processing resources. </w:t>
      </w:r>
    </w:p>
    <w:p w:rsidR="00B36F09" w:rsidRPr="00667B01" w:rsidRDefault="00B36F09" w:rsidP="00B36F09">
      <w:pPr>
        <w:pStyle w:val="Heading2"/>
      </w:pPr>
      <w:bookmarkStart w:id="19" w:name="_Toc313523531"/>
      <w:bookmarkStart w:id="20" w:name="_Toc316985373"/>
      <w:r>
        <w:t>Future work</w:t>
      </w:r>
      <w:bookmarkEnd w:id="19"/>
      <w:bookmarkEnd w:id="20"/>
    </w:p>
    <w:p w:rsidR="00B36F09" w:rsidRPr="00E6324C" w:rsidRDefault="00B36F09" w:rsidP="00B36F09">
      <w:r w:rsidRPr="00E6324C">
        <w:t>The</w:t>
      </w:r>
      <w:r>
        <w:t xml:space="preserve"> discharge,</w:t>
      </w:r>
      <w:r w:rsidRPr="00E6324C">
        <w:t xml:space="preserve"> turbidity, suspended sediment and solute data for the four plots for the first three water years will be progressively collated and analysed over the next wet season. The detailed results will be reported to ARRTC 29 in November 2012. A Supervising Scientist report (SSR) containing  the experimental design, plot layout, rainfall, runoff, suspended sediment loads and solute loads for eac</w:t>
      </w:r>
      <w:r>
        <w:t xml:space="preserve">h water year and annual </w:t>
      </w:r>
      <w:proofErr w:type="spellStart"/>
      <w:r>
        <w:t>bedload</w:t>
      </w:r>
      <w:proofErr w:type="spellEnd"/>
      <w:r>
        <w:t xml:space="preserve"> yields</w:t>
      </w:r>
      <w:r w:rsidRPr="00E6324C">
        <w:t xml:space="preserve"> will be produced. It is intended to subsequently publish this material in </w:t>
      </w:r>
      <w:r>
        <w:t>a number of journal papers</w:t>
      </w:r>
      <w:r w:rsidRPr="00E6324C">
        <w:t xml:space="preserve">. The outputs from this project will also provide the means for </w:t>
      </w:r>
      <w:proofErr w:type="spellStart"/>
      <w:r w:rsidRPr="00E6324C">
        <w:t>verifiying</w:t>
      </w:r>
      <w:proofErr w:type="spellEnd"/>
      <w:r w:rsidRPr="00E6324C">
        <w:t xml:space="preserve"> the erosion rate time series predictions produced by the </w:t>
      </w:r>
      <w:r>
        <w:t>CAESAR erosion model (KKN 2.2.1</w:t>
      </w:r>
      <w:r w:rsidRPr="00E6324C">
        <w:t xml:space="preserve"> Landform design- Assessing the geomorphic stability of the Ranger trial landform using landform evolution models).</w:t>
      </w:r>
    </w:p>
    <w:p w:rsidR="00B36F09" w:rsidRPr="00667B01" w:rsidRDefault="00B36F09" w:rsidP="00B36F09">
      <w:pPr>
        <w:pStyle w:val="Heading2"/>
      </w:pPr>
      <w:bookmarkStart w:id="21" w:name="_Toc313523532"/>
      <w:bookmarkStart w:id="22" w:name="_Toc316985374"/>
      <w:r w:rsidRPr="00667B01">
        <w:lastRenderedPageBreak/>
        <w:t>References</w:t>
      </w:r>
      <w:bookmarkEnd w:id="21"/>
      <w:bookmarkEnd w:id="22"/>
    </w:p>
    <w:p w:rsidR="00B36F09" w:rsidRPr="00667B01" w:rsidRDefault="00B36F09" w:rsidP="00B36F09">
      <w:pPr>
        <w:ind w:left="426" w:hanging="426"/>
        <w:rPr>
          <w:szCs w:val="22"/>
        </w:rPr>
      </w:pPr>
      <w:proofErr w:type="spellStart"/>
      <w:proofErr w:type="gramStart"/>
      <w:r w:rsidRPr="00667B01">
        <w:rPr>
          <w:szCs w:val="22"/>
        </w:rPr>
        <w:t>Bos</w:t>
      </w:r>
      <w:proofErr w:type="spellEnd"/>
      <w:r w:rsidRPr="00667B01">
        <w:rPr>
          <w:szCs w:val="22"/>
        </w:rPr>
        <w:t xml:space="preserve"> MG, </w:t>
      </w:r>
      <w:proofErr w:type="spellStart"/>
      <w:r w:rsidRPr="00667B01">
        <w:rPr>
          <w:szCs w:val="22"/>
        </w:rPr>
        <w:t>Replogle</w:t>
      </w:r>
      <w:proofErr w:type="spellEnd"/>
      <w:r w:rsidRPr="00667B01">
        <w:rPr>
          <w:szCs w:val="22"/>
        </w:rPr>
        <w:t xml:space="preserve"> JA &amp; </w:t>
      </w:r>
      <w:proofErr w:type="spellStart"/>
      <w:r w:rsidRPr="00667B01">
        <w:rPr>
          <w:szCs w:val="22"/>
        </w:rPr>
        <w:t>Clemmens</w:t>
      </w:r>
      <w:proofErr w:type="spellEnd"/>
      <w:r w:rsidRPr="00667B01">
        <w:rPr>
          <w:szCs w:val="22"/>
        </w:rPr>
        <w:t xml:space="preserve"> AJ 1984.</w:t>
      </w:r>
      <w:proofErr w:type="gramEnd"/>
      <w:r w:rsidRPr="00667B01">
        <w:rPr>
          <w:szCs w:val="22"/>
        </w:rPr>
        <w:t xml:space="preserve"> </w:t>
      </w:r>
      <w:r w:rsidRPr="00667B01">
        <w:rPr>
          <w:i/>
          <w:szCs w:val="22"/>
        </w:rPr>
        <w:t>Flow measuring flumes for open channel systems</w:t>
      </w:r>
      <w:r w:rsidRPr="00667B01">
        <w:rPr>
          <w:szCs w:val="22"/>
        </w:rPr>
        <w:t xml:space="preserve">. John Wiley </w:t>
      </w:r>
      <w:r>
        <w:rPr>
          <w:szCs w:val="22"/>
        </w:rPr>
        <w:t>&amp;</w:t>
      </w:r>
      <w:r w:rsidRPr="00667B01">
        <w:rPr>
          <w:szCs w:val="22"/>
        </w:rPr>
        <w:t xml:space="preserve"> Sons, New York.</w:t>
      </w:r>
    </w:p>
    <w:p w:rsidR="00B36F09" w:rsidRPr="00667B01" w:rsidRDefault="00B36F09" w:rsidP="00B36F09">
      <w:pPr>
        <w:pStyle w:val="referencelist1"/>
        <w:rPr>
          <w:szCs w:val="22"/>
        </w:rPr>
      </w:pPr>
      <w:r>
        <w:rPr>
          <w:szCs w:val="22"/>
        </w:rPr>
        <w:t>Duggan K 1988</w:t>
      </w:r>
      <w:r w:rsidRPr="00667B01">
        <w:rPr>
          <w:szCs w:val="22"/>
        </w:rPr>
        <w:t xml:space="preserve">. </w:t>
      </w:r>
      <w:proofErr w:type="gramStart"/>
      <w:r w:rsidRPr="00667B01">
        <w:rPr>
          <w:szCs w:val="22"/>
        </w:rPr>
        <w:t>Mining and erosion in the Alligator Rivers Regi</w:t>
      </w:r>
      <w:r>
        <w:rPr>
          <w:szCs w:val="22"/>
        </w:rPr>
        <w:t>on of Northern Australia.</w:t>
      </w:r>
      <w:proofErr w:type="gramEnd"/>
      <w:r>
        <w:rPr>
          <w:szCs w:val="22"/>
        </w:rPr>
        <w:t xml:space="preserve"> </w:t>
      </w:r>
      <w:proofErr w:type="gramStart"/>
      <w:r>
        <w:rPr>
          <w:szCs w:val="22"/>
        </w:rPr>
        <w:t>Unpublished PhD thesis, School of Earth Sciences, Macquarie University</w:t>
      </w:r>
      <w:r w:rsidRPr="00667B01">
        <w:rPr>
          <w:szCs w:val="22"/>
        </w:rPr>
        <w:t>.</w:t>
      </w:r>
      <w:proofErr w:type="gramEnd"/>
    </w:p>
    <w:p w:rsidR="00B36F09" w:rsidRPr="00667B01" w:rsidRDefault="00B36F09" w:rsidP="00B36F09">
      <w:pPr>
        <w:pStyle w:val="referencelist1"/>
        <w:rPr>
          <w:szCs w:val="22"/>
        </w:rPr>
      </w:pPr>
      <w:r w:rsidRPr="00667B01">
        <w:rPr>
          <w:szCs w:val="22"/>
        </w:rPr>
        <w:t xml:space="preserve">Duggan K 1994. </w:t>
      </w:r>
      <w:proofErr w:type="gramStart"/>
      <w:r>
        <w:rPr>
          <w:szCs w:val="22"/>
        </w:rPr>
        <w:t>Erosion and sediment yields in the Kakadu Region of northern Australia.</w:t>
      </w:r>
      <w:proofErr w:type="gramEnd"/>
      <w:r>
        <w:rPr>
          <w:szCs w:val="22"/>
        </w:rPr>
        <w:t xml:space="preserve"> In: </w:t>
      </w:r>
      <w:r w:rsidRPr="00274AB9">
        <w:rPr>
          <w:i/>
          <w:szCs w:val="22"/>
        </w:rPr>
        <w:t>Variability in stream erosion and sediment transport</w:t>
      </w:r>
      <w:r>
        <w:rPr>
          <w:szCs w:val="22"/>
        </w:rPr>
        <w:t xml:space="preserve">. </w:t>
      </w:r>
      <w:proofErr w:type="spellStart"/>
      <w:r>
        <w:rPr>
          <w:szCs w:val="22"/>
        </w:rPr>
        <w:t>Eds</w:t>
      </w:r>
      <w:proofErr w:type="spellEnd"/>
      <w:r>
        <w:rPr>
          <w:szCs w:val="22"/>
        </w:rPr>
        <w:t xml:space="preserve"> LJ Olive, </w:t>
      </w:r>
      <w:proofErr w:type="spellStart"/>
      <w:r>
        <w:rPr>
          <w:szCs w:val="22"/>
        </w:rPr>
        <w:t>Loughran</w:t>
      </w:r>
      <w:proofErr w:type="spellEnd"/>
      <w:r>
        <w:rPr>
          <w:szCs w:val="22"/>
        </w:rPr>
        <w:t xml:space="preserve"> RJ, </w:t>
      </w:r>
      <w:proofErr w:type="spellStart"/>
      <w:r>
        <w:rPr>
          <w:szCs w:val="22"/>
        </w:rPr>
        <w:t>Kesby</w:t>
      </w:r>
      <w:proofErr w:type="spellEnd"/>
      <w:r>
        <w:rPr>
          <w:szCs w:val="22"/>
        </w:rPr>
        <w:t xml:space="preserve"> JA, International Association of Hydrological Sciences, Wallingford, 373–383.</w:t>
      </w:r>
    </w:p>
    <w:p w:rsidR="00B36F09" w:rsidRPr="00667B01" w:rsidRDefault="00B36F09" w:rsidP="00B36F09">
      <w:pPr>
        <w:pStyle w:val="referencelist1"/>
        <w:rPr>
          <w:szCs w:val="22"/>
        </w:rPr>
      </w:pPr>
      <w:proofErr w:type="gramStart"/>
      <w:r w:rsidRPr="00667B01">
        <w:rPr>
          <w:szCs w:val="22"/>
        </w:rPr>
        <w:t xml:space="preserve">Erskine WD &amp; </w:t>
      </w:r>
      <w:proofErr w:type="spellStart"/>
      <w:r w:rsidRPr="00667B01">
        <w:rPr>
          <w:szCs w:val="22"/>
        </w:rPr>
        <w:t>Saynor</w:t>
      </w:r>
      <w:proofErr w:type="spellEnd"/>
      <w:r w:rsidRPr="00667B01">
        <w:rPr>
          <w:szCs w:val="22"/>
        </w:rPr>
        <w:t xml:space="preserve"> MJ 2000.</w:t>
      </w:r>
      <w:proofErr w:type="gramEnd"/>
      <w:r w:rsidRPr="00667B01">
        <w:rPr>
          <w:szCs w:val="22"/>
        </w:rPr>
        <w:t xml:space="preserve"> </w:t>
      </w:r>
      <w:r w:rsidRPr="00667B01">
        <w:rPr>
          <w:i/>
          <w:szCs w:val="22"/>
        </w:rPr>
        <w:t xml:space="preserve">Assessment of the off-site geomorphic impacts of uranium mining on </w:t>
      </w:r>
      <w:proofErr w:type="spellStart"/>
      <w:r w:rsidRPr="00667B01">
        <w:rPr>
          <w:i/>
          <w:szCs w:val="22"/>
        </w:rPr>
        <w:t>Magela</w:t>
      </w:r>
      <w:proofErr w:type="spellEnd"/>
      <w:r w:rsidRPr="00667B01">
        <w:rPr>
          <w:i/>
          <w:szCs w:val="22"/>
        </w:rPr>
        <w:t xml:space="preserve"> Creek, Northern Territory, Australia</w:t>
      </w:r>
      <w:r w:rsidRPr="00667B01">
        <w:rPr>
          <w:szCs w:val="22"/>
        </w:rPr>
        <w:t xml:space="preserve">. Supervising Scientist Report 156, Supervising Scientist, Darwin NT. </w:t>
      </w:r>
    </w:p>
    <w:p w:rsidR="00B36F09" w:rsidRDefault="00B36F09" w:rsidP="00B36F09">
      <w:pPr>
        <w:pStyle w:val="referencelist1"/>
        <w:rPr>
          <w:szCs w:val="22"/>
        </w:rPr>
      </w:pPr>
      <w:proofErr w:type="gramStart"/>
      <w:r w:rsidRPr="00667B01">
        <w:rPr>
          <w:szCs w:val="22"/>
        </w:rPr>
        <w:t>Evans KG &amp; Riley SJ 1993.</w:t>
      </w:r>
      <w:proofErr w:type="gramEnd"/>
      <w:r w:rsidRPr="00667B01">
        <w:rPr>
          <w:szCs w:val="22"/>
        </w:rPr>
        <w:t xml:space="preserve"> </w:t>
      </w:r>
      <w:proofErr w:type="gramStart"/>
      <w:r w:rsidRPr="00667B01">
        <w:rPr>
          <w:szCs w:val="22"/>
        </w:rPr>
        <w:t>Regression equations for the determination of discharge through RBC flumes.</w:t>
      </w:r>
      <w:proofErr w:type="gramEnd"/>
      <w:r w:rsidRPr="00667B01">
        <w:rPr>
          <w:szCs w:val="22"/>
        </w:rPr>
        <w:t xml:space="preserve"> </w:t>
      </w:r>
      <w:proofErr w:type="gramStart"/>
      <w:r w:rsidRPr="00667B01">
        <w:rPr>
          <w:szCs w:val="22"/>
        </w:rPr>
        <w:t>Internal report 104, Supervising Scientist for the Alligator Rivers Region, Canberra.</w:t>
      </w:r>
      <w:proofErr w:type="gramEnd"/>
      <w:r w:rsidRPr="00667B01">
        <w:rPr>
          <w:szCs w:val="22"/>
        </w:rPr>
        <w:t xml:space="preserve"> </w:t>
      </w:r>
      <w:proofErr w:type="gramStart"/>
      <w:r w:rsidRPr="00667B01">
        <w:rPr>
          <w:szCs w:val="22"/>
        </w:rPr>
        <w:t>Unpublished paper.</w:t>
      </w:r>
      <w:proofErr w:type="gramEnd"/>
    </w:p>
    <w:p w:rsidR="00B36F09" w:rsidRDefault="00B36F09" w:rsidP="00B36F09">
      <w:pPr>
        <w:pStyle w:val="referencelist1"/>
        <w:rPr>
          <w:szCs w:val="22"/>
        </w:rPr>
      </w:pPr>
      <w:proofErr w:type="gramStart"/>
      <w:r>
        <w:rPr>
          <w:szCs w:val="22"/>
        </w:rPr>
        <w:t>Gale SJ &amp; Hoare PG 1992.</w:t>
      </w:r>
      <w:proofErr w:type="gramEnd"/>
      <w:r>
        <w:rPr>
          <w:szCs w:val="22"/>
        </w:rPr>
        <w:t xml:space="preserve"> </w:t>
      </w:r>
      <w:proofErr w:type="gramStart"/>
      <w:r>
        <w:rPr>
          <w:szCs w:val="22"/>
        </w:rPr>
        <w:t xml:space="preserve">Bulk sampling of coarse </w:t>
      </w:r>
      <w:proofErr w:type="spellStart"/>
      <w:r>
        <w:rPr>
          <w:szCs w:val="22"/>
        </w:rPr>
        <w:t>clastic</w:t>
      </w:r>
      <w:proofErr w:type="spellEnd"/>
      <w:r>
        <w:rPr>
          <w:szCs w:val="22"/>
        </w:rPr>
        <w:t xml:space="preserve"> sediments for particle size analysis.</w:t>
      </w:r>
      <w:proofErr w:type="gramEnd"/>
      <w:r>
        <w:rPr>
          <w:szCs w:val="22"/>
        </w:rPr>
        <w:t xml:space="preserve"> </w:t>
      </w:r>
      <w:r w:rsidRPr="000D305B">
        <w:rPr>
          <w:i/>
          <w:szCs w:val="22"/>
        </w:rPr>
        <w:t>Earth Surface Processes and Landforms</w:t>
      </w:r>
      <w:r>
        <w:rPr>
          <w:szCs w:val="22"/>
        </w:rPr>
        <w:t xml:space="preserve"> 17, 729–733.</w:t>
      </w:r>
    </w:p>
    <w:p w:rsidR="00B36F09" w:rsidRDefault="00B36F09" w:rsidP="00B36F09">
      <w:pPr>
        <w:pStyle w:val="referencelist1"/>
        <w:rPr>
          <w:szCs w:val="22"/>
        </w:rPr>
      </w:pPr>
      <w:r>
        <w:rPr>
          <w:szCs w:val="22"/>
        </w:rPr>
        <w:t xml:space="preserve">Gee GW &amp; </w:t>
      </w:r>
      <w:proofErr w:type="spellStart"/>
      <w:r>
        <w:rPr>
          <w:szCs w:val="22"/>
        </w:rPr>
        <w:t>Bauder</w:t>
      </w:r>
      <w:proofErr w:type="spellEnd"/>
      <w:r>
        <w:rPr>
          <w:szCs w:val="22"/>
        </w:rPr>
        <w:t xml:space="preserve"> JW 1986. </w:t>
      </w:r>
      <w:proofErr w:type="gramStart"/>
      <w:r>
        <w:rPr>
          <w:szCs w:val="22"/>
        </w:rPr>
        <w:t>Particle size analysis.</w:t>
      </w:r>
      <w:proofErr w:type="gramEnd"/>
      <w:r>
        <w:rPr>
          <w:szCs w:val="22"/>
        </w:rPr>
        <w:t xml:space="preserve"> In </w:t>
      </w:r>
      <w:r w:rsidRPr="00375A6A">
        <w:rPr>
          <w:i/>
          <w:szCs w:val="22"/>
        </w:rPr>
        <w:t xml:space="preserve">Methods of </w:t>
      </w:r>
      <w:r>
        <w:rPr>
          <w:i/>
          <w:szCs w:val="22"/>
        </w:rPr>
        <w:t>s</w:t>
      </w:r>
      <w:r w:rsidRPr="00375A6A">
        <w:rPr>
          <w:i/>
          <w:szCs w:val="22"/>
        </w:rPr>
        <w:t xml:space="preserve">oil </w:t>
      </w:r>
      <w:r>
        <w:rPr>
          <w:i/>
          <w:szCs w:val="22"/>
        </w:rPr>
        <w:t>a</w:t>
      </w:r>
      <w:r w:rsidRPr="00375A6A">
        <w:rPr>
          <w:i/>
          <w:szCs w:val="22"/>
        </w:rPr>
        <w:t xml:space="preserve">nalysis Vol. 1, Physical and </w:t>
      </w:r>
      <w:r>
        <w:rPr>
          <w:i/>
          <w:szCs w:val="22"/>
        </w:rPr>
        <w:t>m</w:t>
      </w:r>
      <w:r w:rsidRPr="00375A6A">
        <w:rPr>
          <w:i/>
          <w:szCs w:val="22"/>
        </w:rPr>
        <w:t xml:space="preserve">ineralogical </w:t>
      </w:r>
      <w:r>
        <w:rPr>
          <w:i/>
          <w:szCs w:val="22"/>
        </w:rPr>
        <w:t>m</w:t>
      </w:r>
      <w:r w:rsidRPr="00375A6A">
        <w:rPr>
          <w:i/>
          <w:szCs w:val="22"/>
        </w:rPr>
        <w:t>ethods</w:t>
      </w:r>
      <w:r>
        <w:rPr>
          <w:szCs w:val="22"/>
        </w:rPr>
        <w:t xml:space="preserve">, </w:t>
      </w:r>
      <w:proofErr w:type="spellStart"/>
      <w:proofErr w:type="gramStart"/>
      <w:r>
        <w:rPr>
          <w:szCs w:val="22"/>
        </w:rPr>
        <w:t>ed</w:t>
      </w:r>
      <w:proofErr w:type="spellEnd"/>
      <w:proofErr w:type="gramEnd"/>
      <w:r>
        <w:rPr>
          <w:szCs w:val="22"/>
        </w:rPr>
        <w:t xml:space="preserve"> A </w:t>
      </w:r>
      <w:proofErr w:type="spellStart"/>
      <w:r>
        <w:rPr>
          <w:szCs w:val="22"/>
        </w:rPr>
        <w:t>Klute</w:t>
      </w:r>
      <w:proofErr w:type="spellEnd"/>
      <w:r>
        <w:rPr>
          <w:szCs w:val="22"/>
        </w:rPr>
        <w:t xml:space="preserve">, American Society of Soil Agronomy and Soil Science Society of America, Madison, 357–376. </w:t>
      </w:r>
    </w:p>
    <w:p w:rsidR="00B36F09" w:rsidRDefault="00B36F09" w:rsidP="00B36F09">
      <w:pPr>
        <w:pStyle w:val="referencelist1"/>
        <w:rPr>
          <w:szCs w:val="22"/>
        </w:rPr>
      </w:pPr>
      <w:r>
        <w:rPr>
          <w:szCs w:val="22"/>
        </w:rPr>
        <w:t xml:space="preserve">Lowry J, </w:t>
      </w:r>
      <w:proofErr w:type="spellStart"/>
      <w:r>
        <w:rPr>
          <w:szCs w:val="22"/>
        </w:rPr>
        <w:t>Coulthard</w:t>
      </w:r>
      <w:proofErr w:type="spellEnd"/>
      <w:r>
        <w:rPr>
          <w:szCs w:val="22"/>
        </w:rPr>
        <w:t xml:space="preserve"> T, Hancock G &amp; Jones D 2012. </w:t>
      </w:r>
      <w:proofErr w:type="gramStart"/>
      <w:r>
        <w:rPr>
          <w:szCs w:val="22"/>
        </w:rPr>
        <w:t>Assessing the geomorphic stability of the Ranger trial landform using landform evolution models.</w:t>
      </w:r>
      <w:proofErr w:type="gramEnd"/>
      <w:r>
        <w:rPr>
          <w:szCs w:val="22"/>
        </w:rPr>
        <w:t xml:space="preserve"> In </w:t>
      </w:r>
      <w:proofErr w:type="spellStart"/>
      <w:r w:rsidRPr="000719B3">
        <w:rPr>
          <w:b/>
          <w:i/>
          <w:sz w:val="26"/>
          <w:szCs w:val="26"/>
        </w:rPr>
        <w:t>eriss</w:t>
      </w:r>
      <w:proofErr w:type="spellEnd"/>
      <w:r w:rsidRPr="00BA088B">
        <w:rPr>
          <w:i/>
          <w:szCs w:val="22"/>
        </w:rPr>
        <w:t xml:space="preserve"> research summary 2010-2011</w:t>
      </w:r>
      <w:r>
        <w:rPr>
          <w:szCs w:val="22"/>
        </w:rPr>
        <w:t xml:space="preserve">, </w:t>
      </w:r>
      <w:proofErr w:type="spellStart"/>
      <w:r>
        <w:rPr>
          <w:szCs w:val="22"/>
        </w:rPr>
        <w:t>eds</w:t>
      </w:r>
      <w:proofErr w:type="spellEnd"/>
      <w:r>
        <w:rPr>
          <w:szCs w:val="22"/>
        </w:rPr>
        <w:t xml:space="preserve"> Jones Dr &amp; Webb A, Supervising Scientist Report 203, Supervising Scientist, Darwin NT, 114–118.</w:t>
      </w:r>
    </w:p>
    <w:p w:rsidR="00B36F09" w:rsidRDefault="00B36F09" w:rsidP="00B36F09">
      <w:pPr>
        <w:pStyle w:val="referencelist1"/>
        <w:rPr>
          <w:lang w:val="en-US"/>
        </w:rPr>
      </w:pPr>
      <w:proofErr w:type="spellStart"/>
      <w:proofErr w:type="gramStart"/>
      <w:r>
        <w:rPr>
          <w:szCs w:val="22"/>
        </w:rPr>
        <w:t>Saynor</w:t>
      </w:r>
      <w:proofErr w:type="spellEnd"/>
      <w:r>
        <w:rPr>
          <w:szCs w:val="22"/>
        </w:rPr>
        <w:t xml:space="preserve"> MJ and Evans KG 2001.</w:t>
      </w:r>
      <w:proofErr w:type="gramEnd"/>
      <w:r>
        <w:rPr>
          <w:szCs w:val="22"/>
        </w:rPr>
        <w:t xml:space="preserve"> </w:t>
      </w:r>
      <w:proofErr w:type="gramStart"/>
      <w:r>
        <w:rPr>
          <w:lang w:val="en-US"/>
        </w:rPr>
        <w:t>Sediment loss from a waste rock dump, ERA Ranger Mine, northern Australia.</w:t>
      </w:r>
      <w:proofErr w:type="gramEnd"/>
      <w:r>
        <w:rPr>
          <w:lang w:val="en-US"/>
        </w:rPr>
        <w:t xml:space="preserve"> </w:t>
      </w:r>
      <w:r w:rsidRPr="00274AB9">
        <w:rPr>
          <w:i/>
          <w:szCs w:val="22"/>
        </w:rPr>
        <w:t>Australian Geographical Studies</w:t>
      </w:r>
      <w:r>
        <w:rPr>
          <w:szCs w:val="22"/>
        </w:rPr>
        <w:t xml:space="preserve"> </w:t>
      </w:r>
      <w:r>
        <w:rPr>
          <w:lang w:val="en-US"/>
        </w:rPr>
        <w:t>39(1), 34–51.</w:t>
      </w:r>
    </w:p>
    <w:p w:rsidR="00B36F09" w:rsidRDefault="00B36F09" w:rsidP="00B36F09">
      <w:pPr>
        <w:pStyle w:val="referencelist1"/>
        <w:rPr>
          <w:szCs w:val="22"/>
        </w:rPr>
      </w:pPr>
      <w:proofErr w:type="spellStart"/>
      <w:proofErr w:type="gramStart"/>
      <w:r>
        <w:rPr>
          <w:szCs w:val="22"/>
        </w:rPr>
        <w:t>Saynor</w:t>
      </w:r>
      <w:proofErr w:type="spellEnd"/>
      <w:r>
        <w:rPr>
          <w:szCs w:val="22"/>
        </w:rPr>
        <w:t xml:space="preserve"> MJ &amp; Houghton R 2011.</w:t>
      </w:r>
      <w:proofErr w:type="gramEnd"/>
      <w:r>
        <w:rPr>
          <w:szCs w:val="22"/>
        </w:rPr>
        <w:t xml:space="preserve"> Ranger trial landform: particle size of surface material samples in 2009 with additional observations in 2010. </w:t>
      </w:r>
      <w:proofErr w:type="gramStart"/>
      <w:r>
        <w:rPr>
          <w:szCs w:val="22"/>
        </w:rPr>
        <w:t>Internal report 596</w:t>
      </w:r>
      <w:r w:rsidRPr="00667B01">
        <w:rPr>
          <w:szCs w:val="22"/>
        </w:rPr>
        <w:t>, Supervising Scientist for the A</w:t>
      </w:r>
      <w:r>
        <w:rPr>
          <w:szCs w:val="22"/>
        </w:rPr>
        <w:t>lligator Rivers Region, Darwin</w:t>
      </w:r>
      <w:r w:rsidRPr="00667B01">
        <w:rPr>
          <w:szCs w:val="22"/>
        </w:rPr>
        <w:t>.</w:t>
      </w:r>
      <w:proofErr w:type="gramEnd"/>
      <w:r w:rsidRPr="00667B01">
        <w:rPr>
          <w:szCs w:val="22"/>
        </w:rPr>
        <w:t xml:space="preserve"> </w:t>
      </w:r>
      <w:proofErr w:type="gramStart"/>
      <w:r w:rsidRPr="00667B01">
        <w:rPr>
          <w:szCs w:val="22"/>
        </w:rPr>
        <w:t>Unpublished paper.</w:t>
      </w:r>
      <w:proofErr w:type="gramEnd"/>
    </w:p>
    <w:p w:rsidR="00B36F09" w:rsidRPr="003A760C" w:rsidRDefault="00B36F09" w:rsidP="00B36F09">
      <w:pPr>
        <w:pStyle w:val="referencelist1"/>
        <w:rPr>
          <w:szCs w:val="22"/>
        </w:rPr>
      </w:pPr>
    </w:p>
    <w:p w:rsidR="00B36F09" w:rsidRDefault="00B36F09" w:rsidP="00B36F09">
      <w:pPr>
        <w:pStyle w:val="Heading4"/>
        <w:rPr>
          <w:rFonts w:cs="Arial"/>
        </w:rPr>
        <w:sectPr w:rsidR="00B36F09" w:rsidSect="000F3B50">
          <w:headerReference w:type="even" r:id="rId15"/>
          <w:headerReference w:type="default" r:id="rId16"/>
          <w:headerReference w:type="first" r:id="rId17"/>
          <w:footnotePr>
            <w:numRestart w:val="eachSect"/>
          </w:footnotePr>
          <w:pgSz w:w="11906" w:h="16838" w:code="9"/>
          <w:pgMar w:top="1440" w:right="1797" w:bottom="1440" w:left="1797" w:header="851" w:footer="833" w:gutter="0"/>
          <w:cols w:space="360"/>
          <w:noEndnote/>
          <w:titlePg/>
        </w:sectPr>
      </w:pPr>
      <w:bookmarkStart w:id="23" w:name="_Toc309215804"/>
    </w:p>
    <w:p w:rsidR="00B36F09" w:rsidRPr="00F95E7F" w:rsidRDefault="00B36F09" w:rsidP="00B36F09">
      <w:pPr>
        <w:pStyle w:val="Heading1"/>
      </w:pPr>
      <w:bookmarkStart w:id="24" w:name="_Toc319670744"/>
      <w:r w:rsidRPr="00F95E7F">
        <w:lastRenderedPageBreak/>
        <w:t xml:space="preserve">Assessing the geomorphic stability of the Ranger trial landform using landform </w:t>
      </w:r>
      <w:r>
        <w:br/>
      </w:r>
      <w:r w:rsidRPr="00F95E7F">
        <w:t>evolution models</w:t>
      </w:r>
      <w:bookmarkEnd w:id="23"/>
      <w:bookmarkEnd w:id="24"/>
    </w:p>
    <w:p w:rsidR="00B36F09" w:rsidRDefault="00B36F09" w:rsidP="00B36F09">
      <w:pPr>
        <w:pStyle w:val="authors"/>
        <w:spacing w:after="800"/>
        <w:rPr>
          <w:snapToGrid w:val="0"/>
          <w:color w:val="000000"/>
          <w:position w:val="6"/>
          <w:sz w:val="16"/>
          <w:szCs w:val="0"/>
          <w:u w:color="000000"/>
        </w:rPr>
      </w:pPr>
      <w:bookmarkStart w:id="25" w:name="_Toc316987247"/>
      <w:bookmarkStart w:id="26" w:name="_Toc319670745"/>
      <w:r>
        <w:t xml:space="preserve">J Lowry, T </w:t>
      </w:r>
      <w:proofErr w:type="spellStart"/>
      <w:r>
        <w:t>Coulthard</w:t>
      </w:r>
      <w:proofErr w:type="spellEnd"/>
      <w:r>
        <w:rPr>
          <w:rStyle w:val="FootnoteReference"/>
        </w:rPr>
        <w:footnoteReference w:id="1"/>
      </w:r>
      <w:r>
        <w:t xml:space="preserve"> &amp; G Hancock</w:t>
      </w:r>
      <w:r>
        <w:rPr>
          <w:rStyle w:val="FootnoteReference"/>
        </w:rPr>
        <w:footnoteReference w:id="2"/>
      </w:r>
      <w:r>
        <w:rPr>
          <w:snapToGrid w:val="0"/>
          <w:color w:val="000000"/>
          <w:position w:val="6"/>
          <w:sz w:val="16"/>
          <w:szCs w:val="0"/>
          <w:u w:color="000000"/>
        </w:rPr>
        <w:t xml:space="preserve"> </w:t>
      </w:r>
      <w:r w:rsidRPr="002F0C23">
        <w:rPr>
          <w:snapToGrid w:val="0"/>
          <w:color w:val="000000"/>
          <w:szCs w:val="0"/>
          <w:u w:color="000000"/>
        </w:rPr>
        <w:t>&amp;</w:t>
      </w:r>
      <w:r>
        <w:rPr>
          <w:snapToGrid w:val="0"/>
          <w:color w:val="000000"/>
          <w:szCs w:val="0"/>
          <w:u w:color="000000"/>
        </w:rPr>
        <w:t xml:space="preserve"> D Jones</w:t>
      </w:r>
      <w:bookmarkEnd w:id="25"/>
      <w:bookmarkEnd w:id="26"/>
    </w:p>
    <w:p w:rsidR="00B36F09" w:rsidRPr="001162EC" w:rsidRDefault="00B36F09" w:rsidP="00B36F09">
      <w:pPr>
        <w:pStyle w:val="Heading2"/>
      </w:pPr>
      <w:bookmarkStart w:id="27" w:name="_Toc313523534"/>
      <w:bookmarkStart w:id="28" w:name="_Toc316985376"/>
      <w:r>
        <w:t>Introduction</w:t>
      </w:r>
      <w:bookmarkEnd w:id="27"/>
      <w:bookmarkEnd w:id="28"/>
    </w:p>
    <w:p w:rsidR="00B36F09" w:rsidRDefault="00B36F09" w:rsidP="00B36F09">
      <w:r w:rsidRPr="00E6630D">
        <w:rPr>
          <w:lang w:eastAsia="en-AU"/>
        </w:rPr>
        <w:t xml:space="preserve">The Ranger trial landform, </w:t>
      </w:r>
      <w:r>
        <w:rPr>
          <w:lang w:eastAsia="en-AU"/>
        </w:rPr>
        <w:t xml:space="preserve">located </w:t>
      </w:r>
      <w:r w:rsidRPr="00E6630D">
        <w:rPr>
          <w:lang w:eastAsia="en-AU"/>
        </w:rPr>
        <w:t>to the northwest of the tailings storage facility (TSF) at Ranger mine, was constructed by Energy Resources of Australia (ERA) during late 2008 and early 2009</w:t>
      </w:r>
      <w:r>
        <w:rPr>
          <w:lang w:eastAsia="en-AU"/>
        </w:rPr>
        <w:t xml:space="preserve">. </w:t>
      </w:r>
      <w:r>
        <w:t xml:space="preserve">The trial landform covers an area of 8 hectares and was built by ERA </w:t>
      </w:r>
      <w:r w:rsidRPr="00B5392B">
        <w:t>to test landform design and revegetation strategies to assist in the development of a robust rehabilitation strategy once mining and milling have finished.</w:t>
      </w:r>
      <w:r>
        <w:t xml:space="preserve"> Specifically, t</w:t>
      </w:r>
      <w:r w:rsidRPr="00B5392B">
        <w:t xml:space="preserve">he landform was designed to test two types of potential final cover layers: waste rock alone; and waste rock blended with approximately 30% v/v </w:t>
      </w:r>
      <w:r>
        <w:t xml:space="preserve">of </w:t>
      </w:r>
      <w:r w:rsidRPr="00B5392B">
        <w:t>fine-grained weathered horizon material (</w:t>
      </w:r>
      <w:proofErr w:type="spellStart"/>
      <w:r w:rsidRPr="00B5392B">
        <w:t>laterite</w:t>
      </w:r>
      <w:proofErr w:type="spellEnd"/>
      <w:r w:rsidRPr="00B5392B">
        <w:t xml:space="preserve">). </w:t>
      </w:r>
    </w:p>
    <w:p w:rsidR="00B36F09" w:rsidRDefault="00B36F09" w:rsidP="00B36F09">
      <w:r w:rsidRPr="00B5392B">
        <w:t xml:space="preserve">During 2009 the Supervising Scientist Division </w:t>
      </w:r>
      <w:r>
        <w:t xml:space="preserve">(SSD) </w:t>
      </w:r>
      <w:r w:rsidRPr="00B5392B">
        <w:t xml:space="preserve">constructed four erosion plots (30 m x 30 m) on the trial landform surface, with two plots in the area of waste rock and two in the area of </w:t>
      </w:r>
      <w:r>
        <w:t xml:space="preserve">mixed waste rock and </w:t>
      </w:r>
      <w:proofErr w:type="spellStart"/>
      <w:r w:rsidRPr="00B5392B">
        <w:t>laterite</w:t>
      </w:r>
      <w:proofErr w:type="spellEnd"/>
      <w:r w:rsidRPr="00B5392B">
        <w:t xml:space="preserve"> (</w:t>
      </w:r>
      <w:r>
        <w:t xml:space="preserve">see </w:t>
      </w:r>
      <w:r w:rsidRPr="00B5392B">
        <w:t xml:space="preserve">Figure </w:t>
      </w:r>
      <w:r>
        <w:t>1 in previous paper</w:t>
      </w:r>
      <w:r w:rsidRPr="00B5392B">
        <w:t>). The plots were physically isolated from runoff from the rest of the landform area</w:t>
      </w:r>
      <w:r>
        <w:t xml:space="preserve"> by constructed</w:t>
      </w:r>
      <w:r w:rsidRPr="00B5392B">
        <w:t xml:space="preserve"> borders.</w:t>
      </w:r>
    </w:p>
    <w:p w:rsidR="00B36F09" w:rsidRDefault="00B36F09" w:rsidP="00B36F09">
      <w:pPr>
        <w:rPr>
          <w:lang w:eastAsia="en-AU"/>
        </w:rPr>
      </w:pPr>
      <w:r>
        <w:rPr>
          <w:lang w:eastAsia="en-AU"/>
        </w:rPr>
        <w:t xml:space="preserve">Field measurements from the erosion plots on the trial landform are being collected over a multi-year </w:t>
      </w:r>
      <w:r w:rsidRPr="00B3355D">
        <w:t>period (2009</w:t>
      </w:r>
      <w:r>
        <w:t>–</w:t>
      </w:r>
      <w:r w:rsidRPr="00B3355D">
        <w:t xml:space="preserve">2014) to support long-term (multi-decadal) assessments of the geomorphic stability of the landform using the CAESAR (Cellular Automaton Evolutionary Slope and River) landform evolution model (LEM). </w:t>
      </w:r>
      <w:r>
        <w:t>CAESAR</w:t>
      </w:r>
      <w:r w:rsidRPr="00B3355D">
        <w:t xml:space="preserve"> (</w:t>
      </w:r>
      <w:proofErr w:type="spellStart"/>
      <w:r w:rsidRPr="00B3355D">
        <w:t>Coulthard</w:t>
      </w:r>
      <w:proofErr w:type="spellEnd"/>
      <w:r w:rsidRPr="00B3355D">
        <w:t xml:space="preserve"> 2000, 2002) was originally developed to examine the effects of environmental change on river evolution and to study the movement of contaminated river sediments. Recently, it has been modified to study the evolution of proposed rehabilitated mine landforms in northern Australia (Hancock </w:t>
      </w:r>
      <w:r>
        <w:t>et al</w:t>
      </w:r>
      <w:r w:rsidRPr="00B3355D">
        <w:t xml:space="preserve"> 2010; Lowry </w:t>
      </w:r>
      <w:r>
        <w:t>et al</w:t>
      </w:r>
      <w:r w:rsidRPr="00B3355D">
        <w:t xml:space="preserve"> 2009). The CAESAR model is currently being used to model the erosion from SSDs purpose-built erosion plots located on the trial landform. The predictions of the model are being compared with what is actually being measured through successive wet seasons to provide a validation check on the ability of this model to predict changes in erosion rates through time. The results of modelling performed using field observations collected over 2009</w:t>
      </w:r>
      <w:r>
        <w:t>–</w:t>
      </w:r>
      <w:r w:rsidRPr="00B3355D">
        <w:t>10 are reported here.</w:t>
      </w:r>
    </w:p>
    <w:p w:rsidR="00B36F09" w:rsidRPr="001162EC" w:rsidRDefault="00B36F09" w:rsidP="00B36F09">
      <w:pPr>
        <w:pStyle w:val="Heading2"/>
      </w:pPr>
      <w:bookmarkStart w:id="29" w:name="_Toc313523535"/>
      <w:bookmarkStart w:id="30" w:name="_Toc316985377"/>
      <w:r w:rsidRPr="001162EC">
        <w:t>Methods</w:t>
      </w:r>
      <w:bookmarkEnd w:id="29"/>
      <w:bookmarkEnd w:id="30"/>
    </w:p>
    <w:p w:rsidR="00B36F09" w:rsidRDefault="00B36F09" w:rsidP="00B36F09">
      <w:r>
        <w:t>The model utilises three key data inputs: (1) a digital elevation model (DEM); (2) rainfall data</w:t>
      </w:r>
      <w:proofErr w:type="gramStart"/>
      <w:r>
        <w:t>;  and</w:t>
      </w:r>
      <w:proofErr w:type="gramEnd"/>
      <w:r>
        <w:t xml:space="preserve"> (3) surface particle size data. </w:t>
      </w:r>
    </w:p>
    <w:p w:rsidR="00B36F09" w:rsidRDefault="00B36F09" w:rsidP="00B36F09">
      <w:r>
        <w:t>A</w:t>
      </w:r>
      <w:r w:rsidRPr="00B5392B">
        <w:t xml:space="preserve"> </w:t>
      </w:r>
      <w:r>
        <w:t>DEM</w:t>
      </w:r>
      <w:r w:rsidRPr="00B5392B">
        <w:t xml:space="preserve"> of the trial landform </w:t>
      </w:r>
      <w:r>
        <w:t>was</w:t>
      </w:r>
      <w:r w:rsidRPr="00B5392B">
        <w:t xml:space="preserve"> produced from data collected by </w:t>
      </w:r>
      <w:r>
        <w:t xml:space="preserve">a </w:t>
      </w:r>
      <w:r w:rsidRPr="00B5392B">
        <w:t xml:space="preserve">Terrestrial Laser Scanner in June 2010. </w:t>
      </w:r>
      <w:r>
        <w:t>Each of</w:t>
      </w:r>
      <w:r w:rsidRPr="00B5392B">
        <w:t xml:space="preserve"> the four erosion plots </w:t>
      </w:r>
      <w:proofErr w:type="gramStart"/>
      <w:r w:rsidRPr="00B5392B">
        <w:t>were</w:t>
      </w:r>
      <w:proofErr w:type="gramEnd"/>
      <w:r w:rsidRPr="00B5392B">
        <w:t xml:space="preserve"> scanned at a resolution of 2 cm at a distance of 100 metres. For the purposes of this study, the data for the erosion plots were interpolated to produce a surface grid with a horizontal resolution of 20</w:t>
      </w:r>
      <w:r>
        <w:t xml:space="preserve"> </w:t>
      </w:r>
      <w:r w:rsidRPr="00B5392B">
        <w:t>cm. The DEM</w:t>
      </w:r>
      <w:r>
        <w:t>s</w:t>
      </w:r>
      <w:r w:rsidRPr="00B5392B">
        <w:t xml:space="preserve"> were rotated by 137</w:t>
      </w:r>
      <w:r w:rsidRPr="00B5392B">
        <w:rPr>
          <w:vertAlign w:val="superscript"/>
        </w:rPr>
        <w:t>o</w:t>
      </w:r>
      <w:r>
        <w:t xml:space="preserve"> to ensure that </w:t>
      </w:r>
      <w:r w:rsidRPr="00B5392B">
        <w:t>drainage flow</w:t>
      </w:r>
      <w:r>
        <w:t xml:space="preserve">ed from west to east (a CAESAR pre-requisite) and then </w:t>
      </w:r>
      <w:r w:rsidRPr="00B5392B">
        <w:lastRenderedPageBreak/>
        <w:t xml:space="preserve">processed using </w:t>
      </w:r>
      <w:proofErr w:type="spellStart"/>
      <w:r w:rsidRPr="00B5392B">
        <w:t>ArcGIS</w:t>
      </w:r>
      <w:proofErr w:type="spellEnd"/>
      <w:r w:rsidRPr="00B5392B">
        <w:t xml:space="preserve"> software to ensure that the DEMs were pit-filled and </w:t>
      </w:r>
      <w:proofErr w:type="spellStart"/>
      <w:r w:rsidRPr="00B5392B">
        <w:t>hydrologically</w:t>
      </w:r>
      <w:proofErr w:type="spellEnd"/>
      <w:r w:rsidRPr="00B5392B">
        <w:t xml:space="preserve"> corrected. </w:t>
      </w:r>
      <w:r>
        <w:t>This pit filling was important</w:t>
      </w:r>
      <w:r w:rsidRPr="00B5392B">
        <w:t xml:space="preserve"> in order to remove data artefacts, which included remnants of vegetation (peaks) as well as artificial depressions or sinks. </w:t>
      </w:r>
      <w:r>
        <w:t xml:space="preserve">Only plots 1 and 2, on a waste rock surface were used for this current study, as the hydrological and suspended sediment data for plots 3 and 4 were not yet available.  </w:t>
      </w:r>
    </w:p>
    <w:p w:rsidR="00B36F09" w:rsidRDefault="00B36F09" w:rsidP="00B36F09">
      <w:r>
        <w:t xml:space="preserve">Rainfall data were collected individually for each erosion plot using a rain gauge installed at the downstream end of each of the plots. </w:t>
      </w:r>
    </w:p>
    <w:p w:rsidR="00B36F09" w:rsidRDefault="00B36F09" w:rsidP="00B36F09">
      <w:r w:rsidRPr="00B5392B">
        <w:t>Grain size data for CAESAR w</w:t>
      </w:r>
      <w:r>
        <w:t>ere</w:t>
      </w:r>
      <w:r w:rsidRPr="00B5392B">
        <w:t xml:space="preserve"> </w:t>
      </w:r>
      <w:r>
        <w:t>obtained</w:t>
      </w:r>
      <w:r w:rsidRPr="00B5392B">
        <w:t xml:space="preserve"> by </w:t>
      </w:r>
      <w:r>
        <w:t>collecting bulk samples of surface material</w:t>
      </w:r>
      <w:r w:rsidRPr="00B5392B">
        <w:t xml:space="preserve"> at eight points within </w:t>
      </w:r>
      <w:r>
        <w:t xml:space="preserve">each of the two plots and size fractionating them. </w:t>
      </w:r>
      <w:r w:rsidRPr="00B5392B">
        <w:t xml:space="preserve">Mean values for all eight sites were taken and these means were then re-sampled into nine grain size classes </w:t>
      </w:r>
      <w:r>
        <w:t xml:space="preserve">(Figure 1) to be used for input into CAESAR. </w:t>
      </w:r>
      <w:r w:rsidRPr="00B5392B">
        <w:t>The sub 0.00063m fraction was treated as suspended sediment within CAESAR.</w:t>
      </w:r>
      <w:r w:rsidRPr="00DE340B">
        <w:rPr>
          <w:noProof/>
          <w:lang w:eastAsia="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3594"/>
      </w:tblGrid>
      <w:tr w:rsidR="00B36F09" w:rsidTr="008F70D3">
        <w:tc>
          <w:tcPr>
            <w:tcW w:w="4928" w:type="dxa"/>
          </w:tcPr>
          <w:p w:rsidR="00B36F09" w:rsidRDefault="00B36F09" w:rsidP="008F70D3">
            <w:r>
              <w:rPr>
                <w:noProof/>
                <w:lang w:eastAsia="en-AU"/>
              </w:rPr>
              <w:drawing>
                <wp:inline distT="0" distB="0" distL="0" distR="0">
                  <wp:extent cx="2956049" cy="1974457"/>
                  <wp:effectExtent l="19050" t="0" r="0" b="0"/>
                  <wp:docPr id="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screen"/>
                          <a:srcRect/>
                          <a:stretch>
                            <a:fillRect/>
                          </a:stretch>
                        </pic:blipFill>
                        <pic:spPr bwMode="auto">
                          <a:xfrm>
                            <a:off x="0" y="0"/>
                            <a:ext cx="2955489" cy="1974083"/>
                          </a:xfrm>
                          <a:prstGeom prst="rect">
                            <a:avLst/>
                          </a:prstGeom>
                          <a:noFill/>
                          <a:ln w="9525">
                            <a:noFill/>
                            <a:miter lim="800000"/>
                            <a:headEnd/>
                            <a:tailEnd/>
                          </a:ln>
                        </pic:spPr>
                      </pic:pic>
                    </a:graphicData>
                  </a:graphic>
                </wp:inline>
              </w:drawing>
            </w:r>
          </w:p>
        </w:tc>
        <w:tc>
          <w:tcPr>
            <w:tcW w:w="3594" w:type="dxa"/>
            <w:vAlign w:val="center"/>
          </w:tcPr>
          <w:p w:rsidR="00B36F09" w:rsidRDefault="00B36F09" w:rsidP="008F70D3">
            <w:pPr>
              <w:pStyle w:val="figurecaption"/>
            </w:pPr>
            <w:r w:rsidRPr="00E6324C">
              <w:rPr>
                <w:b/>
              </w:rPr>
              <w:t xml:space="preserve">Figure </w:t>
            </w:r>
            <w:r>
              <w:rPr>
                <w:b/>
              </w:rPr>
              <w:t>1</w:t>
            </w:r>
            <w:r>
              <w:t xml:space="preserve">  </w:t>
            </w:r>
            <w:r w:rsidRPr="00F21BC3">
              <w:t>Gr</w:t>
            </w:r>
            <w:r>
              <w:t>ain size distribution for plot 2</w:t>
            </w:r>
          </w:p>
        </w:tc>
      </w:tr>
    </w:tbl>
    <w:p w:rsidR="00B36F09" w:rsidRDefault="00B36F09" w:rsidP="00B36F09">
      <w:r>
        <w:t xml:space="preserve">The model outputs were compared with field data collected from the outlet of each erosion plot, which </w:t>
      </w:r>
      <w:r w:rsidRPr="00B5392B">
        <w:t xml:space="preserve">was instrumented with a range of sensors. These included a pressure transducer and shaft encoder to measure stage height; a turbidity probe; electrical conductivity probes located at the inlet to the stilling well and in the entry to the flume to provide a measure of the concentrations of dissolved salts in the runoff; an automatic water sampler to collect event based samples; and a data logger with mobile phone telemetry connection. </w:t>
      </w:r>
    </w:p>
    <w:p w:rsidR="00B36F09" w:rsidRPr="00B5392B" w:rsidRDefault="00B36F09" w:rsidP="00B36F09">
      <w:r>
        <w:t>Three sets of simulations were carried out. T</w:t>
      </w:r>
      <w:r w:rsidRPr="00B5392B">
        <w:t xml:space="preserve">he </w:t>
      </w:r>
      <w:r>
        <w:t xml:space="preserve">first simulation involved the application of the </w:t>
      </w:r>
      <w:r w:rsidRPr="00B5392B">
        <w:t>2009</w:t>
      </w:r>
      <w:r>
        <w:t>–</w:t>
      </w:r>
      <w:r w:rsidRPr="00B5392B">
        <w:t>2010 wet season</w:t>
      </w:r>
      <w:r>
        <w:t xml:space="preserve"> data</w:t>
      </w:r>
      <w:r w:rsidRPr="00B5392B">
        <w:t xml:space="preserve"> </w:t>
      </w:r>
      <w:r>
        <w:t xml:space="preserve">to </w:t>
      </w:r>
      <w:r w:rsidRPr="00B5392B">
        <w:t>plot</w:t>
      </w:r>
      <w:r>
        <w:t xml:space="preserve"> 2, whilst the second simulation involved the application of the 2009–2010 wet season data to plot 1. Finally, the 2009–2010 wet </w:t>
      </w:r>
      <w:proofErr w:type="gramStart"/>
      <w:r>
        <w:t>season</w:t>
      </w:r>
      <w:proofErr w:type="gramEnd"/>
      <w:r>
        <w:t xml:space="preserve"> was repeated 20 times to simulate how the plots would evolve over longer time scales on plot 2.</w:t>
      </w:r>
      <w:r w:rsidRPr="00110C1E">
        <w:t xml:space="preserve"> </w:t>
      </w:r>
      <w:r>
        <w:t xml:space="preserve">The total volume of sediment </w:t>
      </w:r>
      <w:r w:rsidRPr="00B5392B">
        <w:t xml:space="preserve">for each of the nine grain size classes were recorded from the model every 10 minutes of simulated time along with runoff values. </w:t>
      </w:r>
      <w:r>
        <w:t>Surface e</w:t>
      </w:r>
      <w:r w:rsidRPr="00B5392B">
        <w:t xml:space="preserve">levations and </w:t>
      </w:r>
      <w:r>
        <w:t xml:space="preserve">the distribution of </w:t>
      </w:r>
      <w:r w:rsidRPr="00B5392B">
        <w:t xml:space="preserve">grain sizes </w:t>
      </w:r>
      <w:r>
        <w:t xml:space="preserve">for material remaining on the landform surface </w:t>
      </w:r>
      <w:r w:rsidRPr="00B5392B">
        <w:t xml:space="preserve">were recorded every </w:t>
      </w:r>
      <w:r>
        <w:t xml:space="preserve">simulated </w:t>
      </w:r>
      <w:r w:rsidRPr="00B5392B">
        <w:t xml:space="preserve">month. </w:t>
      </w:r>
    </w:p>
    <w:p w:rsidR="00B36F09" w:rsidRPr="001162EC" w:rsidRDefault="00B36F09" w:rsidP="00B36F09">
      <w:pPr>
        <w:pStyle w:val="Heading2"/>
      </w:pPr>
      <w:bookmarkStart w:id="31" w:name="_Toc313523536"/>
      <w:bookmarkStart w:id="32" w:name="_Toc316985378"/>
      <w:r w:rsidRPr="001162EC">
        <w:t>Results</w:t>
      </w:r>
      <w:r>
        <w:t>/progress to date</w:t>
      </w:r>
      <w:bookmarkEnd w:id="31"/>
      <w:bookmarkEnd w:id="32"/>
    </w:p>
    <w:p w:rsidR="00B36F09" w:rsidRDefault="00B36F09" w:rsidP="00B36F09">
      <w:r>
        <w:t>Figure 2</w:t>
      </w:r>
      <w:r w:rsidRPr="00B5392B">
        <w:t xml:space="preserve"> shows </w:t>
      </w:r>
      <w:r>
        <w:t>the results for plot 2 of both modelled and field data</w:t>
      </w:r>
      <w:r w:rsidRPr="007139C4">
        <w:t xml:space="preserve"> </w:t>
      </w:r>
      <w:r>
        <w:t xml:space="preserve">for </w:t>
      </w:r>
      <w:r w:rsidRPr="00B5392B">
        <w:t xml:space="preserve">both suspended </w:t>
      </w:r>
      <w:r>
        <w:t xml:space="preserve">sediment </w:t>
      </w:r>
      <w:r w:rsidRPr="00B5392B">
        <w:t xml:space="preserve">and </w:t>
      </w:r>
      <w:proofErr w:type="spellStart"/>
      <w:r w:rsidRPr="00B5392B">
        <w:t>bedload</w:t>
      </w:r>
      <w:proofErr w:type="spellEnd"/>
      <w:r w:rsidRPr="00B5392B">
        <w:t xml:space="preserve"> </w:t>
      </w:r>
      <w:r>
        <w:t>results and the measured peak discharge</w:t>
      </w:r>
      <w:r w:rsidRPr="00B5392B">
        <w:t xml:space="preserve">. </w:t>
      </w:r>
      <w:r>
        <w:t xml:space="preserve">The modelled and measured </w:t>
      </w:r>
      <w:proofErr w:type="spellStart"/>
      <w:r>
        <w:t>bedload</w:t>
      </w:r>
      <w:proofErr w:type="spellEnd"/>
      <w:r>
        <w:t xml:space="preserve"> and suspended sediment data shows</w:t>
      </w:r>
      <w:r w:rsidRPr="00B5392B">
        <w:t xml:space="preserve"> a close correspondence in both volume and timing of increases. The increases in field data are asynchronous with the modelled data as </w:t>
      </w:r>
      <w:proofErr w:type="spellStart"/>
      <w:r w:rsidRPr="00B5392B">
        <w:t>bedload</w:t>
      </w:r>
      <w:proofErr w:type="spellEnd"/>
      <w:r w:rsidRPr="00B5392B">
        <w:t xml:space="preserve"> samples were taken sporadically with a typical 2 week frequency compared to the 10</w:t>
      </w:r>
      <w:r>
        <w:t xml:space="preserve"> </w:t>
      </w:r>
      <w:r w:rsidRPr="00B5392B">
        <w:t xml:space="preserve">minute </w:t>
      </w:r>
      <w:r>
        <w:t xml:space="preserve">output </w:t>
      </w:r>
      <w:r w:rsidRPr="00B5392B">
        <w:t>resolut</w:t>
      </w:r>
      <w:r>
        <w:t>ion of the model data. Figure 2 also</w:t>
      </w:r>
      <w:r w:rsidRPr="00B5392B">
        <w:t xml:space="preserve"> demonstrates a very close similarity between field (solid line) and modelled suspended sediment yields from plot 2. Here, unlike </w:t>
      </w:r>
      <w:r w:rsidRPr="00B5392B">
        <w:lastRenderedPageBreak/>
        <w:t xml:space="preserve">the </w:t>
      </w:r>
      <w:proofErr w:type="spellStart"/>
      <w:r w:rsidRPr="00B5392B">
        <w:t>bedload</w:t>
      </w:r>
      <w:proofErr w:type="spellEnd"/>
      <w:r>
        <w:t>,</w:t>
      </w:r>
      <w:r w:rsidRPr="00B5392B">
        <w:t xml:space="preserve"> the </w:t>
      </w:r>
      <w:r>
        <w:t xml:space="preserve">measured </w:t>
      </w:r>
      <w:r w:rsidRPr="00B5392B">
        <w:t xml:space="preserve">suspended sediment data is at the same 10 minute resolution as </w:t>
      </w:r>
      <w:r>
        <w:t xml:space="preserve">the </w:t>
      </w:r>
      <w:r w:rsidRPr="00B5392B">
        <w:t xml:space="preserve">modelled </w:t>
      </w:r>
      <w:r>
        <w:t xml:space="preserve">data </w:t>
      </w:r>
      <w:r w:rsidRPr="00B5392B">
        <w:t>and an excellent correspondence in terms of timing and magnitude</w:t>
      </w:r>
      <w:r>
        <w:t xml:space="preserve"> can be seen</w:t>
      </w:r>
      <w:r w:rsidRPr="00B5392B">
        <w:t xml:space="preserve">.  Increases in sediment yield correspond to the larger runoff events in the plot. </w:t>
      </w:r>
    </w:p>
    <w:p w:rsidR="00B36F09" w:rsidRDefault="00B36F09" w:rsidP="00B36F09">
      <w:r w:rsidRPr="00B5392B">
        <w:t xml:space="preserve">Due to instrumentation problems there </w:t>
      </w:r>
      <w:r>
        <w:t>was</w:t>
      </w:r>
      <w:r w:rsidRPr="00B5392B">
        <w:t xml:space="preserve"> less </w:t>
      </w:r>
      <w:r>
        <w:t>processed</w:t>
      </w:r>
      <w:r w:rsidRPr="00B5392B">
        <w:t xml:space="preserve"> </w:t>
      </w:r>
      <w:r>
        <w:t xml:space="preserve">data available for </w:t>
      </w:r>
      <w:r w:rsidRPr="00B5392B">
        <w:t xml:space="preserve">runoff or suspended sediment </w:t>
      </w:r>
      <w:r>
        <w:t>from plot 1</w:t>
      </w:r>
      <w:r w:rsidRPr="00B5392B">
        <w:t xml:space="preserve">. </w:t>
      </w:r>
      <w:r>
        <w:t xml:space="preserve">As the plots 1 and 2 are 60 metres apart, it was assumed there would be little difference in the rainfall for plot 1. Consequently, the rainfall data for plot 2 was used in the simulations for plot 1. While less processed field data was available, the simulations for plot 1 indicated a </w:t>
      </w:r>
      <w:r w:rsidRPr="00B5392B">
        <w:t xml:space="preserve">very good correspondence between the modelled and observed </w:t>
      </w:r>
      <w:proofErr w:type="spellStart"/>
      <w:r w:rsidRPr="00B5392B">
        <w:t>bedload</w:t>
      </w:r>
      <w:proofErr w:type="spellEnd"/>
      <w:r w:rsidRPr="00B5392B">
        <w:t xml:space="preserve"> yields. Also, like plot 2 the field and model data responds mostly to the</w:t>
      </w:r>
      <w:r>
        <w:t xml:space="preserve"> larger runoff events. </w:t>
      </w:r>
    </w:p>
    <w:p w:rsidR="00B36F09" w:rsidRDefault="00B36F09" w:rsidP="00B36F09">
      <w:r>
        <w:t>T</w:t>
      </w:r>
      <w:r w:rsidRPr="00B5392B">
        <w:t>he rainfall sequence from the 2009</w:t>
      </w:r>
      <w:r>
        <w:t>–</w:t>
      </w:r>
      <w:r w:rsidRPr="00B5392B">
        <w:t xml:space="preserve">2010 wet season was repeated </w:t>
      </w:r>
      <w:r>
        <w:t>twenty times</w:t>
      </w:r>
      <w:r w:rsidRPr="00B5392B">
        <w:t xml:space="preserve"> to </w:t>
      </w:r>
      <w:r>
        <w:t>produce a hypothetical 20</w:t>
      </w:r>
      <w:r w:rsidRPr="00B5392B">
        <w:t xml:space="preserve"> years </w:t>
      </w:r>
      <w:r>
        <w:t xml:space="preserve">simulation </w:t>
      </w:r>
      <w:r w:rsidRPr="00B5392B">
        <w:t xml:space="preserve">of </w:t>
      </w:r>
      <w:r>
        <w:t xml:space="preserve">the evolution of </w:t>
      </w:r>
      <w:r w:rsidRPr="00B5392B">
        <w:t xml:space="preserve">plot </w:t>
      </w:r>
      <w:r>
        <w:t>2 (Figure 3)</w:t>
      </w:r>
      <w:r w:rsidRPr="00B5392B">
        <w:t xml:space="preserve">. This </w:t>
      </w:r>
      <w:r>
        <w:t>enabled</w:t>
      </w:r>
      <w:r w:rsidRPr="00B5392B">
        <w:t xml:space="preserve"> </w:t>
      </w:r>
      <w:r>
        <w:t xml:space="preserve">a preliminary assessment to be made of how the </w:t>
      </w:r>
      <w:r w:rsidRPr="00B5392B">
        <w:t xml:space="preserve">rates of sediment </w:t>
      </w:r>
      <w:r>
        <w:t>loss</w:t>
      </w:r>
      <w:r w:rsidRPr="00B5392B">
        <w:t xml:space="preserve"> and the plot morphology </w:t>
      </w:r>
      <w:r>
        <w:t xml:space="preserve">may </w:t>
      </w:r>
      <w:r w:rsidRPr="00B5392B">
        <w:t xml:space="preserve">change over </w:t>
      </w:r>
      <w:r>
        <w:t>this period of time.</w:t>
      </w:r>
      <w:r w:rsidRPr="00B5392B">
        <w:t xml:space="preserve"> </w:t>
      </w:r>
      <w:r>
        <w:t xml:space="preserve">Figure 3 shows </w:t>
      </w:r>
      <w:r w:rsidRPr="00B5392B">
        <w:t xml:space="preserve">that there is rapid tail off and decrease in sediment yields after the first five years. </w:t>
      </w:r>
    </w:p>
    <w:p w:rsidR="00B36F09" w:rsidRDefault="00B36F09" w:rsidP="00B36F09">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tblGrid>
      <w:tr w:rsidR="00B36F09" w:rsidTr="008F70D3">
        <w:trPr>
          <w:jc w:val="center"/>
        </w:trPr>
        <w:tc>
          <w:tcPr>
            <w:tcW w:w="8046" w:type="dxa"/>
          </w:tcPr>
          <w:p w:rsidR="00B36F09" w:rsidRDefault="00B36F09" w:rsidP="008F70D3">
            <w:pPr>
              <w:jc w:val="center"/>
            </w:pPr>
            <w:r>
              <w:rPr>
                <w:noProof/>
                <w:lang w:eastAsia="en-AU"/>
              </w:rPr>
              <w:drawing>
                <wp:inline distT="0" distB="0" distL="0" distR="0">
                  <wp:extent cx="4937760" cy="2505210"/>
                  <wp:effectExtent l="19050" t="0" r="0" b="0"/>
                  <wp:docPr id="1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screen"/>
                          <a:srcRect/>
                          <a:stretch>
                            <a:fillRect/>
                          </a:stretch>
                        </pic:blipFill>
                        <pic:spPr bwMode="auto">
                          <a:xfrm>
                            <a:off x="0" y="0"/>
                            <a:ext cx="4937894" cy="2505278"/>
                          </a:xfrm>
                          <a:prstGeom prst="rect">
                            <a:avLst/>
                          </a:prstGeom>
                          <a:noFill/>
                          <a:ln w="9525">
                            <a:noFill/>
                            <a:miter lim="800000"/>
                            <a:headEnd/>
                            <a:tailEnd/>
                          </a:ln>
                        </pic:spPr>
                      </pic:pic>
                    </a:graphicData>
                  </a:graphic>
                </wp:inline>
              </w:drawing>
            </w:r>
          </w:p>
        </w:tc>
      </w:tr>
      <w:tr w:rsidR="00B36F09" w:rsidTr="008F70D3">
        <w:trPr>
          <w:jc w:val="center"/>
        </w:trPr>
        <w:tc>
          <w:tcPr>
            <w:tcW w:w="8046" w:type="dxa"/>
          </w:tcPr>
          <w:p w:rsidR="00B36F09" w:rsidRDefault="00B36F09" w:rsidP="008F70D3">
            <w:pPr>
              <w:jc w:val="center"/>
            </w:pPr>
            <w:r>
              <w:rPr>
                <w:noProof/>
                <w:lang w:eastAsia="en-AU"/>
              </w:rPr>
              <w:drawing>
                <wp:inline distT="0" distB="0" distL="0" distR="0">
                  <wp:extent cx="4869445" cy="2541519"/>
                  <wp:effectExtent l="0" t="0" r="0" b="0"/>
                  <wp:docPr id="1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screen"/>
                          <a:srcRect/>
                          <a:stretch>
                            <a:fillRect/>
                          </a:stretch>
                        </pic:blipFill>
                        <pic:spPr bwMode="auto">
                          <a:xfrm>
                            <a:off x="0" y="0"/>
                            <a:ext cx="4873946" cy="2543868"/>
                          </a:xfrm>
                          <a:prstGeom prst="rect">
                            <a:avLst/>
                          </a:prstGeom>
                          <a:noFill/>
                          <a:ln w="9525">
                            <a:noFill/>
                            <a:miter lim="800000"/>
                            <a:headEnd/>
                            <a:tailEnd/>
                          </a:ln>
                        </pic:spPr>
                      </pic:pic>
                    </a:graphicData>
                  </a:graphic>
                </wp:inline>
              </w:drawing>
            </w:r>
          </w:p>
        </w:tc>
      </w:tr>
    </w:tbl>
    <w:p w:rsidR="00B36F09" w:rsidRDefault="00DD66B9" w:rsidP="00B36F09">
      <w:pPr>
        <w:pStyle w:val="4point"/>
      </w:pPr>
      <w:r>
        <w:rPr>
          <w:noProof/>
          <w:lang w:eastAsia="en-AU"/>
        </w:rPr>
        <w:pict>
          <v:shape id="_x0000_s1044" type="#_x0000_t202" style="position:absolute;margin-left:28.75pt;margin-top:164.4pt;width:29.1pt;height:22.4pt;z-index:251678720;mso-position-horizontal-relative:text;mso-position-vertical-relative:text" filled="f" stroked="f">
            <v:textbox style="mso-next-textbox:#_x0000_s1044">
              <w:txbxContent>
                <w:p w:rsidR="00B36F09" w:rsidRPr="0092606F" w:rsidRDefault="00B36F09" w:rsidP="00B36F09">
                  <w:r>
                    <w:t>(b)</w:t>
                  </w:r>
                </w:p>
              </w:txbxContent>
            </v:textbox>
          </v:shape>
        </w:pict>
      </w:r>
    </w:p>
    <w:p w:rsidR="00B36F09" w:rsidRPr="00816740" w:rsidRDefault="00B36F09" w:rsidP="00B36F09">
      <w:pPr>
        <w:pStyle w:val="figurecaption"/>
      </w:pPr>
      <w:r w:rsidRPr="00E6324C">
        <w:rPr>
          <w:b/>
        </w:rPr>
        <w:t xml:space="preserve">Figure </w:t>
      </w:r>
      <w:proofErr w:type="gramStart"/>
      <w:r>
        <w:rPr>
          <w:b/>
        </w:rPr>
        <w:t>2</w:t>
      </w:r>
      <w:r>
        <w:t xml:space="preserve">  </w:t>
      </w:r>
      <w:r w:rsidRPr="00816740">
        <w:t>Plot</w:t>
      </w:r>
      <w:proofErr w:type="gramEnd"/>
      <w:r w:rsidRPr="00816740">
        <w:t xml:space="preserve"> 2 (</w:t>
      </w:r>
      <w:r>
        <w:t>top</w:t>
      </w:r>
      <w:r w:rsidRPr="00816740">
        <w:t xml:space="preserve">) modelled and field measured bed and suspended sediment yields </w:t>
      </w:r>
      <w:r>
        <w:br/>
      </w:r>
      <w:r w:rsidRPr="00816740">
        <w:t>and (b</w:t>
      </w:r>
      <w:r>
        <w:t>ottom</w:t>
      </w:r>
      <w:r w:rsidRPr="00816740">
        <w:t xml:space="preserve">) </w:t>
      </w:r>
      <w:r>
        <w:t>field measured peak discharge (</w:t>
      </w:r>
      <w:proofErr w:type="spellStart"/>
      <w:r>
        <w:t>Qw</w:t>
      </w:r>
      <w:proofErr w:type="spellEnd"/>
      <w:r>
        <w:t>)</w:t>
      </w:r>
    </w:p>
    <w:p w:rsidR="00B36F09" w:rsidRDefault="00B36F09" w:rsidP="00B36F09">
      <w:pPr>
        <w:jc w:val="center"/>
      </w:pPr>
      <w:r>
        <w:rPr>
          <w:noProof/>
          <w:lang w:eastAsia="en-AU"/>
        </w:rPr>
        <w:lastRenderedPageBreak/>
        <w:drawing>
          <wp:inline distT="0" distB="0" distL="0" distR="0">
            <wp:extent cx="4852116" cy="2629912"/>
            <wp:effectExtent l="0" t="0" r="0" b="0"/>
            <wp:docPr id="9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screen"/>
                    <a:srcRect/>
                    <a:stretch>
                      <a:fillRect/>
                    </a:stretch>
                  </pic:blipFill>
                  <pic:spPr bwMode="auto">
                    <a:xfrm>
                      <a:off x="0" y="0"/>
                      <a:ext cx="4849705" cy="2628605"/>
                    </a:xfrm>
                    <a:prstGeom prst="rect">
                      <a:avLst/>
                    </a:prstGeom>
                    <a:noFill/>
                    <a:ln w="9525">
                      <a:noFill/>
                      <a:miter lim="800000"/>
                      <a:headEnd/>
                      <a:tailEnd/>
                    </a:ln>
                  </pic:spPr>
                </pic:pic>
              </a:graphicData>
            </a:graphic>
          </wp:inline>
        </w:drawing>
      </w:r>
    </w:p>
    <w:p w:rsidR="00B36F09" w:rsidRPr="00816740" w:rsidRDefault="00B36F09" w:rsidP="00B36F09">
      <w:pPr>
        <w:pStyle w:val="figurecaption"/>
      </w:pPr>
      <w:r w:rsidRPr="00E6324C">
        <w:rPr>
          <w:b/>
        </w:rPr>
        <w:t xml:space="preserve">Figure </w:t>
      </w:r>
      <w:proofErr w:type="gramStart"/>
      <w:r>
        <w:rPr>
          <w:b/>
        </w:rPr>
        <w:t>3</w:t>
      </w:r>
      <w:r>
        <w:t xml:space="preserve">  </w:t>
      </w:r>
      <w:r w:rsidRPr="00816740">
        <w:t>Sediment</w:t>
      </w:r>
      <w:proofErr w:type="gramEnd"/>
      <w:r w:rsidRPr="00816740">
        <w:t xml:space="preserve"> yield for plot 2 over </w:t>
      </w:r>
      <w:r>
        <w:t>20</w:t>
      </w:r>
      <w:r w:rsidRPr="00816740">
        <w:t xml:space="preserve"> years – with soil erosion rate in tonnes/ha plotted </w:t>
      </w:r>
      <w:r>
        <w:br/>
      </w:r>
      <w:r w:rsidRPr="00816740">
        <w:t>(100 day smoothing)</w:t>
      </w:r>
    </w:p>
    <w:p w:rsidR="00B36F09" w:rsidRPr="001162EC" w:rsidRDefault="00B36F09" w:rsidP="00B36F09">
      <w:pPr>
        <w:pStyle w:val="Heading2"/>
      </w:pPr>
      <w:bookmarkStart w:id="33" w:name="_Toc313523537"/>
      <w:bookmarkStart w:id="34" w:name="_Toc316985379"/>
      <w:r w:rsidRPr="001162EC">
        <w:t>Discussion</w:t>
      </w:r>
      <w:bookmarkEnd w:id="33"/>
      <w:bookmarkEnd w:id="34"/>
    </w:p>
    <w:p w:rsidR="00B36F09" w:rsidRDefault="00B36F09" w:rsidP="00B36F09">
      <w:pPr>
        <w:rPr>
          <w:rFonts w:cs="Calibri"/>
        </w:rPr>
      </w:pPr>
      <w:r>
        <w:rPr>
          <w:rFonts w:cs="Calibri"/>
        </w:rPr>
        <w:t xml:space="preserve">The instrumented field plots were specifically constructed to evaluate the hydrology and erosion characteristics of a post-mining landscape. The results to date provide confidence </w:t>
      </w:r>
      <w:r w:rsidRPr="00B5392B">
        <w:rPr>
          <w:rFonts w:cs="Calibri"/>
        </w:rPr>
        <w:t xml:space="preserve">that CAESAR is capable of </w:t>
      </w:r>
      <w:r>
        <w:rPr>
          <w:rFonts w:cs="Calibri"/>
        </w:rPr>
        <w:t>providing good predictions of initial sediment fluxes (</w:t>
      </w:r>
      <w:proofErr w:type="spellStart"/>
      <w:r>
        <w:rPr>
          <w:rFonts w:cs="Calibri"/>
        </w:rPr>
        <w:t>ie</w:t>
      </w:r>
      <w:proofErr w:type="spellEnd"/>
      <w:r w:rsidRPr="00B5392B">
        <w:rPr>
          <w:rFonts w:cs="Calibri"/>
        </w:rPr>
        <w:t xml:space="preserve"> soil erosion) under these conditions</w:t>
      </w:r>
      <w:r>
        <w:rPr>
          <w:rFonts w:cs="Calibri"/>
        </w:rPr>
        <w:t xml:space="preserve">. </w:t>
      </w:r>
      <w:r w:rsidRPr="00B5392B">
        <w:rPr>
          <w:rFonts w:cs="Calibri"/>
        </w:rPr>
        <w:t>The</w:t>
      </w:r>
      <w:r>
        <w:rPr>
          <w:rFonts w:cs="Calibri"/>
        </w:rPr>
        <w:t>re is an</w:t>
      </w:r>
      <w:r w:rsidRPr="00B5392B">
        <w:rPr>
          <w:rFonts w:cs="Calibri"/>
        </w:rPr>
        <w:t xml:space="preserve"> excellent </w:t>
      </w:r>
      <w:r>
        <w:rPr>
          <w:rFonts w:cs="Calibri"/>
        </w:rPr>
        <w:t>correspondence</w:t>
      </w:r>
      <w:r w:rsidRPr="00B5392B">
        <w:rPr>
          <w:rFonts w:cs="Calibri"/>
        </w:rPr>
        <w:t xml:space="preserve"> between modelled and measured data – both in volumes of </w:t>
      </w:r>
      <w:proofErr w:type="spellStart"/>
      <w:r w:rsidRPr="00B5392B">
        <w:rPr>
          <w:rFonts w:cs="Calibri"/>
        </w:rPr>
        <w:t>bedload</w:t>
      </w:r>
      <w:proofErr w:type="spellEnd"/>
      <w:r w:rsidRPr="00B5392B">
        <w:rPr>
          <w:rFonts w:cs="Calibri"/>
        </w:rPr>
        <w:t>, suspended load and water fluxes as well as in the timing of their delivery.</w:t>
      </w:r>
      <w:r>
        <w:rPr>
          <w:rFonts w:cs="Calibri"/>
        </w:rPr>
        <w:t xml:space="preserve"> </w:t>
      </w:r>
      <w:r>
        <w:rPr>
          <w:lang w:val="en-US"/>
        </w:rPr>
        <w:t xml:space="preserve">The results validate the predictive capacity of the CAESAR model and provide greater confidence in being able to extend its application to steeper slope scenarios not addressed by the design of the current trial landform. </w:t>
      </w:r>
    </w:p>
    <w:p w:rsidR="00B36F09" w:rsidRDefault="00B36F09" w:rsidP="00B36F09">
      <w:r>
        <w:t>Significantly, this is the first time that a LEM has been evaluated against field data at such high resolution spatial and temporal scales. Implications for the use of LEMs in soil erosion prediction as well as model strengths and limitations are discussed below.</w:t>
      </w:r>
    </w:p>
    <w:p w:rsidR="00B36F09" w:rsidRDefault="00B36F09" w:rsidP="00B36F09">
      <w:pPr>
        <w:rPr>
          <w:rFonts w:cs="Calibri"/>
        </w:rPr>
      </w:pPr>
      <w:r>
        <w:rPr>
          <w:rFonts w:cs="Calibri"/>
        </w:rPr>
        <w:t>The erosion rate of approximately 0.1–0.2 t ha</w:t>
      </w:r>
      <w:r w:rsidRPr="0079120C">
        <w:rPr>
          <w:rFonts w:cs="Calibri"/>
          <w:vertAlign w:val="superscript"/>
        </w:rPr>
        <w:t>-1</w:t>
      </w:r>
      <w:r>
        <w:rPr>
          <w:rFonts w:cs="Calibri"/>
        </w:rPr>
        <w:t> yr</w:t>
      </w:r>
      <w:r w:rsidRPr="0079120C">
        <w:rPr>
          <w:rFonts w:cs="Calibri"/>
          <w:vertAlign w:val="superscript"/>
        </w:rPr>
        <w:t>-1</w:t>
      </w:r>
      <w:r>
        <w:rPr>
          <w:rFonts w:cs="Calibri"/>
        </w:rPr>
        <w:t xml:space="preserve"> (equivalent to a denudation rate of approximately 0.01 mm yr</w:t>
      </w:r>
      <w:r w:rsidRPr="0079120C">
        <w:rPr>
          <w:rFonts w:cs="Calibri"/>
          <w:vertAlign w:val="superscript"/>
        </w:rPr>
        <w:t>-1</w:t>
      </w:r>
      <w:r>
        <w:rPr>
          <w:rFonts w:cs="Calibri"/>
        </w:rPr>
        <w:t>) (Figure 3) predicted for a preliminary 20 year simulation of plot 2 approximates the long term e</w:t>
      </w:r>
      <w:r w:rsidRPr="00416760">
        <w:rPr>
          <w:rFonts w:cs="Calibri"/>
        </w:rPr>
        <w:t xml:space="preserve">rosion and denudation rates established for the </w:t>
      </w:r>
      <w:r>
        <w:rPr>
          <w:rFonts w:cs="Calibri"/>
        </w:rPr>
        <w:t>region</w:t>
      </w:r>
      <w:r w:rsidRPr="00416760">
        <w:rPr>
          <w:rFonts w:cs="Calibri"/>
        </w:rPr>
        <w:t xml:space="preserve"> using a variety of different methods. An assessment using the fallout environmental radioisotope caesium-137 (</w:t>
      </w:r>
      <w:r w:rsidRPr="0079120C">
        <w:rPr>
          <w:rFonts w:cs="Calibri"/>
          <w:vertAlign w:val="superscript"/>
        </w:rPr>
        <w:t>137</w:t>
      </w:r>
      <w:r w:rsidRPr="00416760">
        <w:rPr>
          <w:rFonts w:cs="Calibri"/>
        </w:rPr>
        <w:t xml:space="preserve">Cs) as an indicator of soil erosion status for two transects in the </w:t>
      </w:r>
      <w:r>
        <w:rPr>
          <w:rFonts w:cs="Calibri"/>
        </w:rPr>
        <w:t xml:space="preserve">much steeper Tin Camp Creek </w:t>
      </w:r>
      <w:r w:rsidRPr="00416760">
        <w:rPr>
          <w:rFonts w:cs="Calibri"/>
        </w:rPr>
        <w:t>catchment produced net soil redistribution rates between (0.013–0.86 mm y</w:t>
      </w:r>
      <w:r>
        <w:rPr>
          <w:rFonts w:cs="Calibri"/>
        </w:rPr>
        <w:t>r</w:t>
      </w:r>
      <w:r w:rsidRPr="0079120C">
        <w:rPr>
          <w:rFonts w:cs="Calibri"/>
          <w:vertAlign w:val="superscript"/>
        </w:rPr>
        <w:t>-1</w:t>
      </w:r>
      <w:r w:rsidRPr="00416760">
        <w:rPr>
          <w:rFonts w:cs="Calibri"/>
        </w:rPr>
        <w:t xml:space="preserve">) (Hancock </w:t>
      </w:r>
      <w:r>
        <w:rPr>
          <w:rFonts w:cs="Calibri"/>
        </w:rPr>
        <w:t>et al</w:t>
      </w:r>
      <w:r w:rsidRPr="00416760">
        <w:rPr>
          <w:rFonts w:cs="Calibri"/>
        </w:rPr>
        <w:t xml:space="preserve"> 2008). </w:t>
      </w:r>
      <w:r>
        <w:rPr>
          <w:rFonts w:cs="Calibri"/>
        </w:rPr>
        <w:t>O</w:t>
      </w:r>
      <w:r w:rsidRPr="00416760">
        <w:rPr>
          <w:rFonts w:cs="Calibri"/>
        </w:rPr>
        <w:t xml:space="preserve">verall denudation rates for the </w:t>
      </w:r>
      <w:r>
        <w:rPr>
          <w:rFonts w:cs="Calibri"/>
        </w:rPr>
        <w:t>region</w:t>
      </w:r>
      <w:r w:rsidRPr="00416760">
        <w:rPr>
          <w:rFonts w:cs="Calibri"/>
        </w:rPr>
        <w:t xml:space="preserve"> </w:t>
      </w:r>
      <w:r>
        <w:rPr>
          <w:rFonts w:cs="Calibri"/>
        </w:rPr>
        <w:t xml:space="preserve">range from </w:t>
      </w:r>
      <w:r w:rsidRPr="00416760">
        <w:rPr>
          <w:rFonts w:cs="Calibri"/>
        </w:rPr>
        <w:t>0.01 to 0.04 mm y</w:t>
      </w:r>
      <w:r>
        <w:rPr>
          <w:rFonts w:cs="Calibri"/>
        </w:rPr>
        <w:t>r</w:t>
      </w:r>
      <w:r w:rsidRPr="0079120C">
        <w:rPr>
          <w:rFonts w:cs="Calibri"/>
          <w:vertAlign w:val="superscript"/>
        </w:rPr>
        <w:t>-1</w:t>
      </w:r>
      <w:r w:rsidRPr="00416760">
        <w:rPr>
          <w:rFonts w:cs="Calibri"/>
        </w:rPr>
        <w:t xml:space="preserve"> determined using stream sediment data from a range of catchments of different sizes (Cull </w:t>
      </w:r>
      <w:r>
        <w:rPr>
          <w:rFonts w:cs="Calibri"/>
        </w:rPr>
        <w:t>et al</w:t>
      </w:r>
      <w:r w:rsidRPr="00416760">
        <w:rPr>
          <w:rFonts w:cs="Calibri"/>
        </w:rPr>
        <w:t xml:space="preserve"> 1992; Erskine and </w:t>
      </w:r>
      <w:proofErr w:type="spellStart"/>
      <w:r w:rsidRPr="00416760">
        <w:rPr>
          <w:rFonts w:cs="Calibri"/>
        </w:rPr>
        <w:t>Saynor</w:t>
      </w:r>
      <w:proofErr w:type="spellEnd"/>
      <w:r w:rsidRPr="00416760">
        <w:rPr>
          <w:rFonts w:cs="Calibri"/>
        </w:rPr>
        <w:t>, 2000).</w:t>
      </w:r>
      <w:r>
        <w:rPr>
          <w:rFonts w:cs="Calibri"/>
        </w:rPr>
        <w:t xml:space="preserve"> Therefore the decadal scale predictions from the CAESAR model, once the initial period of surface acclimation has passed are well within field measured values. This provides confidence in the model as a predictor of decadal scale </w:t>
      </w:r>
      <w:proofErr w:type="spellStart"/>
      <w:r>
        <w:rPr>
          <w:rFonts w:cs="Calibri"/>
        </w:rPr>
        <w:t>erosional</w:t>
      </w:r>
      <w:proofErr w:type="spellEnd"/>
      <w:r>
        <w:rPr>
          <w:rFonts w:cs="Calibri"/>
        </w:rPr>
        <w:t xml:space="preserve"> processes.</w:t>
      </w:r>
    </w:p>
    <w:p w:rsidR="00B36F09" w:rsidRPr="00CD6214" w:rsidRDefault="00B36F09" w:rsidP="00B36F09">
      <w:pPr>
        <w:pStyle w:val="Heading2"/>
      </w:pPr>
      <w:bookmarkStart w:id="35" w:name="_Toc313523538"/>
      <w:bookmarkStart w:id="36" w:name="_Toc316985380"/>
      <w:r w:rsidRPr="00CD6214">
        <w:t>Steps for completion</w:t>
      </w:r>
      <w:bookmarkEnd w:id="35"/>
      <w:bookmarkEnd w:id="36"/>
    </w:p>
    <w:p w:rsidR="00B36F09" w:rsidRDefault="00B36F09" w:rsidP="00B36F09">
      <w:pPr>
        <w:rPr>
          <w:lang w:val="en-US"/>
        </w:rPr>
      </w:pPr>
      <w:r>
        <w:rPr>
          <w:lang w:val="en-US"/>
        </w:rPr>
        <w:t xml:space="preserve">It is important to </w:t>
      </w:r>
      <w:proofErr w:type="spellStart"/>
      <w:r>
        <w:rPr>
          <w:lang w:val="en-US"/>
        </w:rPr>
        <w:t>recognise</w:t>
      </w:r>
      <w:proofErr w:type="spellEnd"/>
      <w:r>
        <w:rPr>
          <w:lang w:val="en-US"/>
        </w:rPr>
        <w:t xml:space="preserve"> that several critical caveats need to be placed on the results produced to date. These include recognizing that these simulations have been done for an ‘</w:t>
      </w:r>
      <w:proofErr w:type="spellStart"/>
      <w:r>
        <w:rPr>
          <w:lang w:val="en-US"/>
        </w:rPr>
        <w:t>idealised</w:t>
      </w:r>
      <w:proofErr w:type="spellEnd"/>
      <w:r>
        <w:rPr>
          <w:lang w:val="en-US"/>
        </w:rPr>
        <w:t xml:space="preserve">’ environment. The erosion plots have relatively uniform characteristics, and occur </w:t>
      </w:r>
      <w:r>
        <w:rPr>
          <w:lang w:val="en-US"/>
        </w:rPr>
        <w:lastRenderedPageBreak/>
        <w:t xml:space="preserve">on a gently sloping surface that represents a component of the overall mine landform that is likely to be least susceptible to erosion. Crucially, the role of developing vegetation was not considered in the 20-year simulations. The sensitivity of erosion rate to slope angle and vegetation cover needs to be implicitly considered as part of future </w:t>
      </w:r>
      <w:proofErr w:type="spellStart"/>
      <w:r>
        <w:rPr>
          <w:lang w:val="en-US"/>
        </w:rPr>
        <w:t>modelling</w:t>
      </w:r>
      <w:proofErr w:type="spellEnd"/>
      <w:r>
        <w:rPr>
          <w:lang w:val="en-US"/>
        </w:rPr>
        <w:t xml:space="preserve"> runs. In addition, a sensitivity analysis will need to be done of the effect of potential extreme rainfall events. </w:t>
      </w:r>
    </w:p>
    <w:p w:rsidR="00B36F09" w:rsidRDefault="00B36F09" w:rsidP="00B36F09">
      <w:pPr>
        <w:rPr>
          <w:lang w:val="en-US"/>
        </w:rPr>
      </w:pPr>
      <w:r>
        <w:rPr>
          <w:lang w:val="en-US"/>
        </w:rPr>
        <w:t xml:space="preserve">Continued monitoring of the trial landform over successive wet seasons will enable the effects of surface weathering, self </w:t>
      </w:r>
      <w:proofErr w:type="spellStart"/>
      <w:r>
        <w:rPr>
          <w:lang w:val="en-US"/>
        </w:rPr>
        <w:t>armouring</w:t>
      </w:r>
      <w:proofErr w:type="spellEnd"/>
      <w:r>
        <w:rPr>
          <w:lang w:val="en-US"/>
        </w:rPr>
        <w:t xml:space="preserve"> and the development of vegetation coverage to be quantified. These field data will be used to further refine the relevant algorithms in the CAESAR model and increase confidence in its ability to make more robust longer-term predictions of rates of erosion from rehabilitated mine landforms.  </w:t>
      </w:r>
    </w:p>
    <w:p w:rsidR="00B36F09" w:rsidRDefault="00B36F09" w:rsidP="00B36F09">
      <w:pPr>
        <w:pStyle w:val="Heading2"/>
      </w:pPr>
      <w:bookmarkStart w:id="37" w:name="_Toc316985381"/>
      <w:r>
        <w:t>Acknowledgments</w:t>
      </w:r>
      <w:bookmarkEnd w:id="37"/>
    </w:p>
    <w:p w:rsidR="00B36F09" w:rsidRDefault="00B36F09" w:rsidP="00B36F09">
      <w:pPr>
        <w:rPr>
          <w:lang w:val="en-US"/>
        </w:rPr>
      </w:pPr>
      <w:r>
        <w:rPr>
          <w:spacing w:val="-2"/>
        </w:rPr>
        <w:t xml:space="preserve">Mike </w:t>
      </w:r>
      <w:proofErr w:type="spellStart"/>
      <w:r>
        <w:rPr>
          <w:spacing w:val="-2"/>
        </w:rPr>
        <w:t>Saynor</w:t>
      </w:r>
      <w:proofErr w:type="spellEnd"/>
      <w:r>
        <w:rPr>
          <w:spacing w:val="-2"/>
        </w:rPr>
        <w:t xml:space="preserve">, </w:t>
      </w:r>
      <w:proofErr w:type="spellStart"/>
      <w:r>
        <w:rPr>
          <w:spacing w:val="-2"/>
        </w:rPr>
        <w:t>Annamarie</w:t>
      </w:r>
      <w:proofErr w:type="spellEnd"/>
      <w:r>
        <w:rPr>
          <w:spacing w:val="-2"/>
        </w:rPr>
        <w:t xml:space="preserve"> </w:t>
      </w:r>
      <w:proofErr w:type="spellStart"/>
      <w:r>
        <w:rPr>
          <w:spacing w:val="-2"/>
        </w:rPr>
        <w:t>Beraldo</w:t>
      </w:r>
      <w:proofErr w:type="spellEnd"/>
      <w:r>
        <w:rPr>
          <w:spacing w:val="-2"/>
        </w:rPr>
        <w:t xml:space="preserve">, Richard Houghton and Sam Fisher are thanked </w:t>
      </w:r>
      <w:r w:rsidRPr="00901E47">
        <w:rPr>
          <w:spacing w:val="-2"/>
        </w:rPr>
        <w:t>for</w:t>
      </w:r>
      <w:r>
        <w:rPr>
          <w:spacing w:val="-2"/>
        </w:rPr>
        <w:t xml:space="preserve"> </w:t>
      </w:r>
      <w:proofErr w:type="gramStart"/>
      <w:r>
        <w:rPr>
          <w:spacing w:val="-2"/>
        </w:rPr>
        <w:t xml:space="preserve">their </w:t>
      </w:r>
      <w:r w:rsidRPr="00901E47">
        <w:rPr>
          <w:spacing w:val="-2"/>
        </w:rPr>
        <w:t xml:space="preserve"> assistance</w:t>
      </w:r>
      <w:proofErr w:type="gramEnd"/>
      <w:r w:rsidRPr="00901E47">
        <w:rPr>
          <w:spacing w:val="-2"/>
        </w:rPr>
        <w:t xml:space="preserve"> in </w:t>
      </w:r>
      <w:r>
        <w:rPr>
          <w:spacing w:val="-2"/>
        </w:rPr>
        <w:t xml:space="preserve">collecting and processing the data used in this study. Nigel Peters of Sinclair Knight </w:t>
      </w:r>
      <w:proofErr w:type="spellStart"/>
      <w:r>
        <w:rPr>
          <w:spacing w:val="-2"/>
        </w:rPr>
        <w:t>Merz</w:t>
      </w:r>
      <w:proofErr w:type="spellEnd"/>
      <w:r>
        <w:rPr>
          <w:spacing w:val="-2"/>
        </w:rPr>
        <w:t xml:space="preserve"> is </w:t>
      </w:r>
      <w:proofErr w:type="spellStart"/>
      <w:r>
        <w:rPr>
          <w:spacing w:val="-2"/>
        </w:rPr>
        <w:t>is</w:t>
      </w:r>
      <w:proofErr w:type="spellEnd"/>
      <w:r>
        <w:rPr>
          <w:spacing w:val="-2"/>
        </w:rPr>
        <w:t xml:space="preserve"> thanked for his assistance in generating the DEM of the trial landform. </w:t>
      </w:r>
    </w:p>
    <w:p w:rsidR="00B36F09" w:rsidRPr="001162EC" w:rsidRDefault="00B36F09" w:rsidP="00B36F09">
      <w:pPr>
        <w:pStyle w:val="Heading2"/>
      </w:pPr>
      <w:bookmarkStart w:id="38" w:name="_Toc313523539"/>
      <w:bookmarkStart w:id="39" w:name="_Toc316985382"/>
      <w:r w:rsidRPr="001162EC">
        <w:t>References</w:t>
      </w:r>
      <w:bookmarkEnd w:id="38"/>
      <w:bookmarkEnd w:id="39"/>
    </w:p>
    <w:p w:rsidR="00B36F09" w:rsidRDefault="00B36F09" w:rsidP="00B36F09">
      <w:pPr>
        <w:pStyle w:val="referencelist1"/>
      </w:pPr>
      <w:proofErr w:type="spellStart"/>
      <w:r>
        <w:t>Coulthard</w:t>
      </w:r>
      <w:proofErr w:type="spellEnd"/>
      <w:r>
        <w:t xml:space="preserve"> TJ, </w:t>
      </w:r>
      <w:proofErr w:type="spellStart"/>
      <w:r>
        <w:t>Kirkby</w:t>
      </w:r>
      <w:proofErr w:type="spellEnd"/>
      <w:r>
        <w:t xml:space="preserve"> MJ &amp; Macklin MG 2000. </w:t>
      </w:r>
      <w:proofErr w:type="gramStart"/>
      <w:r>
        <w:t>Modelling geomorphic response to environmental change in an upland catchment.</w:t>
      </w:r>
      <w:proofErr w:type="gramEnd"/>
      <w:r>
        <w:t xml:space="preserve"> </w:t>
      </w:r>
      <w:r w:rsidRPr="0098759B">
        <w:rPr>
          <w:i/>
        </w:rPr>
        <w:t>Hydrological Processes</w:t>
      </w:r>
      <w:r>
        <w:t xml:space="preserve"> 14, 2031–2045.</w:t>
      </w:r>
    </w:p>
    <w:p w:rsidR="00B36F09" w:rsidRDefault="00B36F09" w:rsidP="00B36F09">
      <w:pPr>
        <w:pStyle w:val="referencelist1"/>
      </w:pPr>
      <w:proofErr w:type="spellStart"/>
      <w:proofErr w:type="gramStart"/>
      <w:r>
        <w:t>Coulthard</w:t>
      </w:r>
      <w:proofErr w:type="spellEnd"/>
      <w:r>
        <w:t xml:space="preserve"> TJ, Macklin MG &amp; </w:t>
      </w:r>
      <w:proofErr w:type="spellStart"/>
      <w:r>
        <w:t>Kirkby</w:t>
      </w:r>
      <w:proofErr w:type="spellEnd"/>
      <w:r>
        <w:t xml:space="preserve"> MJ 2002.</w:t>
      </w:r>
      <w:proofErr w:type="gramEnd"/>
      <w:r>
        <w:t xml:space="preserve"> </w:t>
      </w:r>
      <w:proofErr w:type="gramStart"/>
      <w:r>
        <w:t>Simulating upland river catchment and alluvial fan evolution, Earth Surface Processes and Landforms.</w:t>
      </w:r>
      <w:proofErr w:type="gramEnd"/>
      <w:r>
        <w:t xml:space="preserve"> 27, 269–288.</w:t>
      </w:r>
    </w:p>
    <w:p w:rsidR="00B36F09" w:rsidRDefault="00B36F09" w:rsidP="00B36F09">
      <w:pPr>
        <w:pStyle w:val="referencelist1"/>
      </w:pPr>
      <w:r>
        <w:t xml:space="preserve">Cull R, Hancock G, Johnston A, Martin P, Marten R, Murray AS, </w:t>
      </w:r>
      <w:proofErr w:type="spellStart"/>
      <w:r>
        <w:t>Pfitzner</w:t>
      </w:r>
      <w:proofErr w:type="spellEnd"/>
      <w:r>
        <w:t xml:space="preserve"> J, Warner RF &amp; Wasson RJ 1992. </w:t>
      </w:r>
      <w:proofErr w:type="gramStart"/>
      <w:r w:rsidRPr="00862DB9">
        <w:t xml:space="preserve">Past, present and future sedimentation on the </w:t>
      </w:r>
      <w:proofErr w:type="spellStart"/>
      <w:r w:rsidRPr="00862DB9">
        <w:t>Magela</w:t>
      </w:r>
      <w:proofErr w:type="spellEnd"/>
      <w:r w:rsidRPr="00862DB9">
        <w:t xml:space="preserve"> plain and its catchment</w:t>
      </w:r>
      <w:r>
        <w:t>.</w:t>
      </w:r>
      <w:proofErr w:type="gramEnd"/>
      <w:r>
        <w:rPr>
          <w:i/>
        </w:rPr>
        <w:t xml:space="preserve"> </w:t>
      </w:r>
      <w:proofErr w:type="gramStart"/>
      <w:r>
        <w:rPr>
          <w:i/>
        </w:rPr>
        <w:t xml:space="preserve">Modern sedimentation and late Quaternary evolution of the </w:t>
      </w:r>
      <w:proofErr w:type="spellStart"/>
      <w:r>
        <w:rPr>
          <w:i/>
        </w:rPr>
        <w:t>Magela</w:t>
      </w:r>
      <w:proofErr w:type="spellEnd"/>
      <w:r>
        <w:rPr>
          <w:i/>
        </w:rPr>
        <w:t xml:space="preserve"> Creek plain</w:t>
      </w:r>
      <w:r>
        <w:t>.</w:t>
      </w:r>
      <w:proofErr w:type="gramEnd"/>
      <w:r>
        <w:t xml:space="preserve"> </w:t>
      </w:r>
      <w:proofErr w:type="gramStart"/>
      <w:r>
        <w:t>Research report 6, Supervising Scientist for the Alligator Rivers Region, AGPS, Canberra, 226–268.</w:t>
      </w:r>
      <w:proofErr w:type="gramEnd"/>
    </w:p>
    <w:p w:rsidR="00B36F09" w:rsidRDefault="00B36F09" w:rsidP="00B36F09">
      <w:pPr>
        <w:pStyle w:val="referencelist1"/>
      </w:pPr>
      <w:bookmarkStart w:id="40" w:name="_Toc498763322"/>
      <w:bookmarkStart w:id="41" w:name="_Toc498766783"/>
      <w:proofErr w:type="gramStart"/>
      <w:r>
        <w:t xml:space="preserve">Erskine WD &amp; </w:t>
      </w:r>
      <w:proofErr w:type="spellStart"/>
      <w:r>
        <w:t>Saynor</w:t>
      </w:r>
      <w:proofErr w:type="spellEnd"/>
      <w:r>
        <w:t xml:space="preserve"> MJ 2000.</w:t>
      </w:r>
      <w:proofErr w:type="gramEnd"/>
      <w:r>
        <w:t xml:space="preserve"> </w:t>
      </w:r>
      <w:r>
        <w:rPr>
          <w:i/>
        </w:rPr>
        <w:t xml:space="preserve">Assessment of the off-site geomorphic impacts of uranium mining on </w:t>
      </w:r>
      <w:proofErr w:type="spellStart"/>
      <w:r>
        <w:rPr>
          <w:i/>
        </w:rPr>
        <w:t>Magela</w:t>
      </w:r>
      <w:proofErr w:type="spellEnd"/>
      <w:r>
        <w:rPr>
          <w:i/>
        </w:rPr>
        <w:t xml:space="preserve"> Creek, Northern Territory, Australia</w:t>
      </w:r>
      <w:bookmarkEnd w:id="40"/>
      <w:bookmarkEnd w:id="41"/>
      <w:r>
        <w:t xml:space="preserve">. Supervising Scientist Report 156, Supervising Scientist, Darwin NT. </w:t>
      </w:r>
    </w:p>
    <w:p w:rsidR="00B36F09" w:rsidRDefault="00B36F09" w:rsidP="00B36F09">
      <w:pPr>
        <w:pStyle w:val="referencelist1"/>
      </w:pPr>
      <w:r w:rsidRPr="006F1C97">
        <w:t xml:space="preserve">Hancock GR, </w:t>
      </w:r>
      <w:proofErr w:type="spellStart"/>
      <w:r w:rsidRPr="006F1C97">
        <w:t>Loughran</w:t>
      </w:r>
      <w:proofErr w:type="spellEnd"/>
      <w:r w:rsidRPr="006F1C97">
        <w:t xml:space="preserve"> RJ, Evans KG</w:t>
      </w:r>
      <w:r>
        <w:t xml:space="preserve"> &amp;</w:t>
      </w:r>
      <w:r w:rsidRPr="006F1C97">
        <w:t xml:space="preserve"> </w:t>
      </w:r>
      <w:proofErr w:type="spellStart"/>
      <w:r w:rsidRPr="006F1C97">
        <w:t>Balog</w:t>
      </w:r>
      <w:proofErr w:type="spellEnd"/>
      <w:r w:rsidRPr="006F1C97">
        <w:t xml:space="preserve"> R 2008</w:t>
      </w:r>
      <w:r>
        <w:t>.</w:t>
      </w:r>
      <w:r w:rsidRPr="006F1C97">
        <w:t xml:space="preserve"> Estimation of soil erosion using field and modelling approaches in an undisturbed Arnhem Land catchment, Northern Territory, Australia</w:t>
      </w:r>
      <w:r>
        <w:t>.</w:t>
      </w:r>
      <w:r w:rsidRPr="006F1C97">
        <w:t xml:space="preserve"> </w:t>
      </w:r>
      <w:r w:rsidRPr="00D04CF5">
        <w:rPr>
          <w:i/>
        </w:rPr>
        <w:t>Geographical Research</w:t>
      </w:r>
      <w:r w:rsidRPr="006F1C97">
        <w:t xml:space="preserve"> 46(3)</w:t>
      </w:r>
      <w:r>
        <w:t>,</w:t>
      </w:r>
      <w:r w:rsidRPr="006F1C97">
        <w:t xml:space="preserve"> 333</w:t>
      </w:r>
      <w:r>
        <w:t>–</w:t>
      </w:r>
      <w:r w:rsidRPr="006F1C97">
        <w:t>349.</w:t>
      </w:r>
    </w:p>
    <w:p w:rsidR="00B36F09" w:rsidRPr="0097609F" w:rsidRDefault="00B36F09" w:rsidP="00B36F09">
      <w:pPr>
        <w:pStyle w:val="referencelist1"/>
      </w:pPr>
      <w:proofErr w:type="gramStart"/>
      <w:r w:rsidRPr="0097609F">
        <w:t xml:space="preserve">Hancock GR, Lowry JBC, </w:t>
      </w:r>
      <w:proofErr w:type="spellStart"/>
      <w:r w:rsidRPr="0097609F">
        <w:t>Coulthard</w:t>
      </w:r>
      <w:proofErr w:type="spellEnd"/>
      <w:r w:rsidRPr="0097609F">
        <w:t xml:space="preserve"> TJ, Evans KG</w:t>
      </w:r>
      <w:r>
        <w:t xml:space="preserve"> &amp;</w:t>
      </w:r>
      <w:r w:rsidRPr="0097609F">
        <w:t xml:space="preserve"> Moliere DR </w:t>
      </w:r>
      <w:r>
        <w:t>2010.</w:t>
      </w:r>
      <w:proofErr w:type="gramEnd"/>
      <w:r w:rsidRPr="0097609F">
        <w:t xml:space="preserve"> </w:t>
      </w:r>
      <w:proofErr w:type="gramStart"/>
      <w:r>
        <w:t>A catch</w:t>
      </w:r>
      <w:r w:rsidRPr="0097609F">
        <w:t>ment scale evaluation of the SIBERIA and CAESAR landscape evolution models</w:t>
      </w:r>
      <w:r>
        <w:t>.</w:t>
      </w:r>
      <w:proofErr w:type="gramEnd"/>
      <w:r w:rsidRPr="0097609F">
        <w:t xml:space="preserve"> </w:t>
      </w:r>
      <w:r w:rsidRPr="00D04CF5">
        <w:rPr>
          <w:i/>
        </w:rPr>
        <w:t>Earth Surface Processes and Landforms</w:t>
      </w:r>
      <w:r w:rsidRPr="00D04CF5">
        <w:t>,</w:t>
      </w:r>
      <w:r w:rsidRPr="0097609F">
        <w:t xml:space="preserve"> </w:t>
      </w:r>
      <w:r>
        <w:t>35, 863–875</w:t>
      </w:r>
      <w:r w:rsidRPr="0097609F">
        <w:t>.</w:t>
      </w:r>
    </w:p>
    <w:p w:rsidR="00B36F09" w:rsidRDefault="00B36F09" w:rsidP="00B36F09">
      <w:pPr>
        <w:pStyle w:val="referencelist1"/>
      </w:pPr>
      <w:r w:rsidRPr="003B0003">
        <w:t xml:space="preserve">Lowry JBC, Evans KG, </w:t>
      </w:r>
      <w:proofErr w:type="spellStart"/>
      <w:r w:rsidRPr="003B0003">
        <w:t>Coulthard</w:t>
      </w:r>
      <w:proofErr w:type="spellEnd"/>
      <w:r w:rsidRPr="003B0003">
        <w:t xml:space="preserve"> TJ, Hancock GR </w:t>
      </w:r>
      <w:r>
        <w:t>&amp;</w:t>
      </w:r>
      <w:r w:rsidRPr="003B0003">
        <w:t xml:space="preserve"> Moliere DR</w:t>
      </w:r>
      <w:r>
        <w:t xml:space="preserve"> </w:t>
      </w:r>
      <w:r w:rsidRPr="003B0003">
        <w:t xml:space="preserve">2009. </w:t>
      </w:r>
      <w:proofErr w:type="gramStart"/>
      <w:r w:rsidRPr="003B0003">
        <w:t>Assessing the impact of extreme rainfall events on the geomorphic stability of a conceptual rehabilitated landform in the Northern Territory of Australia</w:t>
      </w:r>
      <w:r>
        <w:t>.</w:t>
      </w:r>
      <w:proofErr w:type="gramEnd"/>
      <w:r w:rsidRPr="003B0003">
        <w:t xml:space="preserve"> </w:t>
      </w:r>
      <w:proofErr w:type="gramStart"/>
      <w:r>
        <w:t>I</w:t>
      </w:r>
      <w:r w:rsidRPr="003B0003">
        <w:t xml:space="preserve">n </w:t>
      </w:r>
      <w:r w:rsidRPr="005818D6">
        <w:rPr>
          <w:rStyle w:val="Emphasis"/>
        </w:rPr>
        <w:t>Mine Closure 2009</w:t>
      </w:r>
      <w:r w:rsidRPr="005818D6">
        <w:rPr>
          <w:i/>
        </w:rPr>
        <w:t>.</w:t>
      </w:r>
      <w:proofErr w:type="gramEnd"/>
      <w:r w:rsidRPr="005818D6">
        <w:rPr>
          <w:i/>
        </w:rPr>
        <w:t xml:space="preserve"> </w:t>
      </w:r>
      <w:r w:rsidRPr="005818D6">
        <w:rPr>
          <w:rStyle w:val="Emphasis"/>
        </w:rPr>
        <w:t>Proceedings of the Fourth International Conference on Mine Closure</w:t>
      </w:r>
      <w:r w:rsidRPr="005818D6">
        <w:rPr>
          <w:i/>
        </w:rPr>
        <w:t xml:space="preserve"> </w:t>
      </w:r>
      <w:r w:rsidRPr="005818D6">
        <w:rPr>
          <w:rStyle w:val="Emphasis"/>
        </w:rPr>
        <w:t>9–11 September 2009</w:t>
      </w:r>
      <w:r w:rsidRPr="00D04CF5">
        <w:t>,</w:t>
      </w:r>
      <w:r w:rsidRPr="003B0003">
        <w:t xml:space="preserve"> </w:t>
      </w:r>
      <w:proofErr w:type="spellStart"/>
      <w:proofErr w:type="gramStart"/>
      <w:r>
        <w:t>eds</w:t>
      </w:r>
      <w:proofErr w:type="spellEnd"/>
      <w:proofErr w:type="gramEnd"/>
      <w:r>
        <w:t xml:space="preserve"> </w:t>
      </w:r>
      <w:proofErr w:type="spellStart"/>
      <w:r w:rsidRPr="003B0003">
        <w:t>Fourie</w:t>
      </w:r>
      <w:proofErr w:type="spellEnd"/>
      <w:r>
        <w:t xml:space="preserve"> A &amp;</w:t>
      </w:r>
      <w:r w:rsidRPr="003B0003">
        <w:t xml:space="preserve"> Tibbett</w:t>
      </w:r>
      <w:r>
        <w:t xml:space="preserve"> M</w:t>
      </w:r>
      <w:r w:rsidRPr="003B0003">
        <w:t xml:space="preserve">, Australian Centre for </w:t>
      </w:r>
      <w:proofErr w:type="spellStart"/>
      <w:r w:rsidRPr="003B0003">
        <w:t>Geomechanics</w:t>
      </w:r>
      <w:proofErr w:type="spellEnd"/>
      <w:r w:rsidRPr="003B0003">
        <w:t>, Perth, 203–212.</w:t>
      </w:r>
    </w:p>
    <w:p w:rsidR="00B36F09" w:rsidRDefault="00B36F09" w:rsidP="00B36F09">
      <w:pPr>
        <w:pStyle w:val="referencelist1"/>
      </w:pPr>
    </w:p>
    <w:p w:rsidR="00B36F09" w:rsidRDefault="00B36F09" w:rsidP="00B36F09">
      <w:pPr>
        <w:pStyle w:val="Heading3"/>
        <w:sectPr w:rsidR="00B36F09" w:rsidSect="005A1F59">
          <w:headerReference w:type="default" r:id="rId22"/>
          <w:footnotePr>
            <w:numRestart w:val="eachSect"/>
          </w:footnotePr>
          <w:pgSz w:w="11906" w:h="16838" w:code="9"/>
          <w:pgMar w:top="1440" w:right="1797" w:bottom="1440" w:left="1797" w:header="851" w:footer="833" w:gutter="0"/>
          <w:cols w:space="360"/>
          <w:noEndnote/>
          <w:titlePg/>
        </w:sectPr>
      </w:pPr>
      <w:bookmarkStart w:id="42" w:name="_Toc95540548"/>
      <w:bookmarkStart w:id="43" w:name="_Toc95542168"/>
      <w:bookmarkStart w:id="44" w:name="_Toc95803326"/>
      <w:bookmarkStart w:id="45" w:name="_Toc102492057"/>
      <w:bookmarkStart w:id="46" w:name="_Toc308710362"/>
      <w:bookmarkStart w:id="47" w:name="_Toc309215805"/>
    </w:p>
    <w:p w:rsidR="00B36F09" w:rsidRDefault="00B36F09" w:rsidP="00B36F09">
      <w:pPr>
        <w:pStyle w:val="Heading1"/>
      </w:pPr>
      <w:bookmarkStart w:id="48" w:name="_Toc309215806"/>
      <w:bookmarkStart w:id="49" w:name="_Toc319670746"/>
      <w:bookmarkEnd w:id="42"/>
      <w:bookmarkEnd w:id="43"/>
      <w:bookmarkEnd w:id="44"/>
      <w:bookmarkEnd w:id="45"/>
      <w:bookmarkEnd w:id="46"/>
      <w:bookmarkEnd w:id="47"/>
      <w:r>
        <w:lastRenderedPageBreak/>
        <w:t xml:space="preserve">Pre-mining radiological conditions </w:t>
      </w:r>
      <w:r>
        <w:br/>
        <w:t>at Ranger mine</w:t>
      </w:r>
      <w:bookmarkEnd w:id="48"/>
      <w:bookmarkEnd w:id="49"/>
    </w:p>
    <w:p w:rsidR="00B36F09" w:rsidRPr="008E44C5" w:rsidRDefault="00B36F09" w:rsidP="00B36F09">
      <w:pPr>
        <w:pStyle w:val="authors"/>
        <w:spacing w:after="800"/>
      </w:pPr>
      <w:bookmarkStart w:id="50" w:name="_Toc316987249"/>
      <w:bookmarkStart w:id="51" w:name="_Toc319670747"/>
      <w:r>
        <w:t xml:space="preserve">A </w:t>
      </w:r>
      <w:proofErr w:type="spellStart"/>
      <w:r>
        <w:t>Bollhöfer</w:t>
      </w:r>
      <w:proofErr w:type="spellEnd"/>
      <w:r>
        <w:t xml:space="preserve">, </w:t>
      </w:r>
      <w:proofErr w:type="gramStart"/>
      <w:r>
        <w:t>A</w:t>
      </w:r>
      <w:proofErr w:type="gramEnd"/>
      <w:r>
        <w:t xml:space="preserve"> </w:t>
      </w:r>
      <w:proofErr w:type="spellStart"/>
      <w:r>
        <w:t>Beraldo</w:t>
      </w:r>
      <w:proofErr w:type="spellEnd"/>
      <w:r>
        <w:t xml:space="preserve">, K </w:t>
      </w:r>
      <w:proofErr w:type="spellStart"/>
      <w:r>
        <w:t>Pfitzner</w:t>
      </w:r>
      <w:proofErr w:type="spellEnd"/>
      <w:r>
        <w:t xml:space="preserve"> &amp; A </w:t>
      </w:r>
      <w:proofErr w:type="spellStart"/>
      <w:r>
        <w:t>Esparon</w:t>
      </w:r>
      <w:bookmarkEnd w:id="50"/>
      <w:bookmarkEnd w:id="51"/>
      <w:proofErr w:type="spellEnd"/>
    </w:p>
    <w:p w:rsidR="00B36F09" w:rsidRDefault="00B36F09" w:rsidP="00B36F09">
      <w:pPr>
        <w:pStyle w:val="Heading2"/>
      </w:pPr>
      <w:bookmarkStart w:id="52" w:name="_Toc313523541"/>
      <w:bookmarkStart w:id="53" w:name="_Toc316985384"/>
      <w:r>
        <w:t>Introduction</w:t>
      </w:r>
      <w:bookmarkEnd w:id="52"/>
      <w:bookmarkEnd w:id="53"/>
    </w:p>
    <w:p w:rsidR="00B36F09" w:rsidRDefault="00B36F09" w:rsidP="00B36F09">
      <w:r>
        <w:t xml:space="preserve">Before mining started at Ranger in 1981, </w:t>
      </w:r>
      <w:proofErr w:type="spellStart"/>
      <w:r>
        <w:t>orebodies</w:t>
      </w:r>
      <w:proofErr w:type="spellEnd"/>
      <w:r>
        <w:t xml:space="preserve"> 1 and 3 were outcropping in places and several other radiation anomalies were also known to exist in the area. Compared with typical environmental background radiological conditions, these areas exhibited naturally higher soil uranium and radium concentrations and, consequently, elevated gamma ray fields detected by airborne radiometric surveys. From a radiological perspective, assessing the success of mine site remediation at a uranium mine is based upon comparison with the pre-mining radiation levels. It is recommended by the </w:t>
      </w:r>
      <w:r>
        <w:rPr>
          <w:snapToGrid w:val="0"/>
          <w:lang w:val="en-US"/>
        </w:rPr>
        <w:t xml:space="preserve">International Commission on Radiation Protection </w:t>
      </w:r>
      <w:r>
        <w:t>(ICRP 2007) that t</w:t>
      </w:r>
      <w:r>
        <w:rPr>
          <w:snapToGrid w:val="0"/>
          <w:lang w:val="en-US"/>
        </w:rPr>
        <w:t xml:space="preserve">he </w:t>
      </w:r>
      <w:r>
        <w:t xml:space="preserve">annual effective radiation dose above pre-mining levels to a member of the public from practices such as U mining should not exceed 1 </w:t>
      </w:r>
      <w:proofErr w:type="spellStart"/>
      <w:r>
        <w:t>milli</w:t>
      </w:r>
      <w:proofErr w:type="spellEnd"/>
      <w:r>
        <w:t xml:space="preserve"> </w:t>
      </w:r>
      <w:proofErr w:type="spellStart"/>
      <w:r>
        <w:t>Sievert</w:t>
      </w:r>
      <w:proofErr w:type="spellEnd"/>
      <w:r>
        <w:t>. To establish reference radiological conditions for the Ranger mine it is therefore important to have a robust knowledge of the magnitude and spatial extent of the areas that exhibited naturally elevated radiation levels</w:t>
      </w:r>
      <w:r w:rsidRPr="00230EB3">
        <w:t xml:space="preserve"> </w:t>
      </w:r>
      <w:r>
        <w:t xml:space="preserve">pre-mining. </w:t>
      </w:r>
    </w:p>
    <w:p w:rsidR="00B36F09" w:rsidRDefault="00B36F09" w:rsidP="00B36F09">
      <w:r>
        <w:t xml:space="preserve">Airborne gamma surveys (AGS), coupled with </w:t>
      </w:r>
      <w:proofErr w:type="spellStart"/>
      <w:r>
        <w:t>groundtruthing</w:t>
      </w:r>
      <w:proofErr w:type="spellEnd"/>
      <w:r>
        <w:t xml:space="preserve"> measurements, have been used previously for area wide assessments of radiological conditions at remediated and historic mine sites in the ARR (</w:t>
      </w:r>
      <w:proofErr w:type="spellStart"/>
      <w:r>
        <w:t>Pfitzner</w:t>
      </w:r>
      <w:proofErr w:type="spellEnd"/>
      <w:r>
        <w:t xml:space="preserve"> et al 2001a,b, Martin et al 2006, </w:t>
      </w:r>
      <w:proofErr w:type="spellStart"/>
      <w:r>
        <w:rPr>
          <w:rFonts w:ascii="Times" w:hAnsi="Times"/>
          <w:szCs w:val="22"/>
        </w:rPr>
        <w:t>Bollhöfer</w:t>
      </w:r>
      <w:proofErr w:type="spellEnd"/>
      <w:r>
        <w:rPr>
          <w:rFonts w:ascii="Times" w:hAnsi="Times"/>
          <w:szCs w:val="22"/>
        </w:rPr>
        <w:t xml:space="preserve"> </w:t>
      </w:r>
      <w:r>
        <w:t xml:space="preserve">et al 2008). Using historic AGS data can provide a means to infer pre-mining conditions, if the airborne data can be calibrated using an existing undisturbed/unmined radiological anomaly that was also covered by the original AGS. Whilst a pre-mining AGS was flown over the Alligator Rivers Region, including the Ranger site, in 1976, no ground radiological data of the resolution and spatial coverage needed to calibrate the AGS data are available from that time. In this project data from a high resolution ground survey collected between 2007 and 2009 at an undisturbed </w:t>
      </w:r>
      <w:proofErr w:type="spellStart"/>
      <w:r>
        <w:t>radiologically</w:t>
      </w:r>
      <w:proofErr w:type="spellEnd"/>
      <w:r>
        <w:t xml:space="preserve"> anomalous area have been used to calibrate the AGS data from 1976 for that anomaly. The calibrated AGS data set was then used to infer pre-mining radiological conditions for various altered landform features on site.</w:t>
      </w:r>
    </w:p>
    <w:p w:rsidR="00B36F09" w:rsidRDefault="00B36F09" w:rsidP="00B36F09">
      <w:pPr>
        <w:pStyle w:val="Heading2"/>
      </w:pPr>
      <w:bookmarkStart w:id="54" w:name="_Toc313523542"/>
      <w:bookmarkStart w:id="55" w:name="_Toc316985385"/>
      <w:r>
        <w:t>Methods</w:t>
      </w:r>
      <w:bookmarkEnd w:id="54"/>
      <w:bookmarkEnd w:id="55"/>
    </w:p>
    <w:p w:rsidR="00B36F09" w:rsidRDefault="00B36F09" w:rsidP="00B36F09">
      <w:r>
        <w:t>Data from the 1976 Alligator Rivers Geophysical Survey, acquired from Rio Tinto by the NT Government, were re-processed in 2000 by the Northern Territory Geological Survey (NTGS) and then re-sampled at a pixel size of 70 × 70 m</w:t>
      </w:r>
      <w:r w:rsidRPr="00D9627C">
        <w:rPr>
          <w:snapToGrid w:val="0"/>
          <w:color w:val="000000"/>
          <w:position w:val="5"/>
          <w:sz w:val="13"/>
          <w:szCs w:val="0"/>
          <w:u w:color="000000"/>
        </w:rPr>
        <w:t>2</w:t>
      </w:r>
      <w:r>
        <w:t xml:space="preserve"> in 2003. This data set is available in the public domain and was used to identify Anomaly 2, about 1 km south of the Ranger lease, as the most suitable undisturbed area to be used for </w:t>
      </w:r>
      <w:proofErr w:type="spellStart"/>
      <w:r>
        <w:t>groundtruthing</w:t>
      </w:r>
      <w:proofErr w:type="spellEnd"/>
      <w:r>
        <w:t xml:space="preserve"> (</w:t>
      </w:r>
      <w:proofErr w:type="spellStart"/>
      <w:r>
        <w:t>Esparon</w:t>
      </w:r>
      <w:proofErr w:type="spellEnd"/>
      <w:r>
        <w:t xml:space="preserve"> et al 2009). It exhibits a strong airborne gamma signal, has not been mined, nor is it influenced by operations associated with the mine. Energy Resources of Australia (ERA) has also provided to SSD higher resolution data from an AGS that was flown in 1997. The Anomaly 2 component of this dataset was used to further refine the extensive </w:t>
      </w:r>
      <w:proofErr w:type="spellStart"/>
      <w:r>
        <w:t>groundtruthing</w:t>
      </w:r>
      <w:proofErr w:type="spellEnd"/>
      <w:r>
        <w:t xml:space="preserve"> fieldwork, conducted in the dry seasons 2007 to 2009, and to establish the exact location and radiological intensity of the Anomaly.</w:t>
      </w:r>
    </w:p>
    <w:p w:rsidR="00B36F09" w:rsidRDefault="00B36F09" w:rsidP="00B36F09">
      <w:r>
        <w:lastRenderedPageBreak/>
        <w:t xml:space="preserve">More than 1800 external gamma dose rate measurements were made at 1 m height above the ground, to characterise the footprint of Anomaly 2, using conventional GM tubes. These measurements were complemented by the determination of soil uranium, thorium and potassium activity concentrations, via </w:t>
      </w:r>
      <w:r w:rsidRPr="0098759B">
        <w:t>in situ</w:t>
      </w:r>
      <w:r>
        <w:t xml:space="preserve"> gamma spectrometry, at 150 sites. Dry season radon exhalation rates were measured at 25 sites over a period of three days, and soil scrape samples were taken at these sites for high resolution gamma spectrometry analysis in the </w:t>
      </w:r>
      <w:proofErr w:type="spellStart"/>
      <w:r w:rsidRPr="0098759B">
        <w:rPr>
          <w:b/>
          <w:i/>
          <w:sz w:val="26"/>
          <w:szCs w:val="24"/>
        </w:rPr>
        <w:t>eriss</w:t>
      </w:r>
      <w:proofErr w:type="spellEnd"/>
      <w:r>
        <w:t xml:space="preserve"> </w:t>
      </w:r>
      <w:proofErr w:type="spellStart"/>
      <w:r>
        <w:t>radioanalytical</w:t>
      </w:r>
      <w:proofErr w:type="spellEnd"/>
      <w:r>
        <w:t xml:space="preserve"> laboratory. Track etch detectors were also deployed at these sites for three months to measure dry season airborne radon concentration and to establish whether there is a correlation between airborne radon concentration, radon exhalation flux and soil </w:t>
      </w:r>
      <w:r w:rsidRPr="00A92B2C">
        <w:rPr>
          <w:snapToGrid w:val="0"/>
          <w:color w:val="000000"/>
          <w:position w:val="5"/>
          <w:sz w:val="13"/>
          <w:szCs w:val="0"/>
          <w:u w:color="000000"/>
        </w:rPr>
        <w:t>226</w:t>
      </w:r>
      <w:r>
        <w:t xml:space="preserve">Ra activity concentrations. </w:t>
      </w:r>
    </w:p>
    <w:p w:rsidR="00B36F09" w:rsidRPr="0098759B" w:rsidRDefault="00B36F09" w:rsidP="00B36F09">
      <w:pPr>
        <w:rPr>
          <w:spacing w:val="-2"/>
        </w:rPr>
      </w:pPr>
      <w:proofErr w:type="gramStart"/>
      <w:r w:rsidRPr="0098759B">
        <w:rPr>
          <w:spacing w:val="-2"/>
        </w:rPr>
        <w:t>Differences in survey parameters of the AGS and on ground datasets, such as field of view of the detectors, detector calibration, spatial referencing and data processing means that the data sets are not directly comparable.</w:t>
      </w:r>
      <w:proofErr w:type="gramEnd"/>
      <w:r w:rsidRPr="0098759B">
        <w:rPr>
          <w:spacing w:val="-2"/>
        </w:rPr>
        <w:t xml:space="preserve"> In order to be able to compare data collected on ground with the AGS data, </w:t>
      </w:r>
      <w:proofErr w:type="spellStart"/>
      <w:r w:rsidRPr="0098759B">
        <w:rPr>
          <w:spacing w:val="-2"/>
        </w:rPr>
        <w:t>upscaling</w:t>
      </w:r>
      <w:proofErr w:type="spellEnd"/>
      <w:r w:rsidRPr="0098759B">
        <w:rPr>
          <w:spacing w:val="-2"/>
        </w:rPr>
        <w:t xml:space="preserve"> is required of the data measured on ground. Due to the much better resolution and lower flying height of the 1997 AGS the </w:t>
      </w:r>
      <w:proofErr w:type="spellStart"/>
      <w:r w:rsidRPr="0098759B">
        <w:rPr>
          <w:spacing w:val="-2"/>
        </w:rPr>
        <w:t>groundtruthed</w:t>
      </w:r>
      <w:proofErr w:type="spellEnd"/>
      <w:r w:rsidRPr="0098759B">
        <w:rPr>
          <w:spacing w:val="-2"/>
        </w:rPr>
        <w:t xml:space="preserve"> data was firstly </w:t>
      </w:r>
      <w:proofErr w:type="spellStart"/>
      <w:r w:rsidRPr="0098759B">
        <w:rPr>
          <w:spacing w:val="-2"/>
        </w:rPr>
        <w:t>upscaled</w:t>
      </w:r>
      <w:proofErr w:type="spellEnd"/>
      <w:r w:rsidRPr="0098759B">
        <w:rPr>
          <w:spacing w:val="-2"/>
        </w:rPr>
        <w:t xml:space="preserve"> and correlated with the 1997 AGS subset above Anomaly 2. The 1997 and 1976 AGS datasets were then correlated, using the data acquired over the whole extent of the 1997 AGS (which is smaller than the extent of the 1976 Alligator Rivers Geophysical Survey) but excluding the footprint of the mine site. This was done in a GIS environment and results are presented below.</w:t>
      </w:r>
    </w:p>
    <w:p w:rsidR="00B36F09" w:rsidRDefault="00B36F09" w:rsidP="00B36F09">
      <w:pPr>
        <w:pStyle w:val="Heading2"/>
      </w:pPr>
      <w:bookmarkStart w:id="56" w:name="_Toc313523543"/>
      <w:bookmarkStart w:id="57" w:name="_Toc316985386"/>
      <w:r>
        <w:t>Results</w:t>
      </w:r>
      <w:bookmarkEnd w:id="56"/>
      <w:bookmarkEnd w:id="57"/>
    </w:p>
    <w:p w:rsidR="00B36F09" w:rsidRDefault="00B36F09" w:rsidP="00B36F09">
      <w:pPr>
        <w:pStyle w:val="Heading3"/>
      </w:pPr>
      <w:bookmarkStart w:id="58" w:name="_Toc313523544"/>
      <w:bookmarkStart w:id="59" w:name="_Toc316985387"/>
      <w:r w:rsidRPr="008D33BC">
        <w:t>Correlating the 1997 AGS and ground data</w:t>
      </w:r>
      <w:bookmarkEnd w:id="58"/>
      <w:bookmarkEnd w:id="59"/>
    </w:p>
    <w:p w:rsidR="00B36F09" w:rsidRDefault="00B36F09" w:rsidP="00B36F09">
      <w:r>
        <w:t xml:space="preserve">The AGS data originally received as projected coordinates of the Australian geodetic datum 1984 were reprojected into the WGS84 map datum, UTM Zone 53S. A </w:t>
      </w:r>
      <w:proofErr w:type="spellStart"/>
      <w:r>
        <w:t>shapefile</w:t>
      </w:r>
      <w:proofErr w:type="spellEnd"/>
      <w:r>
        <w:t xml:space="preserve"> was then created, defined by the boundary of the 2007–09 field data obtained for the Anomaly 2 area (Figure 1). Airborne gamma survey points acquired in 1997 within this boundary were extracted and line segments created between points, representing the plane’s flight path. These line segments were assigned the total counts (TC) and counts in the uranium channel (</w:t>
      </w:r>
      <w:proofErr w:type="spellStart"/>
      <w:r>
        <w:t>eU</w:t>
      </w:r>
      <w:proofErr w:type="spellEnd"/>
      <w:r>
        <w:t>) of the corresponding AGS records.</w:t>
      </w:r>
    </w:p>
    <w:p w:rsidR="00B36F09" w:rsidRDefault="00B36F09" w:rsidP="00B36F09">
      <w:r>
        <w:t xml:space="preserve">To upscale the field data, a series of buffers with varying radii were created around the line segments of the 1997 AGS data. The buffer radii were then changed to find the radius that provided the best correlation between the AGS data along that line segment (TC and </w:t>
      </w:r>
      <w:proofErr w:type="spellStart"/>
      <w:r>
        <w:t>eU</w:t>
      </w:r>
      <w:proofErr w:type="spellEnd"/>
      <w:r>
        <w:t>, respectively) and the external gamma dose rates measured in the field (μGy·hr</w:t>
      </w:r>
      <w:r w:rsidRPr="00AF5C06">
        <w:rPr>
          <w:vertAlign w:val="superscript"/>
        </w:rPr>
        <w:t>-1</w:t>
      </w:r>
      <w:r>
        <w:t>) and averaged across the respective buffer. To ensure that results were not affected by variations in field sample spacing, 29 buffers in which ground points were evenly distributed were chosen for further analysis (see Figure 1). It was found that a 90 m buffer radius provided the best correlation (R</w:t>
      </w:r>
      <w:r w:rsidRPr="00AF5C06">
        <w:rPr>
          <w:vertAlign w:val="superscript"/>
        </w:rPr>
        <w:t>2</w:t>
      </w:r>
      <w:r>
        <w:t xml:space="preserve">=0.76; n = 29; p&lt;0.001; Figure 2) and, thus, represented the optimal field of view for the 1997 dataset. </w:t>
      </w:r>
    </w:p>
    <w:p w:rsidR="00B36F09" w:rsidRDefault="00B36F09" w:rsidP="00B36F09">
      <w:pPr>
        <w:pStyle w:val="Heading3"/>
      </w:pPr>
      <w:bookmarkStart w:id="60" w:name="_Toc313523545"/>
      <w:bookmarkStart w:id="61" w:name="_Toc316985388"/>
      <w:r>
        <w:t>Correlating the 1976 and 1997 AGS data</w:t>
      </w:r>
      <w:bookmarkEnd w:id="60"/>
      <w:bookmarkEnd w:id="61"/>
    </w:p>
    <w:p w:rsidR="00B36F09" w:rsidRDefault="00B36F09" w:rsidP="00B36F09">
      <w:r>
        <w:t xml:space="preserve">The two AGS raster datasets were displayed in </w:t>
      </w:r>
      <w:r w:rsidRPr="00831AA4">
        <w:t>projected coordinates of the WGS84 map datum, UTM Zone 53S</w:t>
      </w:r>
      <w:r>
        <w:t>, and a subset of the raster data was created. This subset incorporated the full extent of the 1997 AGS raster dataset excluding the footprint of the mine site. The 1997 raster data supplied by ERA (25 × 25 m</w:t>
      </w:r>
      <w:r w:rsidRPr="007A60B1">
        <w:rPr>
          <w:snapToGrid w:val="0"/>
          <w:color w:val="000000"/>
          <w:position w:val="5"/>
          <w:sz w:val="13"/>
          <w:szCs w:val="0"/>
          <w:u w:color="000000"/>
        </w:rPr>
        <w:t>2</w:t>
      </w:r>
      <w:r>
        <w:t xml:space="preserve"> resolution) was then correlated with the 1976 raster data (70 × 70 m</w:t>
      </w:r>
      <w:r w:rsidRPr="007A60B1">
        <w:rPr>
          <w:snapToGrid w:val="0"/>
          <w:color w:val="000000"/>
          <w:position w:val="5"/>
          <w:sz w:val="13"/>
          <w:szCs w:val="0"/>
          <w:u w:color="000000"/>
        </w:rPr>
        <w:t>2</w:t>
      </w:r>
      <w:r>
        <w:t xml:space="preserve"> resolution) of this subset, by averaging the 1997 data contained within a 1976 grid cell, and then comparing the average with the </w:t>
      </w:r>
      <w:proofErr w:type="spellStart"/>
      <w:r>
        <w:t>eU</w:t>
      </w:r>
      <w:proofErr w:type="spellEnd"/>
      <w:r>
        <w:t xml:space="preserve"> and TC of the 1976 grid cell (R</w:t>
      </w:r>
      <w:r w:rsidRPr="008027C0">
        <w:rPr>
          <w:snapToGrid w:val="0"/>
          <w:color w:val="000000"/>
          <w:position w:val="5"/>
          <w:sz w:val="13"/>
          <w:szCs w:val="0"/>
          <w:u w:color="000000"/>
        </w:rPr>
        <w:t>2</w:t>
      </w:r>
      <w:r>
        <w:t>=0.65; n=6916; p&lt;0.001; Figure 3).</w:t>
      </w:r>
    </w:p>
    <w:p w:rsidR="00B36F09" w:rsidRDefault="00B36F09" w:rsidP="00B36F09">
      <w:pPr>
        <w:jc w:val="center"/>
      </w:pPr>
      <w:r>
        <w:rPr>
          <w:rFonts w:ascii="Lucida Sans Unicode" w:hAnsi="Lucida Sans Unicode" w:cs="Lucida Sans Unicode"/>
          <w:noProof/>
          <w:sz w:val="20"/>
          <w:lang w:eastAsia="en-AU"/>
        </w:rPr>
        <w:lastRenderedPageBreak/>
        <w:drawing>
          <wp:inline distT="0" distB="0" distL="0" distR="0">
            <wp:extent cx="4455763" cy="4455763"/>
            <wp:effectExtent l="19050" t="0" r="1937" b="0"/>
            <wp:docPr id="42" name="Picture 12" descr="90m_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0m_uniform"/>
                    <pic:cNvPicPr>
                      <a:picLocks noChangeAspect="1" noChangeArrowheads="1"/>
                    </pic:cNvPicPr>
                  </pic:nvPicPr>
                  <pic:blipFill>
                    <a:blip r:embed="rId23" cstate="screen"/>
                    <a:srcRect/>
                    <a:stretch>
                      <a:fillRect/>
                    </a:stretch>
                  </pic:blipFill>
                  <pic:spPr bwMode="auto">
                    <a:xfrm>
                      <a:off x="0" y="0"/>
                      <a:ext cx="4456143" cy="4456143"/>
                    </a:xfrm>
                    <a:prstGeom prst="rect">
                      <a:avLst/>
                    </a:prstGeom>
                    <a:noFill/>
                    <a:ln w="9525">
                      <a:noFill/>
                      <a:miter lim="800000"/>
                      <a:headEnd/>
                      <a:tailEnd/>
                    </a:ln>
                  </pic:spPr>
                </pic:pic>
              </a:graphicData>
            </a:graphic>
          </wp:inline>
        </w:drawing>
      </w:r>
    </w:p>
    <w:p w:rsidR="00B36F09" w:rsidRDefault="00B36F09" w:rsidP="00B36F09">
      <w:pPr>
        <w:pStyle w:val="figurecaption"/>
      </w:pPr>
      <w:r w:rsidRPr="004822CA">
        <w:rPr>
          <w:b/>
        </w:rPr>
        <w:t xml:space="preserve">Figure </w:t>
      </w:r>
      <w:proofErr w:type="gramStart"/>
      <w:r w:rsidRPr="004822CA">
        <w:rPr>
          <w:b/>
        </w:rPr>
        <w:t>1</w:t>
      </w:r>
      <w:r>
        <w:t xml:space="preserve">  </w:t>
      </w:r>
      <w:proofErr w:type="spellStart"/>
      <w:r>
        <w:t>Shapefile</w:t>
      </w:r>
      <w:proofErr w:type="spellEnd"/>
      <w:proofErr w:type="gramEnd"/>
      <w:r>
        <w:t xml:space="preserve"> created in </w:t>
      </w:r>
      <w:proofErr w:type="spellStart"/>
      <w:r>
        <w:t>ArcGIS</w:t>
      </w:r>
      <w:proofErr w:type="spellEnd"/>
      <w:r>
        <w:t xml:space="preserve"> for the 2007-2009 ground survey (grey) and buffers chosen to establish the correlation between the ground survey and the 1997 AGS data</w:t>
      </w:r>
    </w:p>
    <w:p w:rsidR="00B36F09" w:rsidRDefault="00B36F09" w:rsidP="00B36F09">
      <w:pPr>
        <w:jc w:val="center"/>
      </w:pPr>
      <w:r w:rsidRPr="008D33BC">
        <w:rPr>
          <w:noProof/>
          <w:lang w:eastAsia="en-AU"/>
        </w:rPr>
        <w:drawing>
          <wp:inline distT="0" distB="0" distL="0" distR="0">
            <wp:extent cx="4523242" cy="2642461"/>
            <wp:effectExtent l="1905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screen"/>
                    <a:srcRect t="12234" r="-1772"/>
                    <a:stretch>
                      <a:fillRect/>
                    </a:stretch>
                  </pic:blipFill>
                  <pic:spPr bwMode="auto">
                    <a:xfrm>
                      <a:off x="0" y="0"/>
                      <a:ext cx="4527634" cy="2645027"/>
                    </a:xfrm>
                    <a:prstGeom prst="rect">
                      <a:avLst/>
                    </a:prstGeom>
                    <a:noFill/>
                    <a:ln w="9525">
                      <a:noFill/>
                      <a:miter lim="800000"/>
                      <a:headEnd/>
                      <a:tailEnd/>
                    </a:ln>
                  </pic:spPr>
                </pic:pic>
              </a:graphicData>
            </a:graphic>
          </wp:inline>
        </w:drawing>
      </w:r>
    </w:p>
    <w:p w:rsidR="00B36F09" w:rsidRDefault="00B36F09" w:rsidP="00B36F09">
      <w:pPr>
        <w:pStyle w:val="figurecaption"/>
      </w:pPr>
      <w:r w:rsidRPr="004822CA">
        <w:rPr>
          <w:b/>
        </w:rPr>
        <w:t xml:space="preserve">Figure </w:t>
      </w:r>
      <w:proofErr w:type="gramStart"/>
      <w:r w:rsidRPr="004822CA">
        <w:rPr>
          <w:b/>
        </w:rPr>
        <w:t>2</w:t>
      </w:r>
      <w:r>
        <w:t xml:space="preserve">  Averaged</w:t>
      </w:r>
      <w:proofErr w:type="gramEnd"/>
      <w:r>
        <w:t xml:space="preserve"> ground gamma dose rates within a 90 m buffer radius along the 1997 AGS line segments plotted versus counts per second in the uranium channel (</w:t>
      </w:r>
      <w:proofErr w:type="spellStart"/>
      <w:r>
        <w:t>eU</w:t>
      </w:r>
      <w:proofErr w:type="spellEnd"/>
      <w:r>
        <w:t>) of the respective AGS record</w:t>
      </w:r>
    </w:p>
    <w:p w:rsidR="00B36F09" w:rsidRDefault="00B36F09" w:rsidP="00B36F09">
      <w:pPr>
        <w:spacing w:after="0"/>
      </w:pPr>
    </w:p>
    <w:p w:rsidR="00B36F09" w:rsidRPr="007821DC" w:rsidRDefault="00B36F09" w:rsidP="00B36F09">
      <w:pPr>
        <w:jc w:val="center"/>
      </w:pPr>
      <w:r>
        <w:rPr>
          <w:noProof/>
          <w:lang w:eastAsia="en-AU"/>
        </w:rPr>
        <w:lastRenderedPageBreak/>
        <w:drawing>
          <wp:inline distT="0" distB="0" distL="0" distR="0">
            <wp:extent cx="4377259" cy="2536739"/>
            <wp:effectExtent l="1905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screen"/>
                    <a:srcRect t="11515" r="-2623"/>
                    <a:stretch>
                      <a:fillRect/>
                    </a:stretch>
                  </pic:blipFill>
                  <pic:spPr bwMode="auto">
                    <a:xfrm>
                      <a:off x="0" y="0"/>
                      <a:ext cx="4376673" cy="2536399"/>
                    </a:xfrm>
                    <a:prstGeom prst="rect">
                      <a:avLst/>
                    </a:prstGeom>
                    <a:noFill/>
                    <a:ln w="9525">
                      <a:noFill/>
                      <a:miter lim="800000"/>
                      <a:headEnd/>
                      <a:tailEnd/>
                    </a:ln>
                  </pic:spPr>
                </pic:pic>
              </a:graphicData>
            </a:graphic>
          </wp:inline>
        </w:drawing>
      </w:r>
    </w:p>
    <w:p w:rsidR="00B36F09" w:rsidRPr="003212BA" w:rsidRDefault="00B36F09" w:rsidP="00B36F09">
      <w:pPr>
        <w:pStyle w:val="figurecaption"/>
      </w:pPr>
      <w:r w:rsidRPr="004822CA">
        <w:rPr>
          <w:b/>
        </w:rPr>
        <w:t xml:space="preserve">Figure </w:t>
      </w:r>
      <w:proofErr w:type="gramStart"/>
      <w:r w:rsidRPr="004822CA">
        <w:rPr>
          <w:b/>
        </w:rPr>
        <w:t>3</w:t>
      </w:r>
      <w:r w:rsidRPr="003212BA">
        <w:t xml:space="preserve">  Average</w:t>
      </w:r>
      <w:proofErr w:type="gramEnd"/>
      <w:r w:rsidRPr="003212BA">
        <w:t xml:space="preserve"> counts per second in the uranium channel (</w:t>
      </w:r>
      <w:proofErr w:type="spellStart"/>
      <w:r w:rsidRPr="003212BA">
        <w:t>eU</w:t>
      </w:r>
      <w:proofErr w:type="spellEnd"/>
      <w:r w:rsidRPr="003212BA">
        <w:t xml:space="preserve">) of the 1997 AGS raster data plotted versus </w:t>
      </w:r>
      <w:proofErr w:type="spellStart"/>
      <w:r w:rsidRPr="003212BA">
        <w:t>eU</w:t>
      </w:r>
      <w:proofErr w:type="spellEnd"/>
      <w:r w:rsidRPr="003212BA">
        <w:t xml:space="preserve"> counts per second of the respective 1976 grid cell. Data </w:t>
      </w:r>
      <w:r>
        <w:t xml:space="preserve">were </w:t>
      </w:r>
      <w:r w:rsidRPr="003212BA">
        <w:t>extracted for the whole area of the 1997 AGS data subset, excluding the Ranger mine site.</w:t>
      </w:r>
    </w:p>
    <w:p w:rsidR="00B36F09" w:rsidRDefault="00B36F09" w:rsidP="00B36F09">
      <w:pPr>
        <w:pStyle w:val="Heading3"/>
      </w:pPr>
      <w:bookmarkStart w:id="62" w:name="_Toc313523546"/>
      <w:bookmarkStart w:id="63" w:name="_Toc316985389"/>
      <w:r>
        <w:t>Pre mining external gamma dose rates and radon flux densities</w:t>
      </w:r>
      <w:bookmarkEnd w:id="62"/>
      <w:bookmarkEnd w:id="63"/>
    </w:p>
    <w:p w:rsidR="00B36F09" w:rsidRDefault="00B36F09" w:rsidP="00B36F09">
      <w:pPr>
        <w:rPr>
          <w:lang w:val="en-US"/>
        </w:rPr>
      </w:pPr>
      <w:r>
        <w:rPr>
          <w:lang w:val="en-US"/>
        </w:rPr>
        <w:t xml:space="preserve">Basic statistics of the 1976 AGS </w:t>
      </w:r>
      <w:proofErr w:type="spellStart"/>
      <w:r>
        <w:rPr>
          <w:lang w:val="en-US"/>
        </w:rPr>
        <w:t>eU</w:t>
      </w:r>
      <w:proofErr w:type="spellEnd"/>
      <w:r>
        <w:rPr>
          <w:lang w:val="en-US"/>
        </w:rPr>
        <w:t xml:space="preserve"> data for various areas, or </w:t>
      </w:r>
      <w:proofErr w:type="spellStart"/>
      <w:r>
        <w:rPr>
          <w:lang w:val="en-US"/>
        </w:rPr>
        <w:t>shapefiles</w:t>
      </w:r>
      <w:proofErr w:type="spellEnd"/>
      <w:r>
        <w:rPr>
          <w:lang w:val="en-US"/>
        </w:rPr>
        <w:t xml:space="preserve">, were calculated in the GIS. The model then enables conversion of the averaged AGS data into average external gamma dose rates on the ground, using equations 1 and 2 below. </w:t>
      </w:r>
    </w:p>
    <w:p w:rsidR="00B36F09" w:rsidRDefault="00B36F09" w:rsidP="00B36F09">
      <w:pPr>
        <w:rPr>
          <w:lang w:val="en-US"/>
        </w:rPr>
      </w:pPr>
      <w:r>
        <w:rPr>
          <w:lang w:val="en-US"/>
        </w:rPr>
        <w:t xml:space="preserve">Conversion of 1997 </w:t>
      </w:r>
      <w:proofErr w:type="spellStart"/>
      <w:r>
        <w:rPr>
          <w:lang w:val="en-US"/>
        </w:rPr>
        <w:t>eU</w:t>
      </w:r>
      <w:proofErr w:type="spellEnd"/>
      <w:r>
        <w:rPr>
          <w:lang w:val="en-US"/>
        </w:rPr>
        <w:t xml:space="preserve"> data to gamma dose rate on ground:</w:t>
      </w:r>
    </w:p>
    <w:p w:rsidR="00B36F09" w:rsidRDefault="00DD66B9" w:rsidP="00B36F09">
      <w:pPr>
        <w:pStyle w:val="equation1"/>
        <w:tabs>
          <w:tab w:val="clear" w:pos="5280"/>
          <w:tab w:val="right" w:pos="6804"/>
        </w:tabs>
        <w:rPr>
          <w:lang w:val="en-US"/>
        </w:rPr>
      </w:pPr>
      <m:oMath>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γ</m:t>
            </m:r>
          </m:sub>
        </m:sSub>
        <m:r>
          <m:rPr>
            <m:sty m:val="p"/>
          </m:rPr>
          <w:rPr>
            <w:rFonts w:ascii="Cambria Math" w:hAnsi="Cambria Math"/>
            <w:lang w:val="en-US"/>
          </w:rPr>
          <m:t>=0.00126[</m:t>
        </m:r>
      </m:oMath>
      <w:r w:rsidR="00B36F09" w:rsidRPr="00510002">
        <w:rPr>
          <w:lang w:val="en-US"/>
        </w:rPr>
        <w:t>(s∙</w:t>
      </w:r>
      <w:r w:rsidR="00B36F09">
        <w:rPr>
          <w:lang w:val="en-US"/>
        </w:rPr>
        <w:t>µ</w:t>
      </w:r>
      <w:proofErr w:type="spellStart"/>
      <w:r w:rsidR="00B36F09" w:rsidRPr="00510002">
        <w:rPr>
          <w:lang w:val="en-US"/>
        </w:rPr>
        <w:t>Gy</w:t>
      </w:r>
      <w:proofErr w:type="spellEnd"/>
      <w:r w:rsidR="00B36F09" w:rsidRPr="00510002">
        <w:rPr>
          <w:lang w:val="en-US"/>
        </w:rPr>
        <w:t>)/h</w:t>
      </w:r>
      <m:oMath>
        <m:r>
          <m:rPr>
            <m:sty m:val="p"/>
          </m:rPr>
          <w:rPr>
            <w:rFonts w:ascii="Cambria Math" w:hAnsi="Cambria Math"/>
            <w:lang w:val="en-US"/>
          </w:rPr>
          <m:t>]∙</m:t>
        </m:r>
        <m:r>
          <w:rPr>
            <w:rFonts w:ascii="Cambria Math" w:hAnsi="Cambria Math"/>
            <w:lang w:val="en-US"/>
          </w:rPr>
          <m:t>eU</m:t>
        </m:r>
        <m:r>
          <m:rPr>
            <m:sty m:val="p"/>
          </m:rPr>
          <w:rPr>
            <w:rFonts w:ascii="Cambria Math" w:hAnsi="Cambria Math"/>
            <w:lang w:val="en-US"/>
          </w:rPr>
          <m:t>+0.043[</m:t>
        </m:r>
        <m:f>
          <m:fPr>
            <m:ctrlPr>
              <w:rPr>
                <w:rFonts w:ascii="Cambria Math" w:hAnsi="Cambria Math"/>
                <w:lang w:val="en-US"/>
              </w:rPr>
            </m:ctrlPr>
          </m:fPr>
          <m:num>
            <m:r>
              <m:rPr>
                <m:sty m:val="p"/>
              </m:rPr>
              <w:rPr>
                <w:rFonts w:ascii="Cambria Math" w:hAnsi="Cambria Math"/>
                <w:lang w:val="en-US"/>
              </w:rPr>
              <m:t>µ</m:t>
            </m:r>
            <m:r>
              <w:rPr>
                <w:rFonts w:ascii="Cambria Math" w:hAnsi="Cambria Math"/>
                <w:lang w:val="en-US"/>
              </w:rPr>
              <m:t>Gy</m:t>
            </m:r>
          </m:num>
          <m:den>
            <m:r>
              <w:rPr>
                <w:rFonts w:ascii="Cambria Math" w:hAnsi="Cambria Math"/>
                <w:lang w:val="en-US"/>
              </w:rPr>
              <m:t>h</m:t>
            </m:r>
          </m:den>
        </m:f>
        <m:r>
          <m:rPr>
            <m:sty m:val="p"/>
          </m:rPr>
          <w:rPr>
            <w:rFonts w:ascii="Cambria Math" w:hAnsi="Cambria Math"/>
            <w:lang w:val="en-US"/>
          </w:rPr>
          <m:t>]</m:t>
        </m:r>
      </m:oMath>
      <w:r w:rsidR="00B36F09">
        <w:rPr>
          <w:lang w:val="en-US"/>
        </w:rPr>
        <w:t xml:space="preserve"> </w:t>
      </w:r>
      <w:r w:rsidR="00B36F09">
        <w:rPr>
          <w:lang w:val="en-US"/>
        </w:rPr>
        <w:tab/>
        <w:t>Equation (1)</w:t>
      </w:r>
    </w:p>
    <w:p w:rsidR="00B36F09" w:rsidRDefault="00B36F09" w:rsidP="00B36F09">
      <w:pPr>
        <w:rPr>
          <w:lang w:val="en-US"/>
        </w:rPr>
      </w:pPr>
      <w:r>
        <w:rPr>
          <w:lang w:val="en-US"/>
        </w:rPr>
        <w:t xml:space="preserve">Conversion of 1976 </w:t>
      </w:r>
      <w:proofErr w:type="spellStart"/>
      <w:r>
        <w:rPr>
          <w:lang w:val="en-US"/>
        </w:rPr>
        <w:t>eU</w:t>
      </w:r>
      <w:proofErr w:type="spellEnd"/>
      <w:r>
        <w:rPr>
          <w:lang w:val="en-US"/>
        </w:rPr>
        <w:t xml:space="preserve"> data to 1997 </w:t>
      </w:r>
      <w:proofErr w:type="spellStart"/>
      <w:r>
        <w:rPr>
          <w:lang w:val="en-US"/>
        </w:rPr>
        <w:t>eU</w:t>
      </w:r>
      <w:proofErr w:type="spellEnd"/>
      <w:r>
        <w:rPr>
          <w:lang w:val="en-US"/>
        </w:rPr>
        <w:t xml:space="preserve"> data:</w:t>
      </w:r>
    </w:p>
    <w:p w:rsidR="00B36F09" w:rsidRDefault="00DD66B9" w:rsidP="00B36F09">
      <w:pPr>
        <w:pStyle w:val="equation1"/>
        <w:tabs>
          <w:tab w:val="clear" w:pos="5280"/>
          <w:tab w:val="right" w:pos="6804"/>
        </w:tabs>
        <w:rPr>
          <w:lang w:val="en-US"/>
        </w:rPr>
      </w:pPr>
      <m:oMath>
        <m:sSub>
          <m:sSubPr>
            <m:ctrlPr>
              <w:rPr>
                <w:rFonts w:ascii="Cambria Math" w:hAnsi="Cambria Math"/>
                <w:i/>
                <w:lang w:val="en-US"/>
              </w:rPr>
            </m:ctrlPr>
          </m:sSubPr>
          <m:e>
            <m:r>
              <w:rPr>
                <w:rFonts w:ascii="Cambria Math" w:hAnsi="Cambria Math"/>
                <w:lang w:val="en-US"/>
              </w:rPr>
              <m:t>eU</m:t>
            </m:r>
          </m:e>
          <m:sub>
            <m:r>
              <w:rPr>
                <w:rFonts w:ascii="Cambria Math" w:hAnsi="Cambria Math"/>
                <w:lang w:val="en-US"/>
              </w:rPr>
              <m:t>1997</m:t>
            </m:r>
          </m:sub>
        </m:sSub>
        <m:r>
          <w:rPr>
            <w:rFonts w:ascii="Cambria Math" w:hAnsi="Cambria Math"/>
            <w:lang w:val="en-US"/>
          </w:rPr>
          <m:t>=0.58∙</m:t>
        </m:r>
        <m:sSub>
          <m:sSubPr>
            <m:ctrlPr>
              <w:rPr>
                <w:rFonts w:ascii="Cambria Math" w:hAnsi="Cambria Math"/>
                <w:i/>
                <w:lang w:val="en-US"/>
              </w:rPr>
            </m:ctrlPr>
          </m:sSubPr>
          <m:e>
            <m:r>
              <w:rPr>
                <w:rFonts w:ascii="Cambria Math" w:hAnsi="Cambria Math"/>
                <w:lang w:val="en-US"/>
              </w:rPr>
              <m:t>eU</m:t>
            </m:r>
          </m:e>
          <m:sub>
            <m:r>
              <w:rPr>
                <w:rFonts w:ascii="Cambria Math" w:hAnsi="Cambria Math"/>
                <w:lang w:val="en-US"/>
              </w:rPr>
              <m:t>1976</m:t>
            </m:r>
          </m:sub>
        </m:sSub>
        <m:r>
          <w:rPr>
            <w:rFonts w:ascii="Cambria Math" w:hAnsi="Cambria Math"/>
            <w:lang w:val="en-US"/>
          </w:rPr>
          <m:t>+14[</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s</m:t>
            </m:r>
          </m:den>
        </m:f>
        <m:r>
          <w:rPr>
            <w:rFonts w:ascii="Cambria Math" w:hAnsi="Cambria Math"/>
            <w:lang w:val="en-US"/>
          </w:rPr>
          <m:t>]</m:t>
        </m:r>
      </m:oMath>
      <w:r w:rsidR="00B36F09">
        <w:rPr>
          <w:lang w:val="en-US"/>
        </w:rPr>
        <w:t xml:space="preserve"> </w:t>
      </w:r>
      <w:r w:rsidR="00B36F09">
        <w:rPr>
          <w:lang w:val="en-US"/>
        </w:rPr>
        <w:tab/>
        <w:t>Equation (2)</w:t>
      </w:r>
    </w:p>
    <w:p w:rsidR="00B36F09" w:rsidRDefault="00B36F09" w:rsidP="00B36F09">
      <w:pPr>
        <w:rPr>
          <w:lang w:val="en-US"/>
        </w:rPr>
      </w:pPr>
      <w:r>
        <w:rPr>
          <w:lang w:val="en-US"/>
        </w:rPr>
        <w:t>With:</w:t>
      </w:r>
    </w:p>
    <w:p w:rsidR="00B36F09" w:rsidRDefault="00B36F09" w:rsidP="00B36F09">
      <w:pPr>
        <w:rPr>
          <w:lang w:val="en-US"/>
        </w:rPr>
      </w:pPr>
      <w:r>
        <w:rPr>
          <w:lang w:val="en-US"/>
        </w:rPr>
        <w:t>E:</w:t>
      </w:r>
      <w:r>
        <w:rPr>
          <w:lang w:val="en-US"/>
        </w:rPr>
        <w:tab/>
      </w:r>
      <w:r>
        <w:rPr>
          <w:lang w:val="en-US"/>
        </w:rPr>
        <w:tab/>
        <w:t>gamma dose rate on ground [µGy·hr</w:t>
      </w:r>
      <w:r w:rsidRPr="00510002">
        <w:rPr>
          <w:vertAlign w:val="superscript"/>
          <w:lang w:val="en-US"/>
        </w:rPr>
        <w:t>-1</w:t>
      </w:r>
      <w:r>
        <w:rPr>
          <w:lang w:val="en-US"/>
        </w:rPr>
        <w:t>]</w:t>
      </w:r>
    </w:p>
    <w:p w:rsidR="00B36F09" w:rsidRDefault="00B36F09" w:rsidP="00B36F09">
      <w:pPr>
        <w:rPr>
          <w:lang w:val="en-US"/>
        </w:rPr>
      </w:pPr>
      <w:r>
        <w:rPr>
          <w:lang w:val="en-US"/>
        </w:rPr>
        <w:t>eU</w:t>
      </w:r>
      <w:r w:rsidRPr="0034778C">
        <w:rPr>
          <w:vertAlign w:val="subscript"/>
          <w:lang w:val="en-US"/>
        </w:rPr>
        <w:t>1997</w:t>
      </w:r>
      <w:r>
        <w:rPr>
          <w:lang w:val="en-US"/>
        </w:rPr>
        <w:t>:</w:t>
      </w:r>
      <w:r>
        <w:rPr>
          <w:lang w:val="en-US"/>
        </w:rPr>
        <w:tab/>
      </w:r>
      <w:proofErr w:type="spellStart"/>
      <w:r>
        <w:rPr>
          <w:lang w:val="en-US"/>
        </w:rPr>
        <w:t>countrate</w:t>
      </w:r>
      <w:proofErr w:type="spellEnd"/>
      <w:r>
        <w:rPr>
          <w:lang w:val="en-US"/>
        </w:rPr>
        <w:t xml:space="preserve"> in the equivalent uranium channel of the 1997 AGS [s</w:t>
      </w:r>
      <w:r w:rsidRPr="0034778C">
        <w:rPr>
          <w:vertAlign w:val="superscript"/>
          <w:lang w:val="en-US"/>
        </w:rPr>
        <w:t>-1</w:t>
      </w:r>
      <w:r>
        <w:rPr>
          <w:lang w:val="en-US"/>
        </w:rPr>
        <w:t>]</w:t>
      </w:r>
    </w:p>
    <w:p w:rsidR="00B36F09" w:rsidRDefault="00B36F09" w:rsidP="00B36F09">
      <w:pPr>
        <w:rPr>
          <w:lang w:val="en-US"/>
        </w:rPr>
      </w:pPr>
      <w:r>
        <w:rPr>
          <w:lang w:val="en-US"/>
        </w:rPr>
        <w:t>eU</w:t>
      </w:r>
      <w:r w:rsidRPr="0034778C">
        <w:rPr>
          <w:vertAlign w:val="subscript"/>
          <w:lang w:val="en-US"/>
        </w:rPr>
        <w:t>19</w:t>
      </w:r>
      <w:r>
        <w:rPr>
          <w:vertAlign w:val="subscript"/>
          <w:lang w:val="en-US"/>
        </w:rPr>
        <w:t>76</w:t>
      </w:r>
      <w:r>
        <w:rPr>
          <w:lang w:val="en-US"/>
        </w:rPr>
        <w:t>:</w:t>
      </w:r>
      <w:r>
        <w:rPr>
          <w:lang w:val="en-US"/>
        </w:rPr>
        <w:tab/>
      </w:r>
      <w:proofErr w:type="spellStart"/>
      <w:r>
        <w:rPr>
          <w:lang w:val="en-US"/>
        </w:rPr>
        <w:t>countrate</w:t>
      </w:r>
      <w:proofErr w:type="spellEnd"/>
      <w:r>
        <w:rPr>
          <w:lang w:val="en-US"/>
        </w:rPr>
        <w:t xml:space="preserve"> in the equivalent uranium channel of the 1976 AGS [s</w:t>
      </w:r>
      <w:r w:rsidRPr="0034778C">
        <w:rPr>
          <w:vertAlign w:val="superscript"/>
          <w:lang w:val="en-US"/>
        </w:rPr>
        <w:t>-1</w:t>
      </w:r>
      <w:r>
        <w:rPr>
          <w:lang w:val="en-US"/>
        </w:rPr>
        <w:t>].</w:t>
      </w:r>
    </w:p>
    <w:p w:rsidR="00B36F09" w:rsidRDefault="00B36F09" w:rsidP="00B36F09">
      <w:pPr>
        <w:rPr>
          <w:lang w:val="en-US"/>
        </w:rPr>
      </w:pPr>
      <w:r>
        <w:rPr>
          <w:lang w:val="en-US"/>
        </w:rPr>
        <w:t xml:space="preserve">The model also allows estimation of preliminary average pre-mining radon flux densities for selected areas of the </w:t>
      </w:r>
      <w:proofErr w:type="spellStart"/>
      <w:r>
        <w:rPr>
          <w:lang w:val="en-US"/>
        </w:rPr>
        <w:t>minesite</w:t>
      </w:r>
      <w:proofErr w:type="spellEnd"/>
      <w:r>
        <w:rPr>
          <w:lang w:val="en-US"/>
        </w:rPr>
        <w:t xml:space="preserve">. As </w:t>
      </w:r>
      <w:r w:rsidRPr="002217E3">
        <w:rPr>
          <w:vertAlign w:val="superscript"/>
          <w:lang w:val="en-US"/>
        </w:rPr>
        <w:t>226</w:t>
      </w:r>
      <w:r>
        <w:rPr>
          <w:lang w:val="en-US"/>
        </w:rPr>
        <w:t xml:space="preserve">Ra soil activity concentrations were measured, both </w:t>
      </w:r>
      <w:r w:rsidRPr="00B24D88">
        <w:rPr>
          <w:lang w:val="en-US"/>
        </w:rPr>
        <w:t>in situ</w:t>
      </w:r>
      <w:r>
        <w:rPr>
          <w:lang w:val="en-US"/>
        </w:rPr>
        <w:t xml:space="preserve"> (using a portable </w:t>
      </w:r>
      <w:proofErr w:type="spellStart"/>
      <w:r>
        <w:rPr>
          <w:lang w:val="en-US"/>
        </w:rPr>
        <w:t>NaI</w:t>
      </w:r>
      <w:proofErr w:type="spellEnd"/>
      <w:r>
        <w:rPr>
          <w:lang w:val="en-US"/>
        </w:rPr>
        <w:t xml:space="preserve"> detector) and in the lab (using the </w:t>
      </w:r>
      <w:proofErr w:type="spellStart"/>
      <w:r>
        <w:rPr>
          <w:lang w:val="en-US"/>
        </w:rPr>
        <w:t>eriss</w:t>
      </w:r>
      <w:proofErr w:type="spellEnd"/>
      <w:r>
        <w:rPr>
          <w:lang w:val="en-US"/>
        </w:rPr>
        <w:t xml:space="preserve"> </w:t>
      </w:r>
      <w:proofErr w:type="spellStart"/>
      <w:r>
        <w:rPr>
          <w:lang w:val="en-US"/>
        </w:rPr>
        <w:t>HPGe</w:t>
      </w:r>
      <w:proofErr w:type="spellEnd"/>
      <w:r>
        <w:rPr>
          <w:lang w:val="en-US"/>
        </w:rPr>
        <w:t xml:space="preserve"> detectors) at 173 sites across Anomaly 2, a correlation was established between the terrestrial gamma dose rate and the </w:t>
      </w:r>
      <w:r w:rsidRPr="002217E3">
        <w:rPr>
          <w:vertAlign w:val="superscript"/>
          <w:lang w:val="en-US"/>
        </w:rPr>
        <w:t>226</w:t>
      </w:r>
      <w:r>
        <w:rPr>
          <w:lang w:val="en-US"/>
        </w:rPr>
        <w:t xml:space="preserve">Ra soil activity concentration. In addition, a correlation was established between radon flux densities and </w:t>
      </w:r>
      <w:r w:rsidRPr="002217E3">
        <w:rPr>
          <w:vertAlign w:val="superscript"/>
          <w:lang w:val="en-US"/>
        </w:rPr>
        <w:t>226</w:t>
      </w:r>
      <w:r>
        <w:rPr>
          <w:lang w:val="en-US"/>
        </w:rPr>
        <w:t>Ra soil activity concentrations, and has been reported previously (</w:t>
      </w:r>
      <w:proofErr w:type="spellStart"/>
      <w:r>
        <w:rPr>
          <w:lang w:val="en-US"/>
        </w:rPr>
        <w:t>Bollhöfer</w:t>
      </w:r>
      <w:proofErr w:type="spellEnd"/>
      <w:r>
        <w:rPr>
          <w:lang w:val="en-US"/>
        </w:rPr>
        <w:t xml:space="preserve"> et al 2010). Figure 4 shows the </w:t>
      </w:r>
      <w:r w:rsidRPr="002217E3">
        <w:rPr>
          <w:vertAlign w:val="superscript"/>
          <w:lang w:val="en-US"/>
        </w:rPr>
        <w:t>226</w:t>
      </w:r>
      <w:r>
        <w:rPr>
          <w:lang w:val="en-US"/>
        </w:rPr>
        <w:t xml:space="preserve">Ra soil activity concentration plotted versus the terrestrial gamma dose </w:t>
      </w:r>
      <w:proofErr w:type="gramStart"/>
      <w:r>
        <w:rPr>
          <w:lang w:val="en-US"/>
        </w:rPr>
        <w:t>rate,</w:t>
      </w:r>
      <w:proofErr w:type="gramEnd"/>
      <w:r>
        <w:rPr>
          <w:lang w:val="en-US"/>
        </w:rPr>
        <w:t xml:space="preserve"> and the measured radon flux densities plotted versus </w:t>
      </w:r>
      <w:r w:rsidRPr="002217E3">
        <w:rPr>
          <w:vertAlign w:val="superscript"/>
          <w:lang w:val="en-US"/>
        </w:rPr>
        <w:t>226</w:t>
      </w:r>
      <w:r>
        <w:rPr>
          <w:lang w:val="en-US"/>
        </w:rPr>
        <w:t>Ra soil activity concentration.</w:t>
      </w:r>
    </w:p>
    <w:p w:rsidR="00B36F09" w:rsidRPr="00B24D88" w:rsidRDefault="00B36F09" w:rsidP="00B36F09">
      <w:pPr>
        <w:rPr>
          <w:spacing w:val="-2"/>
          <w:lang w:val="en-US"/>
        </w:rPr>
      </w:pPr>
      <w:r w:rsidRPr="00B24D88">
        <w:rPr>
          <w:spacing w:val="-2"/>
          <w:lang w:val="en-US"/>
        </w:rPr>
        <w:t xml:space="preserve">Using these correlations, average gamma dose rates and radon flux densities for various areas on the greater Ranger region can be calculated. The minimum footprint area that can be assessed is set by the optimum buffer radius determined when up-scaling the external gamma dose rates measured on the ground to the AGS data. For the current case this is approximately 4 ha. </w:t>
      </w:r>
    </w:p>
    <w:tbl>
      <w:tblPr>
        <w:tblStyle w:val="TableGrid"/>
        <w:tblW w:w="85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B36F09" w:rsidTr="008F70D3">
        <w:tc>
          <w:tcPr>
            <w:tcW w:w="4261" w:type="dxa"/>
          </w:tcPr>
          <w:p w:rsidR="00B36F09" w:rsidRDefault="00B36F09" w:rsidP="008F70D3">
            <w:pPr>
              <w:ind w:right="-66"/>
              <w:rPr>
                <w:lang w:val="en-US"/>
              </w:rPr>
            </w:pPr>
            <w:r>
              <w:rPr>
                <w:noProof/>
                <w:lang w:eastAsia="en-AU"/>
              </w:rPr>
              <w:lastRenderedPageBreak/>
              <w:drawing>
                <wp:inline distT="0" distB="0" distL="0" distR="0">
                  <wp:extent cx="2489200" cy="1828800"/>
                  <wp:effectExtent l="19050" t="0" r="635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screen"/>
                          <a:srcRect/>
                          <a:stretch>
                            <a:fillRect/>
                          </a:stretch>
                        </pic:blipFill>
                        <pic:spPr bwMode="auto">
                          <a:xfrm>
                            <a:off x="0" y="0"/>
                            <a:ext cx="2489200" cy="1828800"/>
                          </a:xfrm>
                          <a:prstGeom prst="rect">
                            <a:avLst/>
                          </a:prstGeom>
                          <a:noFill/>
                          <a:ln w="9525">
                            <a:noFill/>
                            <a:miter lim="800000"/>
                            <a:headEnd/>
                            <a:tailEnd/>
                          </a:ln>
                        </pic:spPr>
                      </pic:pic>
                    </a:graphicData>
                  </a:graphic>
                </wp:inline>
              </w:drawing>
            </w:r>
          </w:p>
        </w:tc>
        <w:tc>
          <w:tcPr>
            <w:tcW w:w="4261" w:type="dxa"/>
          </w:tcPr>
          <w:p w:rsidR="00B36F09" w:rsidRDefault="00B36F09" w:rsidP="008F70D3">
            <w:pPr>
              <w:ind w:left="-150"/>
              <w:rPr>
                <w:lang w:val="en-US"/>
              </w:rPr>
            </w:pPr>
            <w:r>
              <w:rPr>
                <w:noProof/>
                <w:lang w:eastAsia="en-AU"/>
              </w:rPr>
              <w:drawing>
                <wp:inline distT="0" distB="0" distL="0" distR="0">
                  <wp:extent cx="2533650" cy="1790700"/>
                  <wp:effectExtent l="19050" t="0" r="0" b="0"/>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screen"/>
                          <a:srcRect/>
                          <a:stretch>
                            <a:fillRect/>
                          </a:stretch>
                        </pic:blipFill>
                        <pic:spPr bwMode="auto">
                          <a:xfrm>
                            <a:off x="0" y="0"/>
                            <a:ext cx="2533650" cy="1790700"/>
                          </a:xfrm>
                          <a:prstGeom prst="rect">
                            <a:avLst/>
                          </a:prstGeom>
                          <a:noFill/>
                          <a:ln w="9525">
                            <a:noFill/>
                            <a:miter lim="800000"/>
                            <a:headEnd/>
                            <a:tailEnd/>
                          </a:ln>
                        </pic:spPr>
                      </pic:pic>
                    </a:graphicData>
                  </a:graphic>
                </wp:inline>
              </w:drawing>
            </w:r>
          </w:p>
        </w:tc>
      </w:tr>
    </w:tbl>
    <w:p w:rsidR="00B36F09" w:rsidRPr="003212BA" w:rsidRDefault="00B36F09" w:rsidP="00B36F09">
      <w:pPr>
        <w:pStyle w:val="figurecaption"/>
      </w:pPr>
      <w:r w:rsidRPr="004822CA">
        <w:rPr>
          <w:b/>
        </w:rPr>
        <w:t xml:space="preserve">Figure </w:t>
      </w:r>
      <w:proofErr w:type="gramStart"/>
      <w:r w:rsidRPr="004822CA">
        <w:rPr>
          <w:b/>
        </w:rPr>
        <w:t>4</w:t>
      </w:r>
      <w:r w:rsidRPr="003212BA">
        <w:t xml:space="preserve">  </w:t>
      </w:r>
      <w:r>
        <w:t>Preliminary</w:t>
      </w:r>
      <w:proofErr w:type="gramEnd"/>
      <w:r>
        <w:t xml:space="preserve"> correlations established between (A) </w:t>
      </w:r>
      <w:r w:rsidRPr="00122245">
        <w:rPr>
          <w:vertAlign w:val="superscript"/>
        </w:rPr>
        <w:t>226</w:t>
      </w:r>
      <w:r>
        <w:t>Ra soil activity concentration and  terrestrial gamma dose rate (</w:t>
      </w:r>
      <w:proofErr w:type="spellStart"/>
      <w:r>
        <w:t>E</w:t>
      </w:r>
      <w:r w:rsidRPr="00343DA2">
        <w:rPr>
          <w:vertAlign w:val="subscript"/>
        </w:rPr>
        <w:t>terr</w:t>
      </w:r>
      <w:proofErr w:type="spellEnd"/>
      <w:r>
        <w:t xml:space="preserve">) and (B) radon flux density and </w:t>
      </w:r>
      <w:r w:rsidRPr="00122245">
        <w:rPr>
          <w:vertAlign w:val="superscript"/>
        </w:rPr>
        <w:t>226</w:t>
      </w:r>
      <w:r>
        <w:t xml:space="preserve">Ra soil activity concentration. For more explanation see </w:t>
      </w:r>
      <w:proofErr w:type="spellStart"/>
      <w:r>
        <w:rPr>
          <w:lang w:val="en-US"/>
        </w:rPr>
        <w:t>Bollhöfer</w:t>
      </w:r>
      <w:proofErr w:type="spellEnd"/>
      <w:r>
        <w:rPr>
          <w:lang w:val="en-US"/>
        </w:rPr>
        <w:t xml:space="preserve"> et al (2010).</w:t>
      </w:r>
    </w:p>
    <w:p w:rsidR="00B36F09" w:rsidRDefault="00B36F09" w:rsidP="00B36F09">
      <w:pPr>
        <w:rPr>
          <w:lang w:val="en-US"/>
        </w:rPr>
      </w:pPr>
      <w:r>
        <w:rPr>
          <w:lang w:val="en-US"/>
        </w:rPr>
        <w:t xml:space="preserve">Figure 5 shows a 1964 aerial photo that incorporates the </w:t>
      </w:r>
      <w:r>
        <w:t>greater Ranger mine area</w:t>
      </w:r>
      <w:r>
        <w:rPr>
          <w:lang w:val="en-US"/>
        </w:rPr>
        <w:t xml:space="preserve">. The footprints of some of the currently existing mine site features have been overlaid for reference. The right hand side of the figure displays the 1976 </w:t>
      </w:r>
      <w:proofErr w:type="spellStart"/>
      <w:r>
        <w:rPr>
          <w:lang w:val="en-US"/>
        </w:rPr>
        <w:t>eU</w:t>
      </w:r>
      <w:proofErr w:type="spellEnd"/>
      <w:r>
        <w:rPr>
          <w:lang w:val="en-US"/>
        </w:rPr>
        <w:t xml:space="preserve"> data over the same area, with bright </w:t>
      </w:r>
      <w:proofErr w:type="spellStart"/>
      <w:r>
        <w:rPr>
          <w:lang w:val="en-US"/>
        </w:rPr>
        <w:t>colours</w:t>
      </w:r>
      <w:proofErr w:type="spellEnd"/>
      <w:r>
        <w:rPr>
          <w:lang w:val="en-US"/>
        </w:rPr>
        <w:t xml:space="preserve"> indicating areas of elevated radiation levels, and darker </w:t>
      </w:r>
      <w:proofErr w:type="spellStart"/>
      <w:r>
        <w:rPr>
          <w:lang w:val="en-US"/>
        </w:rPr>
        <w:t>colours</w:t>
      </w:r>
      <w:proofErr w:type="spellEnd"/>
      <w:r>
        <w:rPr>
          <w:lang w:val="en-US"/>
        </w:rPr>
        <w:t xml:space="preserve"> indicating environmental background values. </w:t>
      </w:r>
    </w:p>
    <w:p w:rsidR="00B36F09" w:rsidRDefault="00B36F09" w:rsidP="00B36F09">
      <w:pPr>
        <w:spacing w:after="0"/>
        <w:rPr>
          <w:lang w:val="en-US"/>
        </w:rPr>
      </w:pPr>
    </w:p>
    <w:p w:rsidR="00B36F09" w:rsidRPr="004C7F50" w:rsidRDefault="00DD66B9" w:rsidP="00B36F09">
      <w:pPr>
        <w:pStyle w:val="tablenote"/>
        <w:jc w:val="center"/>
      </w:pPr>
      <w:r w:rsidRPr="00DD66B9">
        <w:rPr>
          <w:noProof/>
          <w:lang w:val="en-US" w:eastAsia="zh-TW"/>
        </w:rPr>
        <w:pict>
          <v:shape id="_x0000_s1046" type="#_x0000_t202" style="position:absolute;left:0;text-align:left;margin-left:365.2pt;margin-top:129.35pt;width:24.2pt;height:22.3pt;z-index:251680768;mso-width-relative:margin;mso-height-relative:margin" filled="f" stroked="f">
            <v:textbox style="mso-next-textbox:#_x0000_s1046">
              <w:txbxContent>
                <w:p w:rsidR="00B36F09" w:rsidRPr="00DF4348" w:rsidRDefault="00B36F09" w:rsidP="00B36F09">
                  <w:pPr>
                    <w:rPr>
                      <w:rFonts w:ascii="Arial" w:hAnsi="Arial" w:cs="Arial"/>
                      <w:b/>
                    </w:rPr>
                  </w:pPr>
                  <w:r w:rsidRPr="00DF4348">
                    <w:rPr>
                      <w:rFonts w:ascii="Arial" w:hAnsi="Arial" w:cs="Arial"/>
                      <w:b/>
                    </w:rPr>
                    <w:t>B</w:t>
                  </w:r>
                </w:p>
              </w:txbxContent>
            </v:textbox>
          </v:shape>
        </w:pict>
      </w:r>
      <w:r w:rsidRPr="00DD66B9">
        <w:rPr>
          <w:noProof/>
          <w:lang w:val="en-US" w:eastAsia="zh-TW"/>
        </w:rPr>
        <w:pict>
          <v:shape id="_x0000_s1045" type="#_x0000_t202" style="position:absolute;left:0;text-align:left;margin-left:176.3pt;margin-top:129.3pt;width:22.85pt;height:22.35pt;z-index:251679744;mso-width-relative:margin;mso-height-relative:margin" filled="f" stroked="f">
            <v:textbox style="mso-next-textbox:#_x0000_s1045">
              <w:txbxContent>
                <w:p w:rsidR="00B36F09" w:rsidRPr="00DF4348" w:rsidRDefault="00B36F09" w:rsidP="00B36F09">
                  <w:pPr>
                    <w:rPr>
                      <w:rFonts w:ascii="Arial" w:hAnsi="Arial" w:cs="Arial"/>
                      <w:b/>
                    </w:rPr>
                  </w:pPr>
                  <w:r>
                    <w:rPr>
                      <w:rFonts w:ascii="Arial" w:hAnsi="Arial" w:cs="Arial"/>
                      <w:b/>
                    </w:rPr>
                    <w:t>A</w:t>
                  </w:r>
                </w:p>
              </w:txbxContent>
            </v:textbox>
          </v:shape>
        </w:pict>
      </w:r>
      <w:r w:rsidR="00B36F09">
        <w:rPr>
          <w:noProof/>
          <w:lang w:eastAsia="en-AU"/>
        </w:rPr>
        <w:drawing>
          <wp:inline distT="0" distB="0" distL="0" distR="0">
            <wp:extent cx="4734560" cy="1960245"/>
            <wp:effectExtent l="19050" t="0" r="889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screen">
                      <a:lum bright="6000"/>
                    </a:blip>
                    <a:srcRect/>
                    <a:stretch>
                      <a:fillRect/>
                    </a:stretch>
                  </pic:blipFill>
                  <pic:spPr bwMode="auto">
                    <a:xfrm>
                      <a:off x="0" y="0"/>
                      <a:ext cx="4734560" cy="1960245"/>
                    </a:xfrm>
                    <a:prstGeom prst="rect">
                      <a:avLst/>
                    </a:prstGeom>
                    <a:noFill/>
                    <a:ln w="9525">
                      <a:noFill/>
                      <a:miter lim="800000"/>
                      <a:headEnd/>
                      <a:tailEnd/>
                    </a:ln>
                  </pic:spPr>
                </pic:pic>
              </a:graphicData>
            </a:graphic>
          </wp:inline>
        </w:drawing>
      </w:r>
    </w:p>
    <w:p w:rsidR="00B36F09" w:rsidRPr="00D04CF5" w:rsidRDefault="00B36F09" w:rsidP="00B36F09">
      <w:pPr>
        <w:pStyle w:val="figurecaption"/>
        <w:rPr>
          <w:spacing w:val="-2"/>
        </w:rPr>
      </w:pPr>
      <w:r w:rsidRPr="00D04CF5">
        <w:rPr>
          <w:b/>
          <w:spacing w:val="-2"/>
        </w:rPr>
        <w:t xml:space="preserve">Figure </w:t>
      </w:r>
      <w:proofErr w:type="gramStart"/>
      <w:r w:rsidRPr="00D04CF5">
        <w:rPr>
          <w:b/>
          <w:spacing w:val="-2"/>
        </w:rPr>
        <w:t>5</w:t>
      </w:r>
      <w:r w:rsidRPr="00D04CF5">
        <w:rPr>
          <w:spacing w:val="-2"/>
        </w:rPr>
        <w:t xml:space="preserve">  Footprints</w:t>
      </w:r>
      <w:proofErr w:type="gramEnd"/>
      <w:r w:rsidRPr="00D04CF5">
        <w:rPr>
          <w:spacing w:val="-2"/>
        </w:rPr>
        <w:t xml:space="preserve"> of major infrastructure features on site (A) overlaid on an aerial photo of the greater Ranger mine area from 1964 and (B) overlaid on the 1976 AGS </w:t>
      </w:r>
      <w:proofErr w:type="spellStart"/>
      <w:r w:rsidRPr="00D04CF5">
        <w:rPr>
          <w:spacing w:val="-2"/>
        </w:rPr>
        <w:t>eU</w:t>
      </w:r>
      <w:proofErr w:type="spellEnd"/>
      <w:r w:rsidRPr="00D04CF5">
        <w:rPr>
          <w:spacing w:val="-2"/>
        </w:rPr>
        <w:t xml:space="preserve"> data. </w:t>
      </w:r>
      <w:r>
        <w:rPr>
          <w:spacing w:val="-2"/>
        </w:rPr>
        <w:br/>
      </w:r>
      <w:r w:rsidRPr="00D04CF5">
        <w:rPr>
          <w:spacing w:val="-2"/>
        </w:rPr>
        <w:t>RP1: Retention Pond 1; TD: Tailings Dam.</w:t>
      </w:r>
    </w:p>
    <w:p w:rsidR="00B36F09" w:rsidRDefault="00B36F09" w:rsidP="00B36F09">
      <w:pPr>
        <w:rPr>
          <w:lang w:val="en-US"/>
        </w:rPr>
      </w:pPr>
      <w:r>
        <w:rPr>
          <w:lang w:val="en-US"/>
        </w:rPr>
        <w:t xml:space="preserve">The average counts for each of the outlined areas, or </w:t>
      </w:r>
      <w:proofErr w:type="spellStart"/>
      <w:r>
        <w:rPr>
          <w:lang w:val="en-US"/>
        </w:rPr>
        <w:t>shapefiles</w:t>
      </w:r>
      <w:proofErr w:type="spellEnd"/>
      <w:r>
        <w:rPr>
          <w:lang w:val="en-US"/>
        </w:rPr>
        <w:t>, have been determined using our GIS and converted to average external gamma dose rates and radon flux densities using correlations described above. Table 1 shows the estimated pre-mining external gamma dose rates and radon flux densities for each of these marked areas.</w:t>
      </w:r>
    </w:p>
    <w:p w:rsidR="00B36F09" w:rsidRDefault="00B36F09" w:rsidP="00B36F09">
      <w:pPr>
        <w:pStyle w:val="tablecaption"/>
      </w:pPr>
      <w:r w:rsidRPr="004822CA">
        <w:rPr>
          <w:b/>
        </w:rPr>
        <w:t xml:space="preserve">Table </w:t>
      </w:r>
      <w:proofErr w:type="gramStart"/>
      <w:r w:rsidRPr="004822CA">
        <w:rPr>
          <w:b/>
        </w:rPr>
        <w:t>1</w:t>
      </w:r>
      <w:r>
        <w:t xml:space="preserve">  Estimated</w:t>
      </w:r>
      <w:proofErr w:type="gramEnd"/>
      <w:r>
        <w:t xml:space="preserve"> pre-mining external gamma dose rates and radon flux densities for areas </w:t>
      </w:r>
      <w:r>
        <w:br/>
        <w:t>marked on Figure 5</w:t>
      </w:r>
    </w:p>
    <w:tbl>
      <w:tblPr>
        <w:tblW w:w="7338" w:type="dxa"/>
        <w:tblLook w:val="0000"/>
      </w:tblPr>
      <w:tblGrid>
        <w:gridCol w:w="2057"/>
        <w:gridCol w:w="1701"/>
        <w:gridCol w:w="1559"/>
        <w:gridCol w:w="2021"/>
      </w:tblGrid>
      <w:tr w:rsidR="00B36F09" w:rsidTr="008F70D3">
        <w:trPr>
          <w:trHeight w:val="264"/>
        </w:trPr>
        <w:tc>
          <w:tcPr>
            <w:tcW w:w="2057" w:type="dxa"/>
            <w:tcBorders>
              <w:top w:val="single" w:sz="4" w:space="0" w:color="auto"/>
              <w:left w:val="nil"/>
              <w:bottom w:val="single" w:sz="4" w:space="0" w:color="auto"/>
              <w:right w:val="nil"/>
            </w:tcBorders>
            <w:shd w:val="clear" w:color="auto" w:fill="auto"/>
            <w:noWrap/>
            <w:vAlign w:val="center"/>
          </w:tcPr>
          <w:p w:rsidR="00B36F09" w:rsidRDefault="00B36F09" w:rsidP="008F70D3">
            <w:pPr>
              <w:pStyle w:val="table1"/>
              <w:rPr>
                <w:b/>
                <w:lang w:eastAsia="en-AU"/>
              </w:rPr>
            </w:pPr>
            <w:r>
              <w:rPr>
                <w:b/>
                <w:lang w:eastAsia="en-AU"/>
              </w:rPr>
              <w:t>Infrastructure</w:t>
            </w:r>
          </w:p>
        </w:tc>
        <w:tc>
          <w:tcPr>
            <w:tcW w:w="1701" w:type="dxa"/>
            <w:tcBorders>
              <w:top w:val="single" w:sz="4" w:space="0" w:color="auto"/>
              <w:left w:val="nil"/>
              <w:bottom w:val="single" w:sz="4" w:space="0" w:color="auto"/>
              <w:right w:val="nil"/>
            </w:tcBorders>
            <w:shd w:val="clear" w:color="auto" w:fill="auto"/>
            <w:noWrap/>
            <w:vAlign w:val="bottom"/>
          </w:tcPr>
          <w:p w:rsidR="00B36F09" w:rsidRDefault="00B36F09" w:rsidP="008F70D3">
            <w:pPr>
              <w:pStyle w:val="table1"/>
              <w:rPr>
                <w:b/>
                <w:lang w:eastAsia="en-AU"/>
              </w:rPr>
            </w:pPr>
            <w:r>
              <w:rPr>
                <w:b/>
                <w:lang w:eastAsia="en-AU"/>
              </w:rPr>
              <w:t>Area</w:t>
            </w:r>
            <w:r>
              <w:rPr>
                <w:b/>
                <w:lang w:eastAsia="en-AU"/>
              </w:rPr>
              <w:br/>
              <w:t>[ha]</w:t>
            </w:r>
          </w:p>
        </w:tc>
        <w:tc>
          <w:tcPr>
            <w:tcW w:w="1559" w:type="dxa"/>
            <w:tcBorders>
              <w:top w:val="single" w:sz="4" w:space="0" w:color="auto"/>
              <w:left w:val="nil"/>
              <w:bottom w:val="single" w:sz="4" w:space="0" w:color="auto"/>
              <w:right w:val="nil"/>
            </w:tcBorders>
            <w:shd w:val="clear" w:color="auto" w:fill="auto"/>
            <w:noWrap/>
            <w:vAlign w:val="bottom"/>
          </w:tcPr>
          <w:p w:rsidR="00B36F09" w:rsidRDefault="00B36F09" w:rsidP="008F70D3">
            <w:pPr>
              <w:pStyle w:val="table1"/>
              <w:rPr>
                <w:b/>
                <w:lang w:eastAsia="en-AU"/>
              </w:rPr>
            </w:pPr>
            <w:r>
              <w:rPr>
                <w:b/>
                <w:lang w:eastAsia="en-AU"/>
              </w:rPr>
              <w:t>γ-dose rate</w:t>
            </w:r>
            <w:r>
              <w:rPr>
                <w:b/>
                <w:lang w:eastAsia="en-AU"/>
              </w:rPr>
              <w:br/>
              <w:t>[</w:t>
            </w:r>
            <w:proofErr w:type="spellStart"/>
            <w:r>
              <w:rPr>
                <w:b/>
                <w:lang w:eastAsia="en-AU"/>
              </w:rPr>
              <w:t>μGy·hr</w:t>
            </w:r>
            <w:proofErr w:type="spellEnd"/>
            <w:r w:rsidRPr="005C2618">
              <w:rPr>
                <w:b/>
                <w:snapToGrid w:val="0"/>
                <w:color w:val="000000"/>
                <w:position w:val="4"/>
                <w:sz w:val="11"/>
                <w:szCs w:val="0"/>
                <w:u w:color="000000"/>
                <w:lang w:eastAsia="en-AU"/>
              </w:rPr>
              <w:t>-1</w:t>
            </w:r>
            <w:r>
              <w:rPr>
                <w:b/>
                <w:lang w:eastAsia="en-AU"/>
              </w:rPr>
              <w:t>]</w:t>
            </w:r>
          </w:p>
        </w:tc>
        <w:tc>
          <w:tcPr>
            <w:tcW w:w="2021" w:type="dxa"/>
            <w:tcBorders>
              <w:top w:val="single" w:sz="4" w:space="0" w:color="auto"/>
              <w:left w:val="nil"/>
              <w:bottom w:val="single" w:sz="4" w:space="0" w:color="auto"/>
              <w:right w:val="nil"/>
            </w:tcBorders>
            <w:shd w:val="clear" w:color="auto" w:fill="auto"/>
            <w:noWrap/>
            <w:vAlign w:val="bottom"/>
          </w:tcPr>
          <w:p w:rsidR="00B36F09" w:rsidRDefault="00B36F09" w:rsidP="008F70D3">
            <w:pPr>
              <w:pStyle w:val="table1"/>
              <w:rPr>
                <w:b/>
                <w:lang w:eastAsia="en-AU"/>
              </w:rPr>
            </w:pPr>
            <w:r>
              <w:rPr>
                <w:b/>
                <w:lang w:eastAsia="en-AU"/>
              </w:rPr>
              <w:t>Radon flux density</w:t>
            </w:r>
            <w:r>
              <w:rPr>
                <w:b/>
                <w:lang w:eastAsia="en-AU"/>
              </w:rPr>
              <w:br/>
              <w:t>[</w:t>
            </w:r>
            <w:proofErr w:type="spellStart"/>
            <w:r>
              <w:rPr>
                <w:b/>
                <w:lang w:eastAsia="en-AU"/>
              </w:rPr>
              <w:t>mBq·m</w:t>
            </w:r>
            <w:proofErr w:type="spellEnd"/>
            <w:r w:rsidRPr="005C2618">
              <w:rPr>
                <w:b/>
                <w:snapToGrid w:val="0"/>
                <w:color w:val="000000"/>
                <w:position w:val="4"/>
                <w:sz w:val="11"/>
                <w:szCs w:val="0"/>
                <w:u w:color="000000"/>
                <w:lang w:eastAsia="en-AU"/>
              </w:rPr>
              <w:t>-2</w:t>
            </w:r>
            <w:r>
              <w:rPr>
                <w:b/>
                <w:lang w:eastAsia="en-AU"/>
              </w:rPr>
              <w:t>·s</w:t>
            </w:r>
            <w:r w:rsidRPr="005C2618">
              <w:rPr>
                <w:b/>
                <w:snapToGrid w:val="0"/>
                <w:color w:val="000000"/>
                <w:position w:val="4"/>
                <w:sz w:val="11"/>
                <w:szCs w:val="0"/>
                <w:u w:color="000000"/>
                <w:lang w:eastAsia="en-AU"/>
              </w:rPr>
              <w:t>-1</w:t>
            </w:r>
            <w:r>
              <w:rPr>
                <w:b/>
                <w:lang w:eastAsia="en-AU"/>
              </w:rPr>
              <w:t>]</w:t>
            </w:r>
          </w:p>
        </w:tc>
      </w:tr>
      <w:tr w:rsidR="00B36F09" w:rsidTr="008F70D3">
        <w:trPr>
          <w:trHeight w:val="264"/>
        </w:trPr>
        <w:tc>
          <w:tcPr>
            <w:tcW w:w="2057" w:type="dxa"/>
            <w:tcBorders>
              <w:top w:val="single" w:sz="4" w:space="0" w:color="auto"/>
              <w:left w:val="nil"/>
              <w:bottom w:val="nil"/>
              <w:right w:val="nil"/>
            </w:tcBorders>
            <w:shd w:val="clear" w:color="auto" w:fill="auto"/>
            <w:noWrap/>
            <w:vAlign w:val="bottom"/>
          </w:tcPr>
          <w:p w:rsidR="00B36F09" w:rsidRDefault="00B36F09" w:rsidP="008F70D3">
            <w:pPr>
              <w:pStyle w:val="table1"/>
              <w:rPr>
                <w:lang w:eastAsia="en-AU"/>
              </w:rPr>
            </w:pPr>
            <w:r>
              <w:rPr>
                <w:lang w:eastAsia="en-AU"/>
              </w:rPr>
              <w:t>Tailings Dam</w:t>
            </w:r>
          </w:p>
        </w:tc>
        <w:tc>
          <w:tcPr>
            <w:tcW w:w="1701" w:type="dxa"/>
            <w:tcBorders>
              <w:top w:val="single" w:sz="4" w:space="0" w:color="auto"/>
              <w:left w:val="nil"/>
              <w:bottom w:val="nil"/>
              <w:right w:val="nil"/>
            </w:tcBorders>
            <w:shd w:val="clear" w:color="auto" w:fill="auto"/>
            <w:noWrap/>
            <w:vAlign w:val="bottom"/>
          </w:tcPr>
          <w:p w:rsidR="00B36F09" w:rsidRDefault="00B36F09" w:rsidP="008F70D3">
            <w:pPr>
              <w:pStyle w:val="table1"/>
              <w:rPr>
                <w:lang w:eastAsia="en-AU"/>
              </w:rPr>
            </w:pPr>
            <w:r>
              <w:rPr>
                <w:lang w:eastAsia="en-AU"/>
              </w:rPr>
              <w:t>110</w:t>
            </w:r>
          </w:p>
        </w:tc>
        <w:tc>
          <w:tcPr>
            <w:tcW w:w="1559" w:type="dxa"/>
            <w:tcBorders>
              <w:top w:val="single" w:sz="4" w:space="0" w:color="auto"/>
              <w:left w:val="nil"/>
              <w:bottom w:val="nil"/>
              <w:right w:val="nil"/>
            </w:tcBorders>
            <w:shd w:val="clear" w:color="auto" w:fill="auto"/>
            <w:noWrap/>
            <w:vAlign w:val="bottom"/>
          </w:tcPr>
          <w:p w:rsidR="00B36F09" w:rsidRDefault="00B36F09" w:rsidP="008F70D3">
            <w:pPr>
              <w:pStyle w:val="table1"/>
              <w:rPr>
                <w:lang w:eastAsia="en-AU"/>
              </w:rPr>
            </w:pPr>
            <w:r>
              <w:rPr>
                <w:lang w:eastAsia="en-AU"/>
              </w:rPr>
              <w:t>0.11</w:t>
            </w:r>
          </w:p>
        </w:tc>
        <w:tc>
          <w:tcPr>
            <w:tcW w:w="2021" w:type="dxa"/>
            <w:tcBorders>
              <w:top w:val="single" w:sz="4" w:space="0" w:color="auto"/>
              <w:left w:val="nil"/>
              <w:bottom w:val="nil"/>
              <w:right w:val="nil"/>
            </w:tcBorders>
            <w:shd w:val="clear" w:color="auto" w:fill="auto"/>
            <w:noWrap/>
            <w:vAlign w:val="bottom"/>
          </w:tcPr>
          <w:p w:rsidR="00B36F09" w:rsidRDefault="00B36F09" w:rsidP="008F70D3">
            <w:pPr>
              <w:pStyle w:val="table1"/>
            </w:pPr>
            <w:r>
              <w:t>0.19</w:t>
            </w:r>
          </w:p>
        </w:tc>
      </w:tr>
      <w:tr w:rsidR="00B36F09" w:rsidTr="008F70D3">
        <w:trPr>
          <w:trHeight w:val="264"/>
        </w:trPr>
        <w:tc>
          <w:tcPr>
            <w:tcW w:w="2057" w:type="dxa"/>
            <w:tcBorders>
              <w:top w:val="nil"/>
              <w:left w:val="nil"/>
              <w:bottom w:val="nil"/>
              <w:right w:val="nil"/>
            </w:tcBorders>
            <w:shd w:val="clear" w:color="auto" w:fill="auto"/>
            <w:noWrap/>
            <w:vAlign w:val="bottom"/>
          </w:tcPr>
          <w:p w:rsidR="00B36F09" w:rsidRDefault="00B36F09" w:rsidP="008F70D3">
            <w:pPr>
              <w:pStyle w:val="table1"/>
              <w:rPr>
                <w:lang w:eastAsia="en-AU"/>
              </w:rPr>
            </w:pPr>
            <w:r>
              <w:rPr>
                <w:lang w:eastAsia="en-AU"/>
              </w:rPr>
              <w:t>RP1</w:t>
            </w:r>
          </w:p>
        </w:tc>
        <w:tc>
          <w:tcPr>
            <w:tcW w:w="1701" w:type="dxa"/>
            <w:tcBorders>
              <w:top w:val="nil"/>
              <w:left w:val="nil"/>
              <w:bottom w:val="nil"/>
              <w:right w:val="nil"/>
            </w:tcBorders>
            <w:shd w:val="clear" w:color="auto" w:fill="auto"/>
            <w:noWrap/>
            <w:vAlign w:val="bottom"/>
          </w:tcPr>
          <w:p w:rsidR="00B36F09" w:rsidRDefault="00B36F09" w:rsidP="008F70D3">
            <w:pPr>
              <w:pStyle w:val="table1"/>
              <w:rPr>
                <w:lang w:eastAsia="en-AU"/>
              </w:rPr>
            </w:pPr>
            <w:r>
              <w:rPr>
                <w:lang w:eastAsia="en-AU"/>
              </w:rPr>
              <w:t>17</w:t>
            </w:r>
          </w:p>
        </w:tc>
        <w:tc>
          <w:tcPr>
            <w:tcW w:w="1559" w:type="dxa"/>
            <w:tcBorders>
              <w:top w:val="nil"/>
              <w:left w:val="nil"/>
              <w:bottom w:val="nil"/>
              <w:right w:val="nil"/>
            </w:tcBorders>
            <w:shd w:val="clear" w:color="auto" w:fill="auto"/>
            <w:noWrap/>
            <w:vAlign w:val="bottom"/>
          </w:tcPr>
          <w:p w:rsidR="00B36F09" w:rsidRDefault="00B36F09" w:rsidP="008F70D3">
            <w:pPr>
              <w:pStyle w:val="table1"/>
              <w:rPr>
                <w:lang w:eastAsia="en-AU"/>
              </w:rPr>
            </w:pPr>
            <w:r>
              <w:rPr>
                <w:lang w:eastAsia="en-AU"/>
              </w:rPr>
              <w:t>0.10</w:t>
            </w:r>
          </w:p>
        </w:tc>
        <w:tc>
          <w:tcPr>
            <w:tcW w:w="2021" w:type="dxa"/>
            <w:tcBorders>
              <w:top w:val="nil"/>
              <w:left w:val="nil"/>
              <w:bottom w:val="nil"/>
              <w:right w:val="nil"/>
            </w:tcBorders>
            <w:shd w:val="clear" w:color="auto" w:fill="auto"/>
            <w:noWrap/>
            <w:vAlign w:val="bottom"/>
          </w:tcPr>
          <w:p w:rsidR="00B36F09" w:rsidRDefault="00B36F09" w:rsidP="008F70D3">
            <w:pPr>
              <w:pStyle w:val="table1"/>
            </w:pPr>
            <w:r>
              <w:t>0.16</w:t>
            </w:r>
          </w:p>
        </w:tc>
      </w:tr>
      <w:tr w:rsidR="00B36F09" w:rsidTr="008F70D3">
        <w:trPr>
          <w:trHeight w:val="264"/>
        </w:trPr>
        <w:tc>
          <w:tcPr>
            <w:tcW w:w="2057" w:type="dxa"/>
            <w:tcBorders>
              <w:top w:val="nil"/>
              <w:left w:val="nil"/>
              <w:right w:val="nil"/>
            </w:tcBorders>
            <w:shd w:val="clear" w:color="auto" w:fill="auto"/>
            <w:noWrap/>
            <w:vAlign w:val="bottom"/>
          </w:tcPr>
          <w:p w:rsidR="00B36F09" w:rsidRDefault="00B36F09" w:rsidP="008F70D3">
            <w:pPr>
              <w:pStyle w:val="table1"/>
              <w:rPr>
                <w:lang w:eastAsia="en-AU"/>
              </w:rPr>
            </w:pPr>
            <w:r>
              <w:rPr>
                <w:lang w:eastAsia="en-AU"/>
              </w:rPr>
              <w:t>Pit 1</w:t>
            </w:r>
          </w:p>
        </w:tc>
        <w:tc>
          <w:tcPr>
            <w:tcW w:w="1701" w:type="dxa"/>
            <w:tcBorders>
              <w:top w:val="nil"/>
              <w:left w:val="nil"/>
              <w:right w:val="nil"/>
            </w:tcBorders>
            <w:shd w:val="clear" w:color="auto" w:fill="auto"/>
            <w:noWrap/>
            <w:vAlign w:val="bottom"/>
          </w:tcPr>
          <w:p w:rsidR="00B36F09" w:rsidRDefault="00B36F09" w:rsidP="008F70D3">
            <w:pPr>
              <w:pStyle w:val="table1"/>
              <w:rPr>
                <w:lang w:eastAsia="en-AU"/>
              </w:rPr>
            </w:pPr>
            <w:r>
              <w:rPr>
                <w:lang w:eastAsia="en-AU"/>
              </w:rPr>
              <w:t>40</w:t>
            </w:r>
          </w:p>
        </w:tc>
        <w:tc>
          <w:tcPr>
            <w:tcW w:w="1559" w:type="dxa"/>
            <w:tcBorders>
              <w:top w:val="nil"/>
              <w:left w:val="nil"/>
              <w:right w:val="nil"/>
            </w:tcBorders>
            <w:shd w:val="clear" w:color="auto" w:fill="auto"/>
            <w:noWrap/>
            <w:vAlign w:val="bottom"/>
          </w:tcPr>
          <w:p w:rsidR="00B36F09" w:rsidRDefault="00B36F09" w:rsidP="008F70D3">
            <w:pPr>
              <w:pStyle w:val="table1"/>
              <w:rPr>
                <w:lang w:eastAsia="en-AU"/>
              </w:rPr>
            </w:pPr>
            <w:r>
              <w:rPr>
                <w:lang w:eastAsia="en-AU"/>
              </w:rPr>
              <w:t>0.87</w:t>
            </w:r>
          </w:p>
        </w:tc>
        <w:tc>
          <w:tcPr>
            <w:tcW w:w="2021" w:type="dxa"/>
            <w:tcBorders>
              <w:top w:val="nil"/>
              <w:left w:val="nil"/>
              <w:right w:val="nil"/>
            </w:tcBorders>
            <w:shd w:val="clear" w:color="auto" w:fill="auto"/>
            <w:noWrap/>
            <w:vAlign w:val="bottom"/>
          </w:tcPr>
          <w:p w:rsidR="00B36F09" w:rsidRDefault="00B36F09" w:rsidP="008F70D3">
            <w:pPr>
              <w:pStyle w:val="table1"/>
            </w:pPr>
            <w:r>
              <w:t>4.1</w:t>
            </w:r>
          </w:p>
        </w:tc>
      </w:tr>
      <w:tr w:rsidR="00B36F09" w:rsidTr="008F70D3">
        <w:trPr>
          <w:trHeight w:val="264"/>
        </w:trPr>
        <w:tc>
          <w:tcPr>
            <w:tcW w:w="2057" w:type="dxa"/>
            <w:tcBorders>
              <w:top w:val="nil"/>
              <w:left w:val="nil"/>
              <w:bottom w:val="single" w:sz="4" w:space="0" w:color="auto"/>
              <w:right w:val="nil"/>
            </w:tcBorders>
            <w:shd w:val="clear" w:color="auto" w:fill="auto"/>
            <w:noWrap/>
            <w:vAlign w:val="bottom"/>
          </w:tcPr>
          <w:p w:rsidR="00B36F09" w:rsidRDefault="00B36F09" w:rsidP="008F70D3">
            <w:pPr>
              <w:pStyle w:val="table1"/>
              <w:rPr>
                <w:lang w:eastAsia="en-AU"/>
              </w:rPr>
            </w:pPr>
            <w:r>
              <w:rPr>
                <w:lang w:eastAsia="en-AU"/>
              </w:rPr>
              <w:t>Pit 3</w:t>
            </w:r>
          </w:p>
        </w:tc>
        <w:tc>
          <w:tcPr>
            <w:tcW w:w="1701" w:type="dxa"/>
            <w:tcBorders>
              <w:top w:val="nil"/>
              <w:left w:val="nil"/>
              <w:bottom w:val="single" w:sz="4" w:space="0" w:color="auto"/>
              <w:right w:val="nil"/>
            </w:tcBorders>
            <w:shd w:val="clear" w:color="auto" w:fill="auto"/>
            <w:noWrap/>
            <w:vAlign w:val="bottom"/>
          </w:tcPr>
          <w:p w:rsidR="00B36F09" w:rsidRDefault="00B36F09" w:rsidP="008F70D3">
            <w:pPr>
              <w:pStyle w:val="table1"/>
              <w:rPr>
                <w:lang w:eastAsia="en-AU"/>
              </w:rPr>
            </w:pPr>
            <w:r>
              <w:rPr>
                <w:lang w:eastAsia="en-AU"/>
              </w:rPr>
              <w:t>77</w:t>
            </w:r>
          </w:p>
        </w:tc>
        <w:tc>
          <w:tcPr>
            <w:tcW w:w="1559" w:type="dxa"/>
            <w:tcBorders>
              <w:top w:val="nil"/>
              <w:left w:val="nil"/>
              <w:bottom w:val="single" w:sz="4" w:space="0" w:color="auto"/>
              <w:right w:val="nil"/>
            </w:tcBorders>
            <w:shd w:val="clear" w:color="auto" w:fill="auto"/>
            <w:noWrap/>
            <w:vAlign w:val="bottom"/>
          </w:tcPr>
          <w:p w:rsidR="00B36F09" w:rsidRDefault="00B36F09" w:rsidP="008F70D3">
            <w:pPr>
              <w:pStyle w:val="table1"/>
              <w:rPr>
                <w:lang w:eastAsia="en-AU"/>
              </w:rPr>
            </w:pPr>
            <w:r>
              <w:rPr>
                <w:lang w:eastAsia="en-AU"/>
              </w:rPr>
              <w:t>0.44</w:t>
            </w:r>
          </w:p>
        </w:tc>
        <w:tc>
          <w:tcPr>
            <w:tcW w:w="2021" w:type="dxa"/>
            <w:tcBorders>
              <w:top w:val="nil"/>
              <w:left w:val="nil"/>
              <w:bottom w:val="single" w:sz="4" w:space="0" w:color="auto"/>
              <w:right w:val="nil"/>
            </w:tcBorders>
            <w:shd w:val="clear" w:color="auto" w:fill="auto"/>
            <w:noWrap/>
            <w:vAlign w:val="bottom"/>
          </w:tcPr>
          <w:p w:rsidR="00B36F09" w:rsidRDefault="00B36F09" w:rsidP="008F70D3">
            <w:pPr>
              <w:pStyle w:val="table1"/>
            </w:pPr>
            <w:r>
              <w:t>1.9</w:t>
            </w:r>
          </w:p>
        </w:tc>
      </w:tr>
    </w:tbl>
    <w:p w:rsidR="00B36F09" w:rsidRDefault="00B36F09" w:rsidP="00B36F09">
      <w:pPr>
        <w:pStyle w:val="tablenote"/>
        <w:spacing w:before="0"/>
        <w:rPr>
          <w:lang w:val="en-US"/>
        </w:rPr>
      </w:pPr>
    </w:p>
    <w:p w:rsidR="00B36F09" w:rsidRPr="00945955" w:rsidRDefault="00B36F09" w:rsidP="00B36F09">
      <w:pPr>
        <w:rPr>
          <w:spacing w:val="-2"/>
          <w:lang w:val="en-US"/>
        </w:rPr>
      </w:pPr>
      <w:r w:rsidRPr="00945955">
        <w:rPr>
          <w:spacing w:val="-2"/>
          <w:lang w:val="en-US"/>
        </w:rPr>
        <w:lastRenderedPageBreak/>
        <w:t>The typical environmental background gamma dose rate determined for the whole extent of the 1976 AGS data set and using the derived correlation is approximately 0.1</w:t>
      </w:r>
      <w:r w:rsidRPr="00945955">
        <w:rPr>
          <w:spacing w:val="-2"/>
        </w:rPr>
        <w:t> </w:t>
      </w:r>
      <w:proofErr w:type="spellStart"/>
      <w:r w:rsidRPr="00945955">
        <w:rPr>
          <w:spacing w:val="-2"/>
        </w:rPr>
        <w:t>μGy·hr</w:t>
      </w:r>
      <w:proofErr w:type="spellEnd"/>
      <w:r w:rsidRPr="00945955">
        <w:rPr>
          <w:snapToGrid w:val="0"/>
          <w:color w:val="000000"/>
          <w:spacing w:val="-2"/>
          <w:position w:val="5"/>
          <w:sz w:val="13"/>
          <w:szCs w:val="0"/>
          <w:u w:color="000000"/>
        </w:rPr>
        <w:t>-1</w:t>
      </w:r>
      <w:r w:rsidRPr="00945955">
        <w:rPr>
          <w:spacing w:val="-2"/>
          <w:lang w:val="en-US"/>
        </w:rPr>
        <w:t>. This compares well with typical background gamma dose rates published for the ARR, ranging from 0.08 to 0.15</w:t>
      </w:r>
      <w:r w:rsidRPr="00945955">
        <w:rPr>
          <w:spacing w:val="-2"/>
        </w:rPr>
        <w:t> </w:t>
      </w:r>
      <w:proofErr w:type="spellStart"/>
      <w:r w:rsidRPr="00945955">
        <w:rPr>
          <w:spacing w:val="-2"/>
        </w:rPr>
        <w:t>μGy·hr</w:t>
      </w:r>
      <w:proofErr w:type="spellEnd"/>
      <w:r w:rsidRPr="00945955">
        <w:rPr>
          <w:snapToGrid w:val="0"/>
          <w:color w:val="000000"/>
          <w:spacing w:val="-2"/>
          <w:position w:val="5"/>
          <w:sz w:val="13"/>
          <w:szCs w:val="0"/>
          <w:u w:color="000000"/>
        </w:rPr>
        <w:t>-1</w:t>
      </w:r>
      <w:r w:rsidRPr="00945955">
        <w:rPr>
          <w:spacing w:val="-2"/>
          <w:lang w:val="en-US"/>
        </w:rPr>
        <w:t xml:space="preserve">. </w:t>
      </w:r>
      <w:r>
        <w:rPr>
          <w:spacing w:val="-2"/>
          <w:lang w:val="en-US"/>
        </w:rPr>
        <w:t>T</w:t>
      </w:r>
      <w:r w:rsidRPr="00945955">
        <w:rPr>
          <w:spacing w:val="-2"/>
          <w:lang w:val="en-US"/>
        </w:rPr>
        <w:t xml:space="preserve">he </w:t>
      </w:r>
      <w:proofErr w:type="spellStart"/>
      <w:r w:rsidRPr="00945955">
        <w:rPr>
          <w:spacing w:val="-2"/>
          <w:lang w:val="en-US"/>
        </w:rPr>
        <w:t>modelled</w:t>
      </w:r>
      <w:proofErr w:type="spellEnd"/>
      <w:r w:rsidRPr="00945955">
        <w:rPr>
          <w:spacing w:val="-2"/>
          <w:lang w:val="en-US"/>
        </w:rPr>
        <w:t xml:space="preserve"> pre</w:t>
      </w:r>
      <w:r>
        <w:rPr>
          <w:spacing w:val="-2"/>
          <w:lang w:val="en-US"/>
        </w:rPr>
        <w:t>-</w:t>
      </w:r>
      <w:r w:rsidRPr="00945955">
        <w:rPr>
          <w:spacing w:val="-2"/>
          <w:lang w:val="en-US"/>
        </w:rPr>
        <w:t xml:space="preserve">mining gamma dose rates and radon flux densities for </w:t>
      </w:r>
      <w:proofErr w:type="spellStart"/>
      <w:r w:rsidRPr="00945955">
        <w:rPr>
          <w:spacing w:val="-2"/>
          <w:lang w:val="en-US"/>
        </w:rPr>
        <w:t>orebodies</w:t>
      </w:r>
      <w:proofErr w:type="spellEnd"/>
      <w:r w:rsidRPr="00945955">
        <w:rPr>
          <w:spacing w:val="-2"/>
          <w:lang w:val="en-US"/>
        </w:rPr>
        <w:t xml:space="preserve"> 1 and 3 are also in very good agreement with published values determined using drill core</w:t>
      </w:r>
      <w:r>
        <w:rPr>
          <w:spacing w:val="-2"/>
          <w:lang w:val="en-US"/>
        </w:rPr>
        <w:t>s</w:t>
      </w:r>
      <w:r w:rsidRPr="00945955">
        <w:rPr>
          <w:spacing w:val="-2"/>
          <w:lang w:val="en-US"/>
        </w:rPr>
        <w:t xml:space="preserve"> from </w:t>
      </w:r>
      <w:proofErr w:type="spellStart"/>
      <w:r w:rsidRPr="00945955">
        <w:rPr>
          <w:spacing w:val="-2"/>
          <w:lang w:val="en-US"/>
        </w:rPr>
        <w:t>orebody</w:t>
      </w:r>
      <w:proofErr w:type="spellEnd"/>
      <w:r w:rsidRPr="00945955">
        <w:rPr>
          <w:spacing w:val="-2"/>
          <w:lang w:val="en-US"/>
        </w:rPr>
        <w:t xml:space="preserve"> 1</w:t>
      </w:r>
      <w:r>
        <w:rPr>
          <w:spacing w:val="-2"/>
          <w:lang w:val="en-US"/>
        </w:rPr>
        <w:t xml:space="preserve"> and </w:t>
      </w:r>
      <w:r w:rsidRPr="00945955">
        <w:rPr>
          <w:spacing w:val="-2"/>
          <w:lang w:val="en-US"/>
        </w:rPr>
        <w:t xml:space="preserve">measured on top of </w:t>
      </w:r>
      <w:proofErr w:type="spellStart"/>
      <w:r w:rsidRPr="00945955">
        <w:rPr>
          <w:spacing w:val="-2"/>
          <w:lang w:val="en-US"/>
        </w:rPr>
        <w:t>orebody</w:t>
      </w:r>
      <w:proofErr w:type="spellEnd"/>
      <w:r w:rsidRPr="00945955">
        <w:rPr>
          <w:spacing w:val="-2"/>
          <w:lang w:val="en-US"/>
        </w:rPr>
        <w:t xml:space="preserve"> 3, respectively</w:t>
      </w:r>
      <w:r>
        <w:rPr>
          <w:spacing w:val="-2"/>
          <w:lang w:val="en-US"/>
        </w:rPr>
        <w:t xml:space="preserve"> (</w:t>
      </w:r>
      <w:proofErr w:type="spellStart"/>
      <w:r>
        <w:rPr>
          <w:spacing w:val="-2"/>
          <w:lang w:val="en-US"/>
        </w:rPr>
        <w:t>Kvasnicka</w:t>
      </w:r>
      <w:proofErr w:type="spellEnd"/>
      <w:r>
        <w:rPr>
          <w:spacing w:val="-2"/>
          <w:lang w:val="en-US"/>
        </w:rPr>
        <w:t xml:space="preserve"> &amp; </w:t>
      </w:r>
      <w:proofErr w:type="spellStart"/>
      <w:r>
        <w:rPr>
          <w:spacing w:val="-2"/>
          <w:lang w:val="en-US"/>
        </w:rPr>
        <w:t>Auty</w:t>
      </w:r>
      <w:proofErr w:type="spellEnd"/>
      <w:r>
        <w:rPr>
          <w:spacing w:val="-2"/>
          <w:lang w:val="en-US"/>
        </w:rPr>
        <w:t xml:space="preserve"> 1994)</w:t>
      </w:r>
      <w:r w:rsidRPr="00945955">
        <w:rPr>
          <w:spacing w:val="-2"/>
          <w:lang w:val="en-US"/>
        </w:rPr>
        <w:t>. Gamma dose rates and radon flux densities</w:t>
      </w:r>
      <w:r>
        <w:rPr>
          <w:spacing w:val="-2"/>
          <w:lang w:val="en-US"/>
        </w:rPr>
        <w:t xml:space="preserve"> at Ranger</w:t>
      </w:r>
      <w:r w:rsidRPr="00945955">
        <w:rPr>
          <w:spacing w:val="-2"/>
          <w:lang w:val="en-US"/>
        </w:rPr>
        <w:t xml:space="preserve"> reported</w:t>
      </w:r>
      <w:r>
        <w:rPr>
          <w:spacing w:val="-2"/>
          <w:lang w:val="en-US"/>
        </w:rPr>
        <w:t xml:space="preserve"> by</w:t>
      </w:r>
      <w:r w:rsidRPr="00945955">
        <w:rPr>
          <w:spacing w:val="-2"/>
          <w:lang w:val="en-US"/>
        </w:rPr>
        <w:t xml:space="preserve"> </w:t>
      </w:r>
      <w:proofErr w:type="spellStart"/>
      <w:r>
        <w:rPr>
          <w:spacing w:val="-2"/>
          <w:lang w:val="en-US"/>
        </w:rPr>
        <w:t>Kvasnicka</w:t>
      </w:r>
      <w:proofErr w:type="spellEnd"/>
      <w:r>
        <w:rPr>
          <w:spacing w:val="-2"/>
          <w:lang w:val="en-US"/>
        </w:rPr>
        <w:t xml:space="preserve"> and </w:t>
      </w:r>
      <w:proofErr w:type="spellStart"/>
      <w:r>
        <w:rPr>
          <w:spacing w:val="-2"/>
          <w:lang w:val="en-US"/>
        </w:rPr>
        <w:t>Auty</w:t>
      </w:r>
      <w:proofErr w:type="spellEnd"/>
      <w:r>
        <w:rPr>
          <w:spacing w:val="-2"/>
          <w:lang w:val="en-US"/>
        </w:rPr>
        <w:t xml:space="preserve"> (1994) were</w:t>
      </w:r>
      <w:r w:rsidRPr="00945955">
        <w:rPr>
          <w:spacing w:val="-2"/>
          <w:lang w:val="en-US"/>
        </w:rPr>
        <w:t xml:space="preserve"> 0.95</w:t>
      </w:r>
      <w:r w:rsidRPr="00945955">
        <w:rPr>
          <w:spacing w:val="-2"/>
        </w:rPr>
        <w:t> </w:t>
      </w:r>
      <w:proofErr w:type="spellStart"/>
      <w:r w:rsidRPr="00945955">
        <w:rPr>
          <w:spacing w:val="-2"/>
        </w:rPr>
        <w:t>μGy·hr</w:t>
      </w:r>
      <w:proofErr w:type="spellEnd"/>
      <w:r w:rsidRPr="00945955">
        <w:rPr>
          <w:snapToGrid w:val="0"/>
          <w:color w:val="000000"/>
          <w:spacing w:val="-2"/>
          <w:position w:val="5"/>
          <w:sz w:val="13"/>
          <w:szCs w:val="0"/>
          <w:u w:color="000000"/>
        </w:rPr>
        <w:t>-1</w:t>
      </w:r>
      <w:r w:rsidRPr="00945955">
        <w:rPr>
          <w:spacing w:val="-2"/>
          <w:lang w:val="en-US"/>
        </w:rPr>
        <w:t xml:space="preserve"> and 4.</w:t>
      </w:r>
      <w:r w:rsidRPr="00BF7146">
        <w:t>1</w:t>
      </w:r>
      <w:r>
        <w:t> </w:t>
      </w:r>
      <w:proofErr w:type="spellStart"/>
      <w:r w:rsidRPr="00BF7146">
        <w:t>mBq</w:t>
      </w:r>
      <w:proofErr w:type="spellEnd"/>
      <w:r w:rsidRPr="00945955">
        <w:rPr>
          <w:spacing w:val="-2"/>
          <w:lang w:val="en-US"/>
        </w:rPr>
        <w:t>·m</w:t>
      </w:r>
      <w:r w:rsidRPr="00945955">
        <w:rPr>
          <w:snapToGrid w:val="0"/>
          <w:color w:val="000000"/>
          <w:spacing w:val="-2"/>
          <w:position w:val="5"/>
          <w:sz w:val="13"/>
          <w:szCs w:val="0"/>
          <w:u w:color="000000"/>
          <w:lang w:val="en-US"/>
        </w:rPr>
        <w:t>-</w:t>
      </w:r>
      <w:r>
        <w:rPr>
          <w:snapToGrid w:val="0"/>
          <w:color w:val="000000"/>
          <w:spacing w:val="-2"/>
          <w:position w:val="5"/>
          <w:sz w:val="13"/>
          <w:szCs w:val="0"/>
          <w:u w:color="000000"/>
          <w:lang w:val="en-US"/>
        </w:rPr>
        <w:t> </w:t>
      </w:r>
      <w:r w:rsidRPr="00945955">
        <w:rPr>
          <w:snapToGrid w:val="0"/>
          <w:color w:val="000000"/>
          <w:spacing w:val="-2"/>
          <w:position w:val="5"/>
          <w:sz w:val="13"/>
          <w:szCs w:val="0"/>
          <w:u w:color="000000"/>
          <w:lang w:val="en-US"/>
        </w:rPr>
        <w:t>2</w:t>
      </w:r>
      <w:r w:rsidRPr="00945955">
        <w:rPr>
          <w:spacing w:val="-2"/>
          <w:lang w:val="en-US"/>
        </w:rPr>
        <w:t>·s</w:t>
      </w:r>
      <w:r w:rsidRPr="00945955">
        <w:rPr>
          <w:snapToGrid w:val="0"/>
          <w:color w:val="000000"/>
          <w:spacing w:val="-2"/>
          <w:position w:val="5"/>
          <w:sz w:val="13"/>
          <w:szCs w:val="0"/>
          <w:u w:color="000000"/>
          <w:lang w:val="en-US"/>
        </w:rPr>
        <w:t>-1</w:t>
      </w:r>
      <w:r w:rsidRPr="00945955">
        <w:rPr>
          <w:spacing w:val="-2"/>
          <w:lang w:val="en-US"/>
        </w:rPr>
        <w:t xml:space="preserve"> for </w:t>
      </w:r>
      <w:proofErr w:type="spellStart"/>
      <w:r w:rsidRPr="00945955">
        <w:rPr>
          <w:spacing w:val="-2"/>
          <w:lang w:val="en-US"/>
        </w:rPr>
        <w:t>orebody</w:t>
      </w:r>
      <w:proofErr w:type="spellEnd"/>
      <w:r w:rsidRPr="00945955">
        <w:rPr>
          <w:spacing w:val="-2"/>
          <w:lang w:val="en-US"/>
        </w:rPr>
        <w:t xml:space="preserve"> 1 (44 ha) and 0.58 </w:t>
      </w:r>
      <w:proofErr w:type="spellStart"/>
      <w:r w:rsidRPr="00945955">
        <w:rPr>
          <w:spacing w:val="-2"/>
        </w:rPr>
        <w:t>μGy·hr</w:t>
      </w:r>
      <w:proofErr w:type="spellEnd"/>
      <w:r w:rsidRPr="00945955">
        <w:rPr>
          <w:snapToGrid w:val="0"/>
          <w:color w:val="000000"/>
          <w:spacing w:val="-2"/>
          <w:position w:val="5"/>
          <w:sz w:val="13"/>
          <w:szCs w:val="0"/>
          <w:u w:color="000000"/>
        </w:rPr>
        <w:t>-1</w:t>
      </w:r>
      <w:r w:rsidRPr="00945955">
        <w:rPr>
          <w:spacing w:val="-2"/>
          <w:lang w:val="en-US"/>
        </w:rPr>
        <w:t xml:space="preserve"> and 2.5 </w:t>
      </w:r>
      <w:proofErr w:type="spellStart"/>
      <w:r w:rsidRPr="00945955">
        <w:rPr>
          <w:spacing w:val="-2"/>
          <w:lang w:val="en-US"/>
        </w:rPr>
        <w:t>mBq·m</w:t>
      </w:r>
      <w:proofErr w:type="spellEnd"/>
      <w:r w:rsidRPr="00945955">
        <w:rPr>
          <w:snapToGrid w:val="0"/>
          <w:color w:val="000000"/>
          <w:spacing w:val="-2"/>
          <w:position w:val="5"/>
          <w:sz w:val="13"/>
          <w:szCs w:val="0"/>
          <w:u w:color="000000"/>
          <w:lang w:val="en-US"/>
        </w:rPr>
        <w:t>-2</w:t>
      </w:r>
      <w:r w:rsidRPr="00945955">
        <w:rPr>
          <w:spacing w:val="-2"/>
          <w:lang w:val="en-US"/>
        </w:rPr>
        <w:t>·s</w:t>
      </w:r>
      <w:r w:rsidRPr="00945955">
        <w:rPr>
          <w:snapToGrid w:val="0"/>
          <w:color w:val="000000"/>
          <w:spacing w:val="-2"/>
          <w:position w:val="5"/>
          <w:sz w:val="13"/>
          <w:szCs w:val="0"/>
          <w:u w:color="000000"/>
          <w:lang w:val="en-US"/>
        </w:rPr>
        <w:t>-1</w:t>
      </w:r>
      <w:r w:rsidRPr="00945955">
        <w:rPr>
          <w:spacing w:val="-2"/>
          <w:lang w:val="en-US"/>
        </w:rPr>
        <w:t xml:space="preserve"> for </w:t>
      </w:r>
      <w:proofErr w:type="spellStart"/>
      <w:r w:rsidRPr="00945955">
        <w:rPr>
          <w:spacing w:val="-2"/>
          <w:lang w:val="en-US"/>
        </w:rPr>
        <w:t>orebody</w:t>
      </w:r>
      <w:proofErr w:type="spellEnd"/>
      <w:r w:rsidRPr="00945955">
        <w:rPr>
          <w:spacing w:val="-2"/>
          <w:lang w:val="en-US"/>
        </w:rPr>
        <w:t xml:space="preserve"> 3 (66 ha). </w:t>
      </w:r>
      <w:r>
        <w:rPr>
          <w:spacing w:val="-2"/>
          <w:lang w:val="en-US"/>
        </w:rPr>
        <w:t>Typical b</w:t>
      </w:r>
      <w:r w:rsidRPr="00945955">
        <w:rPr>
          <w:spacing w:val="-2"/>
          <w:lang w:val="en-US"/>
        </w:rPr>
        <w:t>ackground values</w:t>
      </w:r>
      <w:r>
        <w:rPr>
          <w:spacing w:val="-2"/>
          <w:lang w:val="en-US"/>
        </w:rPr>
        <w:t xml:space="preserve"> reported</w:t>
      </w:r>
      <w:r w:rsidRPr="00945955">
        <w:rPr>
          <w:spacing w:val="-2"/>
          <w:lang w:val="en-US"/>
        </w:rPr>
        <w:t xml:space="preserve"> for the Ranger </w:t>
      </w:r>
      <w:r>
        <w:rPr>
          <w:spacing w:val="-2"/>
          <w:lang w:val="en-US"/>
        </w:rPr>
        <w:t>mine area</w:t>
      </w:r>
      <w:r w:rsidRPr="00945955">
        <w:rPr>
          <w:spacing w:val="-2"/>
          <w:lang w:val="en-US"/>
        </w:rPr>
        <w:t xml:space="preserve"> were 0.13</w:t>
      </w:r>
      <w:r w:rsidRPr="00945955">
        <w:rPr>
          <w:spacing w:val="-2"/>
        </w:rPr>
        <w:t> </w:t>
      </w:r>
      <w:proofErr w:type="spellStart"/>
      <w:r w:rsidRPr="00945955">
        <w:rPr>
          <w:spacing w:val="-2"/>
        </w:rPr>
        <w:t>μGy·hr</w:t>
      </w:r>
      <w:proofErr w:type="spellEnd"/>
      <w:r w:rsidRPr="00945955">
        <w:rPr>
          <w:snapToGrid w:val="0"/>
          <w:color w:val="000000"/>
          <w:spacing w:val="-2"/>
          <w:position w:val="5"/>
          <w:sz w:val="13"/>
          <w:szCs w:val="0"/>
          <w:u w:color="000000"/>
        </w:rPr>
        <w:t>-1</w:t>
      </w:r>
      <w:r w:rsidRPr="00945955">
        <w:rPr>
          <w:spacing w:val="-2"/>
          <w:lang w:val="en-US"/>
        </w:rPr>
        <w:t xml:space="preserve"> and 0.13</w:t>
      </w:r>
      <w:r>
        <w:rPr>
          <w:spacing w:val="-2"/>
          <w:lang w:val="en-US"/>
        </w:rPr>
        <w:t> </w:t>
      </w:r>
      <w:proofErr w:type="spellStart"/>
      <w:r w:rsidRPr="00945955">
        <w:rPr>
          <w:spacing w:val="-2"/>
          <w:lang w:val="en-US"/>
        </w:rPr>
        <w:t>mBq·m</w:t>
      </w:r>
      <w:proofErr w:type="spellEnd"/>
      <w:r w:rsidRPr="00945955">
        <w:rPr>
          <w:snapToGrid w:val="0"/>
          <w:color w:val="000000"/>
          <w:spacing w:val="-2"/>
          <w:position w:val="5"/>
          <w:sz w:val="13"/>
          <w:szCs w:val="0"/>
          <w:u w:color="000000"/>
          <w:lang w:val="en-US"/>
        </w:rPr>
        <w:t>-2</w:t>
      </w:r>
      <w:r w:rsidRPr="00945955">
        <w:rPr>
          <w:spacing w:val="-2"/>
          <w:lang w:val="en-US"/>
        </w:rPr>
        <w:t>·s</w:t>
      </w:r>
      <w:r w:rsidRPr="00945955">
        <w:rPr>
          <w:snapToGrid w:val="0"/>
          <w:color w:val="000000"/>
          <w:spacing w:val="-2"/>
          <w:position w:val="5"/>
          <w:sz w:val="13"/>
          <w:szCs w:val="0"/>
          <w:u w:color="000000"/>
          <w:lang w:val="en-US"/>
        </w:rPr>
        <w:t>-1</w:t>
      </w:r>
      <w:r w:rsidRPr="00945955">
        <w:rPr>
          <w:spacing w:val="-2"/>
          <w:lang w:val="en-US"/>
        </w:rPr>
        <w:t xml:space="preserve">, respectively. </w:t>
      </w:r>
    </w:p>
    <w:p w:rsidR="00B36F09" w:rsidRDefault="00B36F09" w:rsidP="00B36F09">
      <w:pPr>
        <w:pStyle w:val="Heading2"/>
      </w:pPr>
      <w:bookmarkStart w:id="64" w:name="_Toc313523547"/>
      <w:bookmarkStart w:id="65" w:name="_Toc316985390"/>
      <w:r>
        <w:t>Conclusions</w:t>
      </w:r>
      <w:bookmarkEnd w:id="64"/>
      <w:bookmarkEnd w:id="65"/>
    </w:p>
    <w:p w:rsidR="00B36F09" w:rsidRDefault="00B36F09" w:rsidP="00B36F09">
      <w:pPr>
        <w:rPr>
          <w:spacing w:val="-2"/>
          <w:lang w:val="en-US"/>
        </w:rPr>
      </w:pPr>
      <w:r w:rsidRPr="0032523F">
        <w:rPr>
          <w:spacing w:val="-2"/>
        </w:rPr>
        <w:t>The correlation</w:t>
      </w:r>
      <w:r w:rsidRPr="0032523F">
        <w:rPr>
          <w:spacing w:val="-2"/>
          <w:lang w:val="en-US"/>
        </w:rPr>
        <w:t xml:space="preserve"> models developed by this project allow estimates to be made of the pre-mining baseline gamma dose rates and radon fluxes for any selected area (4 ha minimum) covered by the pre mining</w:t>
      </w:r>
      <w:r>
        <w:rPr>
          <w:spacing w:val="-2"/>
          <w:lang w:val="en-US"/>
        </w:rPr>
        <w:t xml:space="preserve"> 1976</w:t>
      </w:r>
      <w:r w:rsidRPr="0032523F">
        <w:rPr>
          <w:spacing w:val="-2"/>
          <w:lang w:val="en-US"/>
        </w:rPr>
        <w:t xml:space="preserve"> AGS data</w:t>
      </w:r>
      <w:r>
        <w:rPr>
          <w:spacing w:val="-2"/>
          <w:lang w:val="en-US"/>
        </w:rPr>
        <w:t xml:space="preserve"> available</w:t>
      </w:r>
      <w:r w:rsidRPr="0032523F">
        <w:rPr>
          <w:spacing w:val="-2"/>
          <w:lang w:val="en-US"/>
        </w:rPr>
        <w:t xml:space="preserve"> over the </w:t>
      </w:r>
      <w:r>
        <w:rPr>
          <w:spacing w:val="-2"/>
          <w:lang w:val="en-US"/>
        </w:rPr>
        <w:t xml:space="preserve">greater Ranger area. The models, in particular the calculation of the radon flux densities, still require some refinement and incorporation of associated uncertainties, both from fitting the data and GIS model </w:t>
      </w:r>
      <w:proofErr w:type="spellStart"/>
      <w:r>
        <w:rPr>
          <w:spacing w:val="-2"/>
          <w:lang w:val="en-US"/>
        </w:rPr>
        <w:t>asumptions</w:t>
      </w:r>
      <w:proofErr w:type="spellEnd"/>
      <w:r>
        <w:rPr>
          <w:spacing w:val="-2"/>
          <w:lang w:val="en-US"/>
        </w:rPr>
        <w:t xml:space="preserve">. Nonetheless it is a useful tool already, and a comparison with published data shows that the model estimates are similar to radiation levels estimated previously via direct measurement on top of </w:t>
      </w:r>
      <w:proofErr w:type="spellStart"/>
      <w:r>
        <w:rPr>
          <w:spacing w:val="-2"/>
          <w:lang w:val="en-US"/>
        </w:rPr>
        <w:t>orebody</w:t>
      </w:r>
      <w:proofErr w:type="spellEnd"/>
      <w:r>
        <w:rPr>
          <w:spacing w:val="-2"/>
          <w:lang w:val="en-US"/>
        </w:rPr>
        <w:t xml:space="preserve"> 3, and estimates made using uranium activity concentrations in </w:t>
      </w:r>
      <w:r w:rsidRPr="00945955">
        <w:rPr>
          <w:spacing w:val="-2"/>
          <w:lang w:val="en-US"/>
        </w:rPr>
        <w:t>drill core</w:t>
      </w:r>
      <w:r>
        <w:rPr>
          <w:spacing w:val="-2"/>
          <w:lang w:val="en-US"/>
        </w:rPr>
        <w:t>s</w:t>
      </w:r>
      <w:r w:rsidRPr="00945955">
        <w:rPr>
          <w:spacing w:val="-2"/>
          <w:lang w:val="en-US"/>
        </w:rPr>
        <w:t xml:space="preserve"> from </w:t>
      </w:r>
      <w:proofErr w:type="spellStart"/>
      <w:r w:rsidRPr="00945955">
        <w:rPr>
          <w:spacing w:val="-2"/>
          <w:lang w:val="en-US"/>
        </w:rPr>
        <w:t>orebody</w:t>
      </w:r>
      <w:proofErr w:type="spellEnd"/>
      <w:r>
        <w:rPr>
          <w:spacing w:val="-2"/>
          <w:lang w:val="en-US"/>
        </w:rPr>
        <w:t xml:space="preserve"> 1.</w:t>
      </w:r>
    </w:p>
    <w:p w:rsidR="00B36F09" w:rsidRPr="0032523F" w:rsidRDefault="00B36F09" w:rsidP="00B36F09">
      <w:pPr>
        <w:rPr>
          <w:spacing w:val="-2"/>
          <w:lang w:val="en-US"/>
        </w:rPr>
      </w:pPr>
      <w:r>
        <w:rPr>
          <w:spacing w:val="-2"/>
          <w:lang w:val="en-US"/>
        </w:rPr>
        <w:t xml:space="preserve">Our model </w:t>
      </w:r>
      <w:r w:rsidRPr="0032523F">
        <w:rPr>
          <w:spacing w:val="-2"/>
          <w:lang w:val="en-US"/>
        </w:rPr>
        <w:t xml:space="preserve">will also allow prediction of pre-mining uptake of uranium series </w:t>
      </w:r>
      <w:proofErr w:type="spellStart"/>
      <w:r w:rsidRPr="0032523F">
        <w:rPr>
          <w:spacing w:val="-2"/>
          <w:lang w:val="en-US"/>
        </w:rPr>
        <w:t>radionuclides</w:t>
      </w:r>
      <w:proofErr w:type="spellEnd"/>
      <w:r w:rsidRPr="0032523F">
        <w:rPr>
          <w:spacing w:val="-2"/>
          <w:lang w:val="en-US"/>
        </w:rPr>
        <w:t xml:space="preserve"> into biota over the footprint of the Ranger mine, assuming secular equilibrium of the </w:t>
      </w:r>
      <w:proofErr w:type="spellStart"/>
      <w:r w:rsidRPr="0032523F">
        <w:rPr>
          <w:spacing w:val="-2"/>
          <w:lang w:val="en-US"/>
        </w:rPr>
        <w:t>radionuclides</w:t>
      </w:r>
      <w:proofErr w:type="spellEnd"/>
      <w:r w:rsidRPr="0032523F">
        <w:rPr>
          <w:spacing w:val="-2"/>
          <w:lang w:val="en-US"/>
        </w:rPr>
        <w:t xml:space="preserve"> in soils and using uptake factors determined for </w:t>
      </w:r>
      <w:proofErr w:type="spellStart"/>
      <w:r w:rsidRPr="0032523F">
        <w:rPr>
          <w:spacing w:val="-2"/>
          <w:lang w:val="en-US"/>
        </w:rPr>
        <w:t>bushtucker</w:t>
      </w:r>
      <w:proofErr w:type="spellEnd"/>
      <w:r w:rsidRPr="0032523F">
        <w:rPr>
          <w:spacing w:val="-2"/>
          <w:lang w:val="en-US"/>
        </w:rPr>
        <w:t xml:space="preserve"> in the region. This will facilitate the calculation of pre mining ingestion doses from </w:t>
      </w:r>
      <w:proofErr w:type="spellStart"/>
      <w:r w:rsidRPr="0032523F">
        <w:rPr>
          <w:spacing w:val="-2"/>
          <w:lang w:val="en-US"/>
        </w:rPr>
        <w:t>bushtucker</w:t>
      </w:r>
      <w:proofErr w:type="spellEnd"/>
      <w:r w:rsidRPr="0032523F">
        <w:rPr>
          <w:spacing w:val="-2"/>
          <w:lang w:val="en-US"/>
        </w:rPr>
        <w:t xml:space="preserve"> harvested from the site, in addition to the internal and external radiation doses to the environment. The inhalation pathway needs to be quantified, using existing measurements of airborne radon concentrations on top of Anomaly 2 and dust re-suspension factors, which will then enable derivation of the total pre-mining radiological exposure to humans from all pathways.</w:t>
      </w:r>
    </w:p>
    <w:p w:rsidR="00B36F09" w:rsidRDefault="00B36F09" w:rsidP="00B36F09">
      <w:pPr>
        <w:pStyle w:val="Heading2"/>
      </w:pPr>
      <w:bookmarkStart w:id="66" w:name="_Toc313523548"/>
      <w:bookmarkStart w:id="67" w:name="_Toc316985391"/>
      <w:r>
        <w:t>Acknowledgments</w:t>
      </w:r>
      <w:bookmarkEnd w:id="66"/>
      <w:bookmarkEnd w:id="67"/>
    </w:p>
    <w:p w:rsidR="00B36F09" w:rsidRPr="00901E47" w:rsidRDefault="00B36F09" w:rsidP="00B36F09">
      <w:pPr>
        <w:rPr>
          <w:spacing w:val="-2"/>
        </w:rPr>
      </w:pPr>
      <w:r w:rsidRPr="00901E47">
        <w:rPr>
          <w:spacing w:val="-2"/>
        </w:rPr>
        <w:t xml:space="preserve">Jared </w:t>
      </w:r>
      <w:proofErr w:type="spellStart"/>
      <w:r w:rsidRPr="00901E47">
        <w:rPr>
          <w:spacing w:val="-2"/>
        </w:rPr>
        <w:t>Selwood</w:t>
      </w:r>
      <w:proofErr w:type="spellEnd"/>
      <w:r w:rsidRPr="00901E47">
        <w:rPr>
          <w:spacing w:val="-2"/>
        </w:rPr>
        <w:t xml:space="preserve">, Alan Hughes, Rocky Cahill and Gary Fox are thanked for assistance in the field. The Northern Territory Geological Survey and ERA are thanked for the provision of the 1976 and 1997 AGS data, respectively. Thanks to the </w:t>
      </w:r>
      <w:proofErr w:type="spellStart"/>
      <w:r w:rsidRPr="00901E47">
        <w:rPr>
          <w:spacing w:val="-2"/>
        </w:rPr>
        <w:t>Mirrar</w:t>
      </w:r>
      <w:proofErr w:type="spellEnd"/>
      <w:r w:rsidRPr="00901E47">
        <w:rPr>
          <w:spacing w:val="-2"/>
        </w:rPr>
        <w:t xml:space="preserve"> people for allowing access to the sites.</w:t>
      </w:r>
    </w:p>
    <w:p w:rsidR="00B36F09" w:rsidRDefault="00B36F09" w:rsidP="00B36F09">
      <w:pPr>
        <w:pStyle w:val="Heading2"/>
        <w:rPr>
          <w:u w:color="000000"/>
        </w:rPr>
      </w:pPr>
      <w:bookmarkStart w:id="68" w:name="_Toc313523549"/>
      <w:bookmarkStart w:id="69" w:name="_Toc316985392"/>
      <w:r>
        <w:rPr>
          <w:u w:color="000000"/>
        </w:rPr>
        <w:t>References</w:t>
      </w:r>
      <w:bookmarkEnd w:id="68"/>
      <w:bookmarkEnd w:id="69"/>
    </w:p>
    <w:p w:rsidR="00B36F09" w:rsidRDefault="00B36F09" w:rsidP="00B36F09">
      <w:pPr>
        <w:pStyle w:val="referencelist1"/>
        <w:rPr>
          <w:rFonts w:ascii="Times" w:hAnsi="Times"/>
          <w:szCs w:val="22"/>
        </w:rPr>
      </w:pPr>
      <w:bookmarkStart w:id="70" w:name="eupene_1980"/>
      <w:bookmarkEnd w:id="70"/>
      <w:proofErr w:type="spellStart"/>
      <w:r w:rsidRPr="00FD463C">
        <w:rPr>
          <w:rFonts w:ascii="Times" w:hAnsi="Times"/>
          <w:szCs w:val="22"/>
        </w:rPr>
        <w:t>Bollhöfer</w:t>
      </w:r>
      <w:proofErr w:type="spellEnd"/>
      <w:r w:rsidRPr="00FD463C">
        <w:rPr>
          <w:rFonts w:ascii="Times" w:hAnsi="Times"/>
          <w:szCs w:val="22"/>
        </w:rPr>
        <w:t xml:space="preserve"> A, </w:t>
      </w:r>
      <w:proofErr w:type="spellStart"/>
      <w:r w:rsidRPr="00FD463C">
        <w:rPr>
          <w:rFonts w:ascii="Times" w:hAnsi="Times"/>
          <w:szCs w:val="22"/>
        </w:rPr>
        <w:t>Pfitzner</w:t>
      </w:r>
      <w:proofErr w:type="spellEnd"/>
      <w:r w:rsidRPr="00FD463C">
        <w:rPr>
          <w:rFonts w:ascii="Times" w:hAnsi="Times"/>
          <w:szCs w:val="22"/>
        </w:rPr>
        <w:t xml:space="preserve"> K, Ryan B, Martin P, Fawcett M</w:t>
      </w:r>
      <w:r>
        <w:rPr>
          <w:rFonts w:ascii="Times" w:hAnsi="Times"/>
          <w:szCs w:val="22"/>
        </w:rPr>
        <w:t xml:space="preserve"> &amp;</w:t>
      </w:r>
      <w:r w:rsidRPr="00FD463C">
        <w:rPr>
          <w:rFonts w:ascii="Times" w:hAnsi="Times"/>
          <w:szCs w:val="22"/>
        </w:rPr>
        <w:t xml:space="preserve"> Jones DR 2008. </w:t>
      </w:r>
      <w:proofErr w:type="gramStart"/>
      <w:r w:rsidRPr="00FD463C">
        <w:rPr>
          <w:rFonts w:ascii="Times" w:hAnsi="Times"/>
          <w:szCs w:val="22"/>
        </w:rPr>
        <w:t xml:space="preserve">Airborne gamma survey of the historic </w:t>
      </w:r>
      <w:proofErr w:type="spellStart"/>
      <w:r w:rsidRPr="00FD463C">
        <w:rPr>
          <w:rFonts w:ascii="Times" w:hAnsi="Times"/>
          <w:szCs w:val="22"/>
        </w:rPr>
        <w:t>Sleisbeck</w:t>
      </w:r>
      <w:proofErr w:type="spellEnd"/>
      <w:r w:rsidRPr="00FD463C">
        <w:rPr>
          <w:rFonts w:ascii="Times" w:hAnsi="Times"/>
          <w:szCs w:val="22"/>
        </w:rPr>
        <w:t xml:space="preserve"> mine area in the Northern Territory, Australia, and its use for site rehabilitation planning.</w:t>
      </w:r>
      <w:proofErr w:type="gramEnd"/>
      <w:r w:rsidRPr="00FD463C">
        <w:rPr>
          <w:rFonts w:ascii="Times" w:hAnsi="Times"/>
          <w:szCs w:val="22"/>
        </w:rPr>
        <w:t xml:space="preserve"> </w:t>
      </w:r>
      <w:r w:rsidRPr="00FD463C">
        <w:rPr>
          <w:rFonts w:ascii="Times" w:hAnsi="Times"/>
          <w:i/>
          <w:szCs w:val="22"/>
        </w:rPr>
        <w:t>Journal of Environmental Radioactivity</w:t>
      </w:r>
      <w:r w:rsidRPr="00FD463C">
        <w:rPr>
          <w:rFonts w:ascii="Times" w:hAnsi="Times"/>
          <w:szCs w:val="22"/>
        </w:rPr>
        <w:t xml:space="preserve"> 99, 1770</w:t>
      </w:r>
      <w:r>
        <w:rPr>
          <w:rFonts w:ascii="Times" w:hAnsi="Times"/>
          <w:szCs w:val="22"/>
        </w:rPr>
        <w:t>–</w:t>
      </w:r>
      <w:r w:rsidRPr="00FD463C">
        <w:rPr>
          <w:rFonts w:ascii="Times" w:hAnsi="Times"/>
          <w:szCs w:val="22"/>
        </w:rPr>
        <w:t>1774.</w:t>
      </w:r>
    </w:p>
    <w:p w:rsidR="00B36F09" w:rsidRDefault="00B36F09" w:rsidP="00B36F09">
      <w:pPr>
        <w:pStyle w:val="referencelist1"/>
        <w:rPr>
          <w:color w:val="211E1E"/>
          <w:szCs w:val="22"/>
        </w:rPr>
      </w:pPr>
      <w:proofErr w:type="spellStart"/>
      <w:proofErr w:type="gramStart"/>
      <w:r>
        <w:rPr>
          <w:color w:val="211E1E"/>
          <w:szCs w:val="22"/>
        </w:rPr>
        <w:t>Bollhöfer</w:t>
      </w:r>
      <w:proofErr w:type="spellEnd"/>
      <w:r>
        <w:rPr>
          <w:color w:val="211E1E"/>
          <w:szCs w:val="22"/>
        </w:rPr>
        <w:t xml:space="preserve"> A, </w:t>
      </w:r>
      <w:proofErr w:type="spellStart"/>
      <w:r>
        <w:rPr>
          <w:color w:val="211E1E"/>
          <w:szCs w:val="22"/>
        </w:rPr>
        <w:t>Esparon</w:t>
      </w:r>
      <w:proofErr w:type="spellEnd"/>
      <w:r>
        <w:rPr>
          <w:color w:val="211E1E"/>
          <w:szCs w:val="22"/>
        </w:rPr>
        <w:t xml:space="preserve"> A &amp; </w:t>
      </w:r>
      <w:proofErr w:type="spellStart"/>
      <w:r>
        <w:rPr>
          <w:color w:val="211E1E"/>
          <w:szCs w:val="22"/>
        </w:rPr>
        <w:t>Pfitzner</w:t>
      </w:r>
      <w:proofErr w:type="spellEnd"/>
      <w:r>
        <w:rPr>
          <w:color w:val="211E1E"/>
          <w:szCs w:val="22"/>
        </w:rPr>
        <w:t xml:space="preserve"> K 2011.</w:t>
      </w:r>
      <w:proofErr w:type="gramEnd"/>
      <w:r>
        <w:rPr>
          <w:color w:val="211E1E"/>
          <w:szCs w:val="22"/>
        </w:rPr>
        <w:t xml:space="preserve"> Pre-mining radiological conditions at Ranger mine. </w:t>
      </w:r>
      <w:proofErr w:type="gramStart"/>
      <w:r>
        <w:rPr>
          <w:color w:val="211E1E"/>
          <w:szCs w:val="22"/>
        </w:rPr>
        <w:t xml:space="preserve">In </w:t>
      </w:r>
      <w:proofErr w:type="spellStart"/>
      <w:r w:rsidRPr="00901E47">
        <w:rPr>
          <w:b/>
          <w:i/>
          <w:iCs/>
          <w:color w:val="211E1E"/>
          <w:sz w:val="26"/>
          <w:szCs w:val="26"/>
        </w:rPr>
        <w:t>eriss</w:t>
      </w:r>
      <w:proofErr w:type="spellEnd"/>
      <w:r>
        <w:rPr>
          <w:i/>
          <w:iCs/>
          <w:color w:val="211E1E"/>
          <w:szCs w:val="22"/>
        </w:rPr>
        <w:t xml:space="preserve"> research summary 2009–2010</w:t>
      </w:r>
      <w:r>
        <w:rPr>
          <w:color w:val="211E1E"/>
          <w:szCs w:val="22"/>
        </w:rPr>
        <w:t>.</w:t>
      </w:r>
      <w:proofErr w:type="gramEnd"/>
      <w:r>
        <w:rPr>
          <w:color w:val="211E1E"/>
          <w:szCs w:val="22"/>
        </w:rPr>
        <w:t xml:space="preserve"> </w:t>
      </w:r>
      <w:proofErr w:type="spellStart"/>
      <w:proofErr w:type="gramStart"/>
      <w:r>
        <w:rPr>
          <w:color w:val="211E1E"/>
          <w:szCs w:val="22"/>
        </w:rPr>
        <w:t>eds</w:t>
      </w:r>
      <w:proofErr w:type="spellEnd"/>
      <w:proofErr w:type="gramEnd"/>
      <w:r>
        <w:rPr>
          <w:color w:val="211E1E"/>
          <w:szCs w:val="22"/>
        </w:rPr>
        <w:t xml:space="preserve"> Jones DR &amp; Webb A, Supervising Scientist Report 202, Supervising Scientist, </w:t>
      </w:r>
      <w:smartTag w:uri="urn:schemas-microsoft-com:office:smarttags" w:element="place">
        <w:smartTag w:uri="urn:schemas-microsoft-com:office:smarttags" w:element="City">
          <w:r>
            <w:rPr>
              <w:color w:val="211E1E"/>
              <w:szCs w:val="22"/>
            </w:rPr>
            <w:t>Darwin</w:t>
          </w:r>
        </w:smartTag>
        <w:r>
          <w:rPr>
            <w:color w:val="211E1E"/>
            <w:szCs w:val="22"/>
          </w:rPr>
          <w:t xml:space="preserve"> </w:t>
        </w:r>
        <w:smartTag w:uri="urn:schemas-microsoft-com:office:smarttags" w:element="State">
          <w:r>
            <w:rPr>
              <w:color w:val="211E1E"/>
              <w:szCs w:val="22"/>
            </w:rPr>
            <w:t>NT</w:t>
          </w:r>
        </w:smartTag>
      </w:smartTag>
      <w:r>
        <w:rPr>
          <w:color w:val="211E1E"/>
          <w:szCs w:val="22"/>
        </w:rPr>
        <w:t xml:space="preserve">, 101–106. </w:t>
      </w:r>
    </w:p>
    <w:p w:rsidR="00B36F09" w:rsidRDefault="00B36F09" w:rsidP="00B36F09">
      <w:pPr>
        <w:ind w:left="357" w:hanging="357"/>
      </w:pPr>
      <w:proofErr w:type="spellStart"/>
      <w:proofErr w:type="gramStart"/>
      <w:r>
        <w:t>Esparon</w:t>
      </w:r>
      <w:proofErr w:type="spellEnd"/>
      <w:r>
        <w:t xml:space="preserve"> A, </w:t>
      </w:r>
      <w:proofErr w:type="spellStart"/>
      <w:r>
        <w:t>Pfitzner</w:t>
      </w:r>
      <w:proofErr w:type="spellEnd"/>
      <w:r>
        <w:t xml:space="preserve"> K, </w:t>
      </w:r>
      <w:proofErr w:type="spellStart"/>
      <w:r>
        <w:rPr>
          <w:color w:val="211E1E"/>
          <w:szCs w:val="22"/>
        </w:rPr>
        <w:t>Bollhöfer</w:t>
      </w:r>
      <w:proofErr w:type="spellEnd"/>
      <w:r>
        <w:rPr>
          <w:color w:val="211E1E"/>
          <w:szCs w:val="22"/>
        </w:rPr>
        <w:t xml:space="preserve"> A &amp; Ryan B 2009.</w:t>
      </w:r>
      <w:proofErr w:type="gramEnd"/>
      <w:r>
        <w:rPr>
          <w:color w:val="211E1E"/>
          <w:szCs w:val="22"/>
        </w:rPr>
        <w:t xml:space="preserve"> Pre-mining radiological conditions at Ranger mine. </w:t>
      </w:r>
      <w:proofErr w:type="gramStart"/>
      <w:r>
        <w:rPr>
          <w:color w:val="211E1E"/>
          <w:szCs w:val="22"/>
        </w:rPr>
        <w:t xml:space="preserve">In </w:t>
      </w:r>
      <w:proofErr w:type="spellStart"/>
      <w:r w:rsidRPr="00901E47">
        <w:rPr>
          <w:b/>
          <w:i/>
          <w:iCs/>
          <w:color w:val="211E1E"/>
          <w:sz w:val="26"/>
          <w:szCs w:val="22"/>
        </w:rPr>
        <w:t>eriss</w:t>
      </w:r>
      <w:proofErr w:type="spellEnd"/>
      <w:r>
        <w:rPr>
          <w:i/>
          <w:iCs/>
          <w:color w:val="211E1E"/>
          <w:szCs w:val="22"/>
        </w:rPr>
        <w:t xml:space="preserve"> research summary 2007–2008</w:t>
      </w:r>
      <w:r>
        <w:rPr>
          <w:color w:val="211E1E"/>
          <w:szCs w:val="22"/>
        </w:rPr>
        <w:t>.</w:t>
      </w:r>
      <w:proofErr w:type="gramEnd"/>
      <w:r>
        <w:rPr>
          <w:color w:val="211E1E"/>
          <w:szCs w:val="22"/>
        </w:rPr>
        <w:t xml:space="preserve"> </w:t>
      </w:r>
      <w:proofErr w:type="spellStart"/>
      <w:proofErr w:type="gramStart"/>
      <w:r>
        <w:rPr>
          <w:color w:val="211E1E"/>
          <w:szCs w:val="22"/>
        </w:rPr>
        <w:t>eds</w:t>
      </w:r>
      <w:proofErr w:type="spellEnd"/>
      <w:proofErr w:type="gramEnd"/>
      <w:r>
        <w:rPr>
          <w:color w:val="211E1E"/>
          <w:szCs w:val="22"/>
        </w:rPr>
        <w:t xml:space="preserve"> Jones DR &amp; Webb A, Supervising Scientist Report 200, Supervising Scientist, </w:t>
      </w:r>
      <w:smartTag w:uri="urn:schemas-microsoft-com:office:smarttags" w:element="place">
        <w:smartTag w:uri="urn:schemas-microsoft-com:office:smarttags" w:element="City">
          <w:r>
            <w:rPr>
              <w:color w:val="211E1E"/>
              <w:szCs w:val="22"/>
            </w:rPr>
            <w:t>Darwin</w:t>
          </w:r>
        </w:smartTag>
        <w:r>
          <w:rPr>
            <w:color w:val="211E1E"/>
            <w:szCs w:val="22"/>
          </w:rPr>
          <w:t xml:space="preserve"> </w:t>
        </w:r>
        <w:smartTag w:uri="urn:schemas-microsoft-com:office:smarttags" w:element="State">
          <w:r>
            <w:rPr>
              <w:color w:val="211E1E"/>
              <w:szCs w:val="22"/>
            </w:rPr>
            <w:t>NT</w:t>
          </w:r>
        </w:smartTag>
      </w:smartTag>
      <w:r>
        <w:rPr>
          <w:color w:val="211E1E"/>
          <w:szCs w:val="22"/>
        </w:rPr>
        <w:t>, 111–115.</w:t>
      </w:r>
    </w:p>
    <w:p w:rsidR="00B36F09" w:rsidRDefault="00B36F09" w:rsidP="00B36F09">
      <w:pPr>
        <w:ind w:left="357" w:hanging="357"/>
      </w:pPr>
      <w:proofErr w:type="gramStart"/>
      <w:r>
        <w:lastRenderedPageBreak/>
        <w:t>ICRP 2007.</w:t>
      </w:r>
      <w:proofErr w:type="gramEnd"/>
      <w:r>
        <w:t xml:space="preserve"> </w:t>
      </w:r>
      <w:r w:rsidRPr="00D43886">
        <w:rPr>
          <w:i/>
        </w:rPr>
        <w:t>The 2007 Recommendations of the International Commission on Radiological Protection</w:t>
      </w:r>
      <w:r>
        <w:t>. International Commission on Radiological Protection Publication 103, Elsevier Ltd</w:t>
      </w:r>
      <w:r>
        <w:rPr>
          <w:snapToGrid w:val="0"/>
          <w:lang w:val="en-US"/>
        </w:rPr>
        <w:t>.</w:t>
      </w:r>
    </w:p>
    <w:p w:rsidR="00B36F09" w:rsidRDefault="00B36F09" w:rsidP="00B36F09">
      <w:pPr>
        <w:pStyle w:val="referencelist1"/>
        <w:rPr>
          <w:iCs/>
        </w:rPr>
      </w:pPr>
      <w:r>
        <w:t xml:space="preserve">Martin P, </w:t>
      </w:r>
      <w:proofErr w:type="spellStart"/>
      <w:r>
        <w:t>Tims</w:t>
      </w:r>
      <w:proofErr w:type="spellEnd"/>
      <w:r>
        <w:t xml:space="preserve"> S, McGill A, Ryan B &amp; </w:t>
      </w:r>
      <w:proofErr w:type="spellStart"/>
      <w:r>
        <w:t>Pfitzner</w:t>
      </w:r>
      <w:proofErr w:type="spellEnd"/>
      <w:r>
        <w:t xml:space="preserve"> K 2006. Use of airborne </w:t>
      </w:r>
      <w:r>
        <w:sym w:font="Symbol" w:char="F067"/>
      </w:r>
      <w:r>
        <w:t xml:space="preserve">-ray spectrometry for environmental assessment of the rehabilitated </w:t>
      </w:r>
      <w:proofErr w:type="spellStart"/>
      <w:r>
        <w:t>Nabarlek</w:t>
      </w:r>
      <w:proofErr w:type="spellEnd"/>
      <w:r>
        <w:t xml:space="preserve"> uranium mine, northern </w:t>
      </w:r>
      <w:smartTag w:uri="urn:schemas-microsoft-com:office:smarttags" w:element="country-region">
        <w:smartTag w:uri="urn:schemas-microsoft-com:office:smarttags" w:element="place">
          <w:r>
            <w:t>Australia</w:t>
          </w:r>
        </w:smartTag>
      </w:smartTag>
      <w:r>
        <w:t xml:space="preserve">. </w:t>
      </w:r>
      <w:r>
        <w:rPr>
          <w:i/>
        </w:rPr>
        <w:t>Environmental Monitoring and Assessment</w:t>
      </w:r>
      <w:r>
        <w:rPr>
          <w:iCs/>
        </w:rPr>
        <w:t xml:space="preserve"> </w:t>
      </w:r>
      <w:r w:rsidRPr="00901E47">
        <w:rPr>
          <w:iCs/>
        </w:rPr>
        <w:t>115</w:t>
      </w:r>
      <w:r>
        <w:rPr>
          <w:iCs/>
        </w:rPr>
        <w:t>, 531–553.</w:t>
      </w:r>
    </w:p>
    <w:p w:rsidR="00B36F09" w:rsidRDefault="00B36F09" w:rsidP="00B36F09">
      <w:pPr>
        <w:pStyle w:val="referencelist1"/>
      </w:pPr>
      <w:proofErr w:type="spellStart"/>
      <w:proofErr w:type="gramStart"/>
      <w:r>
        <w:t>Pfitzner</w:t>
      </w:r>
      <w:proofErr w:type="spellEnd"/>
      <w:r>
        <w:t xml:space="preserve"> K, Ryan B, </w:t>
      </w:r>
      <w:proofErr w:type="spellStart"/>
      <w:r>
        <w:t>Bollhöfer</w:t>
      </w:r>
      <w:proofErr w:type="spellEnd"/>
      <w:r>
        <w:t xml:space="preserve"> &amp; Martin P 2001a.</w:t>
      </w:r>
      <w:proofErr w:type="gramEnd"/>
      <w:r>
        <w:t xml:space="preserve"> Airborne gamma survey of the upper South Alligator River valley: Third Report. Internal Report 383, Supervising Scientist, Darwin.</w:t>
      </w:r>
    </w:p>
    <w:p w:rsidR="00B36F09" w:rsidRDefault="00B36F09" w:rsidP="00B36F09">
      <w:pPr>
        <w:pStyle w:val="referencelist1"/>
      </w:pPr>
      <w:proofErr w:type="spellStart"/>
      <w:proofErr w:type="gramStart"/>
      <w:r>
        <w:t>Pfitzner</w:t>
      </w:r>
      <w:proofErr w:type="spellEnd"/>
      <w:r>
        <w:t xml:space="preserve"> K, Martin P &amp; Ryan B 2001b.</w:t>
      </w:r>
      <w:proofErr w:type="gramEnd"/>
      <w:r>
        <w:t xml:space="preserve"> Airborne gamma survey of the upper South Alligator River valley: second report. </w:t>
      </w:r>
      <w:proofErr w:type="gramStart"/>
      <w:r>
        <w:t>Internal report 377, Supervising Scientist for the Alligator Rivers Region, Darwin.</w:t>
      </w:r>
      <w:proofErr w:type="gramEnd"/>
    </w:p>
    <w:p w:rsidR="00B36F09" w:rsidRDefault="00B36F09" w:rsidP="00B36F09">
      <w:pPr>
        <w:pStyle w:val="referencelist1"/>
      </w:pPr>
    </w:p>
    <w:p w:rsidR="00B36F09" w:rsidRDefault="00B36F09" w:rsidP="00B36F09">
      <w:pPr>
        <w:pStyle w:val="Heading4"/>
        <w:sectPr w:rsidR="00B36F09" w:rsidSect="005A1F59">
          <w:headerReference w:type="even" r:id="rId29"/>
          <w:headerReference w:type="default" r:id="rId30"/>
          <w:headerReference w:type="first" r:id="rId31"/>
          <w:footnotePr>
            <w:numRestart w:val="eachSect"/>
          </w:footnotePr>
          <w:pgSz w:w="11906" w:h="16838" w:code="9"/>
          <w:pgMar w:top="1440" w:right="1797" w:bottom="1440" w:left="1797" w:header="851" w:footer="833" w:gutter="0"/>
          <w:cols w:space="360"/>
          <w:noEndnote/>
          <w:titlePg/>
        </w:sectPr>
      </w:pPr>
      <w:bookmarkStart w:id="71" w:name="_Toc309215807"/>
      <w:bookmarkStart w:id="72" w:name="_Toc102492058"/>
    </w:p>
    <w:p w:rsidR="00B36F09" w:rsidRDefault="00B36F09" w:rsidP="00B36F09">
      <w:pPr>
        <w:pStyle w:val="Heading1"/>
      </w:pPr>
      <w:bookmarkStart w:id="73" w:name="_Toc319670748"/>
      <w:r>
        <w:lastRenderedPageBreak/>
        <w:t>Radon exhalation from a rehabilitated landform</w:t>
      </w:r>
      <w:bookmarkEnd w:id="71"/>
      <w:bookmarkEnd w:id="73"/>
    </w:p>
    <w:p w:rsidR="00B36F09" w:rsidRPr="008E44C5" w:rsidRDefault="00B36F09" w:rsidP="00B36F09">
      <w:pPr>
        <w:pStyle w:val="authors"/>
        <w:spacing w:after="800"/>
      </w:pPr>
      <w:bookmarkStart w:id="74" w:name="_Toc316987251"/>
      <w:bookmarkStart w:id="75" w:name="_Toc319670749"/>
      <w:r>
        <w:t xml:space="preserve">A </w:t>
      </w:r>
      <w:proofErr w:type="spellStart"/>
      <w:r>
        <w:t>Bollhöfer</w:t>
      </w:r>
      <w:proofErr w:type="spellEnd"/>
      <w:r>
        <w:t xml:space="preserve"> &amp; J </w:t>
      </w:r>
      <w:proofErr w:type="spellStart"/>
      <w:r>
        <w:t>Pfitzner</w:t>
      </w:r>
      <w:bookmarkEnd w:id="74"/>
      <w:bookmarkEnd w:id="75"/>
      <w:proofErr w:type="spellEnd"/>
    </w:p>
    <w:p w:rsidR="00B36F09" w:rsidRDefault="00B36F09" w:rsidP="00B36F09">
      <w:pPr>
        <w:pStyle w:val="Heading2"/>
      </w:pPr>
      <w:bookmarkStart w:id="76" w:name="_Toc313523551"/>
      <w:bookmarkStart w:id="77" w:name="_Toc316985394"/>
      <w:r>
        <w:t>Introduction</w:t>
      </w:r>
      <w:bookmarkEnd w:id="76"/>
      <w:bookmarkEnd w:id="77"/>
    </w:p>
    <w:p w:rsidR="00B36F09" w:rsidRDefault="00B36F09" w:rsidP="00B36F09">
      <w:r>
        <w:t xml:space="preserve">Closure criteria for the rehabilitation of the Ranger Uranium Mine need to incorporate radiological aspects to ensure that exposure of the public to radiation after rehabilitation of the mine is as low as reasonably achievable. </w:t>
      </w:r>
      <w:proofErr w:type="gramStart"/>
      <w:r>
        <w:t>As the inhalation of radon decay products is likely to be a significant contributor to radiological dose particularly in the vicinity of the rehabilitated landform, radon exhalation from the landform and its temporal variability need to be estimated.</w:t>
      </w:r>
      <w:proofErr w:type="gramEnd"/>
      <w:r>
        <w:t xml:space="preserve"> The radon exhalation rate may potentially change as the final landform evolves after rehabilitation of the site. At the </w:t>
      </w:r>
      <w:proofErr w:type="spellStart"/>
      <w:r>
        <w:t>Nabarlek</w:t>
      </w:r>
      <w:proofErr w:type="spellEnd"/>
      <w:r>
        <w:t xml:space="preserve"> site for instance, differences in radon flux densities measured immediately (</w:t>
      </w:r>
      <w:proofErr w:type="spellStart"/>
      <w:r>
        <w:t>Kvasnicka</w:t>
      </w:r>
      <w:proofErr w:type="spellEnd"/>
      <w:r>
        <w:t xml:space="preserve"> 1996) and 5 years after </w:t>
      </w:r>
      <w:proofErr w:type="spellStart"/>
      <w:r>
        <w:t>rehabilition</w:t>
      </w:r>
      <w:proofErr w:type="spellEnd"/>
      <w:r>
        <w:t xml:space="preserve"> (</w:t>
      </w:r>
      <w:proofErr w:type="spellStart"/>
      <w:r>
        <w:t>Bollhöfer</w:t>
      </w:r>
      <w:proofErr w:type="spellEnd"/>
      <w:r>
        <w:t xml:space="preserve"> et al 2006) have been reported, although these differences could also be due to differences in experimental design between the two studies, as pointed out in </w:t>
      </w:r>
      <w:proofErr w:type="spellStart"/>
      <w:r>
        <w:t>Bollhöfer</w:t>
      </w:r>
      <w:proofErr w:type="spellEnd"/>
      <w:r>
        <w:t xml:space="preserve"> et al (</w:t>
      </w:r>
      <w:r>
        <w:rPr>
          <w:rFonts w:ascii="Times" w:hAnsi="Times"/>
          <w:szCs w:val="22"/>
        </w:rPr>
        <w:t>2006</w:t>
      </w:r>
      <w:r>
        <w:t xml:space="preserve">). Consequently, opportunities have been sought to provide long-term data about the variation in radon exhalation flux densities from relevant areas of the Ranger </w:t>
      </w:r>
      <w:proofErr w:type="spellStart"/>
      <w:r>
        <w:t>minesite</w:t>
      </w:r>
      <w:proofErr w:type="spellEnd"/>
      <w:r>
        <w:t>. In particular, ERA’s trial landform (</w:t>
      </w:r>
      <w:proofErr w:type="spellStart"/>
      <w:r>
        <w:t>Saynor</w:t>
      </w:r>
      <w:proofErr w:type="spellEnd"/>
      <w:r>
        <w:t xml:space="preserve"> et al 2009) provides a unique opportunity to track radon exhalation over many years. The project will enable </w:t>
      </w:r>
      <w:proofErr w:type="spellStart"/>
      <w:r>
        <w:rPr>
          <w:b/>
          <w:i/>
          <w:sz w:val="26"/>
        </w:rPr>
        <w:t>eriss</w:t>
      </w:r>
      <w:proofErr w:type="spellEnd"/>
      <w:r>
        <w:t xml:space="preserve"> and ERA to more confidently predict a long-term radon exhalation flux from a rehabilitated landform and contribute to the development of closure criteria for the site.</w:t>
      </w:r>
      <w:r w:rsidRPr="002A4E05">
        <w:t xml:space="preserve"> </w:t>
      </w:r>
    </w:p>
    <w:p w:rsidR="00B36F09" w:rsidRDefault="00B36F09" w:rsidP="00B36F09">
      <w:r>
        <w:t>The objective of this project is to determine radon (</w:t>
      </w:r>
      <w:r>
        <w:rPr>
          <w:vertAlign w:val="superscript"/>
        </w:rPr>
        <w:t>222</w:t>
      </w:r>
      <w:r>
        <w:t xml:space="preserve">Rn) exhalation flux densities for various combinations of cover types (two) and re-vegetation strategies (two) on the trial landform and to investigate seasonal and long-term changes in radon exhalation. Specifically, the </w:t>
      </w:r>
      <w:r>
        <w:rPr>
          <w:vertAlign w:val="superscript"/>
        </w:rPr>
        <w:t>222</w:t>
      </w:r>
      <w:r>
        <w:t xml:space="preserve">Rn exhalation from the four  erosion plots (30 m </w:t>
      </w:r>
      <w:r>
        <w:sym w:font="Symbol" w:char="F0B4"/>
      </w:r>
      <w:r>
        <w:t xml:space="preserve"> 30 m) constructed by SSD (</w:t>
      </w:r>
      <w:proofErr w:type="spellStart"/>
      <w:r>
        <w:t>Saynor</w:t>
      </w:r>
      <w:proofErr w:type="spellEnd"/>
      <w:r>
        <w:t xml:space="preserve"> et al 2010) will be measured over several years to investigate whether there are any temporal changes of radon exhalation, taking into account rainfall, weathering of the rock, erosion and compaction effects, and the effect of developing vegetation on the landform. </w:t>
      </w:r>
    </w:p>
    <w:p w:rsidR="00B36F09" w:rsidRDefault="00B36F09" w:rsidP="00B36F09">
      <w:pPr>
        <w:pStyle w:val="Heading2"/>
      </w:pPr>
      <w:bookmarkStart w:id="78" w:name="_Toc313523552"/>
      <w:bookmarkStart w:id="79" w:name="_Toc316985395"/>
      <w:r>
        <w:t>Methods</w:t>
      </w:r>
      <w:bookmarkEnd w:id="78"/>
      <w:bookmarkEnd w:id="79"/>
    </w:p>
    <w:p w:rsidR="00B36F09" w:rsidRDefault="00B36F09" w:rsidP="00B36F09">
      <w:pPr>
        <w:autoSpaceDE w:val="0"/>
        <w:autoSpaceDN w:val="0"/>
        <w:adjustRightInd w:val="0"/>
      </w:pPr>
      <w:r>
        <w:t>Conventional charcoal canisters (or ‘radon cups) are used to measure radon</w:t>
      </w:r>
      <w:r w:rsidRPr="00746AC4">
        <w:t xml:space="preserve"> </w:t>
      </w:r>
      <w:r>
        <w:t xml:space="preserve">exhalation flux densities. The charcoal canisters used are a standard brass cylindrical design with an internal diameter of 0.070 m, depth 0.058 m and a wall thickness of 0.004 m. Details on the charcoal canister methodology are provided in </w:t>
      </w:r>
      <w:proofErr w:type="spellStart"/>
      <w:r>
        <w:t>Bollhöfer</w:t>
      </w:r>
      <w:proofErr w:type="spellEnd"/>
      <w:r>
        <w:t xml:space="preserve"> et al (2003) and Lawrence (2006). </w:t>
      </w:r>
    </w:p>
    <w:p w:rsidR="00B36F09" w:rsidRDefault="00B36F09" w:rsidP="00B36F09">
      <w:pPr>
        <w:autoSpaceDE w:val="0"/>
        <w:autoSpaceDN w:val="0"/>
        <w:adjustRightInd w:val="0"/>
      </w:pPr>
      <w:r>
        <w:t>Construction of the trial landform was completed late in the 2008–09 wet season. Since then, irrigation water has been regularly applied to all areas apart from a 40 m buffer strip that contains the SSD erosion plots. As soil moisture content has a substantial effect on radon exhalation, and because the irrigation water may contain significant concentrations of radium, radon</w:t>
      </w:r>
      <w:r w:rsidRPr="00746AC4">
        <w:t xml:space="preserve"> </w:t>
      </w:r>
      <w:r>
        <w:t>exhalation flux density is measured from the four SSD erosion plots only, which are not irrigated nor affected by spray drift from the irrigation (</w:t>
      </w:r>
      <w:proofErr w:type="spellStart"/>
      <w:r>
        <w:t>Saynor</w:t>
      </w:r>
      <w:proofErr w:type="spellEnd"/>
      <w:r>
        <w:t xml:space="preserve">, </w:t>
      </w:r>
      <w:proofErr w:type="spellStart"/>
      <w:r>
        <w:t>pers</w:t>
      </w:r>
      <w:proofErr w:type="spellEnd"/>
      <w:r>
        <w:t xml:space="preserve"> </w:t>
      </w:r>
      <w:proofErr w:type="spellStart"/>
      <w:r>
        <w:t>comm</w:t>
      </w:r>
      <w:proofErr w:type="spellEnd"/>
      <w:r>
        <w:t>).</w:t>
      </w:r>
    </w:p>
    <w:p w:rsidR="00B36F09" w:rsidRPr="00D43886" w:rsidRDefault="00B36F09" w:rsidP="00B36F09">
      <w:r w:rsidRPr="00D43886">
        <w:t xml:space="preserve">To obtain a true average radon exhalation flux density from the uneven and heterogeneous surface of the four erosion plots, radon cups are placed randomly over the surface. One experimenter throws a bag filled with sand over his shoulder, while the second experimenter notes where the bag first hit the ground, this being the selected location for charcoal cup </w:t>
      </w:r>
      <w:r w:rsidRPr="00D43886">
        <w:lastRenderedPageBreak/>
        <w:t xml:space="preserve">placement. If placed on rocks, the rim of the charcoal cup is sealed using putty. This is in contrast to many other studies where radon cups are placed at </w:t>
      </w:r>
      <w:r>
        <w:t>‘</w:t>
      </w:r>
      <w:r w:rsidRPr="00D43886">
        <w:t>convenient</w:t>
      </w:r>
      <w:r>
        <w:t>’</w:t>
      </w:r>
      <w:r w:rsidRPr="00D43886">
        <w:t xml:space="preserve"> locations where they can easily be embedded into the finer grained soil. Fine grained material exhibits higher radon flux densities than solid rock (</w:t>
      </w:r>
      <w:smartTag w:uri="urn:schemas-microsoft-com:office:smarttags" w:element="City">
        <w:smartTag w:uri="urn:schemas-microsoft-com:office:smarttags" w:element="place">
          <w:r w:rsidRPr="00D43886">
            <w:t>Lawrence</w:t>
          </w:r>
        </w:smartTag>
      </w:smartTag>
      <w:r w:rsidRPr="00D43886">
        <w:t xml:space="preserve"> </w:t>
      </w:r>
      <w:r>
        <w:t>et al</w:t>
      </w:r>
      <w:r w:rsidRPr="00D43886">
        <w:t xml:space="preserve"> 2009). Hence, results of radon exhalation measurements can potentially be skewed if the sampling design is not random (</w:t>
      </w:r>
      <w:proofErr w:type="spellStart"/>
      <w:r w:rsidRPr="00D43886">
        <w:rPr>
          <w:rFonts w:ascii="Times" w:hAnsi="Times"/>
          <w:szCs w:val="22"/>
        </w:rPr>
        <w:t>Bollhöfer</w:t>
      </w:r>
      <w:proofErr w:type="spellEnd"/>
      <w:r w:rsidRPr="00D43886">
        <w:rPr>
          <w:rFonts w:ascii="Times" w:hAnsi="Times"/>
          <w:szCs w:val="22"/>
        </w:rPr>
        <w:t xml:space="preserve"> </w:t>
      </w:r>
      <w:r>
        <w:rPr>
          <w:rFonts w:ascii="Times" w:hAnsi="Times"/>
          <w:szCs w:val="22"/>
        </w:rPr>
        <w:t>et al</w:t>
      </w:r>
      <w:r w:rsidRPr="00D43886">
        <w:rPr>
          <w:rFonts w:ascii="Times" w:hAnsi="Times"/>
          <w:szCs w:val="22"/>
        </w:rPr>
        <w:t xml:space="preserve"> 2006). </w:t>
      </w:r>
    </w:p>
    <w:p w:rsidR="00B36F09" w:rsidRDefault="00B36F09" w:rsidP="00B36F09">
      <w:pPr>
        <w:autoSpaceDE w:val="0"/>
        <w:autoSpaceDN w:val="0"/>
        <w:adjustRightInd w:val="0"/>
      </w:pPr>
      <w:r>
        <w:t xml:space="preserve">The location and a description of the four erosion plots where measurements are being taken are shown on Figure 1 and in Table 1, respectively, and are further described in </w:t>
      </w:r>
      <w:proofErr w:type="spellStart"/>
      <w:r>
        <w:t>Saynor</w:t>
      </w:r>
      <w:proofErr w:type="spellEnd"/>
      <w:r>
        <w:t xml:space="preserve"> et al (2010). Generally, 15–20 radon cups are deployed randomly across each erosion plot and are exposed for 3 to 4 days. The charcoal cups are collected after exposure, sealed and sent to the SSD </w:t>
      </w:r>
      <w:smartTag w:uri="urn:schemas-microsoft-com:office:smarttags" w:element="place">
        <w:smartTag w:uri="urn:schemas-microsoft-com:office:smarttags" w:element="City">
          <w:r>
            <w:t>Darwin</w:t>
          </w:r>
        </w:smartTag>
      </w:smartTag>
      <w:r>
        <w:t xml:space="preserve"> laboratories, where they are analysed using a </w:t>
      </w:r>
      <w:proofErr w:type="spellStart"/>
      <w:r>
        <w:t>NaI</w:t>
      </w:r>
      <w:proofErr w:type="spellEnd"/>
      <w:r>
        <w:t xml:space="preserve"> gamma detector.</w:t>
      </w:r>
    </w:p>
    <w:p w:rsidR="00B36F09" w:rsidRDefault="00B36F09" w:rsidP="00B36F09">
      <w:pPr>
        <w:autoSpaceDE w:val="0"/>
        <w:autoSpaceDN w:val="0"/>
        <w:adjustRightInd w:val="0"/>
        <w:spacing w:after="0"/>
      </w:pPr>
    </w:p>
    <w:bookmarkEnd w:id="72"/>
    <w:p w:rsidR="00B36F09" w:rsidRPr="004239FC" w:rsidRDefault="00B36F09" w:rsidP="00B36F09">
      <w:pPr>
        <w:pStyle w:val="figurecaption"/>
      </w:pPr>
      <w:r>
        <w:rPr>
          <w:noProof/>
          <w:lang w:eastAsia="en-AU"/>
        </w:rPr>
        <w:drawing>
          <wp:inline distT="0" distB="0" distL="0" distR="0">
            <wp:extent cx="3647717" cy="3918030"/>
            <wp:effectExtent l="19050" t="0" r="0" b="0"/>
            <wp:docPr id="51" name="Picture 39" descr="trial landform_radon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ial landform_radon2009"/>
                    <pic:cNvPicPr>
                      <a:picLocks noChangeAspect="1" noChangeArrowheads="1"/>
                    </pic:cNvPicPr>
                  </pic:nvPicPr>
                  <pic:blipFill>
                    <a:blip r:embed="rId32" cstate="screen"/>
                    <a:srcRect/>
                    <a:stretch>
                      <a:fillRect/>
                    </a:stretch>
                  </pic:blipFill>
                  <pic:spPr bwMode="auto">
                    <a:xfrm>
                      <a:off x="0" y="0"/>
                      <a:ext cx="3660280" cy="3931524"/>
                    </a:xfrm>
                    <a:prstGeom prst="rect">
                      <a:avLst/>
                    </a:prstGeom>
                    <a:noFill/>
                    <a:ln w="9525">
                      <a:noFill/>
                      <a:miter lim="800000"/>
                      <a:headEnd/>
                      <a:tailEnd/>
                    </a:ln>
                  </pic:spPr>
                </pic:pic>
              </a:graphicData>
            </a:graphic>
          </wp:inline>
        </w:drawing>
      </w:r>
    </w:p>
    <w:p w:rsidR="00B36F09" w:rsidRDefault="00B36F09" w:rsidP="00B36F09">
      <w:pPr>
        <w:pStyle w:val="figurecaption"/>
      </w:pPr>
      <w:r>
        <w:rPr>
          <w:b/>
        </w:rPr>
        <w:t xml:space="preserve">Figure </w:t>
      </w:r>
      <w:proofErr w:type="gramStart"/>
      <w:r>
        <w:rPr>
          <w:b/>
        </w:rPr>
        <w:t>1</w:t>
      </w:r>
      <w:r>
        <w:t xml:space="preserve">  Locations</w:t>
      </w:r>
      <w:proofErr w:type="gramEnd"/>
      <w:r>
        <w:t xml:space="preserve"> of the radon exhalation measurements conducted from May 2009 to September 2011 overlaid on an aerial photo of the trial landform from October 2010. Different coloured dots represent locations for the various years.</w:t>
      </w:r>
    </w:p>
    <w:p w:rsidR="00B36F09" w:rsidRDefault="00B36F09" w:rsidP="00B36F09">
      <w:pPr>
        <w:pStyle w:val="Heading2"/>
      </w:pPr>
      <w:bookmarkStart w:id="80" w:name="_Toc313523553"/>
      <w:bookmarkStart w:id="81" w:name="_Toc316985396"/>
      <w:r>
        <w:t>Progress to date</w:t>
      </w:r>
      <w:bookmarkEnd w:id="80"/>
      <w:bookmarkEnd w:id="81"/>
    </w:p>
    <w:p w:rsidR="00B36F09" w:rsidRDefault="00B36F09" w:rsidP="00B36F09">
      <w:r>
        <w:t xml:space="preserve">Radon cups were deployed before the trial </w:t>
      </w:r>
      <w:proofErr w:type="spellStart"/>
      <w:r>
        <w:t>landfrom</w:t>
      </w:r>
      <w:proofErr w:type="spellEnd"/>
      <w:r>
        <w:t xml:space="preserve"> was </w:t>
      </w:r>
      <w:proofErr w:type="spellStart"/>
      <w:r>
        <w:t>contructed</w:t>
      </w:r>
      <w:proofErr w:type="spellEnd"/>
      <w:r>
        <w:t xml:space="preserve"> to determine the radon exhalation from the substrate underlying the constructed landform. Radon flux densities from the pre-construction substrate follow a log-normal distribution with a range from 24 to 144 mBq∙m</w:t>
      </w:r>
      <w:r>
        <w:rPr>
          <w:vertAlign w:val="superscript"/>
        </w:rPr>
        <w:t>-2</w:t>
      </w:r>
      <w:r>
        <w:t>∙s</w:t>
      </w:r>
      <w:r>
        <w:rPr>
          <w:vertAlign w:val="superscript"/>
        </w:rPr>
        <w:t xml:space="preserve">-1 </w:t>
      </w:r>
      <w:r>
        <w:t xml:space="preserve">and geometric mean and median both equal </w:t>
      </w:r>
      <w:proofErr w:type="gramStart"/>
      <w:r>
        <w:t>to  73</w:t>
      </w:r>
      <w:proofErr w:type="gramEnd"/>
      <w:r>
        <w:t xml:space="preserve"> mBq∙m</w:t>
      </w:r>
      <w:r>
        <w:rPr>
          <w:vertAlign w:val="superscript"/>
        </w:rPr>
        <w:t>-2</w:t>
      </w:r>
      <w:r>
        <w:t>∙s</w:t>
      </w:r>
      <w:r>
        <w:rPr>
          <w:vertAlign w:val="superscript"/>
        </w:rPr>
        <w:t>-1</w:t>
      </w:r>
      <w:r>
        <w:t>. This is similar to the average (±1SD) late dry season radon flux density of 64 ±25 mBq∙m</w:t>
      </w:r>
      <w:r>
        <w:rPr>
          <w:vertAlign w:val="superscript"/>
        </w:rPr>
        <w:t>-2</w:t>
      </w:r>
      <w:r>
        <w:t>∙s</w:t>
      </w:r>
      <w:r>
        <w:rPr>
          <w:vertAlign w:val="superscript"/>
        </w:rPr>
        <w:t>-1</w:t>
      </w:r>
      <w:r>
        <w:t xml:space="preserve">, which was previously determined for the region (Todd et al 1998). </w:t>
      </w:r>
    </w:p>
    <w:p w:rsidR="00B36F09" w:rsidRDefault="00B36F09" w:rsidP="00B36F09">
      <w:r>
        <w:t xml:space="preserve">Radon exhalation flux density measurements on the trial landform now cover two seasonal cycles. A summary of the results is presented in Figure 2 and Table 1. </w:t>
      </w:r>
    </w:p>
    <w:p w:rsidR="00B36F09" w:rsidRDefault="00B36F09" w:rsidP="00B36F09">
      <w:r>
        <w:rPr>
          <w:noProof/>
          <w:lang w:eastAsia="en-AU"/>
        </w:rPr>
        <w:lastRenderedPageBreak/>
        <w:drawing>
          <wp:inline distT="0" distB="0" distL="0" distR="0">
            <wp:extent cx="5143669" cy="2775569"/>
            <wp:effectExtent l="1905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screen"/>
                    <a:srcRect l="1674" t="4832" r="746" b="16246"/>
                    <a:stretch>
                      <a:fillRect/>
                    </a:stretch>
                  </pic:blipFill>
                  <pic:spPr bwMode="auto">
                    <a:xfrm>
                      <a:off x="0" y="0"/>
                      <a:ext cx="5143669" cy="2775569"/>
                    </a:xfrm>
                    <a:prstGeom prst="rect">
                      <a:avLst/>
                    </a:prstGeom>
                    <a:noFill/>
                    <a:ln w="9525">
                      <a:noFill/>
                      <a:miter lim="800000"/>
                      <a:headEnd/>
                      <a:tailEnd/>
                    </a:ln>
                  </pic:spPr>
                </pic:pic>
              </a:graphicData>
            </a:graphic>
          </wp:inline>
        </w:drawing>
      </w:r>
    </w:p>
    <w:p w:rsidR="00B36F09" w:rsidRDefault="00B36F09" w:rsidP="00B36F09">
      <w:pPr>
        <w:pStyle w:val="figurecaption"/>
      </w:pPr>
      <w:r w:rsidRPr="00901E47">
        <w:rPr>
          <w:b/>
        </w:rPr>
        <w:t xml:space="preserve">Figure </w:t>
      </w:r>
      <w:proofErr w:type="gramStart"/>
      <w:r w:rsidRPr="00901E47">
        <w:rPr>
          <w:b/>
        </w:rPr>
        <w:t>2</w:t>
      </w:r>
      <w:r>
        <w:t xml:space="preserve">  </w:t>
      </w:r>
      <w:proofErr w:type="spellStart"/>
      <w:r>
        <w:t>Boxplots</w:t>
      </w:r>
      <w:proofErr w:type="spellEnd"/>
      <w:proofErr w:type="gramEnd"/>
      <w:r>
        <w:t xml:space="preserve"> of radon flux density measurements conducted on the trial </w:t>
      </w:r>
      <w:proofErr w:type="spellStart"/>
      <w:r>
        <w:t>landfrom</w:t>
      </w:r>
      <w:proofErr w:type="spellEnd"/>
      <w:r>
        <w:t xml:space="preserve"> from May 2009 to October 2011, showing median (middle line), 1</w:t>
      </w:r>
      <w:r w:rsidRPr="0046527A">
        <w:rPr>
          <w:vertAlign w:val="superscript"/>
        </w:rPr>
        <w:t>st</w:t>
      </w:r>
      <w:r>
        <w:t xml:space="preserve"> (bottom line) and 3</w:t>
      </w:r>
      <w:r w:rsidRPr="0046527A">
        <w:rPr>
          <w:vertAlign w:val="superscript"/>
        </w:rPr>
        <w:t>rd</w:t>
      </w:r>
      <w:r>
        <w:t xml:space="preserve"> (top line) quartiles. The u</w:t>
      </w:r>
      <w:r w:rsidRPr="002F533D">
        <w:t xml:space="preserve">pper </w:t>
      </w:r>
      <w:r>
        <w:t xml:space="preserve">(lower) </w:t>
      </w:r>
      <w:r w:rsidRPr="002F533D">
        <w:t>whisker</w:t>
      </w:r>
      <w:r>
        <w:t>s</w:t>
      </w:r>
      <w:r w:rsidRPr="002F533D">
        <w:t xml:space="preserve"> </w:t>
      </w:r>
      <w:r>
        <w:t>e</w:t>
      </w:r>
      <w:r w:rsidRPr="002F533D">
        <w:t>xtend to the maximum</w:t>
      </w:r>
      <w:r>
        <w:t xml:space="preserve"> (minimum)</w:t>
      </w:r>
      <w:r w:rsidRPr="002F533D">
        <w:t xml:space="preserve"> data point within 1.5 box heights from the top</w:t>
      </w:r>
      <w:r>
        <w:t xml:space="preserve"> (bottom)</w:t>
      </w:r>
      <w:r w:rsidRPr="002F533D">
        <w:t xml:space="preserve"> of the box</w:t>
      </w:r>
      <w:r>
        <w:t>. The data points indicate outliers that fall beyond the whiskers.</w:t>
      </w:r>
    </w:p>
    <w:p w:rsidR="00B36F09" w:rsidRPr="000B6B84" w:rsidRDefault="00B36F09" w:rsidP="00B36F09">
      <w:pPr>
        <w:pStyle w:val="tablecaption"/>
      </w:pPr>
      <w:r w:rsidRPr="00A70582">
        <w:rPr>
          <w:b/>
        </w:rPr>
        <w:t xml:space="preserve">Table </w:t>
      </w:r>
      <w:proofErr w:type="gramStart"/>
      <w:r w:rsidRPr="00A70582">
        <w:rPr>
          <w:b/>
        </w:rPr>
        <w:t>1</w:t>
      </w:r>
      <w:r w:rsidRPr="000B6B84">
        <w:t xml:space="preserve">  Description</w:t>
      </w:r>
      <w:proofErr w:type="gramEnd"/>
      <w:r w:rsidRPr="000B6B84">
        <w:t xml:space="preserve"> of the four erosion plots and average (arithmetic and </w:t>
      </w:r>
      <w:r w:rsidRPr="008D70DC">
        <w:rPr>
          <w:i/>
        </w:rPr>
        <w:t>geometric</w:t>
      </w:r>
      <w:r w:rsidRPr="000B6B84">
        <w:t>) radon flux densities measured on the surface in 2009</w:t>
      </w:r>
      <w:r>
        <w:t>–11</w:t>
      </w:r>
    </w:p>
    <w:tbl>
      <w:tblPr>
        <w:tblW w:w="8072" w:type="dxa"/>
        <w:tblLook w:val="0000"/>
      </w:tblPr>
      <w:tblGrid>
        <w:gridCol w:w="973"/>
        <w:gridCol w:w="1330"/>
        <w:gridCol w:w="705"/>
        <w:gridCol w:w="726"/>
        <w:gridCol w:w="634"/>
        <w:gridCol w:w="679"/>
        <w:gridCol w:w="768"/>
        <w:gridCol w:w="770"/>
        <w:gridCol w:w="719"/>
        <w:gridCol w:w="768"/>
      </w:tblGrid>
      <w:tr w:rsidR="00B36F09" w:rsidRPr="008B1A02" w:rsidTr="008F70D3">
        <w:tc>
          <w:tcPr>
            <w:tcW w:w="973" w:type="dxa"/>
            <w:tcBorders>
              <w:top w:val="single" w:sz="4" w:space="0" w:color="auto"/>
              <w:bottom w:val="single" w:sz="4" w:space="0" w:color="auto"/>
            </w:tcBorders>
          </w:tcPr>
          <w:p w:rsidR="00B36F09" w:rsidRPr="008B1A02" w:rsidRDefault="00B36F09" w:rsidP="008F70D3">
            <w:pPr>
              <w:pStyle w:val="table1"/>
              <w:rPr>
                <w:b/>
              </w:rPr>
            </w:pPr>
          </w:p>
        </w:tc>
        <w:tc>
          <w:tcPr>
            <w:tcW w:w="1401" w:type="dxa"/>
            <w:tcBorders>
              <w:top w:val="single" w:sz="4" w:space="0" w:color="auto"/>
              <w:bottom w:val="single" w:sz="4" w:space="0" w:color="auto"/>
            </w:tcBorders>
          </w:tcPr>
          <w:p w:rsidR="00B36F09" w:rsidRPr="008B1A02" w:rsidRDefault="00B36F09" w:rsidP="008F70D3">
            <w:pPr>
              <w:pStyle w:val="table1"/>
              <w:rPr>
                <w:b/>
              </w:rPr>
            </w:pPr>
            <w:r w:rsidRPr="008B1A02">
              <w:rPr>
                <w:b/>
              </w:rPr>
              <w:t>Treatment</w:t>
            </w:r>
          </w:p>
        </w:tc>
        <w:tc>
          <w:tcPr>
            <w:tcW w:w="5698" w:type="dxa"/>
            <w:gridSpan w:val="8"/>
            <w:tcBorders>
              <w:top w:val="single" w:sz="4" w:space="0" w:color="auto"/>
              <w:bottom w:val="single" w:sz="4" w:space="0" w:color="auto"/>
            </w:tcBorders>
          </w:tcPr>
          <w:p w:rsidR="00B36F09" w:rsidRPr="008B1A02" w:rsidRDefault="00B36F09" w:rsidP="008F70D3">
            <w:pPr>
              <w:pStyle w:val="table1"/>
              <w:jc w:val="center"/>
              <w:rPr>
                <w:b/>
              </w:rPr>
            </w:pPr>
            <w:r w:rsidRPr="008B1A02">
              <w:rPr>
                <w:b/>
                <w:snapToGrid w:val="0"/>
                <w:color w:val="000000"/>
                <w:position w:val="4"/>
                <w:sz w:val="11"/>
                <w:szCs w:val="0"/>
                <w:u w:color="000000"/>
              </w:rPr>
              <w:t>222</w:t>
            </w:r>
            <w:proofErr w:type="spellStart"/>
            <w:r w:rsidRPr="008B1A02">
              <w:rPr>
                <w:b/>
              </w:rPr>
              <w:t>Rn</w:t>
            </w:r>
            <w:proofErr w:type="spellEnd"/>
            <w:r w:rsidRPr="008B1A02">
              <w:rPr>
                <w:b/>
              </w:rPr>
              <w:t xml:space="preserve"> flux density [mBq∙m</w:t>
            </w:r>
            <w:r w:rsidRPr="008B1A02">
              <w:rPr>
                <w:b/>
                <w:vertAlign w:val="superscript"/>
              </w:rPr>
              <w:t>-2</w:t>
            </w:r>
            <w:r w:rsidRPr="008B1A02">
              <w:rPr>
                <w:b/>
              </w:rPr>
              <w:t>∙s</w:t>
            </w:r>
            <w:r w:rsidRPr="008B1A02">
              <w:rPr>
                <w:b/>
                <w:vertAlign w:val="superscript"/>
              </w:rPr>
              <w:t>-1</w:t>
            </w:r>
            <w:r w:rsidRPr="008B1A02">
              <w:rPr>
                <w:b/>
              </w:rPr>
              <w:t>]</w:t>
            </w:r>
          </w:p>
          <w:p w:rsidR="00B36F09" w:rsidRPr="008B1A02" w:rsidRDefault="00B36F09" w:rsidP="008F70D3">
            <w:pPr>
              <w:pStyle w:val="table1"/>
              <w:jc w:val="center"/>
              <w:rPr>
                <w:b/>
                <w:snapToGrid w:val="0"/>
                <w:color w:val="000000"/>
                <w:position w:val="4"/>
                <w:sz w:val="11"/>
                <w:szCs w:val="0"/>
                <w:u w:color="000000"/>
              </w:rPr>
            </w:pPr>
            <w:r w:rsidRPr="008B1A02">
              <w:rPr>
                <w:b/>
              </w:rPr>
              <w:t>Arithmetic (</w:t>
            </w:r>
            <w:r w:rsidRPr="008B1A02">
              <w:rPr>
                <w:b/>
                <w:i/>
              </w:rPr>
              <w:t>geometric</w:t>
            </w:r>
            <w:r w:rsidRPr="008B1A02">
              <w:rPr>
                <w:b/>
              </w:rPr>
              <w:t>) average ± error</w:t>
            </w:r>
            <w:r>
              <w:rPr>
                <w:b/>
              </w:rPr>
              <w:t xml:space="preserve"> (95% confidence)</w:t>
            </w:r>
          </w:p>
        </w:tc>
      </w:tr>
      <w:tr w:rsidR="00B36F09" w:rsidTr="008F70D3">
        <w:tc>
          <w:tcPr>
            <w:tcW w:w="973" w:type="dxa"/>
            <w:tcBorders>
              <w:top w:val="single" w:sz="4" w:space="0" w:color="auto"/>
            </w:tcBorders>
          </w:tcPr>
          <w:p w:rsidR="00B36F09" w:rsidRDefault="00B36F09" w:rsidP="008F70D3">
            <w:pPr>
              <w:pStyle w:val="table1"/>
            </w:pPr>
          </w:p>
        </w:tc>
        <w:tc>
          <w:tcPr>
            <w:tcW w:w="1401" w:type="dxa"/>
            <w:tcBorders>
              <w:top w:val="single" w:sz="4" w:space="0" w:color="auto"/>
            </w:tcBorders>
          </w:tcPr>
          <w:p w:rsidR="00B36F09" w:rsidRDefault="00B36F09" w:rsidP="008F70D3">
            <w:pPr>
              <w:pStyle w:val="table1"/>
            </w:pPr>
          </w:p>
        </w:tc>
        <w:tc>
          <w:tcPr>
            <w:tcW w:w="711" w:type="dxa"/>
            <w:tcBorders>
              <w:top w:val="single" w:sz="4" w:space="0" w:color="auto"/>
            </w:tcBorders>
            <w:shd w:val="clear" w:color="auto" w:fill="auto"/>
          </w:tcPr>
          <w:p w:rsidR="00B36F09" w:rsidRDefault="00B36F09" w:rsidP="008F70D3">
            <w:pPr>
              <w:pStyle w:val="table1"/>
              <w:jc w:val="center"/>
            </w:pPr>
            <w:r>
              <w:t>May 2009</w:t>
            </w:r>
          </w:p>
        </w:tc>
        <w:tc>
          <w:tcPr>
            <w:tcW w:w="736" w:type="dxa"/>
            <w:tcBorders>
              <w:top w:val="single" w:sz="4" w:space="0" w:color="auto"/>
            </w:tcBorders>
            <w:shd w:val="clear" w:color="auto" w:fill="auto"/>
          </w:tcPr>
          <w:p w:rsidR="00B36F09" w:rsidRDefault="00B36F09" w:rsidP="008F70D3">
            <w:pPr>
              <w:pStyle w:val="table1"/>
              <w:jc w:val="center"/>
            </w:pPr>
            <w:r>
              <w:t>Sep 2009</w:t>
            </w:r>
          </w:p>
        </w:tc>
        <w:tc>
          <w:tcPr>
            <w:tcW w:w="578" w:type="dxa"/>
            <w:tcBorders>
              <w:top w:val="single" w:sz="4" w:space="0" w:color="auto"/>
            </w:tcBorders>
            <w:shd w:val="clear" w:color="auto" w:fill="auto"/>
          </w:tcPr>
          <w:p w:rsidR="00B36F09" w:rsidRDefault="00B36F09" w:rsidP="008F70D3">
            <w:pPr>
              <w:pStyle w:val="table1"/>
              <w:jc w:val="center"/>
            </w:pPr>
            <w:r>
              <w:t>Feb 2010</w:t>
            </w:r>
          </w:p>
        </w:tc>
        <w:tc>
          <w:tcPr>
            <w:tcW w:w="679" w:type="dxa"/>
            <w:tcBorders>
              <w:top w:val="single" w:sz="4" w:space="0" w:color="auto"/>
            </w:tcBorders>
            <w:shd w:val="clear" w:color="auto" w:fill="auto"/>
          </w:tcPr>
          <w:p w:rsidR="00B36F09" w:rsidRDefault="00B36F09" w:rsidP="008F70D3">
            <w:pPr>
              <w:pStyle w:val="table1"/>
              <w:jc w:val="center"/>
            </w:pPr>
            <w:r>
              <w:t>May 2010</w:t>
            </w:r>
          </w:p>
        </w:tc>
        <w:tc>
          <w:tcPr>
            <w:tcW w:w="768" w:type="dxa"/>
            <w:tcBorders>
              <w:top w:val="single" w:sz="4" w:space="0" w:color="auto"/>
            </w:tcBorders>
          </w:tcPr>
          <w:p w:rsidR="00B36F09" w:rsidRDefault="00B36F09" w:rsidP="008F70D3">
            <w:pPr>
              <w:pStyle w:val="table1"/>
              <w:jc w:val="center"/>
            </w:pPr>
            <w:r>
              <w:t>Sep 2010</w:t>
            </w:r>
          </w:p>
        </w:tc>
        <w:tc>
          <w:tcPr>
            <w:tcW w:w="770" w:type="dxa"/>
            <w:tcBorders>
              <w:top w:val="single" w:sz="4" w:space="0" w:color="auto"/>
            </w:tcBorders>
          </w:tcPr>
          <w:p w:rsidR="00B36F09" w:rsidRDefault="00B36F09" w:rsidP="008F70D3">
            <w:pPr>
              <w:pStyle w:val="table1"/>
              <w:jc w:val="center"/>
            </w:pPr>
            <w:r>
              <w:t>Jan 2011</w:t>
            </w:r>
          </w:p>
        </w:tc>
        <w:tc>
          <w:tcPr>
            <w:tcW w:w="728" w:type="dxa"/>
            <w:tcBorders>
              <w:top w:val="single" w:sz="4" w:space="0" w:color="auto"/>
            </w:tcBorders>
          </w:tcPr>
          <w:p w:rsidR="00B36F09" w:rsidRDefault="00B36F09" w:rsidP="008F70D3">
            <w:pPr>
              <w:pStyle w:val="table1"/>
              <w:jc w:val="center"/>
            </w:pPr>
            <w:r>
              <w:t>May 2011</w:t>
            </w:r>
          </w:p>
        </w:tc>
        <w:tc>
          <w:tcPr>
            <w:tcW w:w="728" w:type="dxa"/>
            <w:tcBorders>
              <w:top w:val="single" w:sz="4" w:space="0" w:color="auto"/>
            </w:tcBorders>
          </w:tcPr>
          <w:p w:rsidR="00B36F09" w:rsidRDefault="00B36F09" w:rsidP="008F70D3">
            <w:pPr>
              <w:pStyle w:val="table1"/>
              <w:jc w:val="center"/>
            </w:pPr>
            <w:r>
              <w:t>Sep 2011</w:t>
            </w:r>
          </w:p>
        </w:tc>
      </w:tr>
      <w:tr w:rsidR="00B36F09" w:rsidTr="008F70D3">
        <w:tc>
          <w:tcPr>
            <w:tcW w:w="973" w:type="dxa"/>
            <w:tcBorders>
              <w:top w:val="single" w:sz="4" w:space="0" w:color="auto"/>
            </w:tcBorders>
          </w:tcPr>
          <w:p w:rsidR="00B36F09" w:rsidRDefault="00B36F09" w:rsidP="008F70D3">
            <w:pPr>
              <w:pStyle w:val="table1"/>
            </w:pPr>
            <w:r>
              <w:t>RUM_EP1</w:t>
            </w:r>
          </w:p>
        </w:tc>
        <w:tc>
          <w:tcPr>
            <w:tcW w:w="1401" w:type="dxa"/>
            <w:tcBorders>
              <w:top w:val="single" w:sz="4" w:space="0" w:color="auto"/>
            </w:tcBorders>
          </w:tcPr>
          <w:p w:rsidR="00B36F09" w:rsidRDefault="00B36F09" w:rsidP="008F70D3">
            <w:pPr>
              <w:pStyle w:val="table1"/>
              <w:ind w:right="-89"/>
            </w:pPr>
            <w:r>
              <w:t>Waste rock material planted with tube stock</w:t>
            </w:r>
          </w:p>
        </w:tc>
        <w:tc>
          <w:tcPr>
            <w:tcW w:w="711" w:type="dxa"/>
            <w:tcBorders>
              <w:top w:val="single" w:sz="4" w:space="0" w:color="auto"/>
            </w:tcBorders>
            <w:shd w:val="clear" w:color="auto" w:fill="auto"/>
          </w:tcPr>
          <w:p w:rsidR="00B36F09" w:rsidRDefault="00B36F09" w:rsidP="008F70D3">
            <w:pPr>
              <w:pStyle w:val="table1"/>
              <w:jc w:val="center"/>
            </w:pPr>
            <w:r>
              <w:t>22(</w:t>
            </w:r>
            <w:r>
              <w:rPr>
                <w:i/>
              </w:rPr>
              <w:t>14</w:t>
            </w:r>
            <w:r>
              <w:t>) ± 11</w:t>
            </w:r>
          </w:p>
        </w:tc>
        <w:tc>
          <w:tcPr>
            <w:tcW w:w="736" w:type="dxa"/>
            <w:tcBorders>
              <w:top w:val="single" w:sz="4" w:space="0" w:color="auto"/>
            </w:tcBorders>
            <w:shd w:val="clear" w:color="auto" w:fill="auto"/>
          </w:tcPr>
          <w:p w:rsidR="00B36F09" w:rsidRDefault="00B36F09" w:rsidP="008F70D3">
            <w:pPr>
              <w:pStyle w:val="table1"/>
              <w:jc w:val="center"/>
            </w:pPr>
            <w:r>
              <w:t>14(</w:t>
            </w:r>
            <w:r w:rsidRPr="00632CCA">
              <w:rPr>
                <w:i/>
              </w:rPr>
              <w:t>7</w:t>
            </w:r>
            <w:r>
              <w:t>)  ± 8</w:t>
            </w:r>
          </w:p>
        </w:tc>
        <w:tc>
          <w:tcPr>
            <w:tcW w:w="578" w:type="dxa"/>
            <w:tcBorders>
              <w:top w:val="single" w:sz="4" w:space="0" w:color="auto"/>
            </w:tcBorders>
            <w:shd w:val="clear" w:color="auto" w:fill="auto"/>
          </w:tcPr>
          <w:p w:rsidR="00B36F09" w:rsidRDefault="00B36F09" w:rsidP="008F70D3">
            <w:pPr>
              <w:pStyle w:val="table1"/>
              <w:jc w:val="center"/>
            </w:pPr>
            <w:r>
              <w:t>7(</w:t>
            </w:r>
            <w:r w:rsidRPr="00632CCA">
              <w:rPr>
                <w:i/>
              </w:rPr>
              <w:t>4</w:t>
            </w:r>
            <w:r>
              <w:t>) ± 3</w:t>
            </w:r>
          </w:p>
        </w:tc>
        <w:tc>
          <w:tcPr>
            <w:tcW w:w="679" w:type="dxa"/>
            <w:tcBorders>
              <w:top w:val="single" w:sz="4" w:space="0" w:color="auto"/>
            </w:tcBorders>
            <w:shd w:val="clear" w:color="auto" w:fill="auto"/>
          </w:tcPr>
          <w:p w:rsidR="00B36F09" w:rsidRDefault="00B36F09" w:rsidP="008F70D3">
            <w:pPr>
              <w:pStyle w:val="table1"/>
              <w:jc w:val="center"/>
            </w:pPr>
            <w:r>
              <w:t>43(</w:t>
            </w:r>
            <w:r w:rsidRPr="00632CCA">
              <w:rPr>
                <w:i/>
              </w:rPr>
              <w:t>21</w:t>
            </w:r>
            <w:r>
              <w:t>) ± 25</w:t>
            </w:r>
          </w:p>
        </w:tc>
        <w:tc>
          <w:tcPr>
            <w:tcW w:w="768" w:type="dxa"/>
            <w:tcBorders>
              <w:top w:val="single" w:sz="4" w:space="0" w:color="auto"/>
            </w:tcBorders>
          </w:tcPr>
          <w:p w:rsidR="00B36F09" w:rsidRDefault="00B36F09" w:rsidP="008F70D3">
            <w:pPr>
              <w:pStyle w:val="table1"/>
              <w:jc w:val="center"/>
            </w:pPr>
            <w:r>
              <w:t>60(</w:t>
            </w:r>
            <w:r w:rsidRPr="006262FA">
              <w:rPr>
                <w:i/>
              </w:rPr>
              <w:t>26</w:t>
            </w:r>
            <w:r>
              <w:t>) ± 47</w:t>
            </w:r>
          </w:p>
        </w:tc>
        <w:tc>
          <w:tcPr>
            <w:tcW w:w="770" w:type="dxa"/>
            <w:tcBorders>
              <w:top w:val="single" w:sz="4" w:space="0" w:color="auto"/>
            </w:tcBorders>
          </w:tcPr>
          <w:p w:rsidR="00B36F09" w:rsidRDefault="00B36F09" w:rsidP="008F70D3">
            <w:pPr>
              <w:pStyle w:val="table1"/>
              <w:jc w:val="center"/>
            </w:pPr>
            <w:r>
              <w:t>100(</w:t>
            </w:r>
            <w:r w:rsidRPr="006262FA">
              <w:rPr>
                <w:i/>
              </w:rPr>
              <w:t>27</w:t>
            </w:r>
            <w:r>
              <w:t>) ± 76</w:t>
            </w:r>
          </w:p>
        </w:tc>
        <w:tc>
          <w:tcPr>
            <w:tcW w:w="728" w:type="dxa"/>
            <w:tcBorders>
              <w:top w:val="single" w:sz="4" w:space="0" w:color="auto"/>
            </w:tcBorders>
          </w:tcPr>
          <w:p w:rsidR="00B36F09" w:rsidRDefault="00B36F09" w:rsidP="008F70D3">
            <w:pPr>
              <w:pStyle w:val="table1"/>
              <w:jc w:val="center"/>
            </w:pPr>
            <w:r>
              <w:t>60(</w:t>
            </w:r>
            <w:r w:rsidRPr="005344DF">
              <w:rPr>
                <w:i/>
              </w:rPr>
              <w:t>18</w:t>
            </w:r>
            <w:r>
              <w:t>) ± 63</w:t>
            </w:r>
          </w:p>
          <w:p w:rsidR="00B36F09" w:rsidRDefault="00B36F09" w:rsidP="008F70D3">
            <w:pPr>
              <w:pStyle w:val="table1"/>
              <w:jc w:val="center"/>
            </w:pPr>
          </w:p>
        </w:tc>
        <w:tc>
          <w:tcPr>
            <w:tcW w:w="728" w:type="dxa"/>
            <w:tcBorders>
              <w:top w:val="single" w:sz="4" w:space="0" w:color="auto"/>
            </w:tcBorders>
          </w:tcPr>
          <w:p w:rsidR="00B36F09" w:rsidRDefault="00B36F09" w:rsidP="008F70D3">
            <w:pPr>
              <w:pStyle w:val="table1"/>
              <w:jc w:val="center"/>
            </w:pPr>
            <w:r>
              <w:t>68(</w:t>
            </w:r>
            <w:r w:rsidRPr="005344DF">
              <w:rPr>
                <w:i/>
              </w:rPr>
              <w:t>24</w:t>
            </w:r>
            <w:r>
              <w:t>) ± 47</w:t>
            </w:r>
          </w:p>
          <w:p w:rsidR="00B36F09" w:rsidRDefault="00B36F09" w:rsidP="008F70D3">
            <w:pPr>
              <w:pStyle w:val="table1"/>
              <w:jc w:val="center"/>
            </w:pPr>
          </w:p>
        </w:tc>
      </w:tr>
      <w:tr w:rsidR="00B36F09" w:rsidTr="008F70D3">
        <w:tc>
          <w:tcPr>
            <w:tcW w:w="973" w:type="dxa"/>
          </w:tcPr>
          <w:p w:rsidR="00B36F09" w:rsidRDefault="00B36F09" w:rsidP="008F70D3">
            <w:pPr>
              <w:pStyle w:val="table1"/>
            </w:pPr>
            <w:r>
              <w:t>RUM_EP2</w:t>
            </w:r>
          </w:p>
        </w:tc>
        <w:tc>
          <w:tcPr>
            <w:tcW w:w="1401" w:type="dxa"/>
          </w:tcPr>
          <w:p w:rsidR="00B36F09" w:rsidRDefault="00B36F09" w:rsidP="008F70D3">
            <w:pPr>
              <w:pStyle w:val="table1"/>
            </w:pPr>
            <w:r>
              <w:t>Waste rock planted by direct seeding</w:t>
            </w:r>
          </w:p>
        </w:tc>
        <w:tc>
          <w:tcPr>
            <w:tcW w:w="711" w:type="dxa"/>
            <w:shd w:val="clear" w:color="auto" w:fill="auto"/>
          </w:tcPr>
          <w:p w:rsidR="00B36F09" w:rsidRDefault="00B36F09" w:rsidP="008F70D3">
            <w:pPr>
              <w:pStyle w:val="table1"/>
              <w:jc w:val="center"/>
            </w:pPr>
            <w:r>
              <w:t>42(</w:t>
            </w:r>
            <w:r>
              <w:rPr>
                <w:i/>
              </w:rPr>
              <w:t>27</w:t>
            </w:r>
            <w:r>
              <w:t>) ± 15</w:t>
            </w:r>
          </w:p>
        </w:tc>
        <w:tc>
          <w:tcPr>
            <w:tcW w:w="736" w:type="dxa"/>
            <w:shd w:val="clear" w:color="auto" w:fill="auto"/>
          </w:tcPr>
          <w:p w:rsidR="00B36F09" w:rsidRDefault="00B36F09" w:rsidP="008F70D3">
            <w:pPr>
              <w:pStyle w:val="table1"/>
              <w:jc w:val="center"/>
            </w:pPr>
            <w:r>
              <w:t>15(</w:t>
            </w:r>
            <w:r w:rsidRPr="00632CCA">
              <w:t>7</w:t>
            </w:r>
            <w:r>
              <w:t>)  ± 9</w:t>
            </w:r>
          </w:p>
        </w:tc>
        <w:tc>
          <w:tcPr>
            <w:tcW w:w="578" w:type="dxa"/>
            <w:shd w:val="clear" w:color="auto" w:fill="auto"/>
          </w:tcPr>
          <w:p w:rsidR="00B36F09" w:rsidRDefault="00B36F09" w:rsidP="008F70D3">
            <w:pPr>
              <w:pStyle w:val="table1"/>
              <w:jc w:val="center"/>
            </w:pPr>
            <w:r>
              <w:t>8(</w:t>
            </w:r>
            <w:r w:rsidRPr="00632CCA">
              <w:rPr>
                <w:i/>
              </w:rPr>
              <w:t>5</w:t>
            </w:r>
            <w:r>
              <w:t>) ± 4</w:t>
            </w:r>
          </w:p>
        </w:tc>
        <w:tc>
          <w:tcPr>
            <w:tcW w:w="679" w:type="dxa"/>
            <w:shd w:val="clear" w:color="auto" w:fill="auto"/>
          </w:tcPr>
          <w:p w:rsidR="00B36F09" w:rsidRDefault="00B36F09" w:rsidP="008F70D3">
            <w:pPr>
              <w:pStyle w:val="table1"/>
              <w:jc w:val="center"/>
            </w:pPr>
            <w:r>
              <w:t>45(</w:t>
            </w:r>
            <w:r w:rsidRPr="00632CCA">
              <w:rPr>
                <w:i/>
              </w:rPr>
              <w:t>28</w:t>
            </w:r>
            <w:r>
              <w:t>) ± 20</w:t>
            </w:r>
          </w:p>
        </w:tc>
        <w:tc>
          <w:tcPr>
            <w:tcW w:w="768" w:type="dxa"/>
          </w:tcPr>
          <w:p w:rsidR="00B36F09" w:rsidRDefault="00B36F09" w:rsidP="008F70D3">
            <w:pPr>
              <w:pStyle w:val="table1"/>
              <w:jc w:val="center"/>
            </w:pPr>
            <w:r>
              <w:t>69(</w:t>
            </w:r>
            <w:r w:rsidRPr="006262FA">
              <w:rPr>
                <w:i/>
              </w:rPr>
              <w:t>36</w:t>
            </w:r>
            <w:r>
              <w:t>) ± 35</w:t>
            </w:r>
          </w:p>
        </w:tc>
        <w:tc>
          <w:tcPr>
            <w:tcW w:w="770" w:type="dxa"/>
          </w:tcPr>
          <w:p w:rsidR="00B36F09" w:rsidRDefault="00B36F09" w:rsidP="008F70D3">
            <w:pPr>
              <w:pStyle w:val="table1"/>
              <w:ind w:right="-83"/>
              <w:jc w:val="center"/>
            </w:pPr>
            <w:r>
              <w:t>126 (</w:t>
            </w:r>
            <w:r w:rsidRPr="006262FA">
              <w:rPr>
                <w:i/>
              </w:rPr>
              <w:t>44</w:t>
            </w:r>
            <w:r>
              <w:t>) ± 86</w:t>
            </w:r>
          </w:p>
        </w:tc>
        <w:tc>
          <w:tcPr>
            <w:tcW w:w="728" w:type="dxa"/>
          </w:tcPr>
          <w:p w:rsidR="00B36F09" w:rsidRDefault="00B36F09" w:rsidP="008F70D3">
            <w:pPr>
              <w:pStyle w:val="table1"/>
              <w:jc w:val="center"/>
            </w:pPr>
            <w:r>
              <w:t>67(</w:t>
            </w:r>
            <w:r w:rsidRPr="005344DF">
              <w:rPr>
                <w:i/>
              </w:rPr>
              <w:t>38</w:t>
            </w:r>
            <w:r>
              <w:t>) ± 37</w:t>
            </w:r>
          </w:p>
        </w:tc>
        <w:tc>
          <w:tcPr>
            <w:tcW w:w="728" w:type="dxa"/>
          </w:tcPr>
          <w:p w:rsidR="00B36F09" w:rsidRDefault="00B36F09" w:rsidP="008F70D3">
            <w:pPr>
              <w:pStyle w:val="table1"/>
              <w:jc w:val="center"/>
            </w:pPr>
            <w:r>
              <w:t>82(</w:t>
            </w:r>
            <w:r w:rsidRPr="005344DF">
              <w:rPr>
                <w:i/>
              </w:rPr>
              <w:t>43</w:t>
            </w:r>
            <w:r>
              <w:t>) ± 43</w:t>
            </w:r>
          </w:p>
        </w:tc>
      </w:tr>
      <w:tr w:rsidR="00B36F09" w:rsidTr="008F70D3">
        <w:tc>
          <w:tcPr>
            <w:tcW w:w="973" w:type="dxa"/>
          </w:tcPr>
          <w:p w:rsidR="00B36F09" w:rsidRDefault="00B36F09" w:rsidP="008F70D3">
            <w:pPr>
              <w:pStyle w:val="table1"/>
            </w:pPr>
            <w:r>
              <w:t>RUM_EP3</w:t>
            </w:r>
          </w:p>
        </w:tc>
        <w:tc>
          <w:tcPr>
            <w:tcW w:w="1401" w:type="dxa"/>
          </w:tcPr>
          <w:p w:rsidR="00B36F09" w:rsidRDefault="00B36F09" w:rsidP="008F70D3">
            <w:pPr>
              <w:pStyle w:val="table1"/>
            </w:pPr>
            <w:r>
              <w:t xml:space="preserve">30% </w:t>
            </w:r>
            <w:proofErr w:type="spellStart"/>
            <w:r>
              <w:t>laterite</w:t>
            </w:r>
            <w:proofErr w:type="spellEnd"/>
            <w:r>
              <w:t>/ waste rock mix, direct seeding</w:t>
            </w:r>
          </w:p>
        </w:tc>
        <w:tc>
          <w:tcPr>
            <w:tcW w:w="711" w:type="dxa"/>
            <w:shd w:val="clear" w:color="auto" w:fill="auto"/>
          </w:tcPr>
          <w:p w:rsidR="00B36F09" w:rsidRDefault="00B36F09" w:rsidP="008F70D3">
            <w:pPr>
              <w:pStyle w:val="table1"/>
              <w:jc w:val="center"/>
            </w:pPr>
            <w:r>
              <w:t>18(</w:t>
            </w:r>
            <w:r>
              <w:rPr>
                <w:i/>
              </w:rPr>
              <w:t>13</w:t>
            </w:r>
            <w:r>
              <w:t>) ± 7</w:t>
            </w:r>
          </w:p>
        </w:tc>
        <w:tc>
          <w:tcPr>
            <w:tcW w:w="736" w:type="dxa"/>
            <w:shd w:val="clear" w:color="auto" w:fill="auto"/>
          </w:tcPr>
          <w:p w:rsidR="00B36F09" w:rsidRDefault="00B36F09" w:rsidP="008F70D3">
            <w:pPr>
              <w:pStyle w:val="table1"/>
              <w:jc w:val="center"/>
            </w:pPr>
            <w:r>
              <w:t>14(</w:t>
            </w:r>
            <w:r w:rsidRPr="00632CCA">
              <w:rPr>
                <w:i/>
              </w:rPr>
              <w:t>9</w:t>
            </w:r>
            <w:r>
              <w:t>)  ± 8</w:t>
            </w:r>
          </w:p>
        </w:tc>
        <w:tc>
          <w:tcPr>
            <w:tcW w:w="578" w:type="dxa"/>
            <w:shd w:val="clear" w:color="auto" w:fill="auto"/>
          </w:tcPr>
          <w:p w:rsidR="00B36F09" w:rsidRDefault="00B36F09" w:rsidP="008F70D3">
            <w:pPr>
              <w:pStyle w:val="table1"/>
              <w:jc w:val="center"/>
            </w:pPr>
            <w:r>
              <w:t>5(</w:t>
            </w:r>
            <w:r>
              <w:rPr>
                <w:i/>
              </w:rPr>
              <w:t>NA</w:t>
            </w:r>
            <w:r>
              <w:t>) ± 2</w:t>
            </w:r>
          </w:p>
        </w:tc>
        <w:tc>
          <w:tcPr>
            <w:tcW w:w="679" w:type="dxa"/>
            <w:shd w:val="clear" w:color="auto" w:fill="auto"/>
          </w:tcPr>
          <w:p w:rsidR="00B36F09" w:rsidRDefault="00B36F09" w:rsidP="008F70D3">
            <w:pPr>
              <w:pStyle w:val="table1"/>
              <w:jc w:val="center"/>
            </w:pPr>
            <w:r>
              <w:t>51(</w:t>
            </w:r>
            <w:r w:rsidRPr="00632CCA">
              <w:rPr>
                <w:i/>
              </w:rPr>
              <w:t>21</w:t>
            </w:r>
            <w:r>
              <w:t>) ± 35</w:t>
            </w:r>
          </w:p>
        </w:tc>
        <w:tc>
          <w:tcPr>
            <w:tcW w:w="768" w:type="dxa"/>
          </w:tcPr>
          <w:p w:rsidR="00B36F09" w:rsidRDefault="00B36F09" w:rsidP="008F70D3">
            <w:pPr>
              <w:pStyle w:val="table1"/>
              <w:jc w:val="center"/>
            </w:pPr>
            <w:r>
              <w:t>102(</w:t>
            </w:r>
            <w:r w:rsidRPr="006262FA">
              <w:rPr>
                <w:i/>
              </w:rPr>
              <w:t>78</w:t>
            </w:r>
            <w:r>
              <w:t>) ± 36</w:t>
            </w:r>
          </w:p>
        </w:tc>
        <w:tc>
          <w:tcPr>
            <w:tcW w:w="770" w:type="dxa"/>
          </w:tcPr>
          <w:p w:rsidR="00B36F09" w:rsidRDefault="00B36F09" w:rsidP="008F70D3">
            <w:pPr>
              <w:pStyle w:val="table1"/>
              <w:jc w:val="center"/>
            </w:pPr>
            <w:r>
              <w:t>49(</w:t>
            </w:r>
            <w:r w:rsidRPr="006262FA">
              <w:rPr>
                <w:i/>
              </w:rPr>
              <w:t>NA</w:t>
            </w:r>
            <w:r>
              <w:t>) ± 48</w:t>
            </w:r>
          </w:p>
        </w:tc>
        <w:tc>
          <w:tcPr>
            <w:tcW w:w="728" w:type="dxa"/>
          </w:tcPr>
          <w:p w:rsidR="00B36F09" w:rsidRDefault="00B36F09" w:rsidP="008F70D3">
            <w:pPr>
              <w:pStyle w:val="table1"/>
              <w:jc w:val="center"/>
            </w:pPr>
            <w:r>
              <w:t>65(</w:t>
            </w:r>
            <w:r w:rsidRPr="005344DF">
              <w:rPr>
                <w:i/>
              </w:rPr>
              <w:t>37</w:t>
            </w:r>
            <w:r>
              <w:t>) ± 33</w:t>
            </w:r>
          </w:p>
        </w:tc>
        <w:tc>
          <w:tcPr>
            <w:tcW w:w="728" w:type="dxa"/>
          </w:tcPr>
          <w:p w:rsidR="00B36F09" w:rsidRDefault="00B36F09" w:rsidP="008F70D3">
            <w:pPr>
              <w:pStyle w:val="table1"/>
              <w:jc w:val="center"/>
            </w:pPr>
            <w:r>
              <w:t>63(</w:t>
            </w:r>
            <w:r w:rsidRPr="005344DF">
              <w:rPr>
                <w:i/>
              </w:rPr>
              <w:t>49</w:t>
            </w:r>
            <w:r>
              <w:t>) ± 19</w:t>
            </w:r>
          </w:p>
        </w:tc>
      </w:tr>
      <w:tr w:rsidR="00B36F09" w:rsidTr="008F70D3">
        <w:tc>
          <w:tcPr>
            <w:tcW w:w="973" w:type="dxa"/>
            <w:tcBorders>
              <w:bottom w:val="single" w:sz="4" w:space="0" w:color="auto"/>
            </w:tcBorders>
          </w:tcPr>
          <w:p w:rsidR="00B36F09" w:rsidRDefault="00B36F09" w:rsidP="008F70D3">
            <w:pPr>
              <w:pStyle w:val="table1"/>
            </w:pPr>
            <w:r>
              <w:t>RUM_EP4</w:t>
            </w:r>
          </w:p>
        </w:tc>
        <w:tc>
          <w:tcPr>
            <w:tcW w:w="1401" w:type="dxa"/>
            <w:tcBorders>
              <w:bottom w:val="single" w:sz="4" w:space="0" w:color="auto"/>
            </w:tcBorders>
          </w:tcPr>
          <w:p w:rsidR="00B36F09" w:rsidRDefault="00B36F09" w:rsidP="008F70D3">
            <w:pPr>
              <w:pStyle w:val="table1"/>
            </w:pPr>
            <w:r>
              <w:t xml:space="preserve">30% </w:t>
            </w:r>
            <w:proofErr w:type="spellStart"/>
            <w:r>
              <w:t>laterite</w:t>
            </w:r>
            <w:proofErr w:type="spellEnd"/>
            <w:r>
              <w:t>/ waste rock mix,  tube stock</w:t>
            </w:r>
          </w:p>
        </w:tc>
        <w:tc>
          <w:tcPr>
            <w:tcW w:w="711" w:type="dxa"/>
            <w:tcBorders>
              <w:bottom w:val="single" w:sz="4" w:space="0" w:color="auto"/>
            </w:tcBorders>
            <w:shd w:val="clear" w:color="auto" w:fill="auto"/>
          </w:tcPr>
          <w:p w:rsidR="00B36F09" w:rsidRDefault="00B36F09" w:rsidP="008F70D3">
            <w:pPr>
              <w:pStyle w:val="table1"/>
              <w:jc w:val="center"/>
            </w:pPr>
            <w:r>
              <w:t>18(</w:t>
            </w:r>
            <w:r>
              <w:rPr>
                <w:i/>
              </w:rPr>
              <w:t>14</w:t>
            </w:r>
            <w:r>
              <w:t>) ± 7</w:t>
            </w:r>
          </w:p>
        </w:tc>
        <w:tc>
          <w:tcPr>
            <w:tcW w:w="736" w:type="dxa"/>
            <w:tcBorders>
              <w:bottom w:val="single" w:sz="4" w:space="0" w:color="auto"/>
            </w:tcBorders>
            <w:shd w:val="clear" w:color="auto" w:fill="auto"/>
          </w:tcPr>
          <w:p w:rsidR="00B36F09" w:rsidRDefault="00B36F09" w:rsidP="008F70D3">
            <w:pPr>
              <w:pStyle w:val="table1"/>
              <w:jc w:val="center"/>
            </w:pPr>
            <w:r>
              <w:t>40(</w:t>
            </w:r>
            <w:r w:rsidRPr="00632CCA">
              <w:rPr>
                <w:i/>
              </w:rPr>
              <w:t>19</w:t>
            </w:r>
            <w:r>
              <w:t>) ± 32</w:t>
            </w:r>
          </w:p>
        </w:tc>
        <w:tc>
          <w:tcPr>
            <w:tcW w:w="578" w:type="dxa"/>
            <w:tcBorders>
              <w:bottom w:val="single" w:sz="4" w:space="0" w:color="auto"/>
            </w:tcBorders>
            <w:shd w:val="clear" w:color="auto" w:fill="auto"/>
          </w:tcPr>
          <w:p w:rsidR="00B36F09" w:rsidRDefault="00B36F09" w:rsidP="008F70D3">
            <w:pPr>
              <w:pStyle w:val="table1"/>
              <w:jc w:val="center"/>
            </w:pPr>
            <w:r>
              <w:t>6(</w:t>
            </w:r>
            <w:r w:rsidRPr="00632CCA">
              <w:rPr>
                <w:i/>
              </w:rPr>
              <w:t>3</w:t>
            </w:r>
            <w:r>
              <w:t>) ± 4</w:t>
            </w:r>
          </w:p>
        </w:tc>
        <w:tc>
          <w:tcPr>
            <w:tcW w:w="679" w:type="dxa"/>
            <w:tcBorders>
              <w:bottom w:val="single" w:sz="4" w:space="0" w:color="auto"/>
            </w:tcBorders>
            <w:shd w:val="clear" w:color="auto" w:fill="auto"/>
          </w:tcPr>
          <w:p w:rsidR="00B36F09" w:rsidRDefault="00B36F09" w:rsidP="008F70D3">
            <w:pPr>
              <w:pStyle w:val="table1"/>
              <w:jc w:val="center"/>
            </w:pPr>
            <w:r>
              <w:t>83(</w:t>
            </w:r>
            <w:r w:rsidRPr="00632CCA">
              <w:rPr>
                <w:i/>
              </w:rPr>
              <w:t>42</w:t>
            </w:r>
            <w:r>
              <w:t>) ± 51</w:t>
            </w:r>
          </w:p>
        </w:tc>
        <w:tc>
          <w:tcPr>
            <w:tcW w:w="768" w:type="dxa"/>
            <w:tcBorders>
              <w:bottom w:val="single" w:sz="4" w:space="0" w:color="auto"/>
            </w:tcBorders>
          </w:tcPr>
          <w:p w:rsidR="00B36F09" w:rsidRDefault="00B36F09" w:rsidP="008F70D3">
            <w:pPr>
              <w:pStyle w:val="table1"/>
              <w:jc w:val="center"/>
            </w:pPr>
            <w:r>
              <w:t>111(</w:t>
            </w:r>
            <w:r w:rsidRPr="006262FA">
              <w:rPr>
                <w:i/>
              </w:rPr>
              <w:t>6</w:t>
            </w:r>
            <w:r>
              <w:rPr>
                <w:i/>
              </w:rPr>
              <w:t>8</w:t>
            </w:r>
            <w:r>
              <w:t>) ± 60</w:t>
            </w:r>
          </w:p>
        </w:tc>
        <w:tc>
          <w:tcPr>
            <w:tcW w:w="770" w:type="dxa"/>
            <w:tcBorders>
              <w:bottom w:val="single" w:sz="4" w:space="0" w:color="auto"/>
            </w:tcBorders>
          </w:tcPr>
          <w:p w:rsidR="00B36F09" w:rsidRDefault="00B36F09" w:rsidP="008F70D3">
            <w:pPr>
              <w:pStyle w:val="table1"/>
              <w:jc w:val="center"/>
            </w:pPr>
            <w:r>
              <w:t>70(</w:t>
            </w:r>
            <w:r w:rsidRPr="006262FA">
              <w:rPr>
                <w:i/>
              </w:rPr>
              <w:t>NA</w:t>
            </w:r>
            <w:r>
              <w:t>) ± 47</w:t>
            </w:r>
          </w:p>
        </w:tc>
        <w:tc>
          <w:tcPr>
            <w:tcW w:w="728" w:type="dxa"/>
            <w:tcBorders>
              <w:bottom w:val="single" w:sz="4" w:space="0" w:color="auto"/>
            </w:tcBorders>
          </w:tcPr>
          <w:p w:rsidR="00B36F09" w:rsidRDefault="00B36F09" w:rsidP="008F70D3">
            <w:pPr>
              <w:pStyle w:val="table1"/>
              <w:jc w:val="center"/>
            </w:pPr>
            <w:r>
              <w:t>71(</w:t>
            </w:r>
            <w:r w:rsidRPr="005344DF">
              <w:rPr>
                <w:i/>
              </w:rPr>
              <w:t>55</w:t>
            </w:r>
            <w:r>
              <w:t>) ± 22</w:t>
            </w:r>
          </w:p>
        </w:tc>
        <w:tc>
          <w:tcPr>
            <w:tcW w:w="728" w:type="dxa"/>
            <w:tcBorders>
              <w:bottom w:val="single" w:sz="4" w:space="0" w:color="auto"/>
            </w:tcBorders>
          </w:tcPr>
          <w:p w:rsidR="00B36F09" w:rsidRDefault="00B36F09" w:rsidP="008F70D3">
            <w:pPr>
              <w:pStyle w:val="table1"/>
              <w:jc w:val="center"/>
            </w:pPr>
            <w:r>
              <w:t>112(</w:t>
            </w:r>
            <w:r w:rsidRPr="005344DF">
              <w:rPr>
                <w:i/>
              </w:rPr>
              <w:t>79</w:t>
            </w:r>
            <w:r>
              <w:t>) ± 41</w:t>
            </w:r>
          </w:p>
        </w:tc>
      </w:tr>
    </w:tbl>
    <w:p w:rsidR="00B36F09" w:rsidRDefault="00B36F09" w:rsidP="00B36F09">
      <w:pPr>
        <w:pStyle w:val="tablenote"/>
        <w:spacing w:before="0"/>
      </w:pPr>
    </w:p>
    <w:p w:rsidR="00B36F09" w:rsidRDefault="00B36F09" w:rsidP="00B36F09">
      <w:r>
        <w:t xml:space="preserve">Radon flux density measurements show a tendency for some higher values and greater variability over time, in particular in September 2010 and January 2011, and were lowest in the first 12 months of the study. Although the radon exhalation showed a seasonal variation typical of the region (Lawrence et al 2009) in the first year of our measurements, with radon exhalation flux densities lower during the wet season compared to the dry season, radon flux density measurements conducted in January 2011 were higher than in the previous wet season, and highest overall on the waste rock treatment (erosion plots 1 and 2). </w:t>
      </w:r>
    </w:p>
    <w:p w:rsidR="00B36F09" w:rsidRDefault="00B36F09" w:rsidP="00B36F09">
      <w:r>
        <w:t xml:space="preserve">Figure 3 shows the median of the radon flux density measurements conducted on the four erosion plots plotted versus the date. The daily rainfall measured on the trial landform is shown for reference. </w:t>
      </w:r>
    </w:p>
    <w:p w:rsidR="00B36F09" w:rsidRDefault="00B36F09" w:rsidP="00B36F09">
      <w:pPr>
        <w:jc w:val="center"/>
      </w:pPr>
      <w:r>
        <w:rPr>
          <w:noProof/>
          <w:lang w:eastAsia="en-AU"/>
        </w:rPr>
        <w:lastRenderedPageBreak/>
        <w:drawing>
          <wp:inline distT="0" distB="0" distL="0" distR="0">
            <wp:extent cx="5262880" cy="2647315"/>
            <wp:effectExtent l="19050" t="0" r="0" b="0"/>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screen"/>
                    <a:srcRect/>
                    <a:stretch>
                      <a:fillRect/>
                    </a:stretch>
                  </pic:blipFill>
                  <pic:spPr bwMode="auto">
                    <a:xfrm>
                      <a:off x="0" y="0"/>
                      <a:ext cx="5262880" cy="2647315"/>
                    </a:xfrm>
                    <a:prstGeom prst="rect">
                      <a:avLst/>
                    </a:prstGeom>
                    <a:noFill/>
                    <a:ln w="9525">
                      <a:noFill/>
                      <a:miter lim="800000"/>
                      <a:headEnd/>
                      <a:tailEnd/>
                    </a:ln>
                  </pic:spPr>
                </pic:pic>
              </a:graphicData>
            </a:graphic>
          </wp:inline>
        </w:drawing>
      </w:r>
    </w:p>
    <w:p w:rsidR="00B36F09" w:rsidRDefault="00B36F09" w:rsidP="00B36F09">
      <w:pPr>
        <w:pStyle w:val="figurecaption"/>
      </w:pPr>
      <w:r w:rsidRPr="00A70582">
        <w:rPr>
          <w:b/>
        </w:rPr>
        <w:t xml:space="preserve">Figure </w:t>
      </w:r>
      <w:proofErr w:type="gramStart"/>
      <w:r w:rsidRPr="00A70582">
        <w:rPr>
          <w:b/>
        </w:rPr>
        <w:t>3</w:t>
      </w:r>
      <w:r>
        <w:t xml:space="preserve">  Median</w:t>
      </w:r>
      <w:proofErr w:type="gramEnd"/>
      <w:r>
        <w:t xml:space="preserve"> radon flux density measured on the four erosion plots and average daily rainfall measured at the trial landform, plotted versus the date</w:t>
      </w:r>
    </w:p>
    <w:p w:rsidR="00B36F09" w:rsidRDefault="00B36F09" w:rsidP="00B36F09">
      <w:r>
        <w:t xml:space="preserve">After two years of radon exhalation measurements, it appears that radon exhalation during the dry season is slightly higher from the </w:t>
      </w:r>
      <w:proofErr w:type="spellStart"/>
      <w:r>
        <w:t>laterite</w:t>
      </w:r>
      <w:proofErr w:type="spellEnd"/>
      <w:r>
        <w:t xml:space="preserve">/waste rock mix landform as compared to waste rock only. This may simply be a result of higher </w:t>
      </w:r>
      <w:r w:rsidRPr="00773E1D">
        <w:rPr>
          <w:vertAlign w:val="superscript"/>
        </w:rPr>
        <w:t>226</w:t>
      </w:r>
      <w:r>
        <w:t xml:space="preserve">Ra activity concentrations in the material used for construction of plots 3 and 4. However, recent </w:t>
      </w:r>
      <w:r w:rsidRPr="00773E1D">
        <w:rPr>
          <w:vertAlign w:val="superscript"/>
        </w:rPr>
        <w:t>226</w:t>
      </w:r>
      <w:r>
        <w:t>Ra soil activity concentration measurements conducted on surface material and erosion products collected from the troughs and basins around the erosion plots discount this hypothesis (</w:t>
      </w:r>
      <w:proofErr w:type="spellStart"/>
      <w:r>
        <w:t>Bollhöfer</w:t>
      </w:r>
      <w:proofErr w:type="spellEnd"/>
      <w:r>
        <w:t xml:space="preserve"> &amp; </w:t>
      </w:r>
      <w:proofErr w:type="spellStart"/>
      <w:proofErr w:type="gramStart"/>
      <w:r>
        <w:t>Pfitzner</w:t>
      </w:r>
      <w:proofErr w:type="spellEnd"/>
      <w:r>
        <w:t xml:space="preserve">  2011</w:t>
      </w:r>
      <w:proofErr w:type="gramEnd"/>
      <w:r>
        <w:t xml:space="preserve">). A detailed gamma survey of the Trial Landform will help to determine the magnitude of the differences in soil radioactivity between the individual plots, and also show within plot variability of soil radioactivity. </w:t>
      </w:r>
    </w:p>
    <w:p w:rsidR="00B36F09" w:rsidRDefault="00B36F09" w:rsidP="00B36F09">
      <w:r>
        <w:t xml:space="preserve">Another reason for the higher dry season radon exhalation may be the smaller average particle size in the </w:t>
      </w:r>
      <w:proofErr w:type="spellStart"/>
      <w:r>
        <w:t>laterite</w:t>
      </w:r>
      <w:proofErr w:type="spellEnd"/>
      <w:r>
        <w:t xml:space="preserve">/waste rock mix erosion plots. The average percentage of silts and clays (&lt; 63 µm) in surface soils from the </w:t>
      </w:r>
      <w:proofErr w:type="spellStart"/>
      <w:r>
        <w:t>laterite</w:t>
      </w:r>
      <w:proofErr w:type="spellEnd"/>
      <w:r>
        <w:t xml:space="preserve">/waste rock mix on the Trial Landform is slightly higher at 11% compared to the average percentage in waste rock material only used for the construction of plots 1 and 2 (7%) </w:t>
      </w:r>
      <w:proofErr w:type="gramStart"/>
      <w:r>
        <w:t>(</w:t>
      </w:r>
      <w:proofErr w:type="spellStart"/>
      <w:r>
        <w:t>Saynor</w:t>
      </w:r>
      <w:proofErr w:type="spellEnd"/>
      <w:r>
        <w:t xml:space="preserve"> &amp; Houghton, 2011).</w:t>
      </w:r>
      <w:proofErr w:type="gramEnd"/>
      <w:r>
        <w:t xml:space="preserve"> In contrast, the average percentage gravel (&gt; 2mm</w:t>
      </w:r>
      <w:proofErr w:type="gramStart"/>
      <w:r>
        <w:t>)  is</w:t>
      </w:r>
      <w:proofErr w:type="gramEnd"/>
      <w:r>
        <w:t xml:space="preserve"> higher for waste rock only at 67%  as compared to 61% for the waste rock-</w:t>
      </w:r>
      <w:proofErr w:type="spellStart"/>
      <w:r>
        <w:t>laterite</w:t>
      </w:r>
      <w:proofErr w:type="spellEnd"/>
      <w:r>
        <w:t xml:space="preserve"> mix. Radon exhalation from smaller sized particles is generally higher for equivalent mass </w:t>
      </w:r>
      <w:r w:rsidRPr="00C20EF7">
        <w:rPr>
          <w:vertAlign w:val="superscript"/>
        </w:rPr>
        <w:t>226</w:t>
      </w:r>
      <w:r>
        <w:t xml:space="preserve">Ra activity concentrations (Lawrence et al 2009) and this may explain the higher dry season radon flux densities. </w:t>
      </w:r>
    </w:p>
    <w:p w:rsidR="00B36F09" w:rsidRPr="00B24D88" w:rsidRDefault="00B36F09" w:rsidP="00B36F09">
      <w:pPr>
        <w:rPr>
          <w:spacing w:val="-2"/>
        </w:rPr>
      </w:pPr>
      <w:r w:rsidRPr="00B24D88">
        <w:rPr>
          <w:spacing w:val="-2"/>
        </w:rPr>
        <w:t xml:space="preserve">On the other hand, the larger amount of clays in plots 3 and 4 will decrease porosity and lead to </w:t>
      </w:r>
      <w:proofErr w:type="spellStart"/>
      <w:r w:rsidRPr="00B24D88">
        <w:rPr>
          <w:spacing w:val="-2"/>
        </w:rPr>
        <w:t>waterlogging</w:t>
      </w:r>
      <w:proofErr w:type="spellEnd"/>
      <w:r w:rsidRPr="00B24D88">
        <w:rPr>
          <w:spacing w:val="-2"/>
        </w:rPr>
        <w:t xml:space="preserve"> after rainfall, accompanied by lower radon flux densities during the wet season. Waterlogged areas on plots 3 and 4 were observed when radon cups were deployed </w:t>
      </w:r>
      <w:proofErr w:type="gramStart"/>
      <w:r w:rsidRPr="00B24D88">
        <w:rPr>
          <w:spacing w:val="-2"/>
        </w:rPr>
        <w:t>between 7-10 January 2011</w:t>
      </w:r>
      <w:proofErr w:type="gramEnd"/>
      <w:r w:rsidRPr="00B24D88">
        <w:rPr>
          <w:spacing w:val="-2"/>
        </w:rPr>
        <w:t xml:space="preserve">. During this period an average of 20 mm of rain fell each day, with the 4 days prior to radon cup deployment being relatively dry (&lt; 1.5 mm of rain). This water did not drain in some areas of plots 3 and 4, whereas the higher porosity of waste rock material only allowed the rain to infiltrate and no </w:t>
      </w:r>
      <w:proofErr w:type="spellStart"/>
      <w:r w:rsidRPr="00B24D88">
        <w:rPr>
          <w:spacing w:val="-2"/>
        </w:rPr>
        <w:t>waterlogging</w:t>
      </w:r>
      <w:proofErr w:type="spellEnd"/>
      <w:r w:rsidRPr="00B24D88">
        <w:rPr>
          <w:spacing w:val="-2"/>
        </w:rPr>
        <w:t xml:space="preserve"> was observed at erosion plots 1 and 2. </w:t>
      </w:r>
    </w:p>
    <w:p w:rsidR="00B36F09" w:rsidRDefault="00B36F09" w:rsidP="00B36F09">
      <w:r>
        <w:t>It has</w:t>
      </w:r>
      <w:r w:rsidRPr="008D70DC">
        <w:t xml:space="preserve"> </w:t>
      </w:r>
      <w:r>
        <w:t xml:space="preserve">previously been reported that short duration but intense tropical rain events can lead to an increase in radon exhalation, as more radon is then effectively trapped in the soil </w:t>
      </w:r>
      <w:proofErr w:type="spellStart"/>
      <w:r>
        <w:t>porewater</w:t>
      </w:r>
      <w:proofErr w:type="spellEnd"/>
      <w:r>
        <w:t xml:space="preserve"> and released upon evaporation of the water (Lawrence et al 2009). This process may partly explain the high radon flux densities observed for waste rock only plots 1 and 2 on 7–10 January 2011.</w:t>
      </w:r>
    </w:p>
    <w:p w:rsidR="00B36F09" w:rsidRDefault="00B36F09" w:rsidP="00B36F09">
      <w:r>
        <w:lastRenderedPageBreak/>
        <w:t xml:space="preserve">Radon exhalation from Plot 2 is generally higher than radon exhalation from Plot 1, which can be explained by the higher </w:t>
      </w:r>
      <w:r w:rsidRPr="00E61C97">
        <w:rPr>
          <w:vertAlign w:val="superscript"/>
        </w:rPr>
        <w:t>226</w:t>
      </w:r>
      <w:r>
        <w:t>Ra activity concentration of surface material between the two plots (</w:t>
      </w:r>
      <w:proofErr w:type="spellStart"/>
      <w:r>
        <w:t>Bollhöfer</w:t>
      </w:r>
      <w:proofErr w:type="spellEnd"/>
      <w:r>
        <w:t xml:space="preserve"> &amp; </w:t>
      </w:r>
      <w:proofErr w:type="spellStart"/>
      <w:r>
        <w:t>Pfitzner</w:t>
      </w:r>
      <w:proofErr w:type="spellEnd"/>
      <w:r>
        <w:t xml:space="preserve"> 2011). </w:t>
      </w:r>
    </w:p>
    <w:p w:rsidR="00B36F09" w:rsidRDefault="00B36F09" w:rsidP="00B36F09">
      <w:pPr>
        <w:pStyle w:val="Heading2"/>
      </w:pPr>
      <w:bookmarkStart w:id="82" w:name="_Toc313523554"/>
      <w:bookmarkStart w:id="83" w:name="_Toc316985397"/>
      <w:r>
        <w:t>Future work</w:t>
      </w:r>
      <w:bookmarkEnd w:id="82"/>
      <w:bookmarkEnd w:id="83"/>
    </w:p>
    <w:p w:rsidR="00B36F09" w:rsidRPr="00B24D88" w:rsidRDefault="00B36F09" w:rsidP="00B36F09">
      <w:pPr>
        <w:rPr>
          <w:spacing w:val="-2"/>
        </w:rPr>
      </w:pPr>
      <w:r w:rsidRPr="00B24D88">
        <w:rPr>
          <w:spacing w:val="-2"/>
        </w:rPr>
        <w:t xml:space="preserve">Radon exhalation surveys across the four erosion plots will continue to be conducted every 4 months to investigate seasonal and long term temporal changes in radon exhalation from the trial landform. In addition, soil samples will be collected from the four erosion plots annually and radionuclide activity concentrations will be measured in the &lt;63 </w:t>
      </w:r>
      <w:proofErr w:type="spellStart"/>
      <w:r w:rsidRPr="00B24D88">
        <w:rPr>
          <w:spacing w:val="-2"/>
        </w:rPr>
        <w:t>μm</w:t>
      </w:r>
      <w:proofErr w:type="spellEnd"/>
      <w:r w:rsidRPr="00B24D88">
        <w:rPr>
          <w:spacing w:val="-2"/>
        </w:rPr>
        <w:t xml:space="preserve"> and the &gt;63 </w:t>
      </w:r>
      <w:proofErr w:type="spellStart"/>
      <w:r w:rsidRPr="00B24D88">
        <w:rPr>
          <w:spacing w:val="-2"/>
        </w:rPr>
        <w:t>μm</w:t>
      </w:r>
      <w:proofErr w:type="spellEnd"/>
      <w:r w:rsidRPr="00B24D88">
        <w:rPr>
          <w:spacing w:val="-2"/>
        </w:rPr>
        <w:t xml:space="preserve">, &lt; 2 mm size fractions. A detailed gamma survey will be conducted across the whole trial landform in the dry season 2012 to determine between and within plot variability of soil radioactivity. </w:t>
      </w:r>
    </w:p>
    <w:p w:rsidR="00B36F09" w:rsidRDefault="00B36F09" w:rsidP="00B36F09">
      <w:pPr>
        <w:pStyle w:val="Heading2"/>
        <w:rPr>
          <w:lang w:val="pt-BR"/>
        </w:rPr>
      </w:pPr>
      <w:bookmarkStart w:id="84" w:name="_Toc313523555"/>
      <w:bookmarkStart w:id="85" w:name="_Toc316985398"/>
      <w:r>
        <w:rPr>
          <w:lang w:val="pt-BR"/>
        </w:rPr>
        <w:t>References</w:t>
      </w:r>
      <w:bookmarkEnd w:id="84"/>
      <w:bookmarkEnd w:id="85"/>
    </w:p>
    <w:p w:rsidR="00B36F09" w:rsidRPr="001466A0" w:rsidRDefault="00B36F09" w:rsidP="00B36F09">
      <w:pPr>
        <w:pStyle w:val="referencelist1"/>
      </w:pPr>
      <w:proofErr w:type="spellStart"/>
      <w:r w:rsidRPr="001466A0">
        <w:t>Bollhöfer</w:t>
      </w:r>
      <w:proofErr w:type="spellEnd"/>
      <w:r w:rsidRPr="001466A0">
        <w:t xml:space="preserve"> A, Storm J, Martin P &amp; </w:t>
      </w:r>
      <w:proofErr w:type="spellStart"/>
      <w:r w:rsidRPr="001466A0">
        <w:t>Tims</w:t>
      </w:r>
      <w:proofErr w:type="spellEnd"/>
      <w:r w:rsidRPr="001466A0">
        <w:t xml:space="preserve"> S 2003. Geographic variability in radon exhalation at the rehabilitated </w:t>
      </w:r>
      <w:proofErr w:type="spellStart"/>
      <w:r w:rsidRPr="001466A0">
        <w:t>Nabarlek</w:t>
      </w:r>
      <w:proofErr w:type="spellEnd"/>
      <w:r w:rsidRPr="001466A0">
        <w:t xml:space="preserve"> uranium mine, Northern Territory. Internal </w:t>
      </w:r>
      <w:r>
        <w:t>R</w:t>
      </w:r>
      <w:r w:rsidRPr="001466A0">
        <w:t>eport 465, Supervising Scientist, Darwin.</w:t>
      </w:r>
    </w:p>
    <w:p w:rsidR="00B36F09" w:rsidRPr="001466A0" w:rsidRDefault="00B36F09" w:rsidP="00B36F09">
      <w:pPr>
        <w:pStyle w:val="referencelist1"/>
        <w:rPr>
          <w:szCs w:val="22"/>
        </w:rPr>
      </w:pPr>
      <w:proofErr w:type="spellStart"/>
      <w:r w:rsidRPr="001466A0">
        <w:rPr>
          <w:szCs w:val="22"/>
        </w:rPr>
        <w:t>Bollhöfer</w:t>
      </w:r>
      <w:proofErr w:type="spellEnd"/>
      <w:r w:rsidRPr="001466A0">
        <w:rPr>
          <w:szCs w:val="22"/>
        </w:rPr>
        <w:t xml:space="preserve"> A, Storm J, Martin P &amp; </w:t>
      </w:r>
      <w:proofErr w:type="spellStart"/>
      <w:r w:rsidRPr="001466A0">
        <w:rPr>
          <w:szCs w:val="22"/>
        </w:rPr>
        <w:t>Tims</w:t>
      </w:r>
      <w:proofErr w:type="spellEnd"/>
      <w:r w:rsidRPr="001466A0">
        <w:rPr>
          <w:szCs w:val="22"/>
        </w:rPr>
        <w:t xml:space="preserve"> S 2006. </w:t>
      </w:r>
      <w:proofErr w:type="gramStart"/>
      <w:r w:rsidRPr="001466A0">
        <w:rPr>
          <w:szCs w:val="22"/>
        </w:rPr>
        <w:t>Geographic variability in radon exhalation at a rehabilitated uranium mine in the Northern Territory, Australia.</w:t>
      </w:r>
      <w:proofErr w:type="gramEnd"/>
      <w:r w:rsidRPr="001466A0">
        <w:rPr>
          <w:szCs w:val="22"/>
        </w:rPr>
        <w:t xml:space="preserve"> Environmental Monitoring and Assessment 114, 313–330.</w:t>
      </w:r>
    </w:p>
    <w:p w:rsidR="00B36F09" w:rsidRPr="001466A0" w:rsidRDefault="00B36F09" w:rsidP="00B36F09">
      <w:pPr>
        <w:pStyle w:val="referencelist1"/>
      </w:pPr>
      <w:proofErr w:type="spellStart"/>
      <w:proofErr w:type="gramStart"/>
      <w:r w:rsidRPr="001466A0">
        <w:rPr>
          <w:szCs w:val="22"/>
        </w:rPr>
        <w:t>Bollhöfer</w:t>
      </w:r>
      <w:proofErr w:type="spellEnd"/>
      <w:r w:rsidRPr="001466A0">
        <w:rPr>
          <w:szCs w:val="22"/>
        </w:rPr>
        <w:t xml:space="preserve"> A</w:t>
      </w:r>
      <w:r w:rsidRPr="001466A0">
        <w:t xml:space="preserve"> &amp; </w:t>
      </w:r>
      <w:proofErr w:type="spellStart"/>
      <w:r w:rsidRPr="001466A0">
        <w:t>Pfitzner</w:t>
      </w:r>
      <w:proofErr w:type="spellEnd"/>
      <w:r w:rsidRPr="001466A0">
        <w:t xml:space="preserve"> J 2011.</w:t>
      </w:r>
      <w:proofErr w:type="gramEnd"/>
      <w:r w:rsidRPr="001466A0">
        <w:t xml:space="preserve"> </w:t>
      </w:r>
      <w:proofErr w:type="gramStart"/>
      <w:r w:rsidRPr="001466A0">
        <w:t>Radon exhalation from a rehabilitated landform.</w:t>
      </w:r>
      <w:proofErr w:type="gramEnd"/>
      <w:r w:rsidRPr="001466A0">
        <w:t xml:space="preserve"> </w:t>
      </w:r>
      <w:proofErr w:type="gramStart"/>
      <w:r w:rsidRPr="001466A0">
        <w:t xml:space="preserve">In </w:t>
      </w:r>
      <w:proofErr w:type="spellStart"/>
      <w:r>
        <w:rPr>
          <w:b/>
          <w:i/>
          <w:sz w:val="26"/>
        </w:rPr>
        <w:t>eriss</w:t>
      </w:r>
      <w:proofErr w:type="spellEnd"/>
      <w:r w:rsidRPr="001466A0">
        <w:t xml:space="preserve"> </w:t>
      </w:r>
      <w:r w:rsidRPr="00901E47">
        <w:rPr>
          <w:i/>
        </w:rPr>
        <w:t>research summary 2009–2010</w:t>
      </w:r>
      <w:r w:rsidRPr="001466A0">
        <w:t>.</w:t>
      </w:r>
      <w:proofErr w:type="gramEnd"/>
      <w:r w:rsidRPr="001466A0">
        <w:t xml:space="preserve"> </w:t>
      </w:r>
      <w:proofErr w:type="spellStart"/>
      <w:proofErr w:type="gramStart"/>
      <w:r w:rsidRPr="001466A0">
        <w:t>eds</w:t>
      </w:r>
      <w:proofErr w:type="spellEnd"/>
      <w:proofErr w:type="gramEnd"/>
      <w:r w:rsidRPr="001466A0">
        <w:t xml:space="preserve"> Jones DR &amp; Webb A, Supervising Scientist Report 202, Supervising Scientist, Darwin NT, 107</w:t>
      </w:r>
      <w:r>
        <w:t>–</w:t>
      </w:r>
      <w:r w:rsidRPr="001466A0">
        <w:t xml:space="preserve">111. </w:t>
      </w:r>
    </w:p>
    <w:p w:rsidR="00B36F09" w:rsidRPr="00B24D88" w:rsidRDefault="00B36F09" w:rsidP="00B36F09">
      <w:pPr>
        <w:pStyle w:val="referencelist1"/>
        <w:rPr>
          <w:spacing w:val="-2"/>
        </w:rPr>
      </w:pPr>
      <w:proofErr w:type="spellStart"/>
      <w:r w:rsidRPr="00B24D88">
        <w:rPr>
          <w:spacing w:val="-2"/>
        </w:rPr>
        <w:t>Kvasnicka</w:t>
      </w:r>
      <w:proofErr w:type="spellEnd"/>
      <w:r w:rsidRPr="00B24D88">
        <w:rPr>
          <w:spacing w:val="-2"/>
        </w:rPr>
        <w:t xml:space="preserve"> J 1996. Radiological Impact Assessment due to Radon Released from the Rehabilitated </w:t>
      </w:r>
      <w:proofErr w:type="spellStart"/>
      <w:r w:rsidRPr="00B24D88">
        <w:rPr>
          <w:spacing w:val="-2"/>
        </w:rPr>
        <w:t>Nabarlek</w:t>
      </w:r>
      <w:proofErr w:type="spellEnd"/>
      <w:r w:rsidRPr="00B24D88">
        <w:rPr>
          <w:spacing w:val="-2"/>
        </w:rPr>
        <w:t xml:space="preserve"> Uranium Mine Site, Unpublished Report to Queensland Mines Pty Ltd.</w:t>
      </w:r>
    </w:p>
    <w:p w:rsidR="00B36F09" w:rsidRPr="001466A0" w:rsidRDefault="00B36F09" w:rsidP="00B36F09">
      <w:pPr>
        <w:pStyle w:val="referencelist1"/>
      </w:pPr>
      <w:proofErr w:type="gramStart"/>
      <w:r w:rsidRPr="001466A0">
        <w:t>Lawrence CE 2006.</w:t>
      </w:r>
      <w:proofErr w:type="gramEnd"/>
      <w:r w:rsidRPr="001466A0">
        <w:t xml:space="preserve"> </w:t>
      </w:r>
      <w:proofErr w:type="gramStart"/>
      <w:r w:rsidRPr="001466A0">
        <w:t xml:space="preserve">Measurement of </w:t>
      </w:r>
      <w:r w:rsidRPr="00272E56">
        <w:rPr>
          <w:snapToGrid w:val="0"/>
          <w:color w:val="000000"/>
          <w:position w:val="5"/>
          <w:sz w:val="15"/>
          <w:szCs w:val="0"/>
          <w:u w:color="000000"/>
        </w:rPr>
        <w:t>222</w:t>
      </w:r>
      <w:proofErr w:type="spellStart"/>
      <w:r w:rsidRPr="001466A0">
        <w:t>Rn</w:t>
      </w:r>
      <w:proofErr w:type="spellEnd"/>
      <w:r w:rsidRPr="001466A0">
        <w:t xml:space="preserve"> exhalation rates and </w:t>
      </w:r>
      <w:r w:rsidRPr="00272E56">
        <w:rPr>
          <w:snapToGrid w:val="0"/>
          <w:color w:val="000000"/>
          <w:position w:val="5"/>
          <w:sz w:val="15"/>
          <w:szCs w:val="0"/>
          <w:u w:color="000000"/>
        </w:rPr>
        <w:t>210</w:t>
      </w:r>
      <w:proofErr w:type="spellStart"/>
      <w:r w:rsidRPr="001466A0">
        <w:t>Pb</w:t>
      </w:r>
      <w:proofErr w:type="spellEnd"/>
      <w:r w:rsidRPr="001466A0">
        <w:t xml:space="preserve"> deposition rates in a tropical environment.</w:t>
      </w:r>
      <w:proofErr w:type="gramEnd"/>
      <w:r w:rsidRPr="001466A0">
        <w:t xml:space="preserve"> </w:t>
      </w:r>
      <w:proofErr w:type="gramStart"/>
      <w:r w:rsidRPr="001466A0">
        <w:t>PhD Thesis.</w:t>
      </w:r>
      <w:proofErr w:type="gramEnd"/>
      <w:r w:rsidRPr="001466A0">
        <w:t xml:space="preserve"> </w:t>
      </w:r>
      <w:proofErr w:type="gramStart"/>
      <w:r w:rsidRPr="001466A0">
        <w:t>Queensland University of Technology, Brisbane.</w:t>
      </w:r>
      <w:proofErr w:type="gramEnd"/>
      <w:r w:rsidRPr="001466A0">
        <w:t xml:space="preserve"> </w:t>
      </w:r>
    </w:p>
    <w:p w:rsidR="00B36F09" w:rsidRPr="001466A0" w:rsidRDefault="00B36F09" w:rsidP="00B36F09">
      <w:pPr>
        <w:pStyle w:val="referencelist1"/>
      </w:pPr>
      <w:proofErr w:type="gramStart"/>
      <w:r w:rsidRPr="001466A0">
        <w:rPr>
          <w:szCs w:val="22"/>
        </w:rPr>
        <w:t xml:space="preserve">Lawrence CE, </w:t>
      </w:r>
      <w:proofErr w:type="spellStart"/>
      <w:r w:rsidRPr="001466A0">
        <w:rPr>
          <w:szCs w:val="22"/>
        </w:rPr>
        <w:t>Akber</w:t>
      </w:r>
      <w:proofErr w:type="spellEnd"/>
      <w:r w:rsidRPr="001466A0">
        <w:rPr>
          <w:szCs w:val="22"/>
        </w:rPr>
        <w:t xml:space="preserve"> RA, </w:t>
      </w:r>
      <w:proofErr w:type="spellStart"/>
      <w:r w:rsidRPr="001466A0">
        <w:rPr>
          <w:szCs w:val="22"/>
        </w:rPr>
        <w:t>Bollhöfer</w:t>
      </w:r>
      <w:proofErr w:type="spellEnd"/>
      <w:r w:rsidRPr="001466A0">
        <w:rPr>
          <w:szCs w:val="22"/>
        </w:rPr>
        <w:t xml:space="preserve"> A &amp; Martin P 2009.</w:t>
      </w:r>
      <w:proofErr w:type="gramEnd"/>
      <w:r w:rsidRPr="001466A0">
        <w:rPr>
          <w:szCs w:val="22"/>
        </w:rPr>
        <w:t xml:space="preserve"> </w:t>
      </w:r>
      <w:proofErr w:type="gramStart"/>
      <w:r w:rsidRPr="001466A0">
        <w:rPr>
          <w:szCs w:val="22"/>
        </w:rPr>
        <w:t>Radon-222 exhalation from open ground on and around a uranium mine in the wet-dry tropics.</w:t>
      </w:r>
      <w:proofErr w:type="gramEnd"/>
      <w:r w:rsidRPr="001466A0">
        <w:rPr>
          <w:szCs w:val="22"/>
        </w:rPr>
        <w:t xml:space="preserve"> </w:t>
      </w:r>
      <w:r w:rsidRPr="00F14166">
        <w:rPr>
          <w:i/>
        </w:rPr>
        <w:t>Journal of Environmental Radioactivity</w:t>
      </w:r>
      <w:r w:rsidRPr="001466A0">
        <w:t xml:space="preserve"> 100, 1–8.</w:t>
      </w:r>
    </w:p>
    <w:p w:rsidR="00B36F09" w:rsidRPr="001466A0" w:rsidRDefault="00B36F09" w:rsidP="00B36F09">
      <w:pPr>
        <w:pStyle w:val="referencelist1"/>
      </w:pPr>
      <w:proofErr w:type="spellStart"/>
      <w:r w:rsidRPr="001466A0">
        <w:t>Saynor</w:t>
      </w:r>
      <w:proofErr w:type="spellEnd"/>
      <w:r w:rsidRPr="001466A0">
        <w:t xml:space="preserve"> MG, Evans KG &amp; Lu P 2009. Erosion studies of the Ranger revegetation trial plot area. </w:t>
      </w:r>
      <w:proofErr w:type="gramStart"/>
      <w:r w:rsidRPr="001466A0">
        <w:t xml:space="preserve">In </w:t>
      </w:r>
      <w:proofErr w:type="spellStart"/>
      <w:r>
        <w:rPr>
          <w:b/>
          <w:i/>
          <w:sz w:val="26"/>
        </w:rPr>
        <w:t>eriss</w:t>
      </w:r>
      <w:proofErr w:type="spellEnd"/>
      <w:r w:rsidRPr="001466A0">
        <w:t xml:space="preserve"> </w:t>
      </w:r>
      <w:r w:rsidRPr="005A7492">
        <w:rPr>
          <w:i/>
        </w:rPr>
        <w:t>research summary 2007–2008</w:t>
      </w:r>
      <w:r w:rsidRPr="001466A0">
        <w:t>.</w:t>
      </w:r>
      <w:proofErr w:type="gramEnd"/>
      <w:r w:rsidRPr="001466A0">
        <w:t xml:space="preserve"> </w:t>
      </w:r>
      <w:proofErr w:type="spellStart"/>
      <w:proofErr w:type="gramStart"/>
      <w:r w:rsidRPr="001466A0">
        <w:t>eds</w:t>
      </w:r>
      <w:proofErr w:type="spellEnd"/>
      <w:proofErr w:type="gramEnd"/>
      <w:r w:rsidRPr="001466A0">
        <w:t xml:space="preserve"> Jones DR &amp; Webb A, Supervising Scientist Report 200, Supervising Scientist, Darwin NT, 125–129.</w:t>
      </w:r>
    </w:p>
    <w:p w:rsidR="00B36F09" w:rsidRDefault="00B36F09" w:rsidP="00B36F09">
      <w:pPr>
        <w:pStyle w:val="referencelist1"/>
      </w:pPr>
      <w:proofErr w:type="spellStart"/>
      <w:r w:rsidRPr="001466A0">
        <w:t>Saynor</w:t>
      </w:r>
      <w:proofErr w:type="spellEnd"/>
      <w:r w:rsidRPr="001466A0">
        <w:t xml:space="preserve"> M, Turner K, Houghton R &amp; Evans K 2010. </w:t>
      </w:r>
      <w:proofErr w:type="gramStart"/>
      <w:r w:rsidRPr="001466A0">
        <w:t>Revegetation trial and demonstration landform – erosion and chemistry studies.</w:t>
      </w:r>
      <w:proofErr w:type="gramEnd"/>
      <w:r w:rsidRPr="001466A0">
        <w:t xml:space="preserve"> </w:t>
      </w:r>
      <w:proofErr w:type="gramStart"/>
      <w:r w:rsidRPr="001466A0">
        <w:t xml:space="preserve">In </w:t>
      </w:r>
      <w:proofErr w:type="spellStart"/>
      <w:r>
        <w:rPr>
          <w:b/>
          <w:i/>
          <w:sz w:val="26"/>
        </w:rPr>
        <w:t>eriss</w:t>
      </w:r>
      <w:proofErr w:type="spellEnd"/>
      <w:r w:rsidRPr="005A7492">
        <w:rPr>
          <w:i/>
        </w:rPr>
        <w:t xml:space="preserve"> research summary 2008–2009</w:t>
      </w:r>
      <w:r w:rsidRPr="001466A0">
        <w:t>.</w:t>
      </w:r>
      <w:proofErr w:type="gramEnd"/>
      <w:r w:rsidRPr="001466A0">
        <w:t xml:space="preserve"> </w:t>
      </w:r>
      <w:proofErr w:type="spellStart"/>
      <w:proofErr w:type="gramStart"/>
      <w:r w:rsidRPr="001466A0">
        <w:t>eds</w:t>
      </w:r>
      <w:proofErr w:type="spellEnd"/>
      <w:proofErr w:type="gramEnd"/>
      <w:r w:rsidRPr="001466A0">
        <w:t xml:space="preserve"> Jones DR &amp; Webb A, Supervising Scientist Report 201, Supervising Scientist, Darwin</w:t>
      </w:r>
      <w:r>
        <w:t xml:space="preserve"> NT, 109–112.</w:t>
      </w:r>
    </w:p>
    <w:p w:rsidR="00B36F09" w:rsidRPr="001466A0" w:rsidRDefault="00B36F09" w:rsidP="00B36F09">
      <w:pPr>
        <w:pStyle w:val="referencelist1"/>
      </w:pPr>
      <w:proofErr w:type="spellStart"/>
      <w:proofErr w:type="gramStart"/>
      <w:r>
        <w:t>Saynor</w:t>
      </w:r>
      <w:proofErr w:type="spellEnd"/>
      <w:r>
        <w:t xml:space="preserve"> MJ &amp; Houghton R 2011.</w:t>
      </w:r>
      <w:proofErr w:type="gramEnd"/>
      <w:r>
        <w:t xml:space="preserve"> </w:t>
      </w:r>
      <w:r w:rsidRPr="007769A5">
        <w:t xml:space="preserve">Ranger </w:t>
      </w:r>
      <w:r>
        <w:t>t</w:t>
      </w:r>
      <w:r w:rsidRPr="007769A5">
        <w:t xml:space="preserve">rial </w:t>
      </w:r>
      <w:r>
        <w:t>l</w:t>
      </w:r>
      <w:r w:rsidRPr="007769A5">
        <w:t>andform: Particle size of surface material samples in 2009 with additional observations in 2010</w:t>
      </w:r>
      <w:r>
        <w:t>.</w:t>
      </w:r>
      <w:r w:rsidRPr="00085FC3">
        <w:rPr>
          <w:spacing w:val="-2"/>
          <w:szCs w:val="22"/>
          <w:lang w:eastAsia="en-AU"/>
        </w:rPr>
        <w:t xml:space="preserve"> </w:t>
      </w:r>
      <w:r w:rsidRPr="00F1226A">
        <w:rPr>
          <w:spacing w:val="-2"/>
          <w:szCs w:val="22"/>
          <w:lang w:eastAsia="en-AU"/>
        </w:rPr>
        <w:t>Internal Report</w:t>
      </w:r>
      <w:r w:rsidRPr="00F1226A">
        <w:rPr>
          <w:spacing w:val="-2"/>
          <w:lang w:eastAsia="en-AU"/>
        </w:rPr>
        <w:t xml:space="preserve"> </w:t>
      </w:r>
      <w:r w:rsidRPr="00C628BB">
        <w:rPr>
          <w:spacing w:val="-2"/>
          <w:lang w:eastAsia="en-AU"/>
        </w:rPr>
        <w:t>59</w:t>
      </w:r>
      <w:r>
        <w:rPr>
          <w:spacing w:val="-2"/>
          <w:lang w:eastAsia="en-AU"/>
        </w:rPr>
        <w:t>6</w:t>
      </w:r>
      <w:r w:rsidRPr="00C628BB">
        <w:rPr>
          <w:spacing w:val="-2"/>
          <w:szCs w:val="22"/>
          <w:lang w:eastAsia="en-AU"/>
        </w:rPr>
        <w:t xml:space="preserve">, </w:t>
      </w:r>
      <w:r>
        <w:rPr>
          <w:spacing w:val="-2"/>
          <w:szCs w:val="22"/>
          <w:lang w:eastAsia="en-AU"/>
        </w:rPr>
        <w:t>August</w:t>
      </w:r>
      <w:r w:rsidRPr="00F1226A">
        <w:rPr>
          <w:spacing w:val="-2"/>
          <w:szCs w:val="22"/>
          <w:lang w:eastAsia="en-AU"/>
        </w:rPr>
        <w:t>, Supervising Scientist, Darwin.</w:t>
      </w:r>
    </w:p>
    <w:p w:rsidR="00B36F09" w:rsidRDefault="00B36F09" w:rsidP="00B36F09">
      <w:pPr>
        <w:pStyle w:val="referencelist1"/>
      </w:pPr>
      <w:r>
        <w:rPr>
          <w:lang w:val="pt-BR"/>
        </w:rPr>
        <w:t xml:space="preserve">Todd R, Akber RA &amp; Martin P 1998. </w:t>
      </w:r>
      <w:proofErr w:type="gramStart"/>
      <w:r>
        <w:rPr>
          <w:vertAlign w:val="superscript"/>
        </w:rPr>
        <w:t>222</w:t>
      </w:r>
      <w:r>
        <w:t xml:space="preserve">Rn and </w:t>
      </w:r>
      <w:r>
        <w:rPr>
          <w:vertAlign w:val="superscript"/>
        </w:rPr>
        <w:t>220</w:t>
      </w:r>
      <w:r>
        <w:t>Rn activity flux from the ground in the vicinity of Ranger Uranium Mine.</w:t>
      </w:r>
      <w:proofErr w:type="gramEnd"/>
      <w:r>
        <w:t xml:space="preserve"> </w:t>
      </w:r>
      <w:proofErr w:type="gramStart"/>
      <w:r>
        <w:t>Internal report 279, Supervising Scientist, Canberra.</w:t>
      </w:r>
      <w:proofErr w:type="gramEnd"/>
      <w:r>
        <w:t xml:space="preserve"> </w:t>
      </w:r>
      <w:proofErr w:type="gramStart"/>
      <w:r>
        <w:t>Unpublished paper.</w:t>
      </w:r>
      <w:proofErr w:type="gramEnd"/>
    </w:p>
    <w:p w:rsidR="00B36F09" w:rsidRDefault="00B36F09" w:rsidP="00B36F09">
      <w:pPr>
        <w:pStyle w:val="referencelist1"/>
      </w:pPr>
    </w:p>
    <w:p w:rsidR="00B36F09" w:rsidRDefault="00B36F09" w:rsidP="00B36F09">
      <w:pPr>
        <w:pStyle w:val="Heading2"/>
        <w:rPr>
          <w:bCs/>
        </w:rPr>
        <w:sectPr w:rsidR="00B36F09" w:rsidSect="0051351C">
          <w:headerReference w:type="default" r:id="rId35"/>
          <w:footnotePr>
            <w:numRestart w:val="eachSect"/>
          </w:footnotePr>
          <w:pgSz w:w="11906" w:h="16838" w:code="9"/>
          <w:pgMar w:top="1440" w:right="1797" w:bottom="1440" w:left="1797" w:header="851" w:footer="833" w:gutter="0"/>
          <w:cols w:space="360"/>
          <w:noEndnote/>
          <w:titlePg/>
        </w:sectPr>
      </w:pPr>
      <w:bookmarkStart w:id="86" w:name="_Toc309215808"/>
      <w:bookmarkStart w:id="87" w:name="_Toc256430849"/>
    </w:p>
    <w:p w:rsidR="00B36F09" w:rsidRDefault="00B36F09" w:rsidP="00B36F09">
      <w:pPr>
        <w:pStyle w:val="Heading1"/>
      </w:pPr>
      <w:bookmarkStart w:id="88" w:name="_Toc309215810"/>
      <w:bookmarkStart w:id="89" w:name="_Toc319670750"/>
      <w:bookmarkEnd w:id="86"/>
      <w:r>
        <w:lastRenderedPageBreak/>
        <w:t xml:space="preserve">Development of surface water quality closure criteria for Ranger billabongs using </w:t>
      </w:r>
      <w:proofErr w:type="spellStart"/>
      <w:r>
        <w:t>macroinvertebrate</w:t>
      </w:r>
      <w:proofErr w:type="spellEnd"/>
      <w:r>
        <w:t xml:space="preserve"> community data</w:t>
      </w:r>
      <w:bookmarkEnd w:id="87"/>
      <w:bookmarkEnd w:id="88"/>
      <w:bookmarkEnd w:id="89"/>
      <w:r>
        <w:t xml:space="preserve"> </w:t>
      </w:r>
    </w:p>
    <w:p w:rsidR="00B36F09" w:rsidRPr="008E44C5" w:rsidRDefault="00B36F09" w:rsidP="00B36F09">
      <w:pPr>
        <w:pStyle w:val="authors"/>
        <w:spacing w:after="800"/>
      </w:pPr>
      <w:bookmarkStart w:id="90" w:name="_Toc316987253"/>
      <w:bookmarkStart w:id="91" w:name="_Toc319670751"/>
      <w:r>
        <w:t>C Humphrey &amp; D Jones</w:t>
      </w:r>
      <w:bookmarkEnd w:id="90"/>
      <w:bookmarkEnd w:id="91"/>
    </w:p>
    <w:p w:rsidR="00B36F09" w:rsidRDefault="00B36F09" w:rsidP="00B36F09">
      <w:pPr>
        <w:pStyle w:val="Heading2"/>
      </w:pPr>
      <w:bookmarkStart w:id="92" w:name="_Toc313523557"/>
      <w:bookmarkStart w:id="93" w:name="_Toc316985400"/>
      <w:r>
        <w:t>Background</w:t>
      </w:r>
      <w:bookmarkEnd w:id="92"/>
      <w:bookmarkEnd w:id="93"/>
    </w:p>
    <w:p w:rsidR="00B36F09" w:rsidRPr="00FC7189" w:rsidRDefault="00B36F09" w:rsidP="00B36F09">
      <w:pPr>
        <w:rPr>
          <w:spacing w:val="-2"/>
        </w:rPr>
      </w:pPr>
      <w:r w:rsidRPr="00FC7189">
        <w:t xml:space="preserve">This paper provides a status report on the development of surface water quality closure criteria (for operations and closure) for Ranger billabongs using </w:t>
      </w:r>
      <w:proofErr w:type="spellStart"/>
      <w:r w:rsidRPr="00FC7189">
        <w:t>macroinvertebrate</w:t>
      </w:r>
      <w:proofErr w:type="spellEnd"/>
      <w:r w:rsidRPr="00FC7189">
        <w:t xml:space="preserve"> community data. Specifically, the study aims to </w:t>
      </w:r>
      <w:r w:rsidRPr="00FC7189">
        <w:rPr>
          <w:bCs/>
        </w:rPr>
        <w:t xml:space="preserve">quantify </w:t>
      </w:r>
      <w:proofErr w:type="spellStart"/>
      <w:r w:rsidRPr="00FC7189">
        <w:rPr>
          <w:bCs/>
        </w:rPr>
        <w:t>macroinvertebrate</w:t>
      </w:r>
      <w:proofErr w:type="spellEnd"/>
      <w:r w:rsidRPr="00FC7189">
        <w:rPr>
          <w:bCs/>
        </w:rPr>
        <w:t xml:space="preserve"> community structure across a gradient of water quality disturbance in the Alligator Rivers Region (ARR) so as to provide a basis for developing surface water quality closure criteria for Georgetown </w:t>
      </w:r>
      <w:r>
        <w:rPr>
          <w:bCs/>
        </w:rPr>
        <w:t xml:space="preserve">(GTB) </w:t>
      </w:r>
      <w:r w:rsidRPr="00FC7189">
        <w:rPr>
          <w:bCs/>
        </w:rPr>
        <w:t xml:space="preserve">and </w:t>
      </w:r>
      <w:proofErr w:type="spellStart"/>
      <w:r w:rsidRPr="00FC7189">
        <w:rPr>
          <w:bCs/>
        </w:rPr>
        <w:t>Coonjimba</w:t>
      </w:r>
      <w:proofErr w:type="spellEnd"/>
      <w:r w:rsidRPr="00FC7189">
        <w:rPr>
          <w:bCs/>
        </w:rPr>
        <w:t xml:space="preserve"> Billabongs located on the Ranger lease </w:t>
      </w:r>
      <w:r w:rsidRPr="00FC7189">
        <w:rPr>
          <w:spacing w:val="-2"/>
        </w:rPr>
        <w:t xml:space="preserve">in close proximity to the operational mine area. Work in Georgetown Billabong is receiving most attention because this </w:t>
      </w:r>
      <w:proofErr w:type="spellStart"/>
      <w:r w:rsidRPr="00FC7189">
        <w:rPr>
          <w:spacing w:val="-2"/>
        </w:rPr>
        <w:t>waterbody</w:t>
      </w:r>
      <w:proofErr w:type="spellEnd"/>
      <w:r w:rsidRPr="00FC7189">
        <w:rPr>
          <w:spacing w:val="-2"/>
        </w:rPr>
        <w:t xml:space="preserve"> appears to be relatively undisturbed by adjacent mining operations, despite receiving low level inputs of mine-derived solutes during each wet season.</w:t>
      </w:r>
    </w:p>
    <w:p w:rsidR="00B36F09" w:rsidRPr="00FC7189" w:rsidRDefault="00B36F09" w:rsidP="00B36F09">
      <w:r w:rsidRPr="00FC7189">
        <w:t>The approach to deriving such criteria from local biological response data follows that outlined in the Australian and New Zealand Water Quality Guidelines (ANZECC &amp; ARMCANZ 2000). Briefly, if the post-closure condition in G</w:t>
      </w:r>
      <w:r>
        <w:t>TB</w:t>
      </w:r>
      <w:r w:rsidRPr="00FC7189">
        <w:t xml:space="preserve"> is consistent with similar undisturbed (reference) billabong environments of Kakadu, then the range of water quality that supports this ecological condition (as measured by suitable surrogate biological indicators) may be used for this purpose.</w:t>
      </w:r>
    </w:p>
    <w:p w:rsidR="00B36F09" w:rsidRDefault="00B36F09" w:rsidP="00B36F09">
      <w:r w:rsidRPr="00FC7189">
        <w:t xml:space="preserve">Humphrey </w:t>
      </w:r>
      <w:r>
        <w:t>et al</w:t>
      </w:r>
      <w:r w:rsidRPr="00FC7189">
        <w:t xml:space="preserve"> (2011) last reviewed progress with this study. Th</w:t>
      </w:r>
      <w:r>
        <w:t>is</w:t>
      </w:r>
      <w:r w:rsidRPr="00FC7189">
        <w:t xml:space="preserve"> report draws upon that review and progress made since its publication.</w:t>
      </w:r>
      <w:r>
        <w:t xml:space="preserve"> Work conducted on this project may be summarised according to:</w:t>
      </w:r>
    </w:p>
    <w:p w:rsidR="00B36F09" w:rsidRDefault="00B36F09" w:rsidP="00B36F09">
      <w:pPr>
        <w:pStyle w:val="Normallist1"/>
      </w:pPr>
      <w:proofErr w:type="spellStart"/>
      <w:proofErr w:type="gramStart"/>
      <w:r>
        <w:t>i</w:t>
      </w:r>
      <w:proofErr w:type="spellEnd"/>
      <w:proofErr w:type="gramEnd"/>
      <w:r>
        <w:tab/>
      </w:r>
      <w:proofErr w:type="spellStart"/>
      <w:r>
        <w:t>Macroinvertebrate</w:t>
      </w:r>
      <w:proofErr w:type="spellEnd"/>
      <w:r>
        <w:t xml:space="preserve"> studies</w:t>
      </w:r>
    </w:p>
    <w:p w:rsidR="00B36F09" w:rsidRDefault="00B36F09" w:rsidP="00B36F09">
      <w:pPr>
        <w:pStyle w:val="Normallist1"/>
      </w:pPr>
      <w:proofErr w:type="gramStart"/>
      <w:r>
        <w:t>ii</w:t>
      </w:r>
      <w:proofErr w:type="gramEnd"/>
      <w:r>
        <w:tab/>
        <w:t>Sediment studies</w:t>
      </w:r>
    </w:p>
    <w:p w:rsidR="00B36F09" w:rsidRDefault="00B36F09" w:rsidP="00B36F09">
      <w:pPr>
        <w:pStyle w:val="Normallist1"/>
      </w:pPr>
      <w:proofErr w:type="gramStart"/>
      <w:r>
        <w:t>iii</w:t>
      </w:r>
      <w:proofErr w:type="gramEnd"/>
      <w:r>
        <w:tab/>
        <w:t>New biological and sediment studies initiated in May 2011</w:t>
      </w:r>
    </w:p>
    <w:p w:rsidR="00B36F09" w:rsidRDefault="00B36F09" w:rsidP="00B36F09">
      <w:pPr>
        <w:pStyle w:val="Heading2"/>
      </w:pPr>
      <w:bookmarkStart w:id="94" w:name="_Toc313523558"/>
      <w:bookmarkStart w:id="95" w:name="_Toc316985401"/>
      <w:proofErr w:type="spellStart"/>
      <w:r>
        <w:t>Macroinvertebrate</w:t>
      </w:r>
      <w:proofErr w:type="spellEnd"/>
      <w:r>
        <w:t xml:space="preserve"> studies</w:t>
      </w:r>
      <w:bookmarkEnd w:id="94"/>
      <w:bookmarkEnd w:id="95"/>
    </w:p>
    <w:p w:rsidR="00B36F09" w:rsidRPr="00DA1986" w:rsidRDefault="00B36F09" w:rsidP="00B36F09">
      <w:r w:rsidRPr="00DA1986">
        <w:t xml:space="preserve">From the collective sampling conducted in 1995, 1996 and 2006, it was determined that </w:t>
      </w:r>
      <w:r w:rsidRPr="00DA1986">
        <w:rPr>
          <w:spacing w:val="-2"/>
        </w:rPr>
        <w:t xml:space="preserve">the </w:t>
      </w:r>
      <w:proofErr w:type="spellStart"/>
      <w:r w:rsidRPr="00DA1986">
        <w:rPr>
          <w:spacing w:val="-2"/>
        </w:rPr>
        <w:t>macroinvertebrate</w:t>
      </w:r>
      <w:proofErr w:type="spellEnd"/>
      <w:r w:rsidRPr="00DA1986">
        <w:rPr>
          <w:spacing w:val="-2"/>
        </w:rPr>
        <w:t xml:space="preserve"> communities of </w:t>
      </w:r>
      <w:proofErr w:type="spellStart"/>
      <w:r w:rsidRPr="00DA1986">
        <w:rPr>
          <w:spacing w:val="-2"/>
        </w:rPr>
        <w:t>macrophyte</w:t>
      </w:r>
      <w:proofErr w:type="spellEnd"/>
      <w:r w:rsidRPr="00DA1986">
        <w:rPr>
          <w:spacing w:val="-2"/>
        </w:rPr>
        <w:t xml:space="preserve"> (water column) habitat in GTB have consistently resembled those of reference </w:t>
      </w:r>
      <w:proofErr w:type="spellStart"/>
      <w:r w:rsidRPr="00DA1986">
        <w:rPr>
          <w:spacing w:val="-2"/>
        </w:rPr>
        <w:t>waterbodies</w:t>
      </w:r>
      <w:proofErr w:type="spellEnd"/>
      <w:r w:rsidRPr="00DA1986">
        <w:rPr>
          <w:spacing w:val="-2"/>
        </w:rPr>
        <w:t xml:space="preserve"> in the ARR, indicating that the historical water quality regime in GTB was compatible with the maintenance of the aquatic ecosystem values of KNP. Sampling of </w:t>
      </w:r>
      <w:r w:rsidRPr="00DA1986">
        <w:rPr>
          <w:rFonts w:ascii="Times New (W1)" w:hAnsi="Times New (W1)"/>
          <w:spacing w:val="-2"/>
        </w:rPr>
        <w:t xml:space="preserve">benthic (sediment) habitat in 2006, however, </w:t>
      </w:r>
      <w:r w:rsidRPr="00DA1986">
        <w:rPr>
          <w:spacing w:val="-2"/>
        </w:rPr>
        <w:t xml:space="preserve">found that the sediment-dwelling communities were less diverse in GTB than in reference </w:t>
      </w:r>
      <w:proofErr w:type="spellStart"/>
      <w:r w:rsidRPr="00DA1986">
        <w:rPr>
          <w:spacing w:val="-2"/>
        </w:rPr>
        <w:t>waterbodies</w:t>
      </w:r>
      <w:proofErr w:type="spellEnd"/>
      <w:r w:rsidRPr="00DA1986">
        <w:rPr>
          <w:spacing w:val="-2"/>
        </w:rPr>
        <w:t xml:space="preserve"> (Humphrey </w:t>
      </w:r>
      <w:r>
        <w:rPr>
          <w:spacing w:val="-2"/>
        </w:rPr>
        <w:t>et al</w:t>
      </w:r>
      <w:r w:rsidRPr="00DA1986">
        <w:rPr>
          <w:spacing w:val="-2"/>
        </w:rPr>
        <w:t xml:space="preserve"> 2009) and this lead to a series of investigations to determine whether the concentration of U in GTB could be contributing to this observation. Interim water quality closure criteria were derived, based upon work conducted to 2006 (Jones </w:t>
      </w:r>
      <w:r>
        <w:rPr>
          <w:spacing w:val="-2"/>
        </w:rPr>
        <w:t>et al</w:t>
      </w:r>
      <w:r w:rsidRPr="00DA1986">
        <w:rPr>
          <w:spacing w:val="-2"/>
        </w:rPr>
        <w:t xml:space="preserve"> 2008) with the caveat that, because water and sediment quality are not independ</w:t>
      </w:r>
      <w:r>
        <w:rPr>
          <w:spacing w:val="-2"/>
        </w:rPr>
        <w:t>e</w:t>
      </w:r>
      <w:r w:rsidRPr="00DA1986">
        <w:rPr>
          <w:spacing w:val="-2"/>
        </w:rPr>
        <w:t xml:space="preserve">nt of one another, </w:t>
      </w:r>
      <w:r>
        <w:rPr>
          <w:spacing w:val="-2"/>
        </w:rPr>
        <w:t xml:space="preserve">the </w:t>
      </w:r>
      <w:r w:rsidRPr="00DA1986">
        <w:rPr>
          <w:spacing w:val="-2"/>
        </w:rPr>
        <w:t xml:space="preserve">potential </w:t>
      </w:r>
      <w:r>
        <w:rPr>
          <w:spacing w:val="-2"/>
        </w:rPr>
        <w:t xml:space="preserve">for accumulation of U in </w:t>
      </w:r>
      <w:r w:rsidRPr="00DA1986">
        <w:rPr>
          <w:spacing w:val="-2"/>
        </w:rPr>
        <w:t>sediment</w:t>
      </w:r>
      <w:r>
        <w:rPr>
          <w:spacing w:val="-2"/>
        </w:rPr>
        <w:t xml:space="preserve"> to toxic levels via uptake from the water column also needed to be taken into account</w:t>
      </w:r>
      <w:r w:rsidRPr="00DA1986">
        <w:rPr>
          <w:spacing w:val="-2"/>
        </w:rPr>
        <w:t>.</w:t>
      </w:r>
    </w:p>
    <w:p w:rsidR="00B36F09" w:rsidRPr="005418F4" w:rsidRDefault="00B36F09" w:rsidP="00B36F09">
      <w:pPr>
        <w:pStyle w:val="Heading2"/>
      </w:pPr>
      <w:bookmarkStart w:id="96" w:name="_Toc313523559"/>
      <w:bookmarkStart w:id="97" w:name="_Toc316985402"/>
      <w:r w:rsidRPr="005418F4">
        <w:lastRenderedPageBreak/>
        <w:t>Sediment studies</w:t>
      </w:r>
      <w:bookmarkEnd w:id="96"/>
      <w:bookmarkEnd w:id="97"/>
    </w:p>
    <w:p w:rsidR="00B36F09" w:rsidRPr="005418F4" w:rsidRDefault="00B36F09" w:rsidP="00B36F09">
      <w:pPr>
        <w:rPr>
          <w:spacing w:val="-2"/>
        </w:rPr>
      </w:pPr>
      <w:r w:rsidRPr="005418F4">
        <w:rPr>
          <w:spacing w:val="-2"/>
        </w:rPr>
        <w:t xml:space="preserve">Various hypotheses were presented as to why </w:t>
      </w:r>
      <w:proofErr w:type="spellStart"/>
      <w:r w:rsidRPr="005418F4">
        <w:rPr>
          <w:spacing w:val="-2"/>
        </w:rPr>
        <w:t>macroinvertebrate</w:t>
      </w:r>
      <w:proofErr w:type="spellEnd"/>
      <w:r w:rsidRPr="005418F4">
        <w:rPr>
          <w:spacing w:val="-2"/>
        </w:rPr>
        <w:t xml:space="preserve"> communities in GTB sediments may be low compared with diversity in reference </w:t>
      </w:r>
      <w:proofErr w:type="spellStart"/>
      <w:r w:rsidRPr="005418F4">
        <w:rPr>
          <w:spacing w:val="-2"/>
        </w:rPr>
        <w:t>waterbodies</w:t>
      </w:r>
      <w:proofErr w:type="spellEnd"/>
      <w:r w:rsidRPr="005418F4">
        <w:rPr>
          <w:spacing w:val="-2"/>
        </w:rPr>
        <w:t>. These included:</w:t>
      </w:r>
    </w:p>
    <w:p w:rsidR="00B36F09" w:rsidRPr="005418F4" w:rsidRDefault="00B36F09" w:rsidP="00B36F09">
      <w:pPr>
        <w:pStyle w:val="Normallist1"/>
      </w:pPr>
      <w:proofErr w:type="spellStart"/>
      <w:proofErr w:type="gramStart"/>
      <w:r>
        <w:rPr>
          <w:spacing w:val="-2"/>
        </w:rPr>
        <w:t>i</w:t>
      </w:r>
      <w:proofErr w:type="spellEnd"/>
      <w:proofErr w:type="gramEnd"/>
      <w:r>
        <w:rPr>
          <w:spacing w:val="-2"/>
        </w:rPr>
        <w:tab/>
      </w:r>
      <w:r w:rsidRPr="005418F4">
        <w:rPr>
          <w:spacing w:val="-2"/>
        </w:rPr>
        <w:t>Sediment U concentrations in GTB sediments that are toxic to benthic organisms,</w:t>
      </w:r>
    </w:p>
    <w:p w:rsidR="00B36F09" w:rsidRPr="005418F4" w:rsidRDefault="00B36F09" w:rsidP="00B36F09">
      <w:pPr>
        <w:pStyle w:val="Normallist1"/>
      </w:pPr>
      <w:proofErr w:type="gramStart"/>
      <w:r>
        <w:rPr>
          <w:spacing w:val="-2"/>
        </w:rPr>
        <w:t>ii</w:t>
      </w:r>
      <w:proofErr w:type="gramEnd"/>
      <w:r>
        <w:rPr>
          <w:spacing w:val="-2"/>
        </w:rPr>
        <w:tab/>
      </w:r>
      <w:r w:rsidRPr="005418F4">
        <w:rPr>
          <w:spacing w:val="-2"/>
        </w:rPr>
        <w:t xml:space="preserve">Physical properties of GTB sediments that may inhibit </w:t>
      </w:r>
      <w:proofErr w:type="spellStart"/>
      <w:r w:rsidRPr="005418F4">
        <w:rPr>
          <w:spacing w:val="-2"/>
        </w:rPr>
        <w:t>macroinvertebrate</w:t>
      </w:r>
      <w:proofErr w:type="spellEnd"/>
      <w:r w:rsidRPr="005418F4">
        <w:rPr>
          <w:spacing w:val="-2"/>
        </w:rPr>
        <w:t xml:space="preserve"> colonisation, including compaction and small grain size</w:t>
      </w:r>
      <w:r w:rsidRPr="005418F4">
        <w:t>,</w:t>
      </w:r>
    </w:p>
    <w:p w:rsidR="00B36F09" w:rsidRDefault="00B36F09" w:rsidP="00B36F09">
      <w:pPr>
        <w:pStyle w:val="Normallist1"/>
      </w:pPr>
      <w:proofErr w:type="gramStart"/>
      <w:r>
        <w:t>iii</w:t>
      </w:r>
      <w:proofErr w:type="gramEnd"/>
      <w:r>
        <w:tab/>
        <w:t xml:space="preserve">Toxins </w:t>
      </w:r>
      <w:r w:rsidRPr="00DF119C">
        <w:rPr>
          <w:spacing w:val="-2"/>
        </w:rPr>
        <w:t>present</w:t>
      </w:r>
      <w:r>
        <w:t xml:space="preserve"> in leaf fall from riparian vegetation (</w:t>
      </w:r>
      <w:proofErr w:type="spellStart"/>
      <w:r>
        <w:t>eg</w:t>
      </w:r>
      <w:proofErr w:type="spellEnd"/>
      <w:r>
        <w:t xml:space="preserve"> </w:t>
      </w:r>
      <w:r w:rsidRPr="00775530">
        <w:rPr>
          <w:i/>
        </w:rPr>
        <w:t>Melaleuca</w:t>
      </w:r>
      <w:r>
        <w:t>),</w:t>
      </w:r>
      <w:r w:rsidRPr="00775530">
        <w:t xml:space="preserve"> </w:t>
      </w:r>
      <w:r>
        <w:t>and/or</w:t>
      </w:r>
    </w:p>
    <w:p w:rsidR="00B36F09" w:rsidRDefault="00B36F09" w:rsidP="00B36F09">
      <w:pPr>
        <w:pStyle w:val="Normallist1"/>
      </w:pPr>
      <w:proofErr w:type="gramStart"/>
      <w:r>
        <w:t>iv</w:t>
      </w:r>
      <w:proofErr w:type="gramEnd"/>
      <w:r>
        <w:tab/>
        <w:t>Inadequate original characterisation of benthic diversity in 2006 because of sampling methodology.</w:t>
      </w:r>
    </w:p>
    <w:p w:rsidR="00B36F09" w:rsidRDefault="00B36F09" w:rsidP="00B36F09">
      <w:r>
        <w:t>Aspects 1 and 2 are currently being investigated.</w:t>
      </w:r>
    </w:p>
    <w:p w:rsidR="00B36F09" w:rsidRDefault="00B36F09" w:rsidP="00B36F09">
      <w:pPr>
        <w:pStyle w:val="Heading3"/>
      </w:pPr>
      <w:bookmarkStart w:id="98" w:name="_Toc313523560"/>
      <w:bookmarkStart w:id="99" w:name="_Toc316985403"/>
      <w:r>
        <w:t>Potential s</w:t>
      </w:r>
      <w:r w:rsidRPr="00866F1C">
        <w:t xml:space="preserve">ediment U </w:t>
      </w:r>
      <w:r>
        <w:t>toxicity</w:t>
      </w:r>
      <w:bookmarkEnd w:id="98"/>
      <w:bookmarkEnd w:id="99"/>
    </w:p>
    <w:p w:rsidR="00B36F09" w:rsidRDefault="00B36F09" w:rsidP="00B36F09">
      <w:r>
        <w:t>There are two aspects to this investigation, (</w:t>
      </w:r>
      <w:proofErr w:type="spellStart"/>
      <w:r>
        <w:t>i</w:t>
      </w:r>
      <w:proofErr w:type="spellEnd"/>
      <w:r>
        <w:t>) spatial and temporal (</w:t>
      </w:r>
      <w:proofErr w:type="spellStart"/>
      <w:r>
        <w:t>interannual</w:t>
      </w:r>
      <w:proofErr w:type="spellEnd"/>
      <w:r>
        <w:t xml:space="preserve">) characterisation </w:t>
      </w:r>
      <w:proofErr w:type="gramStart"/>
      <w:r>
        <w:t>of  U</w:t>
      </w:r>
      <w:proofErr w:type="gramEnd"/>
      <w:r>
        <w:t xml:space="preserve"> in sediment in GTB, and (ii) experimental work to determine thresholds of toxicity of sediment U to sediment-dwelling organisms. Aspect (ii) is dealt with in a separate ARRTC paper </w:t>
      </w:r>
      <w:bookmarkStart w:id="100" w:name="_Toc223950875"/>
      <w:bookmarkStart w:id="101" w:name="_Toc230513096"/>
      <w:bookmarkStart w:id="102" w:name="_Toc230513335"/>
      <w:r>
        <w:t xml:space="preserve">(KKN </w:t>
      </w:r>
      <w:r w:rsidRPr="002E372D">
        <w:t xml:space="preserve">1.2.4. </w:t>
      </w:r>
      <w:proofErr w:type="gramStart"/>
      <w:r w:rsidRPr="002E372D">
        <w:t xml:space="preserve">The toxicity of uranium (U) to sediment biota of </w:t>
      </w:r>
      <w:proofErr w:type="spellStart"/>
      <w:r w:rsidRPr="002E372D">
        <w:t>Magela</w:t>
      </w:r>
      <w:proofErr w:type="spellEnd"/>
      <w:r w:rsidRPr="002E372D">
        <w:t xml:space="preserve"> Creek backflow billabong environments</w:t>
      </w:r>
      <w:bookmarkEnd w:id="100"/>
      <w:bookmarkEnd w:id="101"/>
      <w:bookmarkEnd w:id="102"/>
      <w:r>
        <w:t>).</w:t>
      </w:r>
      <w:proofErr w:type="gramEnd"/>
    </w:p>
    <w:p w:rsidR="00B36F09" w:rsidRPr="007B54C3" w:rsidRDefault="00B36F09" w:rsidP="00B36F09">
      <w:r>
        <w:t>In an examination of spatial and temporal (</w:t>
      </w:r>
      <w:proofErr w:type="spellStart"/>
      <w:r>
        <w:t>interannual</w:t>
      </w:r>
      <w:proofErr w:type="spellEnd"/>
      <w:r>
        <w:t xml:space="preserve">) variability of sediment U in GTB, it </w:t>
      </w:r>
      <w:r w:rsidRPr="005418F4">
        <w:t>became evident that to determine whether increases have occurred in sediment U concentration over time as a consequence of mining, it was necessary to reconcile</w:t>
      </w:r>
      <w:r w:rsidRPr="005418F4">
        <w:rPr>
          <w:szCs w:val="22"/>
        </w:rPr>
        <w:t xml:space="preserve"> different chemical analysis methods </w:t>
      </w:r>
      <w:r>
        <w:rPr>
          <w:szCs w:val="22"/>
        </w:rPr>
        <w:t xml:space="preserve">used </w:t>
      </w:r>
      <w:r w:rsidRPr="005418F4">
        <w:rPr>
          <w:szCs w:val="22"/>
        </w:rPr>
        <w:t>for U across the hi</w:t>
      </w:r>
      <w:r>
        <w:rPr>
          <w:szCs w:val="22"/>
        </w:rPr>
        <w:t>storical record. This method co</w:t>
      </w:r>
      <w:r w:rsidRPr="005418F4">
        <w:rPr>
          <w:szCs w:val="22"/>
        </w:rPr>
        <w:t xml:space="preserve">mparison was conducted in 2011. In addition, </w:t>
      </w:r>
      <w:r>
        <w:rPr>
          <w:szCs w:val="22"/>
        </w:rPr>
        <w:t>limited spatial sampling of sediments across</w:t>
      </w:r>
      <w:r w:rsidRPr="005418F4">
        <w:rPr>
          <w:szCs w:val="22"/>
        </w:rPr>
        <w:t xml:space="preserve"> the billabong in 2007 and 2009 revealed </w:t>
      </w:r>
      <w:r>
        <w:rPr>
          <w:szCs w:val="22"/>
        </w:rPr>
        <w:t xml:space="preserve">lateral </w:t>
      </w:r>
      <w:r w:rsidRPr="005418F4">
        <w:rPr>
          <w:szCs w:val="22"/>
        </w:rPr>
        <w:t xml:space="preserve">gradients in </w:t>
      </w:r>
      <w:r w:rsidRPr="007B54C3">
        <w:rPr>
          <w:szCs w:val="22"/>
        </w:rPr>
        <w:t xml:space="preserve">sediment U in the billabong. These gradients could potentially confound interpretation of sediment U results over time, depending upon where samples were collected.  In 2011, a more detailed characterisation was conducted, across four </w:t>
      </w:r>
      <w:proofErr w:type="gramStart"/>
      <w:r w:rsidRPr="007B54C3">
        <w:rPr>
          <w:szCs w:val="22"/>
        </w:rPr>
        <w:t>lateral</w:t>
      </w:r>
      <w:proofErr w:type="gramEnd"/>
      <w:r w:rsidRPr="007B54C3">
        <w:rPr>
          <w:szCs w:val="22"/>
        </w:rPr>
        <w:t xml:space="preserve"> transects along the length of GTB. </w:t>
      </w:r>
      <w:r w:rsidRPr="007B54C3">
        <w:t>Results of the method comparison are available and show that there is not a substantive difference between the different digest methods that have been used through time for GTB sediments. Chemical analysis of sediments for the 2011 GTB site characterisation is currently in progress.</w:t>
      </w:r>
    </w:p>
    <w:p w:rsidR="00B36F09" w:rsidRPr="009962BB" w:rsidRDefault="00B36F09" w:rsidP="00B36F09">
      <w:pPr>
        <w:pStyle w:val="Heading3"/>
      </w:pPr>
      <w:bookmarkStart w:id="103" w:name="_Toc313523561"/>
      <w:bookmarkStart w:id="104" w:name="_Toc316985404"/>
      <w:r w:rsidRPr="009962BB">
        <w:t>Physical properties of GTB sediments</w:t>
      </w:r>
      <w:bookmarkEnd w:id="103"/>
      <w:bookmarkEnd w:id="104"/>
    </w:p>
    <w:p w:rsidR="00B36F09" w:rsidRPr="009962BB" w:rsidRDefault="00B36F09" w:rsidP="00B36F09">
      <w:r w:rsidRPr="009962BB">
        <w:t>The littoral</w:t>
      </w:r>
      <w:r w:rsidRPr="009962BB">
        <w:rPr>
          <w:szCs w:val="22"/>
        </w:rPr>
        <w:t xml:space="preserve"> sediments in GTB consist mainly of fine cracking clays, and are generally devoid of surface vegetation during the dry season when the sediment exposed around the gently sloping margins undergoes desiccation-induced cracking. </w:t>
      </w:r>
      <w:r w:rsidRPr="009962BB">
        <w:t xml:space="preserve">Should these sediments dry out substantially and harden when exposed in the dry season, life stages of benthic organisms adapted to seeking refuge in sediments upon exposure and drying may not be able to persist. Moreover and once re-wetted in the wet season, such sediments may not rapidly return to a sufficiently softened and yielding form for residence by sediment-dwelling organisms. To resolve this potential compaction issue, a program of measuring sediment penetration resistance (using a </w:t>
      </w:r>
      <w:proofErr w:type="spellStart"/>
      <w:r w:rsidRPr="009962BB">
        <w:t>penetrometer</w:t>
      </w:r>
      <w:proofErr w:type="spellEnd"/>
      <w:r w:rsidRPr="009962BB">
        <w:t>) was initiated in late 2010. The results of this investigation are currently being written up.</w:t>
      </w:r>
      <w:r>
        <w:t xml:space="preserve"> Particle size distribution of sediment samples from </w:t>
      </w:r>
      <w:proofErr w:type="spellStart"/>
      <w:r>
        <w:t>waterbodies</w:t>
      </w:r>
      <w:proofErr w:type="spellEnd"/>
      <w:r>
        <w:t xml:space="preserve"> is also currently being determined and will be reported at a later date.</w:t>
      </w:r>
    </w:p>
    <w:p w:rsidR="00B36F09" w:rsidRDefault="00B36F09" w:rsidP="00B36F09">
      <w:pPr>
        <w:pStyle w:val="Heading2"/>
      </w:pPr>
      <w:bookmarkStart w:id="105" w:name="_Toc313523562"/>
      <w:bookmarkStart w:id="106" w:name="_Toc316985405"/>
      <w:r>
        <w:lastRenderedPageBreak/>
        <w:t>New biological and sediment studies initiated in 2011</w:t>
      </w:r>
      <w:bookmarkEnd w:id="105"/>
      <w:bookmarkEnd w:id="106"/>
    </w:p>
    <w:p w:rsidR="00B36F09" w:rsidRPr="006E109E" w:rsidRDefault="00B36F09" w:rsidP="00B36F09">
      <w:r w:rsidRPr="006E109E">
        <w:t xml:space="preserve">Two criteria are being applied to the need for future assessment of biological </w:t>
      </w:r>
      <w:r>
        <w:t>‘</w:t>
      </w:r>
      <w:r w:rsidRPr="006E109E">
        <w:t>health</w:t>
      </w:r>
      <w:r>
        <w:t>’</w:t>
      </w:r>
      <w:r w:rsidRPr="006E109E">
        <w:t xml:space="preserve"> of GTB and other </w:t>
      </w:r>
      <w:proofErr w:type="spellStart"/>
      <w:r w:rsidRPr="006E109E">
        <w:t>waterbodies</w:t>
      </w:r>
      <w:proofErr w:type="spellEnd"/>
      <w:r w:rsidRPr="006E109E">
        <w:t xml:space="preserve"> using </w:t>
      </w:r>
      <w:proofErr w:type="spellStart"/>
      <w:r w:rsidRPr="006E109E">
        <w:t>macroinvertebrate</w:t>
      </w:r>
      <w:proofErr w:type="spellEnd"/>
      <w:r w:rsidRPr="006E109E">
        <w:t xml:space="preserve"> communities: (</w:t>
      </w:r>
      <w:proofErr w:type="spellStart"/>
      <w:r w:rsidRPr="006E109E">
        <w:t>i</w:t>
      </w:r>
      <w:proofErr w:type="spellEnd"/>
      <w:r w:rsidRPr="006E109E">
        <w:t xml:space="preserve">) water quality in GTB deteriorates beyond the quality observed in past sampling (1995, 1996 and 2006) which provides an opportunity to revise the water quality closure criteria, and/or (ii) </w:t>
      </w:r>
      <w:r>
        <w:t xml:space="preserve">the need to </w:t>
      </w:r>
      <w:r w:rsidRPr="006E109E">
        <w:t xml:space="preserve">conduct such a sampling program on a regular, say 5-year, frequency to both confirm the derived water quality criteria and provide an assessment of potential mine impact in natural </w:t>
      </w:r>
      <w:proofErr w:type="spellStart"/>
      <w:r w:rsidRPr="006E109E">
        <w:t>waterbodies</w:t>
      </w:r>
      <w:proofErr w:type="spellEnd"/>
      <w:r w:rsidRPr="006E109E">
        <w:t xml:space="preserve"> adjacent to the Ranger </w:t>
      </w:r>
      <w:proofErr w:type="spellStart"/>
      <w:r w:rsidRPr="006E109E">
        <w:t>minesite</w:t>
      </w:r>
      <w:proofErr w:type="spellEnd"/>
      <w:r w:rsidRPr="006E109E">
        <w:t>.</w:t>
      </w:r>
    </w:p>
    <w:p w:rsidR="00B36F09" w:rsidRPr="003C4AD7" w:rsidRDefault="00B36F09" w:rsidP="00B36F09">
      <w:pPr>
        <w:rPr>
          <w:spacing w:val="-2"/>
        </w:rPr>
      </w:pPr>
      <w:r w:rsidRPr="003C4AD7">
        <w:rPr>
          <w:spacing w:val="-2"/>
        </w:rPr>
        <w:t>In became apparent in late 2010 that the late dry season water quality in GTB (</w:t>
      </w:r>
      <w:proofErr w:type="spellStart"/>
      <w:r w:rsidRPr="003C4AD7">
        <w:rPr>
          <w:spacing w:val="-2"/>
        </w:rPr>
        <w:t>viz</w:t>
      </w:r>
      <w:proofErr w:type="spellEnd"/>
      <w:r w:rsidRPr="003C4AD7">
        <w:rPr>
          <w:spacing w:val="-2"/>
        </w:rPr>
        <w:t xml:space="preserve"> electrical conductivity measurements) had deteriorated beyond the quality observed in past samplings, thus triggering the need for an additional sampling to provide another point on the water quality/biological condition plot.  It was determined that 13 </w:t>
      </w:r>
      <w:proofErr w:type="spellStart"/>
      <w:r w:rsidRPr="003C4AD7">
        <w:rPr>
          <w:spacing w:val="-2"/>
        </w:rPr>
        <w:t>waterbodies</w:t>
      </w:r>
      <w:proofErr w:type="spellEnd"/>
      <w:r w:rsidRPr="003C4AD7">
        <w:rPr>
          <w:spacing w:val="-2"/>
        </w:rPr>
        <w:t xml:space="preserve"> (same sites as 2006), including GTB and </w:t>
      </w:r>
      <w:proofErr w:type="spellStart"/>
      <w:r w:rsidRPr="003C4AD7">
        <w:rPr>
          <w:spacing w:val="-2"/>
        </w:rPr>
        <w:t>Coonjimba</w:t>
      </w:r>
      <w:proofErr w:type="spellEnd"/>
      <w:r w:rsidRPr="003C4AD7">
        <w:rPr>
          <w:spacing w:val="-2"/>
        </w:rPr>
        <w:t xml:space="preserve">, would be investigated during the late wet season recessional flow period in 2011. In addition to </w:t>
      </w:r>
      <w:proofErr w:type="spellStart"/>
      <w:r w:rsidRPr="003C4AD7">
        <w:rPr>
          <w:spacing w:val="-2"/>
        </w:rPr>
        <w:t>macroinvertebrate</w:t>
      </w:r>
      <w:proofErr w:type="spellEnd"/>
      <w:r w:rsidRPr="003C4AD7">
        <w:rPr>
          <w:spacing w:val="-2"/>
        </w:rPr>
        <w:t xml:space="preserve"> sampling, phytoplankton and zooplankton were also included in the sampling program in order to assess the relative sensitivities of other important biological assemblages to water quality.  The processing of these samples is still in progress. This sampling was also accompanied by a sediment quality sampling program in the </w:t>
      </w:r>
      <w:proofErr w:type="spellStart"/>
      <w:r w:rsidRPr="003C4AD7">
        <w:rPr>
          <w:spacing w:val="-2"/>
        </w:rPr>
        <w:t>waterbodies</w:t>
      </w:r>
      <w:proofErr w:type="spellEnd"/>
      <w:r w:rsidRPr="003C4AD7">
        <w:rPr>
          <w:spacing w:val="-2"/>
        </w:rPr>
        <w:t>, including the detailed spatial study in GTB discussed in section 2/1 above.</w:t>
      </w:r>
    </w:p>
    <w:p w:rsidR="00B36F09" w:rsidRPr="006E109E" w:rsidRDefault="00B36F09" w:rsidP="00B36F09">
      <w:r>
        <w:t xml:space="preserve">Sampling of sediments in the 13 </w:t>
      </w:r>
      <w:proofErr w:type="spellStart"/>
      <w:r>
        <w:t>waterbodies</w:t>
      </w:r>
      <w:proofErr w:type="spellEnd"/>
      <w:r>
        <w:t xml:space="preserve"> in 2011 used a quantitative methodology in which benthic organisms were extracted from an enclosed </w:t>
      </w:r>
      <w:proofErr w:type="spellStart"/>
      <w:r>
        <w:t>cyclinder</w:t>
      </w:r>
      <w:proofErr w:type="spellEnd"/>
      <w:r>
        <w:t xml:space="preserve"> of known dimensions and hence fixed area. This contrasts to the previous sampling of </w:t>
      </w:r>
      <w:proofErr w:type="spellStart"/>
      <w:r>
        <w:t>bentic</w:t>
      </w:r>
      <w:proofErr w:type="spellEnd"/>
      <w:r>
        <w:t xml:space="preserve"> </w:t>
      </w:r>
      <w:proofErr w:type="spellStart"/>
      <w:r>
        <w:t>macroinvertebrates</w:t>
      </w:r>
      <w:proofErr w:type="spellEnd"/>
      <w:r>
        <w:t xml:space="preserve"> in 2006 that used a sweep collection and live-sorting methodology. The results from the 2011 sampling run of benthic </w:t>
      </w:r>
      <w:proofErr w:type="spellStart"/>
      <w:r>
        <w:t>macroinvertebrates</w:t>
      </w:r>
      <w:proofErr w:type="spellEnd"/>
      <w:r>
        <w:t xml:space="preserve"> should provide more robust estimates of benthic diversity in the </w:t>
      </w:r>
      <w:proofErr w:type="spellStart"/>
      <w:r>
        <w:t>waterbodies</w:t>
      </w:r>
      <w:proofErr w:type="spellEnd"/>
      <w:r>
        <w:t>.</w:t>
      </w:r>
    </w:p>
    <w:p w:rsidR="00B36F09" w:rsidRPr="006E109E" w:rsidRDefault="00B36F09" w:rsidP="00B36F09">
      <w:r w:rsidRPr="006E109E">
        <w:t>The</w:t>
      </w:r>
      <w:r>
        <w:t xml:space="preserve"> results from </w:t>
      </w:r>
      <w:proofErr w:type="gramStart"/>
      <w:r>
        <w:t xml:space="preserve">the </w:t>
      </w:r>
      <w:r w:rsidRPr="006E109E">
        <w:t xml:space="preserve"> collective</w:t>
      </w:r>
      <w:proofErr w:type="gramEnd"/>
      <w:r w:rsidRPr="006E109E">
        <w:t xml:space="preserve"> studies described above will</w:t>
      </w:r>
      <w:r>
        <w:t xml:space="preserve"> be reported at ARRTC 29. The outcome from this intensive and wide ranging program of work will be</w:t>
      </w:r>
      <w:r w:rsidRPr="006E109E">
        <w:t xml:space="preserve"> robust </w:t>
      </w:r>
      <w:r>
        <w:t xml:space="preserve">water quality </w:t>
      </w:r>
      <w:r w:rsidRPr="006E109E">
        <w:t xml:space="preserve">closure criteria </w:t>
      </w:r>
      <w:r w:rsidRPr="006E109E">
        <w:rPr>
          <w:spacing w:val="-2"/>
          <w:szCs w:val="22"/>
        </w:rPr>
        <w:t xml:space="preserve">that are protective of both </w:t>
      </w:r>
      <w:proofErr w:type="spellStart"/>
      <w:r w:rsidRPr="006E109E">
        <w:rPr>
          <w:spacing w:val="-2"/>
          <w:szCs w:val="22"/>
        </w:rPr>
        <w:t>lentic</w:t>
      </w:r>
      <w:proofErr w:type="spellEnd"/>
      <w:r w:rsidRPr="006E109E">
        <w:rPr>
          <w:spacing w:val="-2"/>
          <w:szCs w:val="22"/>
        </w:rPr>
        <w:t xml:space="preserve">/surface water and benthic </w:t>
      </w:r>
      <w:proofErr w:type="gramStart"/>
      <w:r w:rsidRPr="006E109E">
        <w:rPr>
          <w:spacing w:val="-2"/>
          <w:szCs w:val="22"/>
        </w:rPr>
        <w:t>communities</w:t>
      </w:r>
      <w:proofErr w:type="gramEnd"/>
      <w:r w:rsidRPr="006E109E">
        <w:t xml:space="preserve"> resident in ARR </w:t>
      </w:r>
      <w:proofErr w:type="spellStart"/>
      <w:r w:rsidRPr="006E109E">
        <w:t>waterbodies</w:t>
      </w:r>
      <w:proofErr w:type="spellEnd"/>
      <w:r w:rsidRPr="006E109E">
        <w:t>.</w:t>
      </w:r>
    </w:p>
    <w:p w:rsidR="00B36F09" w:rsidRPr="00AD4849" w:rsidRDefault="00B36F09" w:rsidP="00B36F09">
      <w:pPr>
        <w:pStyle w:val="Heading2"/>
      </w:pPr>
      <w:bookmarkStart w:id="107" w:name="_Toc313523563"/>
      <w:bookmarkStart w:id="108" w:name="_Toc316985406"/>
      <w:r w:rsidRPr="00AD4849">
        <w:t>References</w:t>
      </w:r>
      <w:bookmarkEnd w:id="107"/>
      <w:bookmarkEnd w:id="108"/>
    </w:p>
    <w:p w:rsidR="00B36F09" w:rsidRPr="006E109E" w:rsidRDefault="00B36F09" w:rsidP="00B36F09">
      <w:pPr>
        <w:pStyle w:val="referencelist1"/>
        <w:spacing w:after="100" w:line="270" w:lineRule="atLeast"/>
        <w:ind w:left="357" w:hanging="357"/>
      </w:pPr>
      <w:proofErr w:type="gramStart"/>
      <w:r w:rsidRPr="006E109E">
        <w:t>ANZECC &amp; ARMCANZ 2000.</w:t>
      </w:r>
      <w:proofErr w:type="gramEnd"/>
      <w:r w:rsidRPr="006E109E">
        <w:t xml:space="preserve"> </w:t>
      </w:r>
      <w:proofErr w:type="gramStart"/>
      <w:r w:rsidRPr="006E109E">
        <w:rPr>
          <w:i/>
        </w:rPr>
        <w:t>Australian and New Zealand guidelines for fresh and marine water quality.</w:t>
      </w:r>
      <w:proofErr w:type="gramEnd"/>
      <w:r w:rsidRPr="006E109E">
        <w:rPr>
          <w:i/>
        </w:rPr>
        <w:t xml:space="preserve"> National Water Quality Management Strategy Paper No 4</w:t>
      </w:r>
      <w:r w:rsidRPr="006E109E">
        <w:t xml:space="preserve">. </w:t>
      </w:r>
      <w:proofErr w:type="gramStart"/>
      <w:r w:rsidRPr="006E109E">
        <w:t>Australian and New Zealand Environment and Conservation Council &amp; Agriculture and Resource Management Council of Australia and New Zealand, Canberra.</w:t>
      </w:r>
      <w:proofErr w:type="gramEnd"/>
    </w:p>
    <w:p w:rsidR="00B36F09" w:rsidRPr="006E109E" w:rsidRDefault="00B36F09" w:rsidP="00B36F09">
      <w:pPr>
        <w:pStyle w:val="referencelist1"/>
        <w:rPr>
          <w:lang w:eastAsia="en-AU"/>
        </w:rPr>
      </w:pPr>
      <w:bookmarkStart w:id="109" w:name="_Toc282084686"/>
      <w:bookmarkStart w:id="110" w:name="_Toc282085554"/>
      <w:proofErr w:type="gramStart"/>
      <w:r w:rsidRPr="006E109E">
        <w:t>Humphrey C, Turner K &amp; Jones</w:t>
      </w:r>
      <w:bookmarkEnd w:id="109"/>
      <w:bookmarkEnd w:id="110"/>
      <w:r w:rsidRPr="006E109E">
        <w:rPr>
          <w:lang w:eastAsia="en-AU"/>
        </w:rPr>
        <w:t xml:space="preserve"> D 2011.</w:t>
      </w:r>
      <w:proofErr w:type="gramEnd"/>
      <w:r w:rsidRPr="006E109E">
        <w:rPr>
          <w:lang w:eastAsia="en-AU"/>
        </w:rPr>
        <w:t xml:space="preserve"> </w:t>
      </w:r>
      <w:proofErr w:type="gramStart"/>
      <w:r w:rsidRPr="006E109E">
        <w:t xml:space="preserve">Development of surface water quality closure criteria for Ranger billabongs using </w:t>
      </w:r>
      <w:proofErr w:type="spellStart"/>
      <w:r w:rsidRPr="006E109E">
        <w:t>macroinvertebrate</w:t>
      </w:r>
      <w:proofErr w:type="spellEnd"/>
      <w:r w:rsidRPr="006E109E">
        <w:t xml:space="preserve"> community data</w:t>
      </w:r>
      <w:r w:rsidRPr="006E109E">
        <w:rPr>
          <w:lang w:eastAsia="en-AU"/>
        </w:rPr>
        <w:t>.</w:t>
      </w:r>
      <w:proofErr w:type="gramEnd"/>
      <w:r w:rsidRPr="006E109E">
        <w:rPr>
          <w:lang w:eastAsia="en-AU"/>
        </w:rPr>
        <w:t xml:space="preserve"> </w:t>
      </w:r>
      <w:proofErr w:type="gramStart"/>
      <w:r w:rsidRPr="006E109E">
        <w:rPr>
          <w:lang w:eastAsia="en-AU"/>
        </w:rPr>
        <w:t xml:space="preserve">In </w:t>
      </w:r>
      <w:proofErr w:type="spellStart"/>
      <w:r w:rsidRPr="00DF119C">
        <w:rPr>
          <w:b/>
          <w:i/>
          <w:sz w:val="26"/>
          <w:szCs w:val="24"/>
          <w:lang w:eastAsia="en-AU"/>
        </w:rPr>
        <w:t>eriss</w:t>
      </w:r>
      <w:proofErr w:type="spellEnd"/>
      <w:r w:rsidRPr="006E109E">
        <w:rPr>
          <w:lang w:eastAsia="en-AU"/>
        </w:rPr>
        <w:t xml:space="preserve"> </w:t>
      </w:r>
      <w:r w:rsidRPr="006E109E">
        <w:rPr>
          <w:i/>
          <w:lang w:eastAsia="en-AU"/>
        </w:rPr>
        <w:t>research summary 2009–2010</w:t>
      </w:r>
      <w:r w:rsidRPr="006E109E">
        <w:rPr>
          <w:lang w:eastAsia="en-AU"/>
        </w:rPr>
        <w:t>.</w:t>
      </w:r>
      <w:proofErr w:type="gramEnd"/>
      <w:r w:rsidRPr="006E109E">
        <w:rPr>
          <w:lang w:eastAsia="en-AU"/>
        </w:rPr>
        <w:t xml:space="preserve"> </w:t>
      </w:r>
      <w:proofErr w:type="spellStart"/>
      <w:proofErr w:type="gramStart"/>
      <w:r w:rsidRPr="006E109E">
        <w:rPr>
          <w:lang w:eastAsia="en-AU"/>
        </w:rPr>
        <w:t>eds</w:t>
      </w:r>
      <w:proofErr w:type="spellEnd"/>
      <w:proofErr w:type="gramEnd"/>
      <w:r w:rsidRPr="006E109E">
        <w:rPr>
          <w:lang w:eastAsia="en-AU"/>
        </w:rPr>
        <w:t xml:space="preserve"> Jones DR &amp; Webb A, Supervising Scientist Report 202, Supervising Scientist, Darwin NT, 112–118.</w:t>
      </w:r>
    </w:p>
    <w:p w:rsidR="00B36F09" w:rsidRDefault="00B36F09" w:rsidP="00B36F09">
      <w:pPr>
        <w:pStyle w:val="referencelist1"/>
        <w:rPr>
          <w:lang w:eastAsia="en-AU"/>
        </w:rPr>
      </w:pPr>
      <w:r w:rsidRPr="006E109E">
        <w:rPr>
          <w:lang w:val="pt-BR" w:eastAsia="en-AU"/>
        </w:rPr>
        <w:t xml:space="preserve">Jones D, Humphrey C, Iles M &amp; van Dam R 2008. </w:t>
      </w:r>
      <w:r w:rsidRPr="006E109E">
        <w:rPr>
          <w:lang w:eastAsia="en-AU"/>
        </w:rPr>
        <w:t xml:space="preserve">Deriving surface water quality closure criteria – an Australian uranium mine case study, </w:t>
      </w:r>
      <w:r w:rsidRPr="006E109E">
        <w:rPr>
          <w:iCs/>
          <w:lang w:eastAsia="en-AU"/>
        </w:rPr>
        <w:t>In</w:t>
      </w:r>
      <w:r w:rsidRPr="006E109E">
        <w:rPr>
          <w:lang w:eastAsia="en-AU"/>
        </w:rPr>
        <w:t xml:space="preserve"> </w:t>
      </w:r>
      <w:r w:rsidRPr="006E109E">
        <w:rPr>
          <w:i/>
          <w:lang w:eastAsia="en-AU"/>
        </w:rPr>
        <w:t xml:space="preserve">Proceedings of </w:t>
      </w:r>
      <w:proofErr w:type="spellStart"/>
      <w:r w:rsidRPr="006E109E">
        <w:rPr>
          <w:i/>
          <w:lang w:eastAsia="en-AU"/>
        </w:rPr>
        <w:t>Minewater</w:t>
      </w:r>
      <w:proofErr w:type="spellEnd"/>
      <w:r w:rsidRPr="006E109E">
        <w:rPr>
          <w:i/>
          <w:lang w:eastAsia="en-AU"/>
        </w:rPr>
        <w:t xml:space="preserve"> and the Environment</w:t>
      </w:r>
      <w:r w:rsidRPr="006E109E">
        <w:rPr>
          <w:lang w:eastAsia="en-AU"/>
        </w:rPr>
        <w:t xml:space="preserve">, 10th International Mine Water Association Congress, </w:t>
      </w:r>
      <w:proofErr w:type="spellStart"/>
      <w:r w:rsidRPr="006E109E">
        <w:rPr>
          <w:lang w:eastAsia="en-AU"/>
        </w:rPr>
        <w:t>eds</w:t>
      </w:r>
      <w:proofErr w:type="spellEnd"/>
      <w:r w:rsidRPr="006E109E">
        <w:rPr>
          <w:lang w:eastAsia="en-AU"/>
        </w:rPr>
        <w:t xml:space="preserve"> N </w:t>
      </w:r>
      <w:proofErr w:type="spellStart"/>
      <w:r w:rsidRPr="006E109E">
        <w:rPr>
          <w:lang w:eastAsia="en-AU"/>
        </w:rPr>
        <w:t>Rapantova</w:t>
      </w:r>
      <w:proofErr w:type="spellEnd"/>
      <w:r w:rsidRPr="006E109E">
        <w:rPr>
          <w:lang w:eastAsia="en-AU"/>
        </w:rPr>
        <w:t xml:space="preserve"> &amp; Z </w:t>
      </w:r>
      <w:proofErr w:type="spellStart"/>
      <w:r w:rsidRPr="006E109E">
        <w:rPr>
          <w:lang w:eastAsia="en-AU"/>
        </w:rPr>
        <w:t>Hrkal</w:t>
      </w:r>
      <w:proofErr w:type="spellEnd"/>
      <w:r w:rsidRPr="006E109E">
        <w:rPr>
          <w:lang w:eastAsia="en-AU"/>
        </w:rPr>
        <w:t>, June 2–5, Karlovy Vary, Czech Republic, 209–212.</w:t>
      </w:r>
    </w:p>
    <w:p w:rsidR="00B36F09" w:rsidRPr="006E109E" w:rsidRDefault="00B36F09" w:rsidP="00B36F09">
      <w:pPr>
        <w:pStyle w:val="referencelist1"/>
        <w:rPr>
          <w:lang w:eastAsia="en-AU"/>
        </w:rPr>
      </w:pPr>
    </w:p>
    <w:p w:rsidR="00B36F09" w:rsidRDefault="00B36F09" w:rsidP="00B36F09">
      <w:pPr>
        <w:pStyle w:val="Heading3"/>
        <w:sectPr w:rsidR="00B36F09" w:rsidSect="007852D6">
          <w:headerReference w:type="even" r:id="rId36"/>
          <w:headerReference w:type="default" r:id="rId37"/>
          <w:headerReference w:type="first" r:id="rId38"/>
          <w:footnotePr>
            <w:numRestart w:val="eachSect"/>
          </w:footnotePr>
          <w:pgSz w:w="11906" w:h="16838" w:code="9"/>
          <w:pgMar w:top="1440" w:right="1797" w:bottom="1440" w:left="1797" w:header="851" w:footer="833" w:gutter="0"/>
          <w:cols w:space="360"/>
          <w:noEndnote/>
          <w:titlePg/>
        </w:sectPr>
      </w:pPr>
      <w:bookmarkStart w:id="111" w:name="_Toc308710364"/>
      <w:bookmarkStart w:id="112" w:name="_Toc309215811"/>
      <w:bookmarkStart w:id="113" w:name="_Toc85011069"/>
      <w:bookmarkStart w:id="114" w:name="_Toc102287004"/>
      <w:bookmarkStart w:id="115" w:name="_Toc102492033"/>
      <w:bookmarkStart w:id="116" w:name="_Toc147307449"/>
      <w:bookmarkStart w:id="117" w:name="_Toc189648673"/>
    </w:p>
    <w:p w:rsidR="00B36F09" w:rsidRDefault="00B36F09" w:rsidP="00B36F09">
      <w:pPr>
        <w:pStyle w:val="Heading1"/>
      </w:pPr>
      <w:bookmarkStart w:id="118" w:name="_Toc309215812"/>
      <w:bookmarkStart w:id="119" w:name="_Toc319670752"/>
      <w:bookmarkEnd w:id="111"/>
      <w:bookmarkEnd w:id="112"/>
      <w:r w:rsidRPr="00DF119C">
        <w:lastRenderedPageBreak/>
        <w:t>Use of vegetation analogues to guide planning for rehabilitation of the Ranger mine site</w:t>
      </w:r>
      <w:bookmarkEnd w:id="118"/>
      <w:bookmarkEnd w:id="119"/>
    </w:p>
    <w:p w:rsidR="00B36F09" w:rsidRPr="007152D6" w:rsidRDefault="00B36F09" w:rsidP="00B36F09">
      <w:pPr>
        <w:pStyle w:val="authors"/>
        <w:spacing w:after="800"/>
      </w:pPr>
      <w:bookmarkStart w:id="120" w:name="_Toc316987255"/>
      <w:bookmarkStart w:id="121" w:name="_Toc319670753"/>
      <w:r w:rsidRPr="007152D6">
        <w:rPr>
          <w:rFonts w:ascii="Arial-BoldMT" w:hAnsi="Arial-BoldMT" w:cs="Arial-BoldMT"/>
          <w:bCs/>
          <w:szCs w:val="24"/>
          <w:lang w:eastAsia="en-AU"/>
        </w:rPr>
        <w:t>C Humphre</w:t>
      </w:r>
      <w:r>
        <w:rPr>
          <w:rFonts w:ascii="Arial-BoldMT" w:hAnsi="Arial-BoldMT" w:cs="Arial-BoldMT"/>
          <w:bCs/>
          <w:szCs w:val="24"/>
          <w:lang w:eastAsia="en-AU"/>
        </w:rPr>
        <w:t>y, J Lowry &amp;</w:t>
      </w:r>
      <w:r w:rsidRPr="007152D6">
        <w:t xml:space="preserve"> </w:t>
      </w:r>
      <w:r w:rsidRPr="007152D6">
        <w:rPr>
          <w:rFonts w:ascii="Arial-BoldMT" w:hAnsi="Arial-BoldMT" w:cs="Arial-BoldMT"/>
          <w:bCs/>
          <w:szCs w:val="24"/>
          <w:lang w:eastAsia="en-AU"/>
        </w:rPr>
        <w:t>G Fox</w:t>
      </w:r>
      <w:bookmarkEnd w:id="120"/>
      <w:bookmarkEnd w:id="121"/>
    </w:p>
    <w:p w:rsidR="00B36F09" w:rsidRDefault="00B36F09" w:rsidP="00B36F09">
      <w:pPr>
        <w:pStyle w:val="Heading2"/>
      </w:pPr>
      <w:bookmarkStart w:id="122" w:name="_Toc313523565"/>
      <w:bookmarkStart w:id="123" w:name="_Toc316985408"/>
      <w:r>
        <w:t>Background</w:t>
      </w:r>
      <w:bookmarkEnd w:id="122"/>
      <w:bookmarkEnd w:id="123"/>
    </w:p>
    <w:p w:rsidR="00B36F09" w:rsidRDefault="00B36F09" w:rsidP="00B36F09">
      <w:pPr>
        <w:rPr>
          <w:spacing w:val="-2"/>
          <w:lang w:eastAsia="en-AU"/>
        </w:rPr>
      </w:pPr>
      <w:r w:rsidRPr="005B0B16">
        <w:rPr>
          <w:spacing w:val="-2"/>
          <w:lang w:eastAsia="en-AU"/>
        </w:rPr>
        <w:t xml:space="preserve">A number of projects are currently underway to address aspects of rehabilitation associated with future closure of the Ranger Project Area, including ecosystem reconstruction and final landform design and revegetation. The </w:t>
      </w:r>
      <w:smartTag w:uri="urn:schemas-microsoft-com:office:smarttags" w:element="place">
        <w:smartTag w:uri="urn:schemas-microsoft-com:office:smarttags" w:element="City">
          <w:r w:rsidRPr="005B0B16">
            <w:rPr>
              <w:spacing w:val="-2"/>
              <w:lang w:eastAsia="en-AU"/>
            </w:rPr>
            <w:t>Georgetown</w:t>
          </w:r>
        </w:smartTag>
      </w:smartTag>
      <w:r w:rsidRPr="005B0B16">
        <w:rPr>
          <w:spacing w:val="-2"/>
          <w:lang w:eastAsia="en-AU"/>
        </w:rPr>
        <w:t xml:space="preserve"> analogue area, a ~400 hectare area of natural vegetation located on the south-eastern edge of the Ranger mine (Figure 1 inset), is providing much of the reference data about local vegetation communities. These vegetation data have been gathered by ERA Pty Ltd (ERA) and </w:t>
      </w:r>
      <w:proofErr w:type="spellStart"/>
      <w:r w:rsidRPr="005B0B16">
        <w:rPr>
          <w:b/>
          <w:i/>
          <w:spacing w:val="-2"/>
          <w:sz w:val="26"/>
          <w:lang w:eastAsia="en-AU"/>
        </w:rPr>
        <w:t>eriss</w:t>
      </w:r>
      <w:proofErr w:type="spellEnd"/>
      <w:r w:rsidRPr="005B0B16">
        <w:rPr>
          <w:spacing w:val="-2"/>
          <w:lang w:eastAsia="en-AU"/>
        </w:rPr>
        <w:t xml:space="preserve">. Unlike the flat lowland </w:t>
      </w:r>
      <w:proofErr w:type="spellStart"/>
      <w:r w:rsidRPr="005B0B16">
        <w:rPr>
          <w:spacing w:val="-2"/>
          <w:lang w:eastAsia="en-AU"/>
        </w:rPr>
        <w:t>Koolpinyah</w:t>
      </w:r>
      <w:proofErr w:type="spellEnd"/>
      <w:r w:rsidRPr="005B0B16">
        <w:rPr>
          <w:spacing w:val="-2"/>
          <w:lang w:eastAsia="en-AU"/>
        </w:rPr>
        <w:t xml:space="preserve"> surface found over most of the Ranger lease this area has particular terrain characteristics that better match those of the proposed final landform, particularly its low relief with associated vegetation communities that are representative of the variety of plant forms found in lowland and low hill terrain environments of the ARR (Humphrey &amp; Fox 2010). </w:t>
      </w:r>
    </w:p>
    <w:p w:rsidR="00B36F09" w:rsidRPr="005B0B16" w:rsidRDefault="00B36F09" w:rsidP="00B36F09">
      <w:pPr>
        <w:spacing w:after="0"/>
        <w:rPr>
          <w:spacing w:val="-2"/>
          <w:lang w:eastAsia="en-AU"/>
        </w:rPr>
      </w:pPr>
    </w:p>
    <w:p w:rsidR="00B36F09" w:rsidRPr="00EF6BF7" w:rsidRDefault="00B36F09" w:rsidP="00B36F09">
      <w:pPr>
        <w:jc w:val="center"/>
        <w:rPr>
          <w:lang w:val="en-US"/>
        </w:rPr>
      </w:pPr>
      <w:r>
        <w:rPr>
          <w:noProof/>
          <w:lang w:eastAsia="en-AU"/>
        </w:rPr>
        <w:drawing>
          <wp:inline distT="0" distB="0" distL="0" distR="0">
            <wp:extent cx="2562225" cy="3615055"/>
            <wp:effectExtent l="19050" t="0" r="9525" b="0"/>
            <wp:docPr id="55" name="Picture 45" descr="DEM_analogue_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M_analogue_location"/>
                    <pic:cNvPicPr>
                      <a:picLocks noChangeAspect="1" noChangeArrowheads="1"/>
                    </pic:cNvPicPr>
                  </pic:nvPicPr>
                  <pic:blipFill>
                    <a:blip r:embed="rId39" cstate="screen"/>
                    <a:srcRect/>
                    <a:stretch>
                      <a:fillRect/>
                    </a:stretch>
                  </pic:blipFill>
                  <pic:spPr bwMode="auto">
                    <a:xfrm>
                      <a:off x="0" y="0"/>
                      <a:ext cx="2562225" cy="3615055"/>
                    </a:xfrm>
                    <a:prstGeom prst="rect">
                      <a:avLst/>
                    </a:prstGeom>
                    <a:noFill/>
                    <a:ln w="9525">
                      <a:noFill/>
                      <a:miter lim="800000"/>
                      <a:headEnd/>
                      <a:tailEnd/>
                    </a:ln>
                  </pic:spPr>
                </pic:pic>
              </a:graphicData>
            </a:graphic>
          </wp:inline>
        </w:drawing>
      </w:r>
    </w:p>
    <w:p w:rsidR="00B36F09" w:rsidRPr="005578C5" w:rsidRDefault="00B36F09" w:rsidP="00B36F09">
      <w:pPr>
        <w:pStyle w:val="figurecaption"/>
      </w:pPr>
      <w:r w:rsidRPr="00FC4F17">
        <w:rPr>
          <w:b/>
        </w:rPr>
        <w:t xml:space="preserve">Figure </w:t>
      </w:r>
      <w:proofErr w:type="gramStart"/>
      <w:r w:rsidRPr="00FC4F17">
        <w:rPr>
          <w:b/>
        </w:rPr>
        <w:t>1</w:t>
      </w:r>
      <w:r w:rsidRPr="00370CD0">
        <w:t xml:space="preserve">  </w:t>
      </w:r>
      <w:r w:rsidRPr="00FC4F17">
        <w:t>Top</w:t>
      </w:r>
      <w:proofErr w:type="gramEnd"/>
      <w:r w:rsidRPr="00FC4F17">
        <w:t xml:space="preserve">: Digital Elevation Model (DEM) of the </w:t>
      </w:r>
      <w:smartTag w:uri="urn:schemas-microsoft-com:office:smarttags" w:element="place">
        <w:smartTag w:uri="urn:schemas-microsoft-com:office:smarttags" w:element="City">
          <w:r w:rsidRPr="00FC4F17">
            <w:t>Georgetown</w:t>
          </w:r>
        </w:smartTag>
      </w:smartTag>
      <w:r w:rsidRPr="00FC4F17">
        <w:t xml:space="preserve"> analogue area. Inset shows location of</w:t>
      </w:r>
      <w:r>
        <w:t xml:space="preserve"> the analogue area relative to the mine.</w:t>
      </w:r>
    </w:p>
    <w:p w:rsidR="00B36F09" w:rsidRDefault="00B36F09" w:rsidP="00B36F09">
      <w:pPr>
        <w:rPr>
          <w:lang w:eastAsia="en-AU"/>
        </w:rPr>
      </w:pPr>
      <w:r>
        <w:rPr>
          <w:lang w:eastAsia="en-AU"/>
        </w:rPr>
        <w:t>The primary objectives of the work being conducted in the analogue area are:</w:t>
      </w:r>
    </w:p>
    <w:p w:rsidR="00B36F09" w:rsidRDefault="00B36F09" w:rsidP="001B1A95">
      <w:pPr>
        <w:numPr>
          <w:ilvl w:val="0"/>
          <w:numId w:val="5"/>
        </w:numPr>
        <w:spacing w:after="100" w:line="260" w:lineRule="atLeast"/>
        <w:jc w:val="left"/>
        <w:rPr>
          <w:lang w:val="en-US"/>
        </w:rPr>
      </w:pPr>
      <w:r>
        <w:t>I</w:t>
      </w:r>
      <w:proofErr w:type="spellStart"/>
      <w:r w:rsidRPr="008B0C83">
        <w:rPr>
          <w:lang w:val="en-US"/>
        </w:rPr>
        <w:t>dentif</w:t>
      </w:r>
      <w:r>
        <w:rPr>
          <w:lang w:val="en-US"/>
        </w:rPr>
        <w:t>y</w:t>
      </w:r>
      <w:proofErr w:type="spellEnd"/>
      <w:r w:rsidRPr="008B0C83">
        <w:rPr>
          <w:lang w:val="en-US"/>
        </w:rPr>
        <w:t xml:space="preserve"> and derive </w:t>
      </w:r>
      <w:r>
        <w:rPr>
          <w:lang w:val="en-US"/>
        </w:rPr>
        <w:t>quantitative terrain</w:t>
      </w:r>
      <w:r w:rsidRPr="008B0C83">
        <w:rPr>
          <w:lang w:val="en-US"/>
        </w:rPr>
        <w:t xml:space="preserve"> parameters</w:t>
      </w:r>
      <w:r>
        <w:rPr>
          <w:lang w:val="en-US"/>
        </w:rPr>
        <w:t xml:space="preserve"> (</w:t>
      </w:r>
      <w:proofErr w:type="spellStart"/>
      <w:r>
        <w:rPr>
          <w:lang w:val="en-US"/>
        </w:rPr>
        <w:t>eg</w:t>
      </w:r>
      <w:proofErr w:type="spellEnd"/>
      <w:r>
        <w:rPr>
          <w:lang w:val="en-US"/>
        </w:rPr>
        <w:t xml:space="preserve"> elevation, relief, aspect)</w:t>
      </w:r>
      <w:r w:rsidRPr="008B0C83">
        <w:rPr>
          <w:lang w:val="en-US"/>
        </w:rPr>
        <w:t xml:space="preserve"> which </w:t>
      </w:r>
      <w:r>
        <w:rPr>
          <w:lang w:val="en-US"/>
        </w:rPr>
        <w:t xml:space="preserve">provide a landscape-based reference for specifying design </w:t>
      </w:r>
      <w:r w:rsidRPr="008B0C83">
        <w:rPr>
          <w:lang w:val="en-US"/>
        </w:rPr>
        <w:t xml:space="preserve">criteria </w:t>
      </w:r>
      <w:r>
        <w:rPr>
          <w:lang w:val="en-US"/>
        </w:rPr>
        <w:t>for</w:t>
      </w:r>
      <w:r w:rsidRPr="008B0C83">
        <w:rPr>
          <w:lang w:val="en-US"/>
        </w:rPr>
        <w:t xml:space="preserve"> the final rehabilitated landform</w:t>
      </w:r>
      <w:r>
        <w:rPr>
          <w:lang w:val="en-US"/>
        </w:rPr>
        <w:t xml:space="preserve">. </w:t>
      </w:r>
    </w:p>
    <w:p w:rsidR="00B36F09" w:rsidRDefault="00B36F09" w:rsidP="001B1A95">
      <w:pPr>
        <w:numPr>
          <w:ilvl w:val="0"/>
          <w:numId w:val="5"/>
        </w:numPr>
        <w:spacing w:after="100" w:line="260" w:lineRule="atLeast"/>
        <w:jc w:val="left"/>
        <w:rPr>
          <w:lang w:eastAsia="en-AU"/>
        </w:rPr>
      </w:pPr>
      <w:r>
        <w:rPr>
          <w:lang w:val="en-US" w:eastAsia="en-AU"/>
        </w:rPr>
        <w:lastRenderedPageBreak/>
        <w:t>C</w:t>
      </w:r>
      <w:proofErr w:type="spellStart"/>
      <w:r>
        <w:t>haracterise</w:t>
      </w:r>
      <w:proofErr w:type="spellEnd"/>
      <w:r>
        <w:t xml:space="preserve"> the plant communities and identify the key environmental determinants of those communities from the terrain descriptors derived in 1.</w:t>
      </w:r>
    </w:p>
    <w:p w:rsidR="00B36F09" w:rsidRDefault="00B36F09" w:rsidP="001B1A95">
      <w:pPr>
        <w:numPr>
          <w:ilvl w:val="0"/>
          <w:numId w:val="5"/>
        </w:numPr>
        <w:spacing w:after="100" w:line="260" w:lineRule="atLeast"/>
        <w:jc w:val="left"/>
        <w:rPr>
          <w:lang w:eastAsia="en-AU"/>
        </w:rPr>
      </w:pPr>
      <w:r>
        <w:t xml:space="preserve">Use the findings from (1) and (2) to assist with, </w:t>
      </w:r>
    </w:p>
    <w:p w:rsidR="00B36F09" w:rsidRDefault="00B36F09" w:rsidP="001B1A95">
      <w:pPr>
        <w:numPr>
          <w:ilvl w:val="1"/>
          <w:numId w:val="5"/>
        </w:numPr>
        <w:tabs>
          <w:tab w:val="clear" w:pos="1080"/>
          <w:tab w:val="num" w:pos="851"/>
        </w:tabs>
        <w:spacing w:after="100" w:line="260" w:lineRule="atLeast"/>
        <w:ind w:left="851" w:hanging="425"/>
        <w:jc w:val="left"/>
        <w:rPr>
          <w:lang w:eastAsia="en-AU"/>
        </w:rPr>
      </w:pPr>
      <w:r>
        <w:t>selection of the most appropriate species for revegetation of the Ranger mine landform post decommissioning,</w:t>
      </w:r>
    </w:p>
    <w:p w:rsidR="00B36F09" w:rsidRDefault="00B36F09" w:rsidP="001B1A95">
      <w:pPr>
        <w:numPr>
          <w:ilvl w:val="1"/>
          <w:numId w:val="5"/>
        </w:numPr>
        <w:tabs>
          <w:tab w:val="clear" w:pos="1080"/>
          <w:tab w:val="num" w:pos="851"/>
        </w:tabs>
        <w:spacing w:after="100" w:line="260" w:lineRule="atLeast"/>
        <w:ind w:left="851" w:hanging="425"/>
        <w:jc w:val="left"/>
        <w:rPr>
          <w:lang w:eastAsia="en-AU"/>
        </w:rPr>
      </w:pPr>
      <w:proofErr w:type="gramStart"/>
      <w:r>
        <w:t>the</w:t>
      </w:r>
      <w:proofErr w:type="gramEnd"/>
      <w:r>
        <w:t xml:space="preserve"> development of revegetation closure criteria and a suitable post-closure, performance monitoring regime.</w:t>
      </w:r>
    </w:p>
    <w:p w:rsidR="00B36F09" w:rsidRDefault="00B36F09" w:rsidP="00B36F09">
      <w:pPr>
        <w:autoSpaceDE w:val="0"/>
        <w:autoSpaceDN w:val="0"/>
        <w:adjustRightInd w:val="0"/>
        <w:rPr>
          <w:lang w:eastAsia="en-AU"/>
        </w:rPr>
      </w:pPr>
      <w:r>
        <w:rPr>
          <w:lang w:val="en-US"/>
        </w:rPr>
        <w:t xml:space="preserve">In relation to item 1 above, analysis of the analogue terrain has previously been undertaken by ERA using a Digital Elevation Model (DEM) of the analogue area. Little information was available on the accuracy of the DEM used, beyond the statement that it had a resolution of 20 </w:t>
      </w:r>
      <w:proofErr w:type="spellStart"/>
      <w:r>
        <w:rPr>
          <w:lang w:val="en-US"/>
        </w:rPr>
        <w:t>metres</w:t>
      </w:r>
      <w:proofErr w:type="spellEnd"/>
      <w:r>
        <w:rPr>
          <w:lang w:val="en-US"/>
        </w:rPr>
        <w:t xml:space="preserve">. If applied as a measure of either horizontal or vertical accuracy, such a DEM would be considered relatively coarse. Given the shallow slopes that </w:t>
      </w:r>
      <w:proofErr w:type="spellStart"/>
      <w:r>
        <w:rPr>
          <w:lang w:val="en-US"/>
        </w:rPr>
        <w:t>characterise</w:t>
      </w:r>
      <w:proofErr w:type="spellEnd"/>
      <w:r>
        <w:rPr>
          <w:lang w:val="en-US"/>
        </w:rPr>
        <w:t xml:space="preserve"> the analogue area, it was considered that use of such a coarse resolution DEM might not provide the level of accuracy needed to derive the required terrain parameters. Accordingly, a recent focus of SSD’s work has been to use a much higher-resolution DEM for this purpose. Re-derivation from the DEM of the descriptive physical features required for terrain analysis is currently in progress and some preliminary findings are reported below. </w:t>
      </w:r>
      <w:r>
        <w:rPr>
          <w:lang w:eastAsia="en-AU"/>
        </w:rPr>
        <w:t>Detailed analysis of these landscape terrain descriptors will be presented in ensuing</w:t>
      </w:r>
      <w:r>
        <w:rPr>
          <w:lang w:val="en-US"/>
        </w:rPr>
        <w:t xml:space="preserve"> ARRTC reports</w:t>
      </w:r>
      <w:r>
        <w:rPr>
          <w:lang w:eastAsia="en-AU"/>
        </w:rPr>
        <w:t>.</w:t>
      </w:r>
    </w:p>
    <w:p w:rsidR="00B36F09" w:rsidRPr="003C4AD7" w:rsidRDefault="00B36F09" w:rsidP="00B36F09">
      <w:pPr>
        <w:rPr>
          <w:spacing w:val="-2"/>
          <w:szCs w:val="22"/>
          <w:lang w:val="en-US"/>
        </w:rPr>
      </w:pPr>
      <w:r w:rsidRPr="003C4AD7">
        <w:rPr>
          <w:spacing w:val="-2"/>
          <w:lang w:val="en-US"/>
        </w:rPr>
        <w:t>For the range of key vegetation community types that represent the array of environments likely to be found across the rehabilitated footprint, relationships between the occurrence of such communities and key geomorphic features of the landscape (</w:t>
      </w:r>
      <w:proofErr w:type="spellStart"/>
      <w:r w:rsidRPr="003C4AD7">
        <w:rPr>
          <w:spacing w:val="-2"/>
          <w:lang w:val="en-US"/>
        </w:rPr>
        <w:t>eg</w:t>
      </w:r>
      <w:proofErr w:type="spellEnd"/>
      <w:r w:rsidRPr="003C4AD7">
        <w:rPr>
          <w:spacing w:val="-2"/>
          <w:lang w:val="en-US"/>
        </w:rPr>
        <w:t xml:space="preserve"> soil type, slope, effective soil depth, etc.) need to be identified. By identifying the key environmental features that are associated with particular vegetation community types, either (</w:t>
      </w:r>
      <w:proofErr w:type="spellStart"/>
      <w:r w:rsidRPr="003C4AD7">
        <w:rPr>
          <w:spacing w:val="-2"/>
          <w:lang w:val="en-US"/>
        </w:rPr>
        <w:t>i</w:t>
      </w:r>
      <w:proofErr w:type="spellEnd"/>
      <w:r w:rsidRPr="003C4AD7">
        <w:rPr>
          <w:spacing w:val="-2"/>
          <w:lang w:val="en-US"/>
        </w:rPr>
        <w:t>) the conditions required to support these communities or, alternatively, (ii) the community types that best suit particular environmental conditions, may be specified for the different domains of the rehabilitated landform at Ranger. A key caveat to apply here is that the range of likely conditions to be found across the rehabilitated landform is met, similarly, in the natural analogue area; otherwise the natural analogue is not able to inform on all aspects of decision-making for site rehabilitation.</w:t>
      </w:r>
    </w:p>
    <w:p w:rsidR="00B36F09" w:rsidRDefault="00B36F09" w:rsidP="00B36F09">
      <w:pPr>
        <w:pStyle w:val="Heading2"/>
      </w:pPr>
      <w:bookmarkStart w:id="124" w:name="_Toc313523566"/>
      <w:bookmarkStart w:id="125" w:name="_Toc316985409"/>
      <w:r>
        <w:t xml:space="preserve">Derivation of landform parameters for the </w:t>
      </w:r>
      <w:smartTag w:uri="urn:schemas-microsoft-com:office:smarttags" w:element="place">
        <w:smartTag w:uri="urn:schemas-microsoft-com:office:smarttags" w:element="City">
          <w:r>
            <w:t>Georgetown</w:t>
          </w:r>
        </w:smartTag>
      </w:smartTag>
      <w:r>
        <w:t xml:space="preserve"> analogue area</w:t>
      </w:r>
      <w:bookmarkEnd w:id="124"/>
      <w:bookmarkEnd w:id="125"/>
    </w:p>
    <w:p w:rsidR="00B36F09" w:rsidRDefault="00B36F09" w:rsidP="00B36F09">
      <w:pPr>
        <w:rPr>
          <w:lang w:val="en-US"/>
        </w:rPr>
      </w:pPr>
      <w:r>
        <w:rPr>
          <w:lang w:val="en-US"/>
        </w:rPr>
        <w:t xml:space="preserve">An airborne </w:t>
      </w:r>
      <w:proofErr w:type="spellStart"/>
      <w:r>
        <w:rPr>
          <w:lang w:val="en-US"/>
        </w:rPr>
        <w:t>LiDAR</w:t>
      </w:r>
      <w:proofErr w:type="spellEnd"/>
      <w:r>
        <w:rPr>
          <w:lang w:val="en-US"/>
        </w:rPr>
        <w:t xml:space="preserve"> (Light Detection and Ranging) survey of the Ranger project area commissioned by ERA and captured on the 1</w:t>
      </w:r>
      <w:r w:rsidRPr="001A6C89">
        <w:rPr>
          <w:vertAlign w:val="superscript"/>
          <w:lang w:val="en-US"/>
        </w:rPr>
        <w:t>st</w:t>
      </w:r>
      <w:r>
        <w:rPr>
          <w:lang w:val="en-US"/>
        </w:rPr>
        <w:t xml:space="preserve"> of October 2010, provided a very-high resolution (± 0.25 m horizontal; ± 0.15 m vertical) DEM of the Ranger Project Area. Using data received as 0.5 m interval contours, a 1 </w:t>
      </w:r>
      <w:proofErr w:type="spellStart"/>
      <w:r>
        <w:rPr>
          <w:lang w:val="en-US"/>
        </w:rPr>
        <w:t>metre</w:t>
      </w:r>
      <w:proofErr w:type="spellEnd"/>
      <w:r>
        <w:rPr>
          <w:lang w:val="en-US"/>
        </w:rPr>
        <w:t xml:space="preserve"> resolution DEM of the </w:t>
      </w:r>
      <w:smartTag w:uri="urn:schemas-microsoft-com:office:smarttags" w:element="City">
        <w:smartTag w:uri="urn:schemas-microsoft-com:office:smarttags" w:element="place">
          <w:r>
            <w:rPr>
              <w:lang w:val="en-US"/>
            </w:rPr>
            <w:t>Georgetown</w:t>
          </w:r>
        </w:smartTag>
      </w:smartTag>
      <w:r>
        <w:rPr>
          <w:lang w:val="en-US"/>
        </w:rPr>
        <w:t xml:space="preserve"> analogue was generated (Figure 1).This DEM represents a much higher resolution dataset than had previously been used for terrain analysis of the area, and is more appropriate for use with its gently graded aspect. A range of descriptor variables (Table 1) capturing the geomorphic, drainage and hydrological characteristics of the analogue landform were extracted using GIS software, for each of the 72 plant survey locations. These parameters are being used to assess their ability to account for the composition and distribution of different plant species and communities. Definitions and further details of the derived DEM variables are provided in the Appendix.</w:t>
      </w:r>
    </w:p>
    <w:p w:rsidR="00B36F09" w:rsidRPr="00A70582" w:rsidRDefault="00B36F09" w:rsidP="00B36F09">
      <w:pPr>
        <w:autoSpaceDE w:val="0"/>
        <w:autoSpaceDN w:val="0"/>
        <w:adjustRightInd w:val="0"/>
        <w:rPr>
          <w:lang w:eastAsia="en-AU"/>
        </w:rPr>
      </w:pPr>
      <w:r>
        <w:rPr>
          <w:lang w:val="en-US"/>
        </w:rPr>
        <w:t>Depth-to-groundwater data collected by ERA from 28 bores drilled across the analogue area in late 2010 were also assessed to provide a measure of water availability for plants. These groundwater level data were interpolated to produce a surface grid so that readings could be extracted for each of the 72 plant survey locations.</w:t>
      </w:r>
    </w:p>
    <w:p w:rsidR="00B36F09" w:rsidRDefault="00B36F09" w:rsidP="00B36F09">
      <w:pPr>
        <w:pStyle w:val="Heading2"/>
      </w:pPr>
      <w:bookmarkStart w:id="126" w:name="_Toc313523567"/>
      <w:bookmarkStart w:id="127" w:name="_Toc316985410"/>
      <w:r>
        <w:lastRenderedPageBreak/>
        <w:t>Vegetation classification</w:t>
      </w:r>
      <w:bookmarkEnd w:id="126"/>
      <w:bookmarkEnd w:id="127"/>
    </w:p>
    <w:p w:rsidR="00B36F09" w:rsidRDefault="00B36F09" w:rsidP="00B36F09">
      <w:pPr>
        <w:rPr>
          <w:lang w:eastAsia="en-AU"/>
        </w:rPr>
      </w:pPr>
      <w:r>
        <w:rPr>
          <w:lang w:val="en-US"/>
        </w:rPr>
        <w:t xml:space="preserve">Since 2003, </w:t>
      </w:r>
      <w:proofErr w:type="spellStart"/>
      <w:r w:rsidRPr="003C4AD7">
        <w:rPr>
          <w:b/>
          <w:bCs/>
          <w:i/>
          <w:iCs/>
          <w:sz w:val="26"/>
          <w:szCs w:val="24"/>
          <w:lang w:val="en-US"/>
        </w:rPr>
        <w:t>eriss</w:t>
      </w:r>
      <w:proofErr w:type="spellEnd"/>
      <w:r>
        <w:rPr>
          <w:b/>
          <w:bCs/>
          <w:i/>
          <w:iCs/>
          <w:sz w:val="23"/>
          <w:szCs w:val="23"/>
          <w:lang w:val="en-US"/>
        </w:rPr>
        <w:t xml:space="preserve"> </w:t>
      </w:r>
      <w:r>
        <w:rPr>
          <w:lang w:val="en-US"/>
        </w:rPr>
        <w:t xml:space="preserve">and/or ERA have derived a number of vegetation classifications for lowland and </w:t>
      </w:r>
      <w:proofErr w:type="spellStart"/>
      <w:r w:rsidRPr="00E470F4">
        <w:rPr>
          <w:lang w:val="en-US"/>
        </w:rPr>
        <w:t>hillslope</w:t>
      </w:r>
      <w:proofErr w:type="spellEnd"/>
      <w:r w:rsidRPr="00E470F4">
        <w:rPr>
          <w:lang w:val="en-US"/>
        </w:rPr>
        <w:t xml:space="preserve"> locations in the ARR, including undisturbed (from mining) sites on the Ranger lease (Humphrey &amp; Fox 2010, Humphrey </w:t>
      </w:r>
      <w:r>
        <w:rPr>
          <w:lang w:val="en-US"/>
        </w:rPr>
        <w:t>et al</w:t>
      </w:r>
      <w:r w:rsidRPr="00E470F4">
        <w:rPr>
          <w:lang w:val="en-US"/>
        </w:rPr>
        <w:t xml:space="preserve"> 2007, 2008). The classifications that are most consistent with those derived and published for the broader ARR include</w:t>
      </w:r>
      <w:r>
        <w:rPr>
          <w:lang w:val="en-US"/>
        </w:rPr>
        <w:t xml:space="preserve"> three dominant elements: (</w:t>
      </w:r>
      <w:proofErr w:type="spellStart"/>
      <w:r>
        <w:rPr>
          <w:lang w:val="en-US"/>
        </w:rPr>
        <w:t>i</w:t>
      </w:r>
      <w:proofErr w:type="spellEnd"/>
      <w:r>
        <w:rPr>
          <w:lang w:val="en-US"/>
        </w:rPr>
        <w:t xml:space="preserve">) </w:t>
      </w:r>
      <w:proofErr w:type="spellStart"/>
      <w:r>
        <w:rPr>
          <w:i/>
          <w:iCs/>
          <w:lang w:val="en-US"/>
        </w:rPr>
        <w:t>Melaleuca</w:t>
      </w:r>
      <w:proofErr w:type="spellEnd"/>
      <w:r>
        <w:rPr>
          <w:i/>
          <w:iCs/>
          <w:lang w:val="en-US"/>
        </w:rPr>
        <w:t xml:space="preserve"> </w:t>
      </w:r>
      <w:r>
        <w:rPr>
          <w:lang w:val="en-US"/>
        </w:rPr>
        <w:t>woodlands associated with riparian and floodplain zones subject to seasonal inundation, (ii) a common mixed eucalypt woodland community and (iii) dry mixed eucalypt woodland types with dominant species that are deciduous in nature.</w:t>
      </w:r>
    </w:p>
    <w:p w:rsidR="00B36F09" w:rsidRDefault="00B36F09" w:rsidP="00B36F09">
      <w:pPr>
        <w:pStyle w:val="tablecaption"/>
        <w:rPr>
          <w:lang w:val="en-US"/>
        </w:rPr>
      </w:pPr>
      <w:r w:rsidRPr="00370CD0">
        <w:rPr>
          <w:b/>
        </w:rPr>
        <w:t xml:space="preserve">Table </w:t>
      </w:r>
      <w:proofErr w:type="gramStart"/>
      <w:r>
        <w:rPr>
          <w:b/>
        </w:rPr>
        <w:t>1</w:t>
      </w:r>
      <w:r w:rsidRPr="000B62C3">
        <w:t xml:space="preserve">  Mean</w:t>
      </w:r>
      <w:proofErr w:type="gramEnd"/>
      <w:r w:rsidRPr="000B62C3">
        <w:t xml:space="preserve"> values for landform and groundwater level variables derived for corresponding veg</w:t>
      </w:r>
      <w:r>
        <w:t>etation community sites on the G</w:t>
      </w:r>
      <w:r w:rsidRPr="000B62C3">
        <w:t>eorgetown analogue area</w:t>
      </w:r>
    </w:p>
    <w:tbl>
      <w:tblPr>
        <w:tblW w:w="7245" w:type="dxa"/>
        <w:tblInd w:w="93" w:type="dxa"/>
        <w:tblLook w:val="0000"/>
      </w:tblPr>
      <w:tblGrid>
        <w:gridCol w:w="2142"/>
        <w:gridCol w:w="1134"/>
        <w:gridCol w:w="1559"/>
        <w:gridCol w:w="1134"/>
        <w:gridCol w:w="1276"/>
      </w:tblGrid>
      <w:tr w:rsidR="00B36F09" w:rsidTr="008F70D3">
        <w:trPr>
          <w:trHeight w:val="255"/>
        </w:trPr>
        <w:tc>
          <w:tcPr>
            <w:tcW w:w="2142" w:type="dxa"/>
            <w:vMerge w:val="restart"/>
            <w:tcBorders>
              <w:top w:val="single" w:sz="4" w:space="0" w:color="auto"/>
              <w:left w:val="nil"/>
              <w:bottom w:val="single" w:sz="4" w:space="0" w:color="auto"/>
              <w:right w:val="nil"/>
            </w:tcBorders>
            <w:shd w:val="clear" w:color="auto" w:fill="auto"/>
            <w:noWrap/>
            <w:vAlign w:val="center"/>
          </w:tcPr>
          <w:p w:rsidR="00B36F09" w:rsidRPr="009844A4" w:rsidRDefault="00B36F09" w:rsidP="008F70D3">
            <w:pPr>
              <w:pStyle w:val="table1"/>
              <w:rPr>
                <w:lang w:eastAsia="en-AU"/>
              </w:rPr>
            </w:pPr>
            <w:r>
              <w:rPr>
                <w:lang w:eastAsia="en-AU"/>
              </w:rPr>
              <w:t>Landform variables</w:t>
            </w:r>
          </w:p>
        </w:tc>
        <w:tc>
          <w:tcPr>
            <w:tcW w:w="5103" w:type="dxa"/>
            <w:gridSpan w:val="4"/>
            <w:tcBorders>
              <w:top w:val="single" w:sz="4" w:space="0" w:color="auto"/>
              <w:left w:val="nil"/>
              <w:bottom w:val="single" w:sz="4" w:space="0" w:color="auto"/>
              <w:right w:val="nil"/>
            </w:tcBorders>
            <w:shd w:val="clear" w:color="auto" w:fill="auto"/>
            <w:noWrap/>
            <w:vAlign w:val="bottom"/>
          </w:tcPr>
          <w:p w:rsidR="00B36F09" w:rsidRPr="003C4AD7" w:rsidRDefault="00B36F09" w:rsidP="008F70D3">
            <w:pPr>
              <w:pStyle w:val="table1"/>
              <w:jc w:val="center"/>
              <w:rPr>
                <w:b/>
                <w:lang w:eastAsia="en-AU"/>
              </w:rPr>
            </w:pPr>
            <w:r w:rsidRPr="003C4AD7">
              <w:rPr>
                <w:b/>
                <w:lang w:eastAsia="en-AU"/>
              </w:rPr>
              <w:t>Vegetation classification group</w:t>
            </w:r>
          </w:p>
        </w:tc>
      </w:tr>
      <w:tr w:rsidR="00B36F09" w:rsidTr="008F70D3">
        <w:trPr>
          <w:trHeight w:val="255"/>
        </w:trPr>
        <w:tc>
          <w:tcPr>
            <w:tcW w:w="2142" w:type="dxa"/>
            <w:vMerge/>
            <w:tcBorders>
              <w:top w:val="single" w:sz="4" w:space="0" w:color="auto"/>
              <w:left w:val="nil"/>
              <w:bottom w:val="single" w:sz="4" w:space="0" w:color="auto"/>
              <w:right w:val="nil"/>
            </w:tcBorders>
            <w:shd w:val="clear" w:color="auto" w:fill="auto"/>
            <w:noWrap/>
            <w:vAlign w:val="bottom"/>
          </w:tcPr>
          <w:p w:rsidR="00B36F09" w:rsidRPr="009844A4" w:rsidRDefault="00B36F09" w:rsidP="008F70D3">
            <w:pPr>
              <w:pStyle w:val="table1"/>
              <w:rPr>
                <w:lang w:eastAsia="en-AU"/>
              </w:rPr>
            </w:pPr>
          </w:p>
        </w:tc>
        <w:tc>
          <w:tcPr>
            <w:tcW w:w="1134" w:type="dxa"/>
            <w:tcBorders>
              <w:top w:val="single" w:sz="4" w:space="0" w:color="auto"/>
              <w:left w:val="nil"/>
              <w:bottom w:val="single" w:sz="4" w:space="0" w:color="auto"/>
              <w:right w:val="nil"/>
            </w:tcBorders>
            <w:shd w:val="clear" w:color="auto" w:fill="auto"/>
            <w:noWrap/>
            <w:vAlign w:val="bottom"/>
          </w:tcPr>
          <w:p w:rsidR="00B36F09" w:rsidRPr="00E2553F" w:rsidRDefault="00B36F09" w:rsidP="008F70D3">
            <w:pPr>
              <w:pStyle w:val="table1"/>
              <w:rPr>
                <w:lang w:eastAsia="en-AU"/>
              </w:rPr>
            </w:pPr>
            <w:r>
              <w:rPr>
                <w:lang w:eastAsia="en-AU"/>
              </w:rPr>
              <w:t>C</w:t>
            </w:r>
            <w:r w:rsidRPr="00E2553F">
              <w:rPr>
                <w:lang w:eastAsia="en-AU"/>
              </w:rPr>
              <w:t>1</w:t>
            </w:r>
          </w:p>
          <w:p w:rsidR="00B36F09" w:rsidRPr="00E2553F" w:rsidRDefault="00B36F09" w:rsidP="008F70D3">
            <w:pPr>
              <w:pStyle w:val="table1"/>
              <w:rPr>
                <w:lang w:eastAsia="en-AU"/>
              </w:rPr>
            </w:pPr>
            <w:r w:rsidRPr="00E2553F">
              <w:t>Melaleuca woodland</w:t>
            </w:r>
          </w:p>
        </w:tc>
        <w:tc>
          <w:tcPr>
            <w:tcW w:w="1559" w:type="dxa"/>
            <w:tcBorders>
              <w:top w:val="single" w:sz="4" w:space="0" w:color="auto"/>
              <w:left w:val="nil"/>
              <w:bottom w:val="single" w:sz="4" w:space="0" w:color="auto"/>
              <w:right w:val="nil"/>
            </w:tcBorders>
            <w:shd w:val="clear" w:color="auto" w:fill="auto"/>
            <w:noWrap/>
            <w:vAlign w:val="bottom"/>
          </w:tcPr>
          <w:p w:rsidR="00B36F09" w:rsidRPr="00E2553F" w:rsidRDefault="00B36F09" w:rsidP="008F70D3">
            <w:pPr>
              <w:pStyle w:val="table1"/>
              <w:rPr>
                <w:lang w:eastAsia="en-AU"/>
              </w:rPr>
            </w:pPr>
            <w:r>
              <w:rPr>
                <w:lang w:eastAsia="en-AU"/>
              </w:rPr>
              <w:t>C</w:t>
            </w:r>
            <w:r w:rsidRPr="00E2553F">
              <w:rPr>
                <w:lang w:eastAsia="en-AU"/>
              </w:rPr>
              <w:t>2</w:t>
            </w:r>
          </w:p>
          <w:p w:rsidR="00B36F09" w:rsidRPr="00E2553F" w:rsidRDefault="00B36F09" w:rsidP="008F70D3">
            <w:pPr>
              <w:pStyle w:val="table1"/>
              <w:rPr>
                <w:lang w:eastAsia="en-AU"/>
              </w:rPr>
            </w:pPr>
            <w:r w:rsidRPr="00E2553F">
              <w:rPr>
                <w:lang w:eastAsia="en-AU"/>
              </w:rPr>
              <w:t>Mixed eucalypt woodland (MEW)</w:t>
            </w:r>
          </w:p>
        </w:tc>
        <w:tc>
          <w:tcPr>
            <w:tcW w:w="1134" w:type="dxa"/>
            <w:tcBorders>
              <w:top w:val="single" w:sz="4" w:space="0" w:color="auto"/>
              <w:left w:val="nil"/>
              <w:bottom w:val="single" w:sz="4" w:space="0" w:color="auto"/>
              <w:right w:val="nil"/>
            </w:tcBorders>
            <w:shd w:val="clear" w:color="auto" w:fill="auto"/>
            <w:noWrap/>
            <w:vAlign w:val="bottom"/>
          </w:tcPr>
          <w:p w:rsidR="00B36F09" w:rsidRPr="00E2553F" w:rsidRDefault="00B36F09" w:rsidP="008F70D3">
            <w:pPr>
              <w:pStyle w:val="table1"/>
              <w:rPr>
                <w:lang w:eastAsia="en-AU"/>
              </w:rPr>
            </w:pPr>
            <w:r>
              <w:rPr>
                <w:lang w:eastAsia="en-AU"/>
              </w:rPr>
              <w:t>C</w:t>
            </w:r>
            <w:r w:rsidRPr="00E2553F">
              <w:rPr>
                <w:lang w:eastAsia="en-AU"/>
              </w:rPr>
              <w:t>3</w:t>
            </w:r>
          </w:p>
          <w:p w:rsidR="00B36F09" w:rsidRPr="00E2553F" w:rsidRDefault="00B36F09" w:rsidP="008F70D3">
            <w:pPr>
              <w:pStyle w:val="table1"/>
              <w:rPr>
                <w:lang w:eastAsia="en-AU"/>
              </w:rPr>
            </w:pPr>
            <w:r w:rsidRPr="00E2553F">
              <w:rPr>
                <w:lang w:eastAsia="en-AU"/>
              </w:rPr>
              <w:t xml:space="preserve">Dry </w:t>
            </w:r>
            <w:r>
              <w:rPr>
                <w:lang w:eastAsia="en-AU"/>
              </w:rPr>
              <w:t>MEW, Type 1</w:t>
            </w:r>
          </w:p>
        </w:tc>
        <w:tc>
          <w:tcPr>
            <w:tcW w:w="1276" w:type="dxa"/>
            <w:tcBorders>
              <w:top w:val="single" w:sz="4" w:space="0" w:color="auto"/>
              <w:left w:val="nil"/>
              <w:bottom w:val="single" w:sz="4" w:space="0" w:color="auto"/>
              <w:right w:val="nil"/>
            </w:tcBorders>
            <w:shd w:val="clear" w:color="auto" w:fill="auto"/>
            <w:noWrap/>
            <w:vAlign w:val="bottom"/>
          </w:tcPr>
          <w:p w:rsidR="00B36F09" w:rsidRDefault="00B36F09" w:rsidP="008F70D3">
            <w:pPr>
              <w:pStyle w:val="table1"/>
              <w:rPr>
                <w:lang w:eastAsia="en-AU"/>
              </w:rPr>
            </w:pPr>
            <w:r>
              <w:rPr>
                <w:lang w:eastAsia="en-AU"/>
              </w:rPr>
              <w:t>C</w:t>
            </w:r>
            <w:r w:rsidRPr="00E2553F">
              <w:rPr>
                <w:lang w:eastAsia="en-AU"/>
              </w:rPr>
              <w:t>4</w:t>
            </w:r>
          </w:p>
          <w:p w:rsidR="00B36F09" w:rsidRPr="00E2553F" w:rsidRDefault="00B36F09" w:rsidP="008F70D3">
            <w:pPr>
              <w:pStyle w:val="table1"/>
              <w:rPr>
                <w:lang w:eastAsia="en-AU"/>
              </w:rPr>
            </w:pPr>
            <w:r w:rsidRPr="00E2553F">
              <w:rPr>
                <w:lang w:eastAsia="en-AU"/>
              </w:rPr>
              <w:t xml:space="preserve">Dry </w:t>
            </w:r>
            <w:r>
              <w:rPr>
                <w:lang w:eastAsia="en-AU"/>
              </w:rPr>
              <w:t xml:space="preserve">MEW, </w:t>
            </w:r>
            <w:r>
              <w:rPr>
                <w:lang w:eastAsia="en-AU"/>
              </w:rPr>
              <w:br/>
              <w:t>Type 2</w:t>
            </w:r>
          </w:p>
        </w:tc>
      </w:tr>
      <w:tr w:rsidR="00B36F09" w:rsidTr="008F70D3">
        <w:trPr>
          <w:trHeight w:val="255"/>
        </w:trPr>
        <w:tc>
          <w:tcPr>
            <w:tcW w:w="2142" w:type="dxa"/>
            <w:tcBorders>
              <w:top w:val="single" w:sz="4" w:space="0" w:color="auto"/>
              <w:left w:val="nil"/>
              <w:bottom w:val="nil"/>
              <w:right w:val="nil"/>
            </w:tcBorders>
            <w:shd w:val="clear" w:color="auto" w:fill="auto"/>
            <w:noWrap/>
            <w:vAlign w:val="bottom"/>
          </w:tcPr>
          <w:p w:rsidR="00B36F09" w:rsidRPr="00C04DF1" w:rsidRDefault="00B36F09" w:rsidP="008F70D3">
            <w:pPr>
              <w:pStyle w:val="table1"/>
              <w:rPr>
                <w:lang w:eastAsia="en-AU"/>
              </w:rPr>
            </w:pPr>
            <w:r>
              <w:rPr>
                <w:lang w:eastAsia="en-AU"/>
              </w:rPr>
              <w:t>S</w:t>
            </w:r>
            <w:r w:rsidRPr="00C04DF1">
              <w:rPr>
                <w:lang w:eastAsia="en-AU"/>
              </w:rPr>
              <w:t>lope</w:t>
            </w:r>
            <w:r>
              <w:rPr>
                <w:lang w:eastAsia="en-AU"/>
              </w:rPr>
              <w:t xml:space="preserve"> (%)</w:t>
            </w:r>
          </w:p>
        </w:tc>
        <w:tc>
          <w:tcPr>
            <w:tcW w:w="1134" w:type="dxa"/>
            <w:tcBorders>
              <w:top w:val="single" w:sz="4" w:space="0" w:color="auto"/>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2.18</w:t>
            </w:r>
          </w:p>
        </w:tc>
        <w:tc>
          <w:tcPr>
            <w:tcW w:w="1559" w:type="dxa"/>
            <w:tcBorders>
              <w:top w:val="single" w:sz="4" w:space="0" w:color="auto"/>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2.2</w:t>
            </w:r>
            <w:r>
              <w:rPr>
                <w:lang w:eastAsia="en-AU"/>
              </w:rPr>
              <w:t>4</w:t>
            </w:r>
          </w:p>
        </w:tc>
        <w:tc>
          <w:tcPr>
            <w:tcW w:w="1134" w:type="dxa"/>
            <w:tcBorders>
              <w:top w:val="single" w:sz="4" w:space="0" w:color="auto"/>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2.1</w:t>
            </w:r>
            <w:r>
              <w:rPr>
                <w:lang w:eastAsia="en-AU"/>
              </w:rPr>
              <w:t>6</w:t>
            </w:r>
          </w:p>
        </w:tc>
        <w:tc>
          <w:tcPr>
            <w:tcW w:w="1276" w:type="dxa"/>
            <w:tcBorders>
              <w:top w:val="single" w:sz="4" w:space="0" w:color="auto"/>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2.15</w:t>
            </w:r>
          </w:p>
        </w:tc>
      </w:tr>
      <w:tr w:rsidR="00B36F09" w:rsidTr="008F70D3">
        <w:trPr>
          <w:trHeight w:val="255"/>
        </w:trPr>
        <w:tc>
          <w:tcPr>
            <w:tcW w:w="2142" w:type="dxa"/>
            <w:tcBorders>
              <w:top w:val="nil"/>
              <w:left w:val="nil"/>
              <w:bottom w:val="nil"/>
              <w:right w:val="nil"/>
            </w:tcBorders>
            <w:shd w:val="clear" w:color="auto" w:fill="auto"/>
            <w:noWrap/>
            <w:vAlign w:val="bottom"/>
          </w:tcPr>
          <w:p w:rsidR="00B36F09" w:rsidRPr="00C04DF1" w:rsidRDefault="00B36F09" w:rsidP="008F70D3">
            <w:pPr>
              <w:pStyle w:val="table1"/>
              <w:rPr>
                <w:lang w:eastAsia="en-AU"/>
              </w:rPr>
            </w:pPr>
            <w:r>
              <w:rPr>
                <w:lang w:eastAsia="en-AU"/>
              </w:rPr>
              <w:t>Profile curvature</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-0.003</w:t>
            </w:r>
          </w:p>
        </w:tc>
        <w:tc>
          <w:tcPr>
            <w:tcW w:w="1559"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0.012</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0.397</w:t>
            </w:r>
          </w:p>
        </w:tc>
        <w:tc>
          <w:tcPr>
            <w:tcW w:w="1276"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0.007</w:t>
            </w:r>
          </w:p>
        </w:tc>
      </w:tr>
      <w:tr w:rsidR="00B36F09" w:rsidTr="008F70D3">
        <w:trPr>
          <w:trHeight w:val="255"/>
        </w:trPr>
        <w:tc>
          <w:tcPr>
            <w:tcW w:w="2142" w:type="dxa"/>
            <w:tcBorders>
              <w:top w:val="nil"/>
              <w:left w:val="nil"/>
              <w:bottom w:val="nil"/>
              <w:right w:val="nil"/>
            </w:tcBorders>
            <w:shd w:val="clear" w:color="auto" w:fill="auto"/>
            <w:noWrap/>
            <w:vAlign w:val="bottom"/>
          </w:tcPr>
          <w:p w:rsidR="00B36F09" w:rsidRPr="00C04DF1" w:rsidRDefault="00B36F09" w:rsidP="008F70D3">
            <w:pPr>
              <w:pStyle w:val="table1"/>
              <w:rPr>
                <w:lang w:eastAsia="en-AU"/>
              </w:rPr>
            </w:pPr>
            <w:r>
              <w:rPr>
                <w:lang w:eastAsia="en-AU"/>
              </w:rPr>
              <w:t>Plan curvature</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0.062</w:t>
            </w:r>
          </w:p>
        </w:tc>
        <w:tc>
          <w:tcPr>
            <w:tcW w:w="1559"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0.028</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-0.351</w:t>
            </w:r>
          </w:p>
        </w:tc>
        <w:tc>
          <w:tcPr>
            <w:tcW w:w="1276"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0.012</w:t>
            </w:r>
          </w:p>
        </w:tc>
      </w:tr>
      <w:tr w:rsidR="00B36F09" w:rsidTr="008F70D3">
        <w:trPr>
          <w:trHeight w:val="255"/>
        </w:trPr>
        <w:tc>
          <w:tcPr>
            <w:tcW w:w="2142" w:type="dxa"/>
            <w:tcBorders>
              <w:top w:val="nil"/>
              <w:left w:val="nil"/>
              <w:bottom w:val="nil"/>
              <w:right w:val="nil"/>
            </w:tcBorders>
            <w:shd w:val="clear" w:color="auto" w:fill="auto"/>
            <w:noWrap/>
            <w:vAlign w:val="bottom"/>
          </w:tcPr>
          <w:p w:rsidR="00B36F09" w:rsidRPr="00C04DF1" w:rsidRDefault="00B36F09" w:rsidP="008F70D3">
            <w:pPr>
              <w:pStyle w:val="table1"/>
              <w:rPr>
                <w:lang w:eastAsia="en-AU"/>
              </w:rPr>
            </w:pPr>
            <w:r>
              <w:rPr>
                <w:lang w:eastAsia="en-AU"/>
              </w:rPr>
              <w:t>S</w:t>
            </w:r>
            <w:r w:rsidRPr="00C04DF1">
              <w:rPr>
                <w:lang w:eastAsia="en-AU"/>
              </w:rPr>
              <w:t>lope</w:t>
            </w:r>
            <w:r>
              <w:rPr>
                <w:lang w:eastAsia="en-AU"/>
              </w:rPr>
              <w:t xml:space="preserve"> </w:t>
            </w:r>
            <w:r w:rsidRPr="00C04DF1">
              <w:rPr>
                <w:lang w:eastAsia="en-AU"/>
              </w:rPr>
              <w:t>length</w:t>
            </w:r>
            <w:r>
              <w:rPr>
                <w:lang w:eastAsia="en-AU"/>
              </w:rPr>
              <w:t xml:space="preserve"> (m)</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113.</w:t>
            </w:r>
            <w:r>
              <w:rPr>
                <w:lang w:eastAsia="en-AU"/>
              </w:rPr>
              <w:t>1</w:t>
            </w:r>
          </w:p>
        </w:tc>
        <w:tc>
          <w:tcPr>
            <w:tcW w:w="1559"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4</w:t>
            </w:r>
            <w:r>
              <w:rPr>
                <w:lang w:eastAsia="en-AU"/>
              </w:rPr>
              <w:t>7.0</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68.8</w:t>
            </w:r>
          </w:p>
        </w:tc>
        <w:tc>
          <w:tcPr>
            <w:tcW w:w="1276"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42.</w:t>
            </w:r>
            <w:r>
              <w:rPr>
                <w:lang w:eastAsia="en-AU"/>
              </w:rPr>
              <w:t>1</w:t>
            </w:r>
          </w:p>
        </w:tc>
      </w:tr>
      <w:tr w:rsidR="00B36F09" w:rsidTr="008F70D3">
        <w:trPr>
          <w:trHeight w:val="255"/>
        </w:trPr>
        <w:tc>
          <w:tcPr>
            <w:tcW w:w="2142" w:type="dxa"/>
            <w:tcBorders>
              <w:top w:val="nil"/>
              <w:left w:val="nil"/>
              <w:bottom w:val="nil"/>
              <w:right w:val="nil"/>
            </w:tcBorders>
            <w:shd w:val="clear" w:color="auto" w:fill="auto"/>
            <w:noWrap/>
            <w:vAlign w:val="bottom"/>
          </w:tcPr>
          <w:p w:rsidR="00B36F09" w:rsidRPr="00C04DF1" w:rsidRDefault="00B36F09" w:rsidP="008F70D3">
            <w:pPr>
              <w:pStyle w:val="table1"/>
              <w:rPr>
                <w:lang w:eastAsia="en-AU"/>
              </w:rPr>
            </w:pPr>
            <w:r>
              <w:rPr>
                <w:lang w:eastAsia="en-AU"/>
              </w:rPr>
              <w:t>E</w:t>
            </w:r>
            <w:r w:rsidRPr="00C04DF1">
              <w:rPr>
                <w:lang w:eastAsia="en-AU"/>
              </w:rPr>
              <w:t>levation</w:t>
            </w:r>
            <w:r>
              <w:rPr>
                <w:lang w:eastAsia="en-AU"/>
              </w:rPr>
              <w:t xml:space="preserve"> (m)</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19.</w:t>
            </w:r>
            <w:r>
              <w:rPr>
                <w:lang w:eastAsia="en-AU"/>
              </w:rPr>
              <w:t>7</w:t>
            </w:r>
          </w:p>
        </w:tc>
        <w:tc>
          <w:tcPr>
            <w:tcW w:w="1559"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25.0</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22.5</w:t>
            </w:r>
          </w:p>
        </w:tc>
        <w:tc>
          <w:tcPr>
            <w:tcW w:w="1276"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25.</w:t>
            </w:r>
            <w:r>
              <w:rPr>
                <w:lang w:eastAsia="en-AU"/>
              </w:rPr>
              <w:t>4</w:t>
            </w:r>
          </w:p>
        </w:tc>
      </w:tr>
      <w:tr w:rsidR="00B36F09" w:rsidTr="008F70D3">
        <w:trPr>
          <w:trHeight w:val="255"/>
        </w:trPr>
        <w:tc>
          <w:tcPr>
            <w:tcW w:w="2142" w:type="dxa"/>
            <w:tcBorders>
              <w:top w:val="nil"/>
              <w:left w:val="nil"/>
              <w:bottom w:val="nil"/>
              <w:right w:val="nil"/>
            </w:tcBorders>
            <w:shd w:val="clear" w:color="auto" w:fill="auto"/>
            <w:noWrap/>
            <w:vAlign w:val="bottom"/>
          </w:tcPr>
          <w:p w:rsidR="00B36F09" w:rsidRPr="00C04DF1" w:rsidRDefault="00B36F09" w:rsidP="008F70D3">
            <w:pPr>
              <w:pStyle w:val="table1"/>
              <w:rPr>
                <w:lang w:eastAsia="en-AU"/>
              </w:rPr>
            </w:pPr>
            <w:r w:rsidRPr="00C04DF1">
              <w:rPr>
                <w:lang w:eastAsia="en-AU"/>
              </w:rPr>
              <w:t>Length-Slope Factor</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0.499</w:t>
            </w:r>
          </w:p>
        </w:tc>
        <w:tc>
          <w:tcPr>
            <w:tcW w:w="1559"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0.363</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0.669</w:t>
            </w:r>
          </w:p>
        </w:tc>
        <w:tc>
          <w:tcPr>
            <w:tcW w:w="1276"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0.266</w:t>
            </w:r>
          </w:p>
        </w:tc>
      </w:tr>
      <w:tr w:rsidR="00B36F09" w:rsidTr="008F70D3">
        <w:trPr>
          <w:trHeight w:val="255"/>
        </w:trPr>
        <w:tc>
          <w:tcPr>
            <w:tcW w:w="2142" w:type="dxa"/>
            <w:tcBorders>
              <w:top w:val="nil"/>
              <w:left w:val="nil"/>
              <w:bottom w:val="nil"/>
              <w:right w:val="nil"/>
            </w:tcBorders>
            <w:shd w:val="clear" w:color="auto" w:fill="auto"/>
            <w:noWrap/>
            <w:vAlign w:val="bottom"/>
          </w:tcPr>
          <w:p w:rsidR="00B36F09" w:rsidRPr="00C04DF1" w:rsidRDefault="00B36F09" w:rsidP="008F70D3">
            <w:pPr>
              <w:pStyle w:val="table1"/>
              <w:rPr>
                <w:lang w:eastAsia="en-AU"/>
              </w:rPr>
            </w:pPr>
            <w:r w:rsidRPr="00C04DF1">
              <w:rPr>
                <w:lang w:eastAsia="en-AU"/>
              </w:rPr>
              <w:t>Erosion-Deposition Index</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1.306</w:t>
            </w:r>
          </w:p>
        </w:tc>
        <w:tc>
          <w:tcPr>
            <w:tcW w:w="1559"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0.729</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1.085</w:t>
            </w:r>
          </w:p>
        </w:tc>
        <w:tc>
          <w:tcPr>
            <w:tcW w:w="1276"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0.571</w:t>
            </w:r>
          </w:p>
        </w:tc>
      </w:tr>
      <w:tr w:rsidR="00B36F09" w:rsidTr="008F70D3">
        <w:trPr>
          <w:trHeight w:val="255"/>
        </w:trPr>
        <w:tc>
          <w:tcPr>
            <w:tcW w:w="2142" w:type="dxa"/>
            <w:tcBorders>
              <w:top w:val="nil"/>
              <w:left w:val="nil"/>
              <w:bottom w:val="nil"/>
              <w:right w:val="nil"/>
            </w:tcBorders>
            <w:shd w:val="clear" w:color="auto" w:fill="auto"/>
            <w:noWrap/>
            <w:vAlign w:val="bottom"/>
          </w:tcPr>
          <w:p w:rsidR="00B36F09" w:rsidRPr="00C04DF1" w:rsidRDefault="00B36F09" w:rsidP="008F70D3">
            <w:pPr>
              <w:pStyle w:val="table1"/>
              <w:rPr>
                <w:lang w:eastAsia="en-AU"/>
              </w:rPr>
            </w:pPr>
            <w:r w:rsidRPr="00C04DF1">
              <w:rPr>
                <w:lang w:eastAsia="en-AU"/>
              </w:rPr>
              <w:t>Aspect (degrees)</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180.3</w:t>
            </w:r>
          </w:p>
        </w:tc>
        <w:tc>
          <w:tcPr>
            <w:tcW w:w="1559"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139.3</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243.</w:t>
            </w:r>
            <w:r>
              <w:rPr>
                <w:lang w:eastAsia="en-AU"/>
              </w:rPr>
              <w:t>1</w:t>
            </w:r>
          </w:p>
        </w:tc>
        <w:tc>
          <w:tcPr>
            <w:tcW w:w="1276"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267.</w:t>
            </w:r>
            <w:r>
              <w:rPr>
                <w:lang w:eastAsia="en-AU"/>
              </w:rPr>
              <w:t>7</w:t>
            </w:r>
          </w:p>
        </w:tc>
      </w:tr>
      <w:tr w:rsidR="00B36F09" w:rsidTr="008F70D3">
        <w:trPr>
          <w:trHeight w:val="255"/>
        </w:trPr>
        <w:tc>
          <w:tcPr>
            <w:tcW w:w="2142" w:type="dxa"/>
            <w:tcBorders>
              <w:top w:val="nil"/>
              <w:left w:val="nil"/>
              <w:bottom w:val="nil"/>
              <w:right w:val="nil"/>
            </w:tcBorders>
            <w:shd w:val="clear" w:color="auto" w:fill="auto"/>
            <w:noWrap/>
            <w:vAlign w:val="bottom"/>
          </w:tcPr>
          <w:p w:rsidR="00B36F09" w:rsidRPr="00C04DF1" w:rsidRDefault="00B36F09" w:rsidP="008F70D3">
            <w:pPr>
              <w:pStyle w:val="table1"/>
              <w:rPr>
                <w:lang w:eastAsia="en-AU"/>
              </w:rPr>
            </w:pPr>
            <w:r w:rsidRPr="00C04DF1">
              <w:rPr>
                <w:lang w:eastAsia="en-AU"/>
              </w:rPr>
              <w:t>Wetness index</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9.4</w:t>
            </w:r>
            <w:r>
              <w:rPr>
                <w:lang w:eastAsia="en-AU"/>
              </w:rPr>
              <w:t>3</w:t>
            </w:r>
          </w:p>
        </w:tc>
        <w:tc>
          <w:tcPr>
            <w:tcW w:w="1559"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9.18</w:t>
            </w:r>
          </w:p>
        </w:tc>
        <w:tc>
          <w:tcPr>
            <w:tcW w:w="1134"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9.06</w:t>
            </w:r>
          </w:p>
        </w:tc>
        <w:tc>
          <w:tcPr>
            <w:tcW w:w="1276" w:type="dxa"/>
            <w:tcBorders>
              <w:top w:val="nil"/>
              <w:left w:val="nil"/>
              <w:bottom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8.85</w:t>
            </w:r>
          </w:p>
        </w:tc>
      </w:tr>
      <w:tr w:rsidR="00B36F09" w:rsidTr="008F70D3">
        <w:trPr>
          <w:trHeight w:val="255"/>
        </w:trPr>
        <w:tc>
          <w:tcPr>
            <w:tcW w:w="2142" w:type="dxa"/>
            <w:tcBorders>
              <w:top w:val="nil"/>
              <w:left w:val="nil"/>
              <w:right w:val="nil"/>
            </w:tcBorders>
            <w:shd w:val="clear" w:color="auto" w:fill="auto"/>
            <w:noWrap/>
            <w:vAlign w:val="bottom"/>
          </w:tcPr>
          <w:p w:rsidR="00B36F09" w:rsidRPr="00C04DF1" w:rsidRDefault="00B36F09" w:rsidP="008F70D3">
            <w:pPr>
              <w:pStyle w:val="table1"/>
              <w:rPr>
                <w:lang w:eastAsia="en-AU"/>
              </w:rPr>
            </w:pPr>
            <w:r w:rsidRPr="00C04DF1">
              <w:rPr>
                <w:lang w:eastAsia="en-AU"/>
              </w:rPr>
              <w:t>Relief (600</w:t>
            </w:r>
            <w:r>
              <w:rPr>
                <w:lang w:eastAsia="en-AU"/>
              </w:rPr>
              <w:t xml:space="preserve"> </w:t>
            </w:r>
            <w:r w:rsidRPr="00C04DF1">
              <w:rPr>
                <w:lang w:eastAsia="en-AU"/>
              </w:rPr>
              <w:t>m</w:t>
            </w:r>
            <w:r>
              <w:rPr>
                <w:lang w:eastAsia="en-AU"/>
              </w:rPr>
              <w:t xml:space="preserve"> radius</w:t>
            </w:r>
            <w:r w:rsidRPr="00C04DF1">
              <w:rPr>
                <w:lang w:eastAsia="en-AU"/>
              </w:rPr>
              <w:t>)</w:t>
            </w:r>
          </w:p>
        </w:tc>
        <w:tc>
          <w:tcPr>
            <w:tcW w:w="1134" w:type="dxa"/>
            <w:tcBorders>
              <w:top w:val="nil"/>
              <w:left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11.548</w:t>
            </w:r>
          </w:p>
        </w:tc>
        <w:tc>
          <w:tcPr>
            <w:tcW w:w="1559" w:type="dxa"/>
            <w:tcBorders>
              <w:top w:val="nil"/>
              <w:left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12.66</w:t>
            </w:r>
          </w:p>
        </w:tc>
        <w:tc>
          <w:tcPr>
            <w:tcW w:w="1134" w:type="dxa"/>
            <w:tcBorders>
              <w:top w:val="nil"/>
              <w:left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10.287</w:t>
            </w:r>
          </w:p>
        </w:tc>
        <w:tc>
          <w:tcPr>
            <w:tcW w:w="1276" w:type="dxa"/>
            <w:tcBorders>
              <w:top w:val="nil"/>
              <w:left w:val="nil"/>
              <w:right w:val="nil"/>
            </w:tcBorders>
            <w:shd w:val="clear" w:color="auto" w:fill="auto"/>
            <w:noWrap/>
            <w:vAlign w:val="bottom"/>
          </w:tcPr>
          <w:p w:rsidR="00B36F09" w:rsidRPr="009844A4" w:rsidRDefault="00B36F09" w:rsidP="008F70D3">
            <w:pPr>
              <w:pStyle w:val="table1"/>
              <w:rPr>
                <w:lang w:eastAsia="en-AU"/>
              </w:rPr>
            </w:pPr>
            <w:r w:rsidRPr="009844A4">
              <w:rPr>
                <w:lang w:eastAsia="en-AU"/>
              </w:rPr>
              <w:t>11.509</w:t>
            </w:r>
          </w:p>
        </w:tc>
      </w:tr>
      <w:tr w:rsidR="00B36F09" w:rsidTr="008F70D3">
        <w:trPr>
          <w:trHeight w:val="255"/>
        </w:trPr>
        <w:tc>
          <w:tcPr>
            <w:tcW w:w="2142" w:type="dxa"/>
            <w:tcBorders>
              <w:top w:val="nil"/>
              <w:left w:val="nil"/>
              <w:bottom w:val="single" w:sz="4" w:space="0" w:color="auto"/>
              <w:right w:val="nil"/>
            </w:tcBorders>
            <w:shd w:val="clear" w:color="auto" w:fill="auto"/>
            <w:noWrap/>
            <w:vAlign w:val="bottom"/>
          </w:tcPr>
          <w:p w:rsidR="00B36F09" w:rsidRPr="00C04DF1" w:rsidRDefault="00B36F09" w:rsidP="008F70D3">
            <w:pPr>
              <w:pStyle w:val="table1"/>
              <w:rPr>
                <w:lang w:eastAsia="en-AU"/>
              </w:rPr>
            </w:pPr>
            <w:r>
              <w:rPr>
                <w:lang w:eastAsia="en-AU"/>
              </w:rPr>
              <w:t>Depth to groundwater</w:t>
            </w:r>
          </w:p>
        </w:tc>
        <w:tc>
          <w:tcPr>
            <w:tcW w:w="1134" w:type="dxa"/>
            <w:tcBorders>
              <w:top w:val="nil"/>
              <w:left w:val="nil"/>
              <w:bottom w:val="single" w:sz="4" w:space="0" w:color="auto"/>
              <w:right w:val="nil"/>
            </w:tcBorders>
            <w:shd w:val="clear" w:color="auto" w:fill="auto"/>
            <w:noWrap/>
            <w:vAlign w:val="bottom"/>
          </w:tcPr>
          <w:p w:rsidR="00B36F09" w:rsidRPr="009844A4" w:rsidRDefault="00B36F09" w:rsidP="008F70D3">
            <w:pPr>
              <w:pStyle w:val="table1"/>
              <w:rPr>
                <w:lang w:eastAsia="en-AU"/>
              </w:rPr>
            </w:pPr>
            <w:r w:rsidRPr="009844A4">
              <w:rPr>
                <w:lang w:eastAsia="en-AU"/>
              </w:rPr>
              <w:t>4.65</w:t>
            </w:r>
          </w:p>
        </w:tc>
        <w:tc>
          <w:tcPr>
            <w:tcW w:w="1559" w:type="dxa"/>
            <w:tcBorders>
              <w:top w:val="nil"/>
              <w:left w:val="nil"/>
              <w:bottom w:val="single" w:sz="4" w:space="0" w:color="auto"/>
              <w:right w:val="nil"/>
            </w:tcBorders>
            <w:shd w:val="clear" w:color="auto" w:fill="auto"/>
            <w:noWrap/>
            <w:vAlign w:val="bottom"/>
          </w:tcPr>
          <w:p w:rsidR="00B36F09" w:rsidRPr="009844A4" w:rsidRDefault="00B36F09" w:rsidP="008F70D3">
            <w:pPr>
              <w:pStyle w:val="table1"/>
              <w:rPr>
                <w:lang w:eastAsia="en-AU"/>
              </w:rPr>
            </w:pPr>
            <w:r w:rsidRPr="009844A4">
              <w:rPr>
                <w:lang w:eastAsia="en-AU"/>
              </w:rPr>
              <w:t>4.64</w:t>
            </w:r>
          </w:p>
        </w:tc>
        <w:tc>
          <w:tcPr>
            <w:tcW w:w="1134" w:type="dxa"/>
            <w:tcBorders>
              <w:top w:val="nil"/>
              <w:left w:val="nil"/>
              <w:bottom w:val="single" w:sz="4" w:space="0" w:color="auto"/>
              <w:right w:val="nil"/>
            </w:tcBorders>
            <w:shd w:val="clear" w:color="auto" w:fill="auto"/>
            <w:noWrap/>
            <w:vAlign w:val="bottom"/>
          </w:tcPr>
          <w:p w:rsidR="00B36F09" w:rsidRPr="009844A4" w:rsidRDefault="00B36F09" w:rsidP="008F70D3">
            <w:pPr>
              <w:pStyle w:val="table1"/>
              <w:rPr>
                <w:lang w:eastAsia="en-AU"/>
              </w:rPr>
            </w:pPr>
            <w:r w:rsidRPr="009844A4">
              <w:rPr>
                <w:lang w:eastAsia="en-AU"/>
              </w:rPr>
              <w:t>4.37</w:t>
            </w:r>
          </w:p>
        </w:tc>
        <w:tc>
          <w:tcPr>
            <w:tcW w:w="1276" w:type="dxa"/>
            <w:tcBorders>
              <w:top w:val="nil"/>
              <w:left w:val="nil"/>
              <w:bottom w:val="single" w:sz="4" w:space="0" w:color="auto"/>
              <w:right w:val="nil"/>
            </w:tcBorders>
            <w:shd w:val="clear" w:color="auto" w:fill="auto"/>
            <w:noWrap/>
            <w:vAlign w:val="bottom"/>
          </w:tcPr>
          <w:p w:rsidR="00B36F09" w:rsidRPr="009844A4" w:rsidRDefault="00B36F09" w:rsidP="008F70D3">
            <w:pPr>
              <w:pStyle w:val="table1"/>
              <w:rPr>
                <w:lang w:eastAsia="en-AU"/>
              </w:rPr>
            </w:pPr>
            <w:r w:rsidRPr="009844A4">
              <w:rPr>
                <w:lang w:eastAsia="en-AU"/>
              </w:rPr>
              <w:t>4.1</w:t>
            </w:r>
            <w:r>
              <w:rPr>
                <w:lang w:eastAsia="en-AU"/>
              </w:rPr>
              <w:t>5</w:t>
            </w:r>
          </w:p>
        </w:tc>
      </w:tr>
    </w:tbl>
    <w:p w:rsidR="00B36F09" w:rsidRDefault="00B36F09" w:rsidP="00B36F09">
      <w:pPr>
        <w:pStyle w:val="tablenote"/>
        <w:rPr>
          <w:lang w:val="en-US"/>
        </w:rPr>
      </w:pPr>
    </w:p>
    <w:p w:rsidR="00B36F09" w:rsidRPr="00E470F4" w:rsidRDefault="00B36F09" w:rsidP="00B36F09">
      <w:pPr>
        <w:rPr>
          <w:lang w:eastAsia="en-AU"/>
        </w:rPr>
      </w:pPr>
      <w:r>
        <w:rPr>
          <w:lang w:val="en-US"/>
        </w:rPr>
        <w:t xml:space="preserve">A notable feature of the </w:t>
      </w:r>
      <w:proofErr w:type="spellStart"/>
      <w:r w:rsidRPr="003C4AD7">
        <w:rPr>
          <w:b/>
          <w:bCs/>
          <w:i/>
          <w:iCs/>
          <w:sz w:val="26"/>
          <w:szCs w:val="24"/>
          <w:lang w:val="en-US"/>
        </w:rPr>
        <w:t>eriss</w:t>
      </w:r>
      <w:proofErr w:type="spellEnd"/>
      <w:r>
        <w:rPr>
          <w:lang w:val="en-US"/>
        </w:rPr>
        <w:t xml:space="preserve">-ERA vegetation classifications that include sites from across the ARR is the representation within each of the three broad vegetation categories from above, of sites from the </w:t>
      </w:r>
      <w:smartTag w:uri="urn:schemas-microsoft-com:office:smarttags" w:element="place">
        <w:smartTag w:uri="urn:schemas-microsoft-com:office:smarttags" w:element="City">
          <w:r>
            <w:rPr>
              <w:lang w:val="en-US"/>
            </w:rPr>
            <w:t>Georgetown</w:t>
          </w:r>
        </w:smartTag>
      </w:smartTag>
      <w:r>
        <w:rPr>
          <w:lang w:val="en-US"/>
        </w:rPr>
        <w:t xml:space="preserve"> analogue area. Because this </w:t>
      </w:r>
      <w:proofErr w:type="spellStart"/>
      <w:r>
        <w:rPr>
          <w:lang w:val="en-US"/>
        </w:rPr>
        <w:t>geomorphologically</w:t>
      </w:r>
      <w:proofErr w:type="spellEnd"/>
      <w:r>
        <w:rPr>
          <w:lang w:val="en-US"/>
        </w:rPr>
        <w:t xml:space="preserve"> discrete, but diverse, </w:t>
      </w:r>
      <w:smartTag w:uri="urn:schemas-microsoft-com:office:smarttags" w:element="place">
        <w:smartTag w:uri="urn:schemas-microsoft-com:office:smarttags" w:element="City">
          <w:r>
            <w:rPr>
              <w:lang w:val="en-US"/>
            </w:rPr>
            <w:t>Georgetown</w:t>
          </w:r>
        </w:smartTag>
      </w:smartTag>
      <w:r>
        <w:rPr>
          <w:lang w:val="en-US"/>
        </w:rPr>
        <w:t xml:space="preserve"> location is representative of regional plant communities and contains </w:t>
      </w:r>
      <w:r w:rsidRPr="00E470F4">
        <w:rPr>
          <w:lang w:val="en-US"/>
        </w:rPr>
        <w:t xml:space="preserve">some terrain characteristics that match those of the proposed final landform, effort in recent years has been directed at additional vegetation sampling in this area to provide sufficient data needed for reliable plant-environment </w:t>
      </w:r>
      <w:proofErr w:type="spellStart"/>
      <w:r w:rsidRPr="00E470F4">
        <w:rPr>
          <w:lang w:val="en-US"/>
        </w:rPr>
        <w:t>modelling</w:t>
      </w:r>
      <w:proofErr w:type="spellEnd"/>
      <w:r w:rsidRPr="00E470F4">
        <w:rPr>
          <w:lang w:val="en-US"/>
        </w:rPr>
        <w:t xml:space="preserve"> for this location alone.</w:t>
      </w:r>
    </w:p>
    <w:p w:rsidR="00B36F09" w:rsidRDefault="00B36F09" w:rsidP="00B36F09">
      <w:pPr>
        <w:rPr>
          <w:lang w:val="en-US"/>
        </w:rPr>
      </w:pPr>
      <w:r w:rsidRPr="00E470F4">
        <w:rPr>
          <w:lang w:val="en-US"/>
        </w:rPr>
        <w:t>Density data for trees and shrubs are now available for 72 sites on the Georgetown analogue area as a result of quantitative plant density surveys conducted in 2010. From these data, four broad (and statistically</w:t>
      </w:r>
      <w:r>
        <w:rPr>
          <w:lang w:val="en-US"/>
        </w:rPr>
        <w:t xml:space="preserve"> distinct) classification groups were derived from multivariate analysis, and these are depicted in a multivariate ordination in Figure 2A and in tabular form, showing the dominant and characteristic plant species for each vegetation community type, in Table 2. The classification contains an additional dry mixed eucalypt woodland type to that contained in the earlier three-group classification derived from data obtained over the broader ARR.</w:t>
      </w:r>
    </w:p>
    <w:p w:rsidR="00B36F09" w:rsidRDefault="00B36F09" w:rsidP="00B36F09">
      <w:pPr>
        <w:pStyle w:val="Heading2"/>
        <w:rPr>
          <w:lang w:eastAsia="en-AU"/>
        </w:rPr>
      </w:pPr>
      <w:bookmarkStart w:id="128" w:name="_Toc313523568"/>
      <w:bookmarkStart w:id="129" w:name="_Toc316985411"/>
      <w:r>
        <w:rPr>
          <w:lang w:eastAsia="en-AU"/>
        </w:rPr>
        <w:t>Plant-environment relationships</w:t>
      </w:r>
      <w:bookmarkEnd w:id="128"/>
      <w:bookmarkEnd w:id="129"/>
    </w:p>
    <w:p w:rsidR="00B36F09" w:rsidRDefault="00B36F09" w:rsidP="00B36F09">
      <w:pPr>
        <w:rPr>
          <w:lang w:val="en-US"/>
        </w:rPr>
      </w:pPr>
      <w:r>
        <w:rPr>
          <w:lang w:val="en-US"/>
        </w:rPr>
        <w:t xml:space="preserve">A number of statistical approaches were previously used by ERA to model plant-environment relationships for about 150 natural vegetated sites across the Ranger lease (Hollingsworth et al 2007). Particular species were found to occur in areas of higher erosion risk (steeper slopes) </w:t>
      </w:r>
      <w:r>
        <w:rPr>
          <w:lang w:val="en-US"/>
        </w:rPr>
        <w:lastRenderedPageBreak/>
        <w:t xml:space="preserve">in the natural landscape, suggesting that they could be good candidates for </w:t>
      </w:r>
      <w:proofErr w:type="spellStart"/>
      <w:r>
        <w:rPr>
          <w:lang w:val="en-US"/>
        </w:rPr>
        <w:t>revegetation</w:t>
      </w:r>
      <w:proofErr w:type="spellEnd"/>
      <w:r>
        <w:rPr>
          <w:lang w:val="en-US"/>
        </w:rPr>
        <w:t xml:space="preserve"> on steeper areas of the mine landform. Other species dominated wetter, seasonally-inundated areas and hence could be considered for planting in areas with poor drainage and/or </w:t>
      </w:r>
      <w:proofErr w:type="spellStart"/>
      <w:r>
        <w:rPr>
          <w:lang w:val="en-US"/>
        </w:rPr>
        <w:t>ponding</w:t>
      </w:r>
      <w:proofErr w:type="spellEnd"/>
      <w:r>
        <w:rPr>
          <w:lang w:val="en-US"/>
        </w:rPr>
        <w:t>.</w:t>
      </w:r>
    </w:p>
    <w:p w:rsidR="00B36F09" w:rsidRPr="00735243" w:rsidRDefault="00B36F09" w:rsidP="00B36F09">
      <w:pPr>
        <w:pStyle w:val="tablecaption"/>
        <w:rPr>
          <w:lang w:val="en-US"/>
        </w:rPr>
      </w:pPr>
      <w:r w:rsidRPr="00370CD0">
        <w:rPr>
          <w:b/>
        </w:rPr>
        <w:t xml:space="preserve">Table </w:t>
      </w:r>
      <w:proofErr w:type="gramStart"/>
      <w:r>
        <w:rPr>
          <w:b/>
        </w:rPr>
        <w:t>2</w:t>
      </w:r>
      <w:r>
        <w:t xml:space="preserve"> </w:t>
      </w:r>
      <w:r w:rsidRPr="000B62C3">
        <w:t xml:space="preserve"> Descriptions</w:t>
      </w:r>
      <w:proofErr w:type="gramEnd"/>
      <w:r w:rsidRPr="000B62C3">
        <w:t xml:space="preserve"> of the Ranger analogue communities identified in this study</w:t>
      </w:r>
    </w:p>
    <w:tbl>
      <w:tblPr>
        <w:tblW w:w="7621" w:type="dxa"/>
        <w:tblLook w:val="01E0"/>
      </w:tblPr>
      <w:tblGrid>
        <w:gridCol w:w="1809"/>
        <w:gridCol w:w="3686"/>
        <w:gridCol w:w="2126"/>
      </w:tblGrid>
      <w:tr w:rsidR="00B36F09" w:rsidTr="008F70D3">
        <w:tc>
          <w:tcPr>
            <w:tcW w:w="1809" w:type="dxa"/>
            <w:tcBorders>
              <w:top w:val="single" w:sz="4" w:space="0" w:color="auto"/>
              <w:bottom w:val="single" w:sz="4" w:space="0" w:color="auto"/>
            </w:tcBorders>
          </w:tcPr>
          <w:p w:rsidR="00B36F09" w:rsidRPr="000B62C3" w:rsidRDefault="00B36F09" w:rsidP="008F70D3">
            <w:pPr>
              <w:pStyle w:val="table1"/>
              <w:rPr>
                <w:b/>
              </w:rPr>
            </w:pPr>
            <w:r w:rsidRPr="000B62C3">
              <w:rPr>
                <w:b/>
              </w:rPr>
              <w:t>Broad vegetation community</w:t>
            </w:r>
          </w:p>
        </w:tc>
        <w:tc>
          <w:tcPr>
            <w:tcW w:w="3686" w:type="dxa"/>
            <w:tcBorders>
              <w:top w:val="single" w:sz="4" w:space="0" w:color="auto"/>
              <w:bottom w:val="single" w:sz="4" w:space="0" w:color="auto"/>
            </w:tcBorders>
          </w:tcPr>
          <w:p w:rsidR="00B36F09" w:rsidRPr="000B62C3" w:rsidRDefault="00B36F09" w:rsidP="008F70D3">
            <w:pPr>
              <w:pStyle w:val="table1"/>
              <w:rPr>
                <w:b/>
              </w:rPr>
            </w:pPr>
            <w:r w:rsidRPr="000B62C3">
              <w:rPr>
                <w:b/>
                <w:spacing w:val="-2"/>
              </w:rPr>
              <w:t>Dominant and/or distinguishing tree or shrub species</w:t>
            </w:r>
          </w:p>
        </w:tc>
        <w:tc>
          <w:tcPr>
            <w:tcW w:w="2126" w:type="dxa"/>
            <w:tcBorders>
              <w:top w:val="single" w:sz="4" w:space="0" w:color="auto"/>
              <w:bottom w:val="single" w:sz="4" w:space="0" w:color="auto"/>
            </w:tcBorders>
          </w:tcPr>
          <w:p w:rsidR="00B36F09" w:rsidRDefault="00B36F09" w:rsidP="008F70D3">
            <w:pPr>
              <w:pStyle w:val="table1"/>
              <w:jc w:val="center"/>
              <w:rPr>
                <w:b/>
              </w:rPr>
            </w:pPr>
            <w:r w:rsidRPr="000B62C3">
              <w:rPr>
                <w:b/>
                <w:spacing w:val="-2"/>
              </w:rPr>
              <w:t>Classification unit from this study (Fig 2A)</w:t>
            </w:r>
          </w:p>
        </w:tc>
      </w:tr>
      <w:tr w:rsidR="00B36F09" w:rsidTr="008F70D3">
        <w:tc>
          <w:tcPr>
            <w:tcW w:w="1809" w:type="dxa"/>
            <w:tcBorders>
              <w:top w:val="single" w:sz="4" w:space="0" w:color="auto"/>
            </w:tcBorders>
          </w:tcPr>
          <w:p w:rsidR="00B36F09" w:rsidRDefault="00B36F09" w:rsidP="008F70D3">
            <w:pPr>
              <w:pStyle w:val="table1"/>
              <w:rPr>
                <w:rFonts w:cs="Arial"/>
              </w:rPr>
            </w:pPr>
            <w:r>
              <w:t>Melaleuca woodland</w:t>
            </w:r>
          </w:p>
        </w:tc>
        <w:tc>
          <w:tcPr>
            <w:tcW w:w="3686" w:type="dxa"/>
            <w:tcBorders>
              <w:top w:val="single" w:sz="4" w:space="0" w:color="auto"/>
            </w:tcBorders>
          </w:tcPr>
          <w:p w:rsidR="00B36F09" w:rsidRPr="00BD6DCD" w:rsidRDefault="00B36F09" w:rsidP="008F70D3">
            <w:pPr>
              <w:pStyle w:val="table1"/>
              <w:spacing w:before="40" w:after="0"/>
              <w:rPr>
                <w:rFonts w:cs="Arial"/>
                <w:i/>
                <w:lang w:val="fr-FR"/>
              </w:rPr>
            </w:pPr>
            <w:proofErr w:type="spellStart"/>
            <w:r w:rsidRPr="00BD6DCD">
              <w:rPr>
                <w:i/>
                <w:lang w:val="fr-FR"/>
              </w:rPr>
              <w:t>Melaleuca</w:t>
            </w:r>
            <w:proofErr w:type="spellEnd"/>
            <w:r w:rsidRPr="00BD6DCD">
              <w:rPr>
                <w:i/>
                <w:lang w:val="fr-FR"/>
              </w:rPr>
              <w:t xml:space="preserve"> </w:t>
            </w:r>
            <w:proofErr w:type="spellStart"/>
            <w:r w:rsidRPr="00BD6DCD">
              <w:rPr>
                <w:i/>
                <w:lang w:val="fr-FR"/>
              </w:rPr>
              <w:t>viridiflora</w:t>
            </w:r>
            <w:proofErr w:type="spellEnd"/>
            <w:r>
              <w:rPr>
                <w:i/>
                <w:lang w:val="fr-FR"/>
              </w:rPr>
              <w:t xml:space="preserve">, </w:t>
            </w:r>
            <w:r w:rsidRPr="00BD6DCD">
              <w:rPr>
                <w:i/>
                <w:lang w:val="fr-FR"/>
              </w:rPr>
              <w:t xml:space="preserve">Pandanus </w:t>
            </w:r>
            <w:proofErr w:type="spellStart"/>
            <w:r w:rsidRPr="00BD6DCD">
              <w:rPr>
                <w:i/>
                <w:lang w:val="fr-FR"/>
              </w:rPr>
              <w:t>spiralis</w:t>
            </w:r>
            <w:proofErr w:type="spellEnd"/>
            <w:r>
              <w:rPr>
                <w:i/>
                <w:lang w:val="fr-FR"/>
              </w:rPr>
              <w:t xml:space="preserve">, </w:t>
            </w:r>
            <w:proofErr w:type="spellStart"/>
            <w:r w:rsidRPr="00BD6DCD">
              <w:rPr>
                <w:rFonts w:cs="Arial"/>
                <w:i/>
                <w:lang w:val="fr-FR"/>
              </w:rPr>
              <w:t>Planchonia</w:t>
            </w:r>
            <w:proofErr w:type="spellEnd"/>
            <w:r w:rsidRPr="00BD6DCD">
              <w:rPr>
                <w:rFonts w:cs="Arial"/>
                <w:i/>
                <w:lang w:val="fr-FR"/>
              </w:rPr>
              <w:t xml:space="preserve"> </w:t>
            </w:r>
            <w:proofErr w:type="spellStart"/>
            <w:r w:rsidRPr="00BD6DCD">
              <w:rPr>
                <w:rFonts w:cs="Arial"/>
                <w:i/>
                <w:lang w:val="fr-FR"/>
              </w:rPr>
              <w:t>careya</w:t>
            </w:r>
            <w:proofErr w:type="spellEnd"/>
          </w:p>
        </w:tc>
        <w:tc>
          <w:tcPr>
            <w:tcW w:w="2126" w:type="dxa"/>
            <w:tcBorders>
              <w:top w:val="single" w:sz="4" w:space="0" w:color="auto"/>
            </w:tcBorders>
          </w:tcPr>
          <w:p w:rsidR="00B36F09" w:rsidRDefault="00B36F09" w:rsidP="008F70D3">
            <w:pPr>
              <w:pStyle w:val="table1"/>
              <w:jc w:val="center"/>
              <w:rPr>
                <w:rFonts w:cs="Arial"/>
              </w:rPr>
            </w:pPr>
            <w:r>
              <w:rPr>
                <w:rFonts w:cs="Arial"/>
              </w:rPr>
              <w:t>C1</w:t>
            </w:r>
          </w:p>
        </w:tc>
      </w:tr>
      <w:tr w:rsidR="00B36F09" w:rsidTr="008F70D3">
        <w:tc>
          <w:tcPr>
            <w:tcW w:w="1809" w:type="dxa"/>
          </w:tcPr>
          <w:p w:rsidR="00B36F09" w:rsidRDefault="00B36F09" w:rsidP="008F70D3">
            <w:pPr>
              <w:pStyle w:val="table1"/>
              <w:rPr>
                <w:rFonts w:cs="Arial"/>
              </w:rPr>
            </w:pPr>
            <w:r>
              <w:t>Mixed Eucalypt woodland</w:t>
            </w:r>
          </w:p>
        </w:tc>
        <w:tc>
          <w:tcPr>
            <w:tcW w:w="3686" w:type="dxa"/>
          </w:tcPr>
          <w:p w:rsidR="00B36F09" w:rsidRPr="007804B5" w:rsidRDefault="00B36F09" w:rsidP="008F70D3">
            <w:pPr>
              <w:pStyle w:val="table1"/>
              <w:spacing w:before="40" w:after="0"/>
              <w:rPr>
                <w:i/>
                <w:lang w:val="pt-BR"/>
              </w:rPr>
            </w:pPr>
            <w:r>
              <w:rPr>
                <w:i/>
                <w:lang w:val="fr-FR"/>
              </w:rPr>
              <w:t xml:space="preserve">Acacia </w:t>
            </w:r>
            <w:proofErr w:type="spellStart"/>
            <w:r>
              <w:rPr>
                <w:i/>
                <w:lang w:val="fr-FR"/>
              </w:rPr>
              <w:t>mimula</w:t>
            </w:r>
            <w:proofErr w:type="spellEnd"/>
            <w:r>
              <w:rPr>
                <w:i/>
                <w:lang w:val="fr-FR"/>
              </w:rPr>
              <w:t xml:space="preserve">, Eucalyptus </w:t>
            </w:r>
            <w:proofErr w:type="spellStart"/>
            <w:r>
              <w:rPr>
                <w:i/>
                <w:lang w:val="fr-FR"/>
              </w:rPr>
              <w:t>tetrodonta</w:t>
            </w:r>
            <w:proofErr w:type="spellEnd"/>
            <w:r>
              <w:rPr>
                <w:i/>
                <w:lang w:val="fr-FR"/>
              </w:rPr>
              <w:t xml:space="preserve">, </w:t>
            </w:r>
            <w:proofErr w:type="spellStart"/>
            <w:r>
              <w:rPr>
                <w:i/>
                <w:lang w:val="fr-FR"/>
              </w:rPr>
              <w:t>Corymbia</w:t>
            </w:r>
            <w:proofErr w:type="spellEnd"/>
            <w:r>
              <w:rPr>
                <w:i/>
                <w:lang w:val="fr-FR"/>
              </w:rPr>
              <w:t xml:space="preserve"> </w:t>
            </w:r>
            <w:proofErr w:type="spellStart"/>
            <w:r>
              <w:rPr>
                <w:i/>
                <w:lang w:val="fr-FR"/>
              </w:rPr>
              <w:t>porrecta</w:t>
            </w:r>
            <w:proofErr w:type="spellEnd"/>
            <w:r>
              <w:rPr>
                <w:i/>
                <w:lang w:val="fr-FR"/>
              </w:rPr>
              <w:t xml:space="preserve">, E. </w:t>
            </w:r>
            <w:proofErr w:type="spellStart"/>
            <w:r>
              <w:rPr>
                <w:i/>
                <w:lang w:val="fr-FR"/>
              </w:rPr>
              <w:t>miniata</w:t>
            </w:r>
            <w:proofErr w:type="spellEnd"/>
            <w:r>
              <w:rPr>
                <w:i/>
                <w:lang w:val="fr-FR"/>
              </w:rPr>
              <w:t xml:space="preserve">, </w:t>
            </w:r>
            <w:proofErr w:type="spellStart"/>
            <w:r>
              <w:rPr>
                <w:i/>
                <w:lang w:val="fr-FR"/>
              </w:rPr>
              <w:t>Xanthostemon</w:t>
            </w:r>
            <w:proofErr w:type="spellEnd"/>
            <w:r>
              <w:rPr>
                <w:i/>
                <w:lang w:val="fr-FR"/>
              </w:rPr>
              <w:t xml:space="preserve"> </w:t>
            </w:r>
            <w:proofErr w:type="spellStart"/>
            <w:r>
              <w:rPr>
                <w:i/>
                <w:lang w:val="fr-FR"/>
              </w:rPr>
              <w:t>paradoxus</w:t>
            </w:r>
            <w:proofErr w:type="spellEnd"/>
            <w:r>
              <w:rPr>
                <w:i/>
                <w:lang w:val="fr-FR"/>
              </w:rPr>
              <w:t xml:space="preserve">, </w:t>
            </w:r>
            <w:r w:rsidRPr="007804B5">
              <w:rPr>
                <w:i/>
                <w:lang w:val="pt-BR"/>
              </w:rPr>
              <w:t>Terminalia ferdinandiana</w:t>
            </w:r>
          </w:p>
        </w:tc>
        <w:tc>
          <w:tcPr>
            <w:tcW w:w="2126" w:type="dxa"/>
          </w:tcPr>
          <w:p w:rsidR="00B36F09" w:rsidRDefault="00B36F09" w:rsidP="008F70D3">
            <w:pPr>
              <w:pStyle w:val="table1"/>
              <w:jc w:val="center"/>
            </w:pPr>
            <w:r>
              <w:t>C2</w:t>
            </w:r>
          </w:p>
        </w:tc>
      </w:tr>
      <w:tr w:rsidR="00B36F09" w:rsidTr="008F70D3">
        <w:tc>
          <w:tcPr>
            <w:tcW w:w="1809" w:type="dxa"/>
          </w:tcPr>
          <w:p w:rsidR="00B36F09" w:rsidRDefault="00B36F09" w:rsidP="008F70D3">
            <w:pPr>
              <w:pStyle w:val="table1"/>
            </w:pPr>
            <w:r>
              <w:t>Dry mixed Eucalypt woodland: Type 1</w:t>
            </w:r>
          </w:p>
        </w:tc>
        <w:tc>
          <w:tcPr>
            <w:tcW w:w="3686" w:type="dxa"/>
          </w:tcPr>
          <w:p w:rsidR="00B36F09" w:rsidRPr="007804B5" w:rsidRDefault="00B36F09" w:rsidP="008F70D3">
            <w:pPr>
              <w:pStyle w:val="table1"/>
              <w:spacing w:before="40" w:after="0"/>
              <w:rPr>
                <w:rFonts w:cs="Arial"/>
                <w:lang w:val="pt-BR"/>
              </w:rPr>
            </w:pPr>
            <w:r w:rsidRPr="007804B5">
              <w:rPr>
                <w:i/>
                <w:lang w:val="pt-BR"/>
              </w:rPr>
              <w:t xml:space="preserve">C. foelscheana/latifolia, X. </w:t>
            </w:r>
            <w:r>
              <w:rPr>
                <w:i/>
                <w:lang w:val="pt-BR"/>
              </w:rPr>
              <w:t>p</w:t>
            </w:r>
            <w:r w:rsidRPr="007804B5">
              <w:rPr>
                <w:i/>
                <w:lang w:val="pt-BR"/>
              </w:rPr>
              <w:t xml:space="preserve">aradoxus, T. ferdinandiana, </w:t>
            </w:r>
            <w:r w:rsidRPr="007804B5">
              <w:rPr>
                <w:rFonts w:cs="Arial"/>
                <w:i/>
                <w:lang w:val="pt-BR"/>
              </w:rPr>
              <w:t>P. careya</w:t>
            </w:r>
            <w:r w:rsidRPr="007804B5">
              <w:rPr>
                <w:i/>
                <w:lang w:val="pt-BR"/>
              </w:rPr>
              <w:t>, Cochlospermum fraseri</w:t>
            </w:r>
          </w:p>
        </w:tc>
        <w:tc>
          <w:tcPr>
            <w:tcW w:w="2126" w:type="dxa"/>
          </w:tcPr>
          <w:p w:rsidR="00B36F09" w:rsidRDefault="00B36F09" w:rsidP="008F70D3">
            <w:pPr>
              <w:pStyle w:val="table1"/>
              <w:jc w:val="center"/>
              <w:rPr>
                <w:rFonts w:cs="Arial"/>
              </w:rPr>
            </w:pPr>
            <w:r>
              <w:rPr>
                <w:rFonts w:cs="Arial"/>
              </w:rPr>
              <w:t>C3</w:t>
            </w:r>
          </w:p>
        </w:tc>
      </w:tr>
      <w:tr w:rsidR="00B36F09" w:rsidTr="008F70D3">
        <w:tc>
          <w:tcPr>
            <w:tcW w:w="1809" w:type="dxa"/>
            <w:tcBorders>
              <w:bottom w:val="single" w:sz="4" w:space="0" w:color="auto"/>
            </w:tcBorders>
          </w:tcPr>
          <w:p w:rsidR="00B36F09" w:rsidRDefault="00B36F09" w:rsidP="008F70D3">
            <w:pPr>
              <w:pStyle w:val="table1"/>
            </w:pPr>
            <w:r>
              <w:t>Dry mixed Eucalypt woodland: Type 2</w:t>
            </w:r>
          </w:p>
        </w:tc>
        <w:tc>
          <w:tcPr>
            <w:tcW w:w="3686" w:type="dxa"/>
            <w:tcBorders>
              <w:bottom w:val="single" w:sz="4" w:space="0" w:color="auto"/>
            </w:tcBorders>
          </w:tcPr>
          <w:p w:rsidR="00B36F09" w:rsidRPr="007804B5" w:rsidRDefault="00B36F09" w:rsidP="008F70D3">
            <w:pPr>
              <w:pStyle w:val="table1"/>
              <w:spacing w:before="40" w:after="0"/>
              <w:rPr>
                <w:i/>
                <w:lang w:val="pt-BR"/>
              </w:rPr>
            </w:pPr>
            <w:r w:rsidRPr="007804B5">
              <w:rPr>
                <w:i/>
                <w:lang w:val="pt-BR"/>
              </w:rPr>
              <w:t xml:space="preserve">T. pterocarya, </w:t>
            </w:r>
            <w:r>
              <w:rPr>
                <w:i/>
                <w:lang w:val="fr-FR"/>
              </w:rPr>
              <w:t xml:space="preserve">A. </w:t>
            </w:r>
            <w:proofErr w:type="spellStart"/>
            <w:r>
              <w:rPr>
                <w:i/>
                <w:lang w:val="fr-FR"/>
              </w:rPr>
              <w:t>mimula</w:t>
            </w:r>
            <w:proofErr w:type="spellEnd"/>
            <w:r>
              <w:rPr>
                <w:i/>
                <w:lang w:val="fr-FR"/>
              </w:rPr>
              <w:t xml:space="preserve">, </w:t>
            </w:r>
            <w:r w:rsidRPr="007804B5">
              <w:rPr>
                <w:i/>
                <w:lang w:val="pt-BR"/>
              </w:rPr>
              <w:t xml:space="preserve">X. </w:t>
            </w:r>
            <w:r>
              <w:rPr>
                <w:i/>
                <w:lang w:val="pt-BR"/>
              </w:rPr>
              <w:t>p</w:t>
            </w:r>
            <w:r w:rsidRPr="007804B5">
              <w:rPr>
                <w:i/>
                <w:lang w:val="pt-BR"/>
              </w:rPr>
              <w:t xml:space="preserve">aradoxus, C. disjuncta, </w:t>
            </w:r>
            <w:r>
              <w:rPr>
                <w:i/>
                <w:lang w:val="fr-FR"/>
              </w:rPr>
              <w:t xml:space="preserve">E. </w:t>
            </w:r>
            <w:proofErr w:type="spellStart"/>
            <w:r>
              <w:rPr>
                <w:i/>
                <w:lang w:val="fr-FR"/>
              </w:rPr>
              <w:t>tectifica</w:t>
            </w:r>
            <w:proofErr w:type="spellEnd"/>
          </w:p>
        </w:tc>
        <w:tc>
          <w:tcPr>
            <w:tcW w:w="2126" w:type="dxa"/>
            <w:tcBorders>
              <w:bottom w:val="single" w:sz="4" w:space="0" w:color="auto"/>
            </w:tcBorders>
          </w:tcPr>
          <w:p w:rsidR="00B36F09" w:rsidRDefault="00B36F09" w:rsidP="008F70D3">
            <w:pPr>
              <w:pStyle w:val="table1"/>
              <w:jc w:val="center"/>
              <w:rPr>
                <w:rFonts w:cs="Arial"/>
              </w:rPr>
            </w:pPr>
            <w:r>
              <w:rPr>
                <w:rFonts w:cs="Arial"/>
              </w:rPr>
              <w:t>C4</w:t>
            </w:r>
          </w:p>
        </w:tc>
      </w:tr>
    </w:tbl>
    <w:p w:rsidR="00B36F09" w:rsidRDefault="00B36F09" w:rsidP="00B36F09">
      <w:pPr>
        <w:pStyle w:val="tablenote"/>
        <w:rPr>
          <w:lang w:val="en-US"/>
        </w:rPr>
      </w:pPr>
    </w:p>
    <w:p w:rsidR="00B36F09" w:rsidRDefault="00B36F09" w:rsidP="00B36F09">
      <w:pPr>
        <w:pStyle w:val="tablenote"/>
        <w:rPr>
          <w:lang w:val="en-US"/>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4111"/>
      </w:tblGrid>
      <w:tr w:rsidR="00B36F09" w:rsidTr="008F70D3">
        <w:trPr>
          <w:trHeight w:val="2837"/>
        </w:trPr>
        <w:tc>
          <w:tcPr>
            <w:tcW w:w="4361" w:type="dxa"/>
            <w:tcBorders>
              <w:bottom w:val="nil"/>
            </w:tcBorders>
          </w:tcPr>
          <w:p w:rsidR="00B36F09" w:rsidRPr="008D112D" w:rsidRDefault="00B36F09" w:rsidP="008F70D3">
            <w:pPr>
              <w:spacing w:after="0"/>
            </w:pPr>
            <w:r>
              <w:rPr>
                <w:noProof/>
                <w:lang w:eastAsia="en-AU"/>
              </w:rPr>
              <w:drawing>
                <wp:inline distT="0" distB="0" distL="0" distR="0">
                  <wp:extent cx="2513757" cy="1780578"/>
                  <wp:effectExtent l="19050" t="0" r="843" b="0"/>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screen"/>
                          <a:srcRect/>
                          <a:stretch>
                            <a:fillRect/>
                          </a:stretch>
                        </pic:blipFill>
                        <pic:spPr bwMode="auto">
                          <a:xfrm>
                            <a:off x="0" y="0"/>
                            <a:ext cx="2516386" cy="1782441"/>
                          </a:xfrm>
                          <a:prstGeom prst="rect">
                            <a:avLst/>
                          </a:prstGeom>
                          <a:noFill/>
                          <a:ln w="9525">
                            <a:noFill/>
                            <a:miter lim="800000"/>
                            <a:headEnd/>
                            <a:tailEnd/>
                          </a:ln>
                        </pic:spPr>
                      </pic:pic>
                    </a:graphicData>
                  </a:graphic>
                </wp:inline>
              </w:drawing>
            </w:r>
          </w:p>
        </w:tc>
        <w:tc>
          <w:tcPr>
            <w:tcW w:w="4111" w:type="dxa"/>
            <w:tcBorders>
              <w:bottom w:val="nil"/>
            </w:tcBorders>
          </w:tcPr>
          <w:p w:rsidR="00B36F09" w:rsidRPr="008D112D" w:rsidRDefault="00B36F09" w:rsidP="008F70D3">
            <w:pPr>
              <w:spacing w:after="0"/>
            </w:pPr>
            <w:r>
              <w:rPr>
                <w:noProof/>
                <w:lang w:eastAsia="en-AU"/>
              </w:rPr>
              <w:drawing>
                <wp:inline distT="0" distB="0" distL="0" distR="0">
                  <wp:extent cx="2290046" cy="1753299"/>
                  <wp:effectExtent l="19050" t="0" r="0" b="0"/>
                  <wp:docPr id="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screen"/>
                          <a:srcRect r="-354"/>
                          <a:stretch>
                            <a:fillRect/>
                          </a:stretch>
                        </pic:blipFill>
                        <pic:spPr bwMode="auto">
                          <a:xfrm>
                            <a:off x="0" y="0"/>
                            <a:ext cx="2295628" cy="1757573"/>
                          </a:xfrm>
                          <a:prstGeom prst="rect">
                            <a:avLst/>
                          </a:prstGeom>
                          <a:noFill/>
                          <a:ln w="9525">
                            <a:noFill/>
                            <a:miter lim="800000"/>
                            <a:headEnd/>
                            <a:tailEnd/>
                          </a:ln>
                        </pic:spPr>
                      </pic:pic>
                    </a:graphicData>
                  </a:graphic>
                </wp:inline>
              </w:drawing>
            </w:r>
          </w:p>
        </w:tc>
      </w:tr>
      <w:tr w:rsidR="00B36F09" w:rsidTr="008F70D3">
        <w:trPr>
          <w:trHeight w:val="149"/>
        </w:trPr>
        <w:tc>
          <w:tcPr>
            <w:tcW w:w="4361" w:type="dxa"/>
            <w:tcBorders>
              <w:top w:val="nil"/>
            </w:tcBorders>
          </w:tcPr>
          <w:p w:rsidR="00B36F09" w:rsidRPr="000E5889" w:rsidRDefault="00B36F09" w:rsidP="008F70D3">
            <w:pPr>
              <w:pStyle w:val="figurecaption"/>
              <w:spacing w:after="0"/>
            </w:pPr>
            <w:r>
              <w:t>A. Vegetation</w:t>
            </w:r>
          </w:p>
        </w:tc>
        <w:tc>
          <w:tcPr>
            <w:tcW w:w="4111" w:type="dxa"/>
            <w:tcBorders>
              <w:top w:val="nil"/>
            </w:tcBorders>
          </w:tcPr>
          <w:p w:rsidR="00B36F09" w:rsidRPr="000E5889" w:rsidRDefault="00B36F09" w:rsidP="008F70D3">
            <w:pPr>
              <w:pStyle w:val="figurecaption"/>
              <w:spacing w:after="0"/>
            </w:pPr>
            <w:r>
              <w:t>B. Landform</w:t>
            </w:r>
          </w:p>
        </w:tc>
      </w:tr>
      <w:tr w:rsidR="00B36F09" w:rsidTr="008F70D3">
        <w:trPr>
          <w:trHeight w:val="2724"/>
        </w:trPr>
        <w:tc>
          <w:tcPr>
            <w:tcW w:w="4361" w:type="dxa"/>
            <w:tcBorders>
              <w:bottom w:val="nil"/>
            </w:tcBorders>
          </w:tcPr>
          <w:p w:rsidR="00B36F09" w:rsidRPr="00937A9D" w:rsidRDefault="00B36F09" w:rsidP="008F70D3">
            <w:pPr>
              <w:spacing w:after="0"/>
              <w:jc w:val="center"/>
            </w:pPr>
            <w:r>
              <w:rPr>
                <w:noProof/>
                <w:lang w:eastAsia="en-AU"/>
              </w:rPr>
              <w:drawing>
                <wp:inline distT="0" distB="0" distL="0" distR="0">
                  <wp:extent cx="2532172" cy="1775473"/>
                  <wp:effectExtent l="19050" t="0" r="0" b="0"/>
                  <wp:docPr id="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screen"/>
                          <a:srcRect l="1099"/>
                          <a:stretch>
                            <a:fillRect/>
                          </a:stretch>
                        </pic:blipFill>
                        <pic:spPr bwMode="auto">
                          <a:xfrm>
                            <a:off x="0" y="0"/>
                            <a:ext cx="2534996" cy="1777453"/>
                          </a:xfrm>
                          <a:prstGeom prst="rect">
                            <a:avLst/>
                          </a:prstGeom>
                          <a:noFill/>
                          <a:ln w="9525">
                            <a:noFill/>
                            <a:miter lim="800000"/>
                            <a:headEnd/>
                            <a:tailEnd/>
                          </a:ln>
                        </pic:spPr>
                      </pic:pic>
                    </a:graphicData>
                  </a:graphic>
                </wp:inline>
              </w:drawing>
            </w:r>
          </w:p>
        </w:tc>
        <w:tc>
          <w:tcPr>
            <w:tcW w:w="4111" w:type="dxa"/>
            <w:tcBorders>
              <w:bottom w:val="nil"/>
            </w:tcBorders>
          </w:tcPr>
          <w:p w:rsidR="00B36F09" w:rsidRPr="003929A4" w:rsidRDefault="00B36F09" w:rsidP="008F70D3">
            <w:pPr>
              <w:spacing w:after="0"/>
            </w:pPr>
            <w:r>
              <w:rPr>
                <w:noProof/>
                <w:lang w:eastAsia="en-AU"/>
              </w:rPr>
              <w:drawing>
                <wp:inline distT="0" distB="0" distL="0" distR="0">
                  <wp:extent cx="2397529" cy="1751058"/>
                  <wp:effectExtent l="0" t="0" r="0" b="0"/>
                  <wp:docPr id="10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screen"/>
                          <a:srcRect r="-150"/>
                          <a:stretch>
                            <a:fillRect/>
                          </a:stretch>
                        </pic:blipFill>
                        <pic:spPr bwMode="auto">
                          <a:xfrm>
                            <a:off x="0" y="0"/>
                            <a:ext cx="2400203" cy="1753011"/>
                          </a:xfrm>
                          <a:prstGeom prst="rect">
                            <a:avLst/>
                          </a:prstGeom>
                          <a:noFill/>
                          <a:ln w="9525">
                            <a:noFill/>
                            <a:miter lim="800000"/>
                            <a:headEnd/>
                            <a:tailEnd/>
                          </a:ln>
                        </pic:spPr>
                      </pic:pic>
                    </a:graphicData>
                  </a:graphic>
                </wp:inline>
              </w:drawing>
            </w:r>
          </w:p>
        </w:tc>
      </w:tr>
      <w:tr w:rsidR="00B36F09" w:rsidTr="008F70D3">
        <w:tc>
          <w:tcPr>
            <w:tcW w:w="4361" w:type="dxa"/>
            <w:tcBorders>
              <w:top w:val="nil"/>
            </w:tcBorders>
          </w:tcPr>
          <w:p w:rsidR="00B36F09" w:rsidRDefault="00B36F09" w:rsidP="008F70D3">
            <w:pPr>
              <w:pStyle w:val="figurecaption"/>
              <w:spacing w:after="0"/>
            </w:pPr>
            <w:r>
              <w:t>C. Soil</w:t>
            </w:r>
          </w:p>
        </w:tc>
        <w:tc>
          <w:tcPr>
            <w:tcW w:w="4111" w:type="dxa"/>
            <w:tcBorders>
              <w:top w:val="nil"/>
            </w:tcBorders>
          </w:tcPr>
          <w:p w:rsidR="00B36F09" w:rsidRPr="000E5889" w:rsidRDefault="00B36F09" w:rsidP="008F70D3">
            <w:pPr>
              <w:pStyle w:val="figurecaption"/>
              <w:spacing w:after="0"/>
            </w:pPr>
            <w:r>
              <w:t>D. Landform and soil</w:t>
            </w:r>
          </w:p>
        </w:tc>
      </w:tr>
    </w:tbl>
    <w:p w:rsidR="00B36F09" w:rsidRDefault="00B36F09" w:rsidP="00B36F09">
      <w:pPr>
        <w:pStyle w:val="figurecaption"/>
        <w:spacing w:before="200"/>
      </w:pPr>
      <w:r w:rsidRPr="00FC4F17">
        <w:rPr>
          <w:b/>
          <w:lang w:eastAsia="en-AU"/>
        </w:rPr>
        <w:t xml:space="preserve">Figure </w:t>
      </w:r>
      <w:proofErr w:type="gramStart"/>
      <w:r w:rsidRPr="00FC4F17">
        <w:rPr>
          <w:b/>
          <w:lang w:eastAsia="en-AU"/>
        </w:rPr>
        <w:t>2</w:t>
      </w:r>
      <w:r w:rsidRPr="00FC4F17">
        <w:rPr>
          <w:lang w:eastAsia="en-AU"/>
        </w:rPr>
        <w:t xml:space="preserve">  </w:t>
      </w:r>
      <w:r w:rsidRPr="00FC4F17">
        <w:rPr>
          <w:rFonts w:cs="Arial"/>
          <w:szCs w:val="16"/>
        </w:rPr>
        <w:t>Multi</w:t>
      </w:r>
      <w:proofErr w:type="gramEnd"/>
      <w:r w:rsidRPr="00FC4F17">
        <w:rPr>
          <w:rFonts w:cs="Arial"/>
          <w:szCs w:val="16"/>
        </w:rPr>
        <w:t xml:space="preserve">-dimensional Scaling ordination plots associated with vegetation and environmental data from sites surveyed on the </w:t>
      </w:r>
      <w:smartTag w:uri="urn:schemas-microsoft-com:office:smarttags" w:element="place">
        <w:smartTag w:uri="urn:schemas-microsoft-com:office:smarttags" w:element="City">
          <w:r w:rsidRPr="00FC4F17">
            <w:rPr>
              <w:rFonts w:cs="Arial"/>
              <w:szCs w:val="16"/>
            </w:rPr>
            <w:t>Georgetown</w:t>
          </w:r>
        </w:smartTag>
      </w:smartTag>
      <w:r w:rsidRPr="00FC4F17">
        <w:rPr>
          <w:rFonts w:cs="Arial"/>
          <w:szCs w:val="16"/>
        </w:rPr>
        <w:t xml:space="preserve"> analogue site adjacent to the Ranger mine: A. Vegetation</w:t>
      </w:r>
      <w:r>
        <w:rPr>
          <w:rFonts w:cs="Arial"/>
          <w:szCs w:val="16"/>
        </w:rPr>
        <w:t xml:space="preserve"> community structure data from 72 sites, according to classification group (defined in Table 1). </w:t>
      </w:r>
      <w:proofErr w:type="gramStart"/>
      <w:r>
        <w:rPr>
          <w:rFonts w:cs="Arial"/>
          <w:szCs w:val="16"/>
        </w:rPr>
        <w:t>(Surveys of vegetation &gt; 2 m in height were conducted on 1 hectare plots.); B. Landform (terrain) data from 22 sites; C. Soil data (22 sites); and D. Landform and soil data (22 sites).</w:t>
      </w:r>
      <w:proofErr w:type="gramEnd"/>
    </w:p>
    <w:p w:rsidR="00B36F09" w:rsidRDefault="00B36F09" w:rsidP="00B36F09">
      <w:pPr>
        <w:spacing w:after="0" w:line="240" w:lineRule="auto"/>
        <w:jc w:val="left"/>
        <w:rPr>
          <w:lang w:val="en-US"/>
        </w:rPr>
      </w:pPr>
      <w:r>
        <w:rPr>
          <w:lang w:val="en-US"/>
        </w:rPr>
        <w:br w:type="page"/>
      </w:r>
    </w:p>
    <w:p w:rsidR="00B36F09" w:rsidRDefault="00B36F09" w:rsidP="00B36F09">
      <w:pPr>
        <w:rPr>
          <w:lang w:val="en-US"/>
        </w:rPr>
      </w:pPr>
      <w:r>
        <w:rPr>
          <w:lang w:val="en-US"/>
        </w:rPr>
        <w:lastRenderedPageBreak/>
        <w:t>However, there were a number of potential limitations associated with the analysis of the vegetation and environmental data sets by ERA. These included analysis of presence-absence data only, derivation of landform (terrain) parameters from a low-resolution DEM, lack of documentation of the procedures for generating the DEM, lack of soil chemistry and groundwater data, no attempt to model community assemblages and use of some multivariate analysis methods not particularly suited to the analysis of biological assemblage data.</w:t>
      </w:r>
    </w:p>
    <w:p w:rsidR="00B36F09" w:rsidRPr="00E470F4" w:rsidRDefault="00B36F09" w:rsidP="00B36F09">
      <w:r>
        <w:rPr>
          <w:lang w:val="en-US"/>
        </w:rPr>
        <w:t xml:space="preserve">The most recent, albeit preliminary, analysis of the plant and environmental </w:t>
      </w:r>
      <w:r w:rsidRPr="00E470F4">
        <w:rPr>
          <w:lang w:val="en-US"/>
        </w:rPr>
        <w:t xml:space="preserve">data sets begins to address many of the issues identified above. Apart from newly-acquired landform and groundwater data, the current analyses also include soil </w:t>
      </w:r>
      <w:proofErr w:type="spellStart"/>
      <w:r w:rsidRPr="00E470F4">
        <w:rPr>
          <w:lang w:val="en-US"/>
        </w:rPr>
        <w:t>physico</w:t>
      </w:r>
      <w:proofErr w:type="spellEnd"/>
      <w:r w:rsidRPr="00E470F4">
        <w:rPr>
          <w:lang w:val="en-US"/>
        </w:rPr>
        <w:t>-chemistry data that were gathered earlier by ERA for 22 of the Georgetown area analogue sites.</w:t>
      </w:r>
    </w:p>
    <w:p w:rsidR="00B36F09" w:rsidRDefault="00B36F09" w:rsidP="00B36F09">
      <w:pPr>
        <w:pStyle w:val="Heading3"/>
        <w:rPr>
          <w:lang w:val="en-US"/>
        </w:rPr>
      </w:pPr>
      <w:bookmarkStart w:id="130" w:name="_Toc313523569"/>
      <w:bookmarkStart w:id="131" w:name="_Toc316985412"/>
      <w:r>
        <w:rPr>
          <w:lang w:val="en-US"/>
        </w:rPr>
        <w:t>Community-level analyses</w:t>
      </w:r>
      <w:bookmarkEnd w:id="130"/>
      <w:bookmarkEnd w:id="131"/>
    </w:p>
    <w:p w:rsidR="00B36F09" w:rsidRPr="00E470F4" w:rsidRDefault="00B36F09" w:rsidP="00B36F09">
      <w:pPr>
        <w:rPr>
          <w:lang w:val="en-US"/>
        </w:rPr>
      </w:pPr>
      <w:r>
        <w:t>Average</w:t>
      </w:r>
      <w:r w:rsidRPr="000B62C3">
        <w:t xml:space="preserve"> values for </w:t>
      </w:r>
      <w:r>
        <w:t xml:space="preserve">the </w:t>
      </w:r>
      <w:r>
        <w:rPr>
          <w:lang w:val="en-US"/>
        </w:rPr>
        <w:t>ten recently-derived</w:t>
      </w:r>
      <w:r w:rsidRPr="000B62C3">
        <w:t xml:space="preserve"> </w:t>
      </w:r>
      <w:r w:rsidRPr="00E470F4">
        <w:t>landform and additional groundwater level variables derived for corresponding vegetation community sites on the Georgetown analogue area</w:t>
      </w:r>
      <w:r w:rsidRPr="00E470F4">
        <w:rPr>
          <w:lang w:val="en-US"/>
        </w:rPr>
        <w:t xml:space="preserve"> are provided in Table 1. Multivariate analyses employed </w:t>
      </w:r>
      <w:r w:rsidRPr="00E470F4">
        <w:t>PERMANOVA (</w:t>
      </w:r>
      <w:proofErr w:type="spellStart"/>
      <w:r w:rsidRPr="00E470F4">
        <w:t>PERmutational</w:t>
      </w:r>
      <w:proofErr w:type="spellEnd"/>
      <w:r w:rsidRPr="00E470F4">
        <w:t xml:space="preserve"> Multivariate </w:t>
      </w:r>
      <w:proofErr w:type="spellStart"/>
      <w:r w:rsidRPr="00E470F4">
        <w:t>ANalysis</w:t>
      </w:r>
      <w:proofErr w:type="spellEnd"/>
      <w:r w:rsidRPr="00E470F4">
        <w:t xml:space="preserve"> Of Variance) (Anderson </w:t>
      </w:r>
      <w:r>
        <w:t>et al</w:t>
      </w:r>
      <w:r w:rsidRPr="00E470F4">
        <w:t xml:space="preserve"> 2008) and related add-on functions of PRIMER software (Clarke &amp; </w:t>
      </w:r>
      <w:proofErr w:type="spellStart"/>
      <w:r w:rsidRPr="00E470F4">
        <w:t>Gorley</w:t>
      </w:r>
      <w:proofErr w:type="spellEnd"/>
      <w:r w:rsidRPr="00E470F4">
        <w:t xml:space="preserve"> 2006) to </w:t>
      </w:r>
      <w:r w:rsidRPr="00E470F4">
        <w:rPr>
          <w:lang w:val="en-US"/>
        </w:rPr>
        <w:t xml:space="preserve">examine the association between the environmental data and plant community patterns. For these and subsequent analyses, degree units for aspect (Table 2) were converted to a 0 to 9 scale, 0 for slopes &lt;3 (effectively zero slope), then 1–9 categorical ranking for vector directions </w:t>
      </w:r>
      <w:r w:rsidRPr="00E470F4">
        <w:rPr>
          <w:sz w:val="24"/>
          <w:szCs w:val="24"/>
          <w:lang w:val="en-US"/>
        </w:rPr>
        <w:t>N, NE, E, SE, S, SW, W, and NW</w:t>
      </w:r>
      <w:r w:rsidRPr="00E470F4">
        <w:rPr>
          <w:lang w:val="en-US"/>
        </w:rPr>
        <w:t xml:space="preserve"> respectively, following Hollingsworth </w:t>
      </w:r>
      <w:r>
        <w:rPr>
          <w:lang w:val="en-US"/>
        </w:rPr>
        <w:t>et al</w:t>
      </w:r>
      <w:r w:rsidRPr="00E470F4">
        <w:rPr>
          <w:lang w:val="en-US"/>
        </w:rPr>
        <w:t xml:space="preserve"> (2007).</w:t>
      </w:r>
    </w:p>
    <w:p w:rsidR="00B36F09" w:rsidRPr="00B12917" w:rsidRDefault="00B36F09" w:rsidP="00B36F09">
      <w:pPr>
        <w:pStyle w:val="Heading4"/>
      </w:pPr>
      <w:r w:rsidRPr="00E470F4">
        <w:rPr>
          <w:lang w:val="en-US"/>
        </w:rPr>
        <w:t xml:space="preserve">DEM variables </w:t>
      </w:r>
      <w:r w:rsidRPr="00B12917">
        <w:t>applied</w:t>
      </w:r>
      <w:r w:rsidRPr="00E470F4">
        <w:rPr>
          <w:lang w:val="en-US"/>
        </w:rPr>
        <w:t xml:space="preserve"> to the 72 analogue sites</w:t>
      </w:r>
    </w:p>
    <w:p w:rsidR="00B36F09" w:rsidRPr="00E470F4" w:rsidRDefault="00B36F09" w:rsidP="00B36F09">
      <w:pPr>
        <w:rPr>
          <w:lang w:val="en-US"/>
        </w:rPr>
      </w:pPr>
      <w:r w:rsidRPr="00E470F4">
        <w:rPr>
          <w:lang w:val="en-US"/>
        </w:rPr>
        <w:t>Three multivariate approaches were applied to the plant community patterns and ten landform parameters and depth-to-groundwater. These showed:</w:t>
      </w:r>
    </w:p>
    <w:p w:rsidR="00B36F09" w:rsidRPr="00E470F4" w:rsidRDefault="00B36F09" w:rsidP="001B1A95">
      <w:pPr>
        <w:numPr>
          <w:ilvl w:val="0"/>
          <w:numId w:val="6"/>
        </w:numPr>
        <w:rPr>
          <w:lang w:val="en-US"/>
        </w:rPr>
      </w:pPr>
      <w:r w:rsidRPr="00E470F4">
        <w:rPr>
          <w:lang w:val="en-US"/>
        </w:rPr>
        <w:t xml:space="preserve">PERMANOVA: multivariate hypothesis testing of the </w:t>
      </w:r>
      <w:proofErr w:type="spellStart"/>
      <w:r w:rsidRPr="00E470F4">
        <w:rPr>
          <w:lang w:val="en-US"/>
        </w:rPr>
        <w:t>geomorphometric</w:t>
      </w:r>
      <w:proofErr w:type="spellEnd"/>
      <w:r w:rsidRPr="00E470F4">
        <w:rPr>
          <w:lang w:val="en-US"/>
        </w:rPr>
        <w:t xml:space="preserve"> data associated with each of the four vegetation classification categories showed just one significant </w:t>
      </w:r>
      <w:proofErr w:type="spellStart"/>
      <w:r w:rsidRPr="00E470F4">
        <w:rPr>
          <w:lang w:val="en-US"/>
        </w:rPr>
        <w:t>pairwise</w:t>
      </w:r>
      <w:proofErr w:type="spellEnd"/>
      <w:r w:rsidRPr="00E470F4">
        <w:rPr>
          <w:lang w:val="en-US"/>
        </w:rPr>
        <w:t xml:space="preserve"> difference (P&lt;0.05) in landform features, </w:t>
      </w:r>
      <w:proofErr w:type="spellStart"/>
      <w:r w:rsidRPr="00E470F4">
        <w:rPr>
          <w:lang w:val="en-US"/>
        </w:rPr>
        <w:t>ie</w:t>
      </w:r>
      <w:proofErr w:type="spellEnd"/>
      <w:r w:rsidRPr="00E470F4">
        <w:rPr>
          <w:lang w:val="en-US"/>
        </w:rPr>
        <w:t xml:space="preserve"> between sites representing the </w:t>
      </w:r>
      <w:r w:rsidRPr="00E470F4">
        <w:t>Melaleuca woodland</w:t>
      </w:r>
      <w:r w:rsidRPr="00E470F4">
        <w:rPr>
          <w:lang w:val="en-US"/>
        </w:rPr>
        <w:t xml:space="preserve"> and </w:t>
      </w:r>
      <w:r w:rsidRPr="00E470F4">
        <w:t>mixed eucalypt woodland</w:t>
      </w:r>
      <w:r w:rsidRPr="00E470F4" w:rsidDel="00784E95">
        <w:rPr>
          <w:lang w:val="en-US"/>
        </w:rPr>
        <w:t xml:space="preserve"> </w:t>
      </w:r>
      <w:r w:rsidRPr="00E470F4">
        <w:rPr>
          <w:lang w:val="en-US"/>
        </w:rPr>
        <w:t xml:space="preserve">classification classes (categories 1, and 2 respectively, Table 2). The key landform attributes contributing to this separation were, in order of decreasing influence, </w:t>
      </w:r>
      <w:r w:rsidRPr="00E470F4">
        <w:t>length-slope factor</w:t>
      </w:r>
      <w:r w:rsidRPr="00E470F4">
        <w:rPr>
          <w:szCs w:val="22"/>
          <w:lang w:eastAsia="en-AU"/>
        </w:rPr>
        <w:t xml:space="preserve">, erosion depth index, elevation, slope, wetness index, aspect and depth to groundwater. These variables distinguish the higher elevation </w:t>
      </w:r>
      <w:r w:rsidRPr="00E470F4">
        <w:t>mixed eucalypt woodland from the low-slope and depositional riparian zones of the analogue site favouring Melaleuca woodlands.</w:t>
      </w:r>
    </w:p>
    <w:p w:rsidR="00B36F09" w:rsidRPr="00E470F4" w:rsidRDefault="00B36F09" w:rsidP="001B1A95">
      <w:pPr>
        <w:numPr>
          <w:ilvl w:val="0"/>
          <w:numId w:val="6"/>
        </w:numPr>
        <w:rPr>
          <w:lang w:val="en-US"/>
        </w:rPr>
      </w:pPr>
      <w:r w:rsidRPr="00E470F4">
        <w:rPr>
          <w:lang w:val="en-US"/>
        </w:rPr>
        <w:t>BIOENV function: aspect, elevation, profile and plan curvature and slope length were correlated with the multivariate vegetation community space but the level of correlation of various combinations of the variables was low (</w:t>
      </w:r>
      <w:r w:rsidRPr="00E470F4">
        <w:rPr>
          <w:i/>
          <w:iCs/>
          <w:lang w:val="en-US"/>
        </w:rPr>
        <w:t xml:space="preserve">r </w:t>
      </w:r>
      <w:r w:rsidRPr="00E470F4">
        <w:rPr>
          <w:lang w:val="en-US"/>
        </w:rPr>
        <w:t xml:space="preserve">&lt;0.24). </w:t>
      </w:r>
    </w:p>
    <w:p w:rsidR="00B36F09" w:rsidRPr="00E470F4" w:rsidRDefault="00B36F09" w:rsidP="001B1A95">
      <w:pPr>
        <w:numPr>
          <w:ilvl w:val="0"/>
          <w:numId w:val="6"/>
        </w:numPr>
        <w:rPr>
          <w:lang w:val="en-US"/>
        </w:rPr>
      </w:pPr>
      <w:r w:rsidRPr="00E470F4">
        <w:rPr>
          <w:szCs w:val="22"/>
        </w:rPr>
        <w:t>CAP (Canonical analysis of principle</w:t>
      </w:r>
      <w:r>
        <w:rPr>
          <w:szCs w:val="22"/>
        </w:rPr>
        <w:t xml:space="preserve"> co-ordinates): a generalis</w:t>
      </w:r>
      <w:r w:rsidRPr="00E470F4">
        <w:rPr>
          <w:szCs w:val="22"/>
        </w:rPr>
        <w:t xml:space="preserve">ed </w:t>
      </w:r>
      <w:proofErr w:type="spellStart"/>
      <w:r w:rsidRPr="00E470F4">
        <w:rPr>
          <w:szCs w:val="22"/>
        </w:rPr>
        <w:t>discriminant</w:t>
      </w:r>
      <w:proofErr w:type="spellEnd"/>
      <w:r w:rsidRPr="00E470F4">
        <w:rPr>
          <w:szCs w:val="22"/>
        </w:rPr>
        <w:t xml:space="preserve"> analysis was used to determine the distinctness of assigned vegetation </w:t>
      </w:r>
      <w:proofErr w:type="spellStart"/>
      <w:r w:rsidRPr="00E470F4">
        <w:rPr>
          <w:szCs w:val="22"/>
        </w:rPr>
        <w:t>communites</w:t>
      </w:r>
      <w:proofErr w:type="spellEnd"/>
      <w:r w:rsidRPr="00E470F4">
        <w:rPr>
          <w:szCs w:val="22"/>
        </w:rPr>
        <w:t xml:space="preserve"> according to the underlying environmental variables. CAP removes one sample at a time and applies the canonical model from all the other samples to the left out sample in order to place it into the canonical space and allocate it to a particular community group. CAP results supported the BIOENV and PERMANOVA analyses, with just 33% overall success in allocating left-out samples based upon the underlying environmental data. Classification group 1,</w:t>
      </w:r>
      <w:r w:rsidRPr="00E470F4">
        <w:t xml:space="preserve"> Melaleuca woodland, had the best allocation success at 54%.</w:t>
      </w:r>
    </w:p>
    <w:p w:rsidR="00B36F09" w:rsidRPr="00E470F4" w:rsidRDefault="00B36F09" w:rsidP="00B36F09">
      <w:pPr>
        <w:pStyle w:val="Heading4"/>
        <w:rPr>
          <w:lang w:val="en-US"/>
        </w:rPr>
      </w:pPr>
      <w:r w:rsidRPr="00E470F4">
        <w:lastRenderedPageBreak/>
        <w:t xml:space="preserve">DEM and </w:t>
      </w:r>
      <w:r w:rsidRPr="00E470F4">
        <w:rPr>
          <w:lang w:val="en-US"/>
        </w:rPr>
        <w:t xml:space="preserve">soil </w:t>
      </w:r>
      <w:proofErr w:type="spellStart"/>
      <w:r w:rsidRPr="00E470F4">
        <w:rPr>
          <w:lang w:val="en-US"/>
        </w:rPr>
        <w:t>physico</w:t>
      </w:r>
      <w:proofErr w:type="spellEnd"/>
      <w:r w:rsidRPr="00E470F4">
        <w:rPr>
          <w:lang w:val="en-US"/>
        </w:rPr>
        <w:t>-chemistry data</w:t>
      </w:r>
      <w:r w:rsidRPr="00E470F4">
        <w:t xml:space="preserve"> applied to a reduced number of vegetation analogue sites </w:t>
      </w:r>
    </w:p>
    <w:p w:rsidR="00B36F09" w:rsidRPr="00E470F4" w:rsidRDefault="00B36F09" w:rsidP="00B36F09">
      <w:pPr>
        <w:rPr>
          <w:lang w:val="en-US"/>
        </w:rPr>
      </w:pPr>
      <w:r w:rsidRPr="00E470F4">
        <w:rPr>
          <w:lang w:val="en-US"/>
        </w:rPr>
        <w:t xml:space="preserve">More detailed analyses were conducted on the 22 sites for which soil </w:t>
      </w:r>
      <w:proofErr w:type="spellStart"/>
      <w:r w:rsidRPr="00E470F4">
        <w:rPr>
          <w:lang w:val="en-US"/>
        </w:rPr>
        <w:t>physico</w:t>
      </w:r>
      <w:proofErr w:type="spellEnd"/>
      <w:r w:rsidRPr="00E470F4">
        <w:rPr>
          <w:lang w:val="en-US"/>
        </w:rPr>
        <w:t xml:space="preserve">-chemistry data for 37 variables were available. </w:t>
      </w:r>
      <w:r w:rsidRPr="00E470F4">
        <w:t xml:space="preserve">These variables represented soil chemistry (major ions and nutrients, 18 variables), particle size distribution (2 classes), soil water retention properties (8 variables) and soil morphology and surface drainage classes from published classifications representing horizon thickness, gravel and texture, and soil permeability (total of 9 classes) (Humphrey </w:t>
      </w:r>
      <w:r>
        <w:t>et al</w:t>
      </w:r>
      <w:r w:rsidRPr="00E470F4">
        <w:t xml:space="preserve"> 2009). </w:t>
      </w:r>
      <w:r w:rsidRPr="00E470F4">
        <w:rPr>
          <w:lang w:val="en-US"/>
        </w:rPr>
        <w:t xml:space="preserve">(A list of the soil </w:t>
      </w:r>
      <w:proofErr w:type="spellStart"/>
      <w:r w:rsidRPr="00E470F4">
        <w:rPr>
          <w:lang w:val="en-US"/>
        </w:rPr>
        <w:t>physico</w:t>
      </w:r>
      <w:proofErr w:type="spellEnd"/>
      <w:r w:rsidRPr="00E470F4">
        <w:rPr>
          <w:lang w:val="en-US"/>
        </w:rPr>
        <w:t xml:space="preserve">-chemical variables is provided in Appendix 2.) These analyses examined the relationship between soil </w:t>
      </w:r>
      <w:proofErr w:type="spellStart"/>
      <w:r w:rsidRPr="00E470F4">
        <w:rPr>
          <w:lang w:val="en-US"/>
        </w:rPr>
        <w:t>physico</w:t>
      </w:r>
      <w:proofErr w:type="spellEnd"/>
      <w:r w:rsidRPr="00E470F4">
        <w:rPr>
          <w:lang w:val="en-US"/>
        </w:rPr>
        <w:t>-chemistry and/or landform/groundwater data (</w:t>
      </w:r>
      <w:proofErr w:type="spellStart"/>
      <w:r w:rsidRPr="00E470F4">
        <w:rPr>
          <w:lang w:val="en-US"/>
        </w:rPr>
        <w:t>ie</w:t>
      </w:r>
      <w:proofErr w:type="spellEnd"/>
      <w:r w:rsidRPr="00E470F4">
        <w:rPr>
          <w:lang w:val="en-US"/>
        </w:rPr>
        <w:t xml:space="preserve"> separately and in combination), with corresponding vegetation community data from the same sites. The same three multivariate techniques as applied to the full suite of analogue sites were used, with results as follows:</w:t>
      </w:r>
    </w:p>
    <w:p w:rsidR="00B36F09" w:rsidRPr="00E470F4" w:rsidRDefault="00B36F09" w:rsidP="001B1A95">
      <w:pPr>
        <w:numPr>
          <w:ilvl w:val="0"/>
          <w:numId w:val="7"/>
        </w:numPr>
      </w:pPr>
      <w:r w:rsidRPr="00E470F4">
        <w:rPr>
          <w:lang w:val="en-US"/>
        </w:rPr>
        <w:t xml:space="preserve">PERMANOVA showed significant differences (P&lt;0.05) in soil </w:t>
      </w:r>
      <w:proofErr w:type="spellStart"/>
      <w:r w:rsidRPr="00E470F4">
        <w:rPr>
          <w:lang w:val="en-US"/>
        </w:rPr>
        <w:t>physico</w:t>
      </w:r>
      <w:proofErr w:type="spellEnd"/>
      <w:r w:rsidRPr="00E470F4">
        <w:rPr>
          <w:lang w:val="en-US"/>
        </w:rPr>
        <w:t xml:space="preserve">-chemistry and landform features between sites representing the </w:t>
      </w:r>
      <w:r w:rsidRPr="00E470F4">
        <w:t>Melaleuca woodland</w:t>
      </w:r>
      <w:r w:rsidRPr="00E470F4">
        <w:rPr>
          <w:lang w:val="en-US"/>
        </w:rPr>
        <w:t xml:space="preserve"> and both the </w:t>
      </w:r>
      <w:r w:rsidRPr="00E470F4">
        <w:t>mixed eucalypt woodland and dry mixed eucalypt woodland</w:t>
      </w:r>
      <w:r w:rsidRPr="00E470F4" w:rsidDel="00784E95">
        <w:rPr>
          <w:lang w:val="en-US"/>
        </w:rPr>
        <w:t xml:space="preserve"> </w:t>
      </w:r>
      <w:r w:rsidRPr="00E470F4">
        <w:rPr>
          <w:lang w:val="en-US"/>
        </w:rPr>
        <w:t>classification classes (</w:t>
      </w:r>
      <w:proofErr w:type="spellStart"/>
      <w:r w:rsidRPr="00E470F4">
        <w:rPr>
          <w:lang w:val="en-US"/>
        </w:rPr>
        <w:t>ie</w:t>
      </w:r>
      <w:proofErr w:type="spellEnd"/>
      <w:r w:rsidRPr="00E470F4">
        <w:rPr>
          <w:lang w:val="en-US"/>
        </w:rPr>
        <w:t xml:space="preserve"> between category 1 and 2, and between category 1 and 3, Table 2). Key variables contributing to the separations were, in order of decreasing influence:</w:t>
      </w:r>
    </w:p>
    <w:p w:rsidR="00B36F09" w:rsidRPr="00E470F4" w:rsidRDefault="00B36F09" w:rsidP="001B1A95">
      <w:pPr>
        <w:numPr>
          <w:ilvl w:val="1"/>
          <w:numId w:val="7"/>
        </w:numPr>
      </w:pPr>
      <w:r w:rsidRPr="00E470F4">
        <w:t>Between Melaleuca woodland</w:t>
      </w:r>
      <w:r w:rsidRPr="00E470F4">
        <w:rPr>
          <w:lang w:val="en-US"/>
        </w:rPr>
        <w:t xml:space="preserve"> and </w:t>
      </w:r>
      <w:r w:rsidRPr="00E470F4">
        <w:t>mixed eucalypt woodland: A horizon texture</w:t>
      </w:r>
      <w:r w:rsidRPr="00E470F4">
        <w:rPr>
          <w:lang w:val="en-US"/>
        </w:rPr>
        <w:t xml:space="preserve">, </w:t>
      </w:r>
      <w:r w:rsidRPr="00E470F4">
        <w:t>length-slope factor</w:t>
      </w:r>
      <w:r w:rsidRPr="00E470F4">
        <w:rPr>
          <w:szCs w:val="22"/>
          <w:lang w:eastAsia="en-AU"/>
        </w:rPr>
        <w:t xml:space="preserve">, drainage class, </w:t>
      </w:r>
      <w:r w:rsidRPr="00E470F4">
        <w:t>bore infiltration (rate at which soils absorb rainfall), aspect and A horizon gravel content.</w:t>
      </w:r>
    </w:p>
    <w:p w:rsidR="00B36F09" w:rsidRPr="00E470F4" w:rsidRDefault="00B36F09" w:rsidP="001B1A95">
      <w:pPr>
        <w:numPr>
          <w:ilvl w:val="1"/>
          <w:numId w:val="7"/>
        </w:numPr>
      </w:pPr>
      <w:r w:rsidRPr="00E470F4">
        <w:t>Between Melaleuca woodland</w:t>
      </w:r>
      <w:r w:rsidRPr="00E470F4">
        <w:rPr>
          <w:lang w:val="en-US"/>
        </w:rPr>
        <w:t xml:space="preserve"> and </w:t>
      </w:r>
      <w:r w:rsidRPr="00E470F4">
        <w:t>dry mixed eucalypt woodland</w:t>
      </w:r>
      <w:r w:rsidRPr="00E470F4">
        <w:rPr>
          <w:lang w:val="en-US"/>
        </w:rPr>
        <w:t xml:space="preserve">: potassium concentration, profile curvature, manganese concentration, </w:t>
      </w:r>
      <w:proofErr w:type="gramStart"/>
      <w:r w:rsidRPr="00E470F4">
        <w:t>A</w:t>
      </w:r>
      <w:proofErr w:type="gramEnd"/>
      <w:r w:rsidRPr="00E470F4">
        <w:t xml:space="preserve"> horizon texture, bore infiltration and plan curvature.</w:t>
      </w:r>
      <w:r w:rsidRPr="00E470F4">
        <w:rPr>
          <w:szCs w:val="22"/>
          <w:lang w:eastAsia="en-AU"/>
        </w:rPr>
        <w:t xml:space="preserve"> </w:t>
      </w:r>
    </w:p>
    <w:p w:rsidR="00B36F09" w:rsidRPr="00E470F4" w:rsidRDefault="00B36F09" w:rsidP="00B36F09">
      <w:pPr>
        <w:ind w:left="720"/>
      </w:pPr>
      <w:r w:rsidRPr="00E470F4">
        <w:rPr>
          <w:szCs w:val="22"/>
          <w:lang w:eastAsia="en-AU"/>
        </w:rPr>
        <w:t>These variables distinguish the topographically more-diverse</w:t>
      </w:r>
      <w:r w:rsidRPr="00E470F4">
        <w:t xml:space="preserve"> eucalypt woodland communities from the low-slope and depositional riparian zones of the analogue site favouring Melaleuca woodlands.</w:t>
      </w:r>
    </w:p>
    <w:p w:rsidR="00B36F09" w:rsidRPr="00E470F4" w:rsidRDefault="00B36F09" w:rsidP="001B1A95">
      <w:pPr>
        <w:numPr>
          <w:ilvl w:val="0"/>
          <w:numId w:val="7"/>
        </w:numPr>
      </w:pPr>
      <w:r w:rsidRPr="00E470F4">
        <w:rPr>
          <w:lang w:val="en-US"/>
        </w:rPr>
        <w:t xml:space="preserve">Using the BIOENV function, maximum correlation values of 0.3, 0.47 and 0.51 were found for correlations between landform only, soil </w:t>
      </w:r>
      <w:proofErr w:type="spellStart"/>
      <w:r w:rsidRPr="00E470F4">
        <w:rPr>
          <w:lang w:val="en-US"/>
        </w:rPr>
        <w:t>physico</w:t>
      </w:r>
      <w:proofErr w:type="spellEnd"/>
      <w:r w:rsidRPr="00E470F4">
        <w:rPr>
          <w:lang w:val="en-US"/>
        </w:rPr>
        <w:t xml:space="preserve">-chemistry only, and landform and soil </w:t>
      </w:r>
      <w:proofErr w:type="spellStart"/>
      <w:r w:rsidRPr="00E470F4">
        <w:rPr>
          <w:lang w:val="en-US"/>
        </w:rPr>
        <w:t>physico</w:t>
      </w:r>
      <w:proofErr w:type="spellEnd"/>
      <w:r w:rsidRPr="00E470F4">
        <w:rPr>
          <w:lang w:val="en-US"/>
        </w:rPr>
        <w:t>-chemistry in combination, within the multivariate vegetation community space. Correlates occurring consistently amongst the results were:</w:t>
      </w:r>
    </w:p>
    <w:p w:rsidR="00B36F09" w:rsidRPr="00E470F4" w:rsidRDefault="00B36F09" w:rsidP="001B1A95">
      <w:pPr>
        <w:numPr>
          <w:ilvl w:val="0"/>
          <w:numId w:val="8"/>
        </w:numPr>
        <w:spacing w:after="100" w:line="260" w:lineRule="atLeast"/>
        <w:jc w:val="left"/>
      </w:pPr>
      <w:r w:rsidRPr="00E470F4">
        <w:t>For landform only: wetness index, elevation and length-slope factor;</w:t>
      </w:r>
    </w:p>
    <w:p w:rsidR="00B36F09" w:rsidRPr="00E470F4" w:rsidRDefault="00B36F09" w:rsidP="001B1A95">
      <w:pPr>
        <w:numPr>
          <w:ilvl w:val="0"/>
          <w:numId w:val="8"/>
        </w:numPr>
        <w:spacing w:after="100" w:line="260" w:lineRule="atLeast"/>
        <w:jc w:val="left"/>
      </w:pPr>
      <w:r w:rsidRPr="00E470F4">
        <w:t xml:space="preserve">For soils only: zinc concentration, </w:t>
      </w:r>
      <w:proofErr w:type="spellStart"/>
      <w:r w:rsidRPr="00E470F4">
        <w:t>cation</w:t>
      </w:r>
      <w:proofErr w:type="spellEnd"/>
      <w:r w:rsidRPr="00E470F4">
        <w:t xml:space="preserve"> exchange capacity, A horizon texture and </w:t>
      </w:r>
      <w:proofErr w:type="spellStart"/>
      <w:r w:rsidRPr="00E470F4">
        <w:t>sulfur</w:t>
      </w:r>
      <w:proofErr w:type="spellEnd"/>
      <w:r w:rsidRPr="00E470F4">
        <w:t xml:space="preserve"> concentration; and</w:t>
      </w:r>
    </w:p>
    <w:p w:rsidR="00B36F09" w:rsidRPr="00E470F4" w:rsidRDefault="00B36F09" w:rsidP="001B1A95">
      <w:pPr>
        <w:numPr>
          <w:ilvl w:val="0"/>
          <w:numId w:val="8"/>
        </w:numPr>
        <w:spacing w:after="100" w:line="260" w:lineRule="atLeast"/>
        <w:jc w:val="left"/>
      </w:pPr>
      <w:r w:rsidRPr="00E470F4">
        <w:t xml:space="preserve">For landform and soils combined: </w:t>
      </w:r>
      <w:proofErr w:type="spellStart"/>
      <w:r w:rsidRPr="00E470F4">
        <w:t>cation</w:t>
      </w:r>
      <w:proofErr w:type="spellEnd"/>
      <w:r w:rsidRPr="00E470F4">
        <w:t xml:space="preserve"> exchange capacity, A horizon texture, iron concentration and less commonly, bore infiltration (rate at which soils absorb rainfall) and length-slope factor.</w:t>
      </w:r>
    </w:p>
    <w:p w:rsidR="00B36F09" w:rsidRPr="00D2055B" w:rsidRDefault="00B36F09" w:rsidP="001B1A95">
      <w:pPr>
        <w:numPr>
          <w:ilvl w:val="0"/>
          <w:numId w:val="7"/>
        </w:numPr>
        <w:rPr>
          <w:spacing w:val="-2"/>
        </w:rPr>
      </w:pPr>
      <w:r w:rsidRPr="00D2055B">
        <w:rPr>
          <w:spacing w:val="-2"/>
        </w:rPr>
        <w:t xml:space="preserve">The CAP procedure described above, is not particularly well-suited to identifying influential environmental correlates of community patterns and for this, the BVSTEP procedure, allied to BIOENV, was used. BVSTEP selects the best subset of environmental data that can explain the vegetation community structure, using a stepwise forward-backwards selection procedure, in much the same way as a stepwise regression. BVSTEP selected seven environmental variables (sulphur, </w:t>
      </w:r>
      <w:r w:rsidRPr="00D2055B">
        <w:rPr>
          <w:spacing w:val="-2"/>
          <w:szCs w:val="22"/>
        </w:rPr>
        <w:t xml:space="preserve">copper and iron concentration, </w:t>
      </w:r>
      <w:proofErr w:type="spellStart"/>
      <w:r w:rsidRPr="00D2055B">
        <w:rPr>
          <w:spacing w:val="-2"/>
          <w:szCs w:val="22"/>
        </w:rPr>
        <w:t>cation</w:t>
      </w:r>
      <w:proofErr w:type="spellEnd"/>
      <w:r w:rsidRPr="00D2055B">
        <w:rPr>
          <w:spacing w:val="-2"/>
          <w:szCs w:val="22"/>
        </w:rPr>
        <w:t xml:space="preserve"> exchange capacity, bore infiltration rate, </w:t>
      </w:r>
      <w:proofErr w:type="gramStart"/>
      <w:r w:rsidRPr="00D2055B">
        <w:rPr>
          <w:spacing w:val="-2"/>
          <w:szCs w:val="22"/>
        </w:rPr>
        <w:t>A</w:t>
      </w:r>
      <w:proofErr w:type="gramEnd"/>
      <w:r w:rsidRPr="00D2055B">
        <w:rPr>
          <w:spacing w:val="-2"/>
          <w:szCs w:val="22"/>
        </w:rPr>
        <w:t xml:space="preserve"> horizon texture and </w:t>
      </w:r>
      <w:r w:rsidRPr="00D2055B">
        <w:rPr>
          <w:spacing w:val="-2"/>
          <w:szCs w:val="22"/>
          <w:lang w:eastAsia="en-AU"/>
        </w:rPr>
        <w:t>Erosion-Deposition Index)</w:t>
      </w:r>
      <w:r w:rsidRPr="00D2055B">
        <w:rPr>
          <w:spacing w:val="-2"/>
        </w:rPr>
        <w:t xml:space="preserve"> that could explain 56% of the vegetation community structure. These variables were then analysed using CAP to determine how successfully they could discriminate the vegetation community groups. </w:t>
      </w:r>
      <w:r w:rsidRPr="00D2055B">
        <w:rPr>
          <w:spacing w:val="-2"/>
        </w:rPr>
        <w:lastRenderedPageBreak/>
        <w:t>The seven variables had a total allocation success rate of 57%, with individual success rates of 67%, 60% and 40% for C1, C2 and C3 groups respectively.</w:t>
      </w:r>
    </w:p>
    <w:p w:rsidR="00B36F09" w:rsidRPr="00DB7FA9" w:rsidRDefault="00B36F09" w:rsidP="00B36F09">
      <w:pPr>
        <w:rPr>
          <w:spacing w:val="-3"/>
        </w:rPr>
      </w:pPr>
      <w:r w:rsidRPr="00DB7FA9">
        <w:rPr>
          <w:spacing w:val="-3"/>
        </w:rPr>
        <w:t>Figures 2B, C and D plot multidimensional scaling ordinations of landform, soil and combined landform and soil data corresponding to vegetation community type respectively. The discreteness and separation of sites within the classification groups for each ordination is generally consistent with the vegetation-environment correlations just described, with the landform ordination showing the most interspersion (</w:t>
      </w:r>
      <w:proofErr w:type="spellStart"/>
      <w:r w:rsidRPr="00DB7FA9">
        <w:rPr>
          <w:spacing w:val="-3"/>
        </w:rPr>
        <w:t>ie</w:t>
      </w:r>
      <w:proofErr w:type="spellEnd"/>
      <w:r w:rsidRPr="00DB7FA9">
        <w:rPr>
          <w:spacing w:val="-3"/>
        </w:rPr>
        <w:t xml:space="preserve"> least separation) of sites by classification type and the soils and landform ordination showing the least interspersion with a pattern that more closely resembles the ordination based upon plant community data (Figure 2A). </w:t>
      </w:r>
    </w:p>
    <w:p w:rsidR="00B36F09" w:rsidRDefault="00B36F09" w:rsidP="00B36F09">
      <w:pPr>
        <w:rPr>
          <w:lang w:val="en-US"/>
        </w:rPr>
      </w:pPr>
      <w:r>
        <w:rPr>
          <w:lang w:val="en-US"/>
        </w:rPr>
        <w:t xml:space="preserve">This result, indicating the greater strength of association between soil </w:t>
      </w:r>
      <w:proofErr w:type="spellStart"/>
      <w:r>
        <w:rPr>
          <w:lang w:val="en-US"/>
        </w:rPr>
        <w:t>physico</w:t>
      </w:r>
      <w:proofErr w:type="spellEnd"/>
      <w:r>
        <w:rPr>
          <w:lang w:val="en-US"/>
        </w:rPr>
        <w:t xml:space="preserve">-chemistry and vegetation patterns than between landform and vegetation patterns, suggests that an earlier analysis which concluded there was little influence of soil </w:t>
      </w:r>
      <w:proofErr w:type="spellStart"/>
      <w:r>
        <w:rPr>
          <w:lang w:val="en-US"/>
        </w:rPr>
        <w:t>physico</w:t>
      </w:r>
      <w:proofErr w:type="spellEnd"/>
      <w:r>
        <w:rPr>
          <w:lang w:val="en-US"/>
        </w:rPr>
        <w:t xml:space="preserve">-chemistry upon vegetation </w:t>
      </w:r>
      <w:r w:rsidRPr="009B75CE">
        <w:rPr>
          <w:lang w:val="en-US"/>
        </w:rPr>
        <w:t xml:space="preserve">communities (Humphrey </w:t>
      </w:r>
      <w:r>
        <w:rPr>
          <w:lang w:val="en-US"/>
        </w:rPr>
        <w:t>et al</w:t>
      </w:r>
      <w:r w:rsidRPr="009B75CE">
        <w:rPr>
          <w:lang w:val="en-US"/>
        </w:rPr>
        <w:t xml:space="preserve"> 2009) needs to be reviewed and re-assessed. </w:t>
      </w:r>
    </w:p>
    <w:p w:rsidR="00B36F09" w:rsidRDefault="00B36F09" w:rsidP="00B36F09">
      <w:r w:rsidRPr="009B75CE">
        <w:rPr>
          <w:lang w:val="en-US"/>
        </w:rPr>
        <w:t>Regardless, most</w:t>
      </w:r>
      <w:r>
        <w:rPr>
          <w:lang w:val="en-US"/>
        </w:rPr>
        <w:t xml:space="preserve"> of the significant soil and landform variables described above only appear to distinguish sites of seasonal inundation, where </w:t>
      </w:r>
      <w:proofErr w:type="spellStart"/>
      <w:r>
        <w:rPr>
          <w:i/>
          <w:iCs/>
          <w:lang w:val="en-US"/>
        </w:rPr>
        <w:t>Melaleuca</w:t>
      </w:r>
      <w:proofErr w:type="spellEnd"/>
      <w:r>
        <w:rPr>
          <w:i/>
          <w:iCs/>
          <w:lang w:val="en-US"/>
        </w:rPr>
        <w:t xml:space="preserve"> </w:t>
      </w:r>
      <w:r>
        <w:rPr>
          <w:lang w:val="en-US"/>
        </w:rPr>
        <w:t xml:space="preserve">woodland occurs, from the other woodland community sites. The occurrence of </w:t>
      </w:r>
      <w:proofErr w:type="spellStart"/>
      <w:r>
        <w:rPr>
          <w:i/>
          <w:iCs/>
          <w:lang w:val="en-US"/>
        </w:rPr>
        <w:t>Melaleuca</w:t>
      </w:r>
      <w:proofErr w:type="spellEnd"/>
      <w:r>
        <w:rPr>
          <w:i/>
          <w:iCs/>
          <w:lang w:val="en-US"/>
        </w:rPr>
        <w:t xml:space="preserve"> </w:t>
      </w:r>
      <w:r>
        <w:rPr>
          <w:lang w:val="en-US"/>
        </w:rPr>
        <w:t>woodlands on low-lying, seasonally-inundated locations is well understood. In this sense, the reported findings may not appear to be particularly useful for understanding conditions that distinguish the different eucalypt communities found on the analogue site.</w:t>
      </w:r>
    </w:p>
    <w:p w:rsidR="00B36F09" w:rsidRPr="00E2553F" w:rsidRDefault="00B36F09" w:rsidP="00B36F09">
      <w:pPr>
        <w:pStyle w:val="Heading4"/>
      </w:pPr>
      <w:r>
        <w:t>Population-</w:t>
      </w:r>
      <w:r w:rsidRPr="00E2553F">
        <w:t>level</w:t>
      </w:r>
      <w:r>
        <w:t xml:space="preserve"> analyses</w:t>
      </w:r>
    </w:p>
    <w:p w:rsidR="00B36F09" w:rsidRPr="000921FA" w:rsidRDefault="00B36F09" w:rsidP="00B36F09">
      <w:r w:rsidRPr="000921FA">
        <w:rPr>
          <w:lang w:val="en-US"/>
        </w:rPr>
        <w:t xml:space="preserve">Relationships between environmental variables and individual plant species are typically explored using regression </w:t>
      </w:r>
      <w:proofErr w:type="spellStart"/>
      <w:r w:rsidRPr="000921FA">
        <w:rPr>
          <w:lang w:val="en-US"/>
        </w:rPr>
        <w:t>modelling</w:t>
      </w:r>
      <w:proofErr w:type="spellEnd"/>
      <w:r w:rsidRPr="000921FA">
        <w:rPr>
          <w:lang w:val="en-US"/>
        </w:rPr>
        <w:t xml:space="preserve"> techniques. Preliminary </w:t>
      </w:r>
      <w:proofErr w:type="spellStart"/>
      <w:r w:rsidRPr="000921FA">
        <w:rPr>
          <w:lang w:val="en-US"/>
        </w:rPr>
        <w:t>modelling</w:t>
      </w:r>
      <w:proofErr w:type="spellEnd"/>
      <w:r w:rsidRPr="000921FA">
        <w:rPr>
          <w:lang w:val="en-US"/>
        </w:rPr>
        <w:t xml:space="preserve"> was conducted using data for the dominant plant species on the analogue area (from Table 2) and associated landform and groundwater level variables (from Table 1). Because the plant density data are </w:t>
      </w:r>
      <w:r w:rsidRPr="000921FA">
        <w:t>strongly zero truncated (</w:t>
      </w:r>
      <w:proofErr w:type="spellStart"/>
      <w:r w:rsidRPr="000921FA">
        <w:t>ie</w:t>
      </w:r>
      <w:proofErr w:type="spellEnd"/>
      <w:r w:rsidRPr="000921FA">
        <w:t xml:space="preserve"> many species absences at sites), only presence-absence data were used. A generalised linear modelling (GLM) approach with a binomial error distribution and </w:t>
      </w:r>
      <w:proofErr w:type="spellStart"/>
      <w:r w:rsidRPr="000921FA">
        <w:t>logit</w:t>
      </w:r>
      <w:proofErr w:type="spellEnd"/>
      <w:r w:rsidRPr="000921FA">
        <w:t xml:space="preserve"> link function was employed. The </w:t>
      </w:r>
      <w:proofErr w:type="spellStart"/>
      <w:r w:rsidRPr="000921FA">
        <w:t>Akaike</w:t>
      </w:r>
      <w:proofErr w:type="spellEnd"/>
      <w:r w:rsidRPr="000921FA">
        <w:t xml:space="preserve"> Information Criterion, corrected for small sample size (</w:t>
      </w:r>
      <w:proofErr w:type="spellStart"/>
      <w:r w:rsidRPr="000921FA">
        <w:t>AICc</w:t>
      </w:r>
      <w:proofErr w:type="spellEnd"/>
      <w:r w:rsidRPr="000921FA">
        <w:t>) (Burnham &amp; Anderson 2002), was used as an objective means of model selection. This approach identifies the most parsimonious model from a set of candidate models given maximised log-likelihood of the fitted model.</w:t>
      </w:r>
    </w:p>
    <w:p w:rsidR="00B36F09" w:rsidRPr="000921FA" w:rsidRDefault="00B36F09" w:rsidP="00B36F09">
      <w:r w:rsidRPr="000921FA">
        <w:t xml:space="preserve">The R software package (R Development Core Team 2008) was used for the analysis. No models were found using </w:t>
      </w:r>
      <w:proofErr w:type="spellStart"/>
      <w:r w:rsidRPr="000921FA">
        <w:t>AICc</w:t>
      </w:r>
      <w:proofErr w:type="spellEnd"/>
      <w:r w:rsidRPr="000921FA">
        <w:t xml:space="preserve"> model selection for </w:t>
      </w:r>
      <w:proofErr w:type="spellStart"/>
      <w:r w:rsidRPr="000921FA">
        <w:rPr>
          <w:i/>
        </w:rPr>
        <w:t>Xanthostemon</w:t>
      </w:r>
      <w:proofErr w:type="spellEnd"/>
      <w:r w:rsidRPr="000921FA">
        <w:rPr>
          <w:i/>
        </w:rPr>
        <w:t xml:space="preserve"> </w:t>
      </w:r>
      <w:proofErr w:type="spellStart"/>
      <w:r w:rsidRPr="000921FA">
        <w:rPr>
          <w:i/>
        </w:rPr>
        <w:t>paradoxus</w:t>
      </w:r>
      <w:proofErr w:type="spellEnd"/>
      <w:r w:rsidRPr="000921FA">
        <w:t xml:space="preserve">, </w:t>
      </w:r>
      <w:proofErr w:type="spellStart"/>
      <w:r w:rsidRPr="000921FA">
        <w:rPr>
          <w:i/>
        </w:rPr>
        <w:t>Cochlospermum</w:t>
      </w:r>
      <w:proofErr w:type="spellEnd"/>
      <w:r w:rsidRPr="000921FA">
        <w:rPr>
          <w:i/>
        </w:rPr>
        <w:t xml:space="preserve"> </w:t>
      </w:r>
      <w:proofErr w:type="spellStart"/>
      <w:r w:rsidRPr="000921FA">
        <w:rPr>
          <w:i/>
        </w:rPr>
        <w:t>fraseri</w:t>
      </w:r>
      <w:proofErr w:type="spellEnd"/>
      <w:r w:rsidRPr="000921FA">
        <w:t>,</w:t>
      </w:r>
      <w:r w:rsidRPr="000921FA">
        <w:rPr>
          <w:i/>
        </w:rPr>
        <w:t xml:space="preserve"> </w:t>
      </w:r>
      <w:proofErr w:type="spellStart"/>
      <w:r w:rsidRPr="000921FA">
        <w:rPr>
          <w:i/>
          <w:lang w:eastAsia="en-AU"/>
        </w:rPr>
        <w:t>Corymbia</w:t>
      </w:r>
      <w:proofErr w:type="spellEnd"/>
      <w:r w:rsidRPr="000921FA">
        <w:rPr>
          <w:i/>
          <w:lang w:eastAsia="en-AU"/>
        </w:rPr>
        <w:t xml:space="preserve"> </w:t>
      </w:r>
      <w:proofErr w:type="spellStart"/>
      <w:r w:rsidRPr="000921FA">
        <w:rPr>
          <w:i/>
          <w:lang w:eastAsia="en-AU"/>
        </w:rPr>
        <w:t>disjuncta</w:t>
      </w:r>
      <w:proofErr w:type="spellEnd"/>
      <w:r w:rsidRPr="000921FA">
        <w:rPr>
          <w:lang w:eastAsia="en-AU"/>
        </w:rPr>
        <w:t>,</w:t>
      </w:r>
      <w:r w:rsidRPr="000921FA">
        <w:t xml:space="preserve"> </w:t>
      </w:r>
      <w:r w:rsidRPr="000921FA">
        <w:rPr>
          <w:i/>
          <w:lang w:eastAsia="en-AU"/>
        </w:rPr>
        <w:t xml:space="preserve">C. </w:t>
      </w:r>
      <w:proofErr w:type="spellStart"/>
      <w:r w:rsidRPr="000921FA">
        <w:rPr>
          <w:i/>
          <w:lang w:eastAsia="en-AU"/>
        </w:rPr>
        <w:t>foelscheana</w:t>
      </w:r>
      <w:proofErr w:type="spellEnd"/>
      <w:r w:rsidRPr="000921FA">
        <w:rPr>
          <w:lang w:eastAsia="en-AU"/>
        </w:rPr>
        <w:t xml:space="preserve"> and</w:t>
      </w:r>
      <w:r w:rsidRPr="000921FA">
        <w:t xml:space="preserve"> </w:t>
      </w:r>
      <w:r w:rsidRPr="000921FA">
        <w:rPr>
          <w:i/>
          <w:lang w:eastAsia="en-AU"/>
        </w:rPr>
        <w:t xml:space="preserve">Eucalyptus </w:t>
      </w:r>
      <w:proofErr w:type="spellStart"/>
      <w:r w:rsidRPr="000921FA">
        <w:rPr>
          <w:i/>
          <w:lang w:eastAsia="en-AU"/>
        </w:rPr>
        <w:t>tectifica</w:t>
      </w:r>
      <w:proofErr w:type="spellEnd"/>
      <w:r w:rsidRPr="000921FA">
        <w:t xml:space="preserve"> (Table 3). For the other 10 species, explained deviance (</w:t>
      </w:r>
      <w:proofErr w:type="spellStart"/>
      <w:r w:rsidRPr="000921FA">
        <w:t>pcdev</w:t>
      </w:r>
      <w:proofErr w:type="spellEnd"/>
      <w:r w:rsidRPr="000921FA">
        <w:t>, equivalent of regression R</w:t>
      </w:r>
      <w:r w:rsidRPr="000921FA">
        <w:rPr>
          <w:snapToGrid w:val="0"/>
          <w:position w:val="5"/>
          <w:sz w:val="15"/>
          <w:szCs w:val="0"/>
          <w:u w:color="000000"/>
        </w:rPr>
        <w:t>2</w:t>
      </w:r>
      <w:r w:rsidRPr="000921FA">
        <w:t>) indicated useful linear models accounting for large amounts of biological variation, could be found for just the top four species listed in Table 3 (</w:t>
      </w:r>
      <w:r w:rsidRPr="000921FA">
        <w:rPr>
          <w:i/>
          <w:lang w:eastAsia="en-AU"/>
        </w:rPr>
        <w:t xml:space="preserve">Melaleuca </w:t>
      </w:r>
      <w:proofErr w:type="spellStart"/>
      <w:r w:rsidRPr="000921FA">
        <w:rPr>
          <w:i/>
          <w:lang w:eastAsia="en-AU"/>
        </w:rPr>
        <w:t>viridiflora</w:t>
      </w:r>
      <w:proofErr w:type="spellEnd"/>
      <w:r w:rsidRPr="000921FA">
        <w:rPr>
          <w:lang w:eastAsia="en-AU"/>
        </w:rPr>
        <w:t>,</w:t>
      </w:r>
      <w:r w:rsidRPr="000921FA">
        <w:t xml:space="preserve"> </w:t>
      </w:r>
      <w:proofErr w:type="spellStart"/>
      <w:r w:rsidRPr="000921FA">
        <w:rPr>
          <w:i/>
          <w:lang w:eastAsia="en-AU"/>
        </w:rPr>
        <w:t>Pandanus</w:t>
      </w:r>
      <w:proofErr w:type="spellEnd"/>
      <w:r w:rsidRPr="000921FA">
        <w:rPr>
          <w:i/>
          <w:lang w:eastAsia="en-AU"/>
        </w:rPr>
        <w:t xml:space="preserve"> </w:t>
      </w:r>
      <w:proofErr w:type="spellStart"/>
      <w:r w:rsidRPr="000921FA">
        <w:rPr>
          <w:i/>
          <w:lang w:eastAsia="en-AU"/>
        </w:rPr>
        <w:t>spiralis</w:t>
      </w:r>
      <w:proofErr w:type="spellEnd"/>
      <w:r w:rsidRPr="000921FA">
        <w:rPr>
          <w:lang w:eastAsia="en-AU"/>
        </w:rPr>
        <w:t>,</w:t>
      </w:r>
      <w:r w:rsidRPr="000921FA">
        <w:t xml:space="preserve"> </w:t>
      </w:r>
      <w:r w:rsidRPr="000921FA">
        <w:rPr>
          <w:i/>
          <w:lang w:eastAsia="en-AU"/>
        </w:rPr>
        <w:t xml:space="preserve">Eucalyptus </w:t>
      </w:r>
      <w:proofErr w:type="spellStart"/>
      <w:r w:rsidRPr="000921FA">
        <w:rPr>
          <w:i/>
          <w:lang w:eastAsia="en-AU"/>
        </w:rPr>
        <w:t>tetrodonta</w:t>
      </w:r>
      <w:proofErr w:type="spellEnd"/>
      <w:r w:rsidRPr="000921FA">
        <w:t xml:space="preserve"> and </w:t>
      </w:r>
      <w:r w:rsidRPr="000921FA">
        <w:rPr>
          <w:i/>
          <w:lang w:eastAsia="en-AU"/>
        </w:rPr>
        <w:t xml:space="preserve">Acacia </w:t>
      </w:r>
      <w:proofErr w:type="spellStart"/>
      <w:r w:rsidRPr="000921FA">
        <w:rPr>
          <w:i/>
          <w:lang w:eastAsia="en-AU"/>
        </w:rPr>
        <w:t>mimula</w:t>
      </w:r>
      <w:proofErr w:type="spellEnd"/>
      <w:r w:rsidRPr="000921FA">
        <w:rPr>
          <w:lang w:eastAsia="en-AU"/>
        </w:rPr>
        <w:t>)</w:t>
      </w:r>
      <w:r w:rsidRPr="000921FA">
        <w:t xml:space="preserve"> with only three (aspect, relief and elevation) of the 11 environmental variables included in the species prediction models. The best models reflect the common occurrence of </w:t>
      </w:r>
      <w:r w:rsidRPr="000921FA">
        <w:rPr>
          <w:i/>
          <w:lang w:eastAsia="en-AU"/>
        </w:rPr>
        <w:t xml:space="preserve">Melaleuca </w:t>
      </w:r>
      <w:proofErr w:type="spellStart"/>
      <w:r w:rsidRPr="000921FA">
        <w:rPr>
          <w:i/>
          <w:lang w:eastAsia="en-AU"/>
        </w:rPr>
        <w:t>viridiflora</w:t>
      </w:r>
      <w:proofErr w:type="spellEnd"/>
      <w:r w:rsidRPr="000921FA">
        <w:rPr>
          <w:i/>
          <w:lang w:eastAsia="en-AU"/>
        </w:rPr>
        <w:t xml:space="preserve"> </w:t>
      </w:r>
      <w:r w:rsidRPr="000921FA">
        <w:rPr>
          <w:lang w:eastAsia="en-AU"/>
        </w:rPr>
        <w:t xml:space="preserve">and </w:t>
      </w:r>
      <w:proofErr w:type="spellStart"/>
      <w:r w:rsidRPr="000921FA">
        <w:rPr>
          <w:i/>
          <w:lang w:eastAsia="en-AU"/>
        </w:rPr>
        <w:t>Pandanus</w:t>
      </w:r>
      <w:proofErr w:type="spellEnd"/>
      <w:r w:rsidRPr="000921FA">
        <w:rPr>
          <w:i/>
          <w:lang w:eastAsia="en-AU"/>
        </w:rPr>
        <w:t xml:space="preserve"> </w:t>
      </w:r>
      <w:proofErr w:type="spellStart"/>
      <w:r w:rsidRPr="000921FA">
        <w:rPr>
          <w:i/>
          <w:lang w:eastAsia="en-AU"/>
        </w:rPr>
        <w:t>spiralis</w:t>
      </w:r>
      <w:proofErr w:type="spellEnd"/>
      <w:r w:rsidRPr="000921FA">
        <w:rPr>
          <w:lang w:eastAsia="en-AU"/>
        </w:rPr>
        <w:t xml:space="preserve"> from the Melaleuca woodland classification unit (Table 2) in locations of low elevation and low relief while conversely, </w:t>
      </w:r>
      <w:r w:rsidRPr="000921FA">
        <w:rPr>
          <w:i/>
          <w:lang w:eastAsia="en-AU"/>
        </w:rPr>
        <w:t xml:space="preserve">Eucalyptus </w:t>
      </w:r>
      <w:proofErr w:type="spellStart"/>
      <w:r w:rsidRPr="000921FA">
        <w:rPr>
          <w:i/>
          <w:lang w:eastAsia="en-AU"/>
        </w:rPr>
        <w:t>tetrodonta</w:t>
      </w:r>
      <w:proofErr w:type="spellEnd"/>
      <w:r w:rsidRPr="000921FA">
        <w:rPr>
          <w:i/>
          <w:lang w:eastAsia="en-AU"/>
        </w:rPr>
        <w:t xml:space="preserve"> </w:t>
      </w:r>
      <w:r w:rsidRPr="000921FA">
        <w:rPr>
          <w:lang w:eastAsia="en-AU"/>
        </w:rPr>
        <w:t xml:space="preserve">and </w:t>
      </w:r>
      <w:r w:rsidRPr="000921FA">
        <w:rPr>
          <w:i/>
          <w:lang w:eastAsia="en-AU"/>
        </w:rPr>
        <w:t xml:space="preserve">Acacia </w:t>
      </w:r>
      <w:proofErr w:type="spellStart"/>
      <w:r w:rsidRPr="000921FA">
        <w:rPr>
          <w:i/>
          <w:lang w:eastAsia="en-AU"/>
        </w:rPr>
        <w:t>mimula</w:t>
      </w:r>
      <w:proofErr w:type="spellEnd"/>
      <w:r w:rsidRPr="000921FA">
        <w:t xml:space="preserve"> from the mixed Eucalypt woodland unit most commonly occur in locations of </w:t>
      </w:r>
      <w:r>
        <w:t>‘</w:t>
      </w:r>
      <w:r w:rsidRPr="000921FA">
        <w:t>high</w:t>
      </w:r>
      <w:r>
        <w:t>’</w:t>
      </w:r>
      <w:r w:rsidRPr="000921FA">
        <w:t xml:space="preserve"> elevation and relief.</w:t>
      </w:r>
    </w:p>
    <w:p w:rsidR="00B36F09" w:rsidRPr="000921FA" w:rsidRDefault="00B36F09" w:rsidP="00B36F09">
      <w:pPr>
        <w:rPr>
          <w:lang w:eastAsia="en-AU"/>
        </w:rPr>
      </w:pPr>
      <w:r w:rsidRPr="000921FA">
        <w:rPr>
          <w:lang w:eastAsia="en-AU"/>
        </w:rPr>
        <w:t xml:space="preserve">The GLM modelling based upon </w:t>
      </w:r>
      <w:proofErr w:type="spellStart"/>
      <w:r w:rsidRPr="000921FA">
        <w:rPr>
          <w:lang w:eastAsia="en-AU"/>
        </w:rPr>
        <w:t>AICc</w:t>
      </w:r>
      <w:proofErr w:type="spellEnd"/>
      <w:r w:rsidRPr="000921FA">
        <w:rPr>
          <w:lang w:eastAsia="en-AU"/>
        </w:rPr>
        <w:t xml:space="preserve"> model selection gave more conservative results – </w:t>
      </w:r>
      <w:proofErr w:type="spellStart"/>
      <w:r w:rsidRPr="000921FA">
        <w:rPr>
          <w:lang w:eastAsia="en-AU"/>
        </w:rPr>
        <w:t>ie</w:t>
      </w:r>
      <w:proofErr w:type="spellEnd"/>
      <w:r w:rsidRPr="000921FA">
        <w:rPr>
          <w:lang w:eastAsia="en-AU"/>
        </w:rPr>
        <w:t xml:space="preserve"> fewer species for which models could be derived and fewer predictor variables – than those derived from the modelling undertaken by Hollingsworth </w:t>
      </w:r>
      <w:r>
        <w:rPr>
          <w:lang w:eastAsia="en-AU"/>
        </w:rPr>
        <w:t>et al</w:t>
      </w:r>
      <w:r w:rsidRPr="000921FA">
        <w:rPr>
          <w:lang w:eastAsia="en-AU"/>
        </w:rPr>
        <w:t xml:space="preserve"> (2007). In the latter study using (similarly) presence-absence data, subsets of 12 landform variables were incorporated in models that predicted occurrence of 11 common vegetation species. Hollingsworth </w:t>
      </w:r>
      <w:r>
        <w:rPr>
          <w:lang w:eastAsia="en-AU"/>
        </w:rPr>
        <w:t>et al</w:t>
      </w:r>
      <w:r w:rsidRPr="000921FA">
        <w:rPr>
          <w:lang w:eastAsia="en-AU"/>
        </w:rPr>
        <w:t xml:space="preserve"> </w:t>
      </w:r>
      <w:r w:rsidRPr="000921FA">
        <w:rPr>
          <w:lang w:eastAsia="en-AU"/>
        </w:rPr>
        <w:lastRenderedPageBreak/>
        <w:t xml:space="preserve">(2007) used data from </w:t>
      </w:r>
      <w:r w:rsidRPr="000921FA">
        <w:rPr>
          <w:lang w:val="en-US"/>
        </w:rPr>
        <w:t xml:space="preserve">150 sites across the Ranger lease whereas the current </w:t>
      </w:r>
      <w:proofErr w:type="spellStart"/>
      <w:r w:rsidRPr="000921FA">
        <w:rPr>
          <w:lang w:val="en-US"/>
        </w:rPr>
        <w:t>modelling</w:t>
      </w:r>
      <w:proofErr w:type="spellEnd"/>
      <w:r w:rsidRPr="000921FA">
        <w:rPr>
          <w:lang w:val="en-US"/>
        </w:rPr>
        <w:t xml:space="preserve"> was based upon 72 sites from the </w:t>
      </w:r>
      <w:proofErr w:type="spellStart"/>
      <w:r w:rsidRPr="000921FA">
        <w:rPr>
          <w:lang w:val="en-US"/>
        </w:rPr>
        <w:t>the</w:t>
      </w:r>
      <w:proofErr w:type="spellEnd"/>
      <w:r w:rsidRPr="000921FA">
        <w:rPr>
          <w:lang w:val="en-US"/>
        </w:rPr>
        <w:t xml:space="preserve"> more restricted Georgetown analogue location. Apart from different </w:t>
      </w:r>
      <w:proofErr w:type="spellStart"/>
      <w:r w:rsidRPr="000921FA">
        <w:rPr>
          <w:lang w:val="en-US"/>
        </w:rPr>
        <w:t>modelling</w:t>
      </w:r>
      <w:proofErr w:type="spellEnd"/>
      <w:r w:rsidRPr="000921FA">
        <w:rPr>
          <w:lang w:val="en-US"/>
        </w:rPr>
        <w:t xml:space="preserve"> approaches, the greater range in values of landform variables that was presumably associated with the broader </w:t>
      </w:r>
      <w:proofErr w:type="spellStart"/>
      <w:r w:rsidRPr="000921FA">
        <w:rPr>
          <w:lang w:val="en-US"/>
        </w:rPr>
        <w:t>modelling</w:t>
      </w:r>
      <w:proofErr w:type="spellEnd"/>
      <w:r w:rsidRPr="000921FA">
        <w:rPr>
          <w:lang w:val="en-US"/>
        </w:rPr>
        <w:t xml:space="preserve"> of </w:t>
      </w:r>
      <w:r w:rsidRPr="000921FA">
        <w:rPr>
          <w:lang w:eastAsia="en-AU"/>
        </w:rPr>
        <w:t xml:space="preserve">Hollingsworth </w:t>
      </w:r>
      <w:r>
        <w:rPr>
          <w:lang w:eastAsia="en-AU"/>
        </w:rPr>
        <w:t>et al</w:t>
      </w:r>
      <w:r w:rsidRPr="000921FA">
        <w:rPr>
          <w:lang w:eastAsia="en-AU"/>
        </w:rPr>
        <w:t xml:space="preserve"> (2007) may </w:t>
      </w:r>
      <w:r>
        <w:rPr>
          <w:lang w:eastAsia="en-AU"/>
        </w:rPr>
        <w:t xml:space="preserve">have provided greater environmental gradients for which modelling is best suited. This may </w:t>
      </w:r>
      <w:r w:rsidRPr="000921FA">
        <w:rPr>
          <w:lang w:eastAsia="en-AU"/>
        </w:rPr>
        <w:t xml:space="preserve">explain </w:t>
      </w:r>
      <w:r>
        <w:rPr>
          <w:lang w:eastAsia="en-AU"/>
        </w:rPr>
        <w:t xml:space="preserve">why </w:t>
      </w:r>
      <w:r w:rsidRPr="000921FA">
        <w:rPr>
          <w:lang w:eastAsia="en-AU"/>
        </w:rPr>
        <w:t xml:space="preserve">Hollingsworth </w:t>
      </w:r>
      <w:r>
        <w:rPr>
          <w:lang w:eastAsia="en-AU"/>
        </w:rPr>
        <w:t>et al</w:t>
      </w:r>
      <w:r w:rsidRPr="000921FA">
        <w:rPr>
          <w:lang w:eastAsia="en-AU"/>
        </w:rPr>
        <w:t xml:space="preserve"> (2007) </w:t>
      </w:r>
      <w:r>
        <w:rPr>
          <w:lang w:eastAsia="en-AU"/>
        </w:rPr>
        <w:t xml:space="preserve">found more </w:t>
      </w:r>
      <w:r w:rsidRPr="000921FA">
        <w:rPr>
          <w:lang w:eastAsia="en-AU"/>
        </w:rPr>
        <w:t>species for which models could be derived</w:t>
      </w:r>
      <w:r>
        <w:rPr>
          <w:lang w:eastAsia="en-AU"/>
        </w:rPr>
        <w:t>, using a greater number of</w:t>
      </w:r>
      <w:r w:rsidRPr="000921FA">
        <w:rPr>
          <w:lang w:eastAsia="en-AU"/>
        </w:rPr>
        <w:t xml:space="preserve"> predictor variables. </w:t>
      </w:r>
    </w:p>
    <w:p w:rsidR="00B36F09" w:rsidRPr="005126DE" w:rsidRDefault="00B36F09" w:rsidP="00B36F09">
      <w:pPr>
        <w:pStyle w:val="tablecaption"/>
        <w:spacing w:before="0"/>
        <w:rPr>
          <w:spacing w:val="-2"/>
          <w:lang w:val="en-US"/>
        </w:rPr>
      </w:pPr>
      <w:r w:rsidRPr="005126DE">
        <w:rPr>
          <w:b/>
          <w:spacing w:val="-2"/>
          <w:lang w:val="en-US"/>
        </w:rPr>
        <w:t xml:space="preserve">Table </w:t>
      </w:r>
      <w:proofErr w:type="gramStart"/>
      <w:r w:rsidRPr="005126DE">
        <w:rPr>
          <w:b/>
          <w:spacing w:val="-2"/>
          <w:lang w:val="en-US"/>
        </w:rPr>
        <w:t>3</w:t>
      </w:r>
      <w:r w:rsidRPr="005126DE">
        <w:rPr>
          <w:spacing w:val="-2"/>
          <w:lang w:val="en-US"/>
        </w:rPr>
        <w:t xml:space="preserve">  Results</w:t>
      </w:r>
      <w:proofErr w:type="gramEnd"/>
      <w:r w:rsidRPr="005126DE">
        <w:rPr>
          <w:spacing w:val="-2"/>
          <w:lang w:val="en-US"/>
        </w:rPr>
        <w:t xml:space="preserve"> from g</w:t>
      </w:r>
      <w:proofErr w:type="spellStart"/>
      <w:r w:rsidRPr="005126DE">
        <w:rPr>
          <w:spacing w:val="-2"/>
        </w:rPr>
        <w:t>eneralised</w:t>
      </w:r>
      <w:proofErr w:type="spellEnd"/>
      <w:r w:rsidRPr="005126DE">
        <w:rPr>
          <w:spacing w:val="-2"/>
        </w:rPr>
        <w:t xml:space="preserve"> linear models, based upon </w:t>
      </w:r>
      <w:proofErr w:type="spellStart"/>
      <w:r w:rsidRPr="005126DE">
        <w:rPr>
          <w:spacing w:val="-2"/>
        </w:rPr>
        <w:t>Akaike</w:t>
      </w:r>
      <w:proofErr w:type="spellEnd"/>
      <w:r w:rsidRPr="005126DE">
        <w:rPr>
          <w:spacing w:val="-2"/>
        </w:rPr>
        <w:t xml:space="preserve"> Information Criterion (</w:t>
      </w:r>
      <w:proofErr w:type="spellStart"/>
      <w:r w:rsidRPr="005126DE">
        <w:rPr>
          <w:spacing w:val="-2"/>
        </w:rPr>
        <w:t>AICc</w:t>
      </w:r>
      <w:proofErr w:type="spellEnd"/>
      <w:r w:rsidRPr="005126DE">
        <w:rPr>
          <w:spacing w:val="-2"/>
        </w:rPr>
        <w:t xml:space="preserve">) selection, showing significant landform predictors for probability of occurrence of dominant plant species occurring on the Georgetown analogue site. </w:t>
      </w:r>
      <w:proofErr w:type="spellStart"/>
      <w:r w:rsidRPr="005126DE">
        <w:rPr>
          <w:spacing w:val="-2"/>
        </w:rPr>
        <w:t>Pcdev</w:t>
      </w:r>
      <w:proofErr w:type="spellEnd"/>
      <w:r w:rsidRPr="005126DE">
        <w:rPr>
          <w:spacing w:val="-2"/>
        </w:rPr>
        <w:t xml:space="preserve"> refers to percent deviation explained by the preferred model.</w:t>
      </w:r>
    </w:p>
    <w:tbl>
      <w:tblPr>
        <w:tblW w:w="8272" w:type="dxa"/>
        <w:tblInd w:w="93" w:type="dxa"/>
        <w:tblLook w:val="04A0"/>
      </w:tblPr>
      <w:tblGrid>
        <w:gridCol w:w="2142"/>
        <w:gridCol w:w="1559"/>
        <w:gridCol w:w="1276"/>
        <w:gridCol w:w="1134"/>
        <w:gridCol w:w="992"/>
        <w:gridCol w:w="1169"/>
      </w:tblGrid>
      <w:tr w:rsidR="00B36F09" w:rsidRPr="000921FA" w:rsidTr="008F70D3">
        <w:trPr>
          <w:trHeight w:val="300"/>
        </w:trPr>
        <w:tc>
          <w:tcPr>
            <w:tcW w:w="2142" w:type="dxa"/>
            <w:vMerge w:val="restart"/>
            <w:tcBorders>
              <w:top w:val="single" w:sz="4" w:space="0" w:color="auto"/>
              <w:left w:val="nil"/>
              <w:bottom w:val="single" w:sz="4" w:space="0" w:color="auto"/>
              <w:right w:val="nil"/>
            </w:tcBorders>
            <w:shd w:val="clear" w:color="auto" w:fill="auto"/>
            <w:noWrap/>
            <w:vAlign w:val="center"/>
            <w:hideMark/>
          </w:tcPr>
          <w:p w:rsidR="00B36F09" w:rsidRPr="000921FA" w:rsidRDefault="00B36F09" w:rsidP="008F70D3">
            <w:pPr>
              <w:pStyle w:val="table2"/>
              <w:rPr>
                <w:b/>
                <w:lang w:eastAsia="en-AU"/>
              </w:rPr>
            </w:pPr>
            <w:r w:rsidRPr="000921FA">
              <w:rPr>
                <w:b/>
                <w:lang w:eastAsia="en-AU"/>
              </w:rPr>
              <w:t>Species</w:t>
            </w:r>
          </w:p>
        </w:tc>
        <w:tc>
          <w:tcPr>
            <w:tcW w:w="4961" w:type="dxa"/>
            <w:gridSpan w:val="4"/>
            <w:tcBorders>
              <w:top w:val="single" w:sz="4" w:space="0" w:color="auto"/>
              <w:left w:val="nil"/>
              <w:bottom w:val="single" w:sz="4" w:space="0" w:color="auto"/>
              <w:right w:val="nil"/>
            </w:tcBorders>
            <w:shd w:val="clear" w:color="auto" w:fill="auto"/>
            <w:noWrap/>
            <w:vAlign w:val="bottom"/>
            <w:hideMark/>
          </w:tcPr>
          <w:p w:rsidR="00B36F09" w:rsidRPr="000921FA" w:rsidRDefault="00B36F09" w:rsidP="008F70D3">
            <w:pPr>
              <w:pStyle w:val="table2"/>
              <w:jc w:val="center"/>
              <w:rPr>
                <w:b/>
                <w:lang w:eastAsia="en-AU"/>
              </w:rPr>
            </w:pPr>
            <w:r w:rsidRPr="000921FA">
              <w:rPr>
                <w:b/>
                <w:lang w:eastAsia="en-AU"/>
              </w:rPr>
              <w:t>Parameter estimates</w:t>
            </w:r>
          </w:p>
        </w:tc>
        <w:tc>
          <w:tcPr>
            <w:tcW w:w="1169" w:type="dxa"/>
            <w:vMerge w:val="restart"/>
            <w:tcBorders>
              <w:top w:val="single" w:sz="4" w:space="0" w:color="auto"/>
              <w:left w:val="nil"/>
              <w:bottom w:val="single" w:sz="4" w:space="0" w:color="auto"/>
              <w:right w:val="nil"/>
            </w:tcBorders>
            <w:shd w:val="clear" w:color="auto" w:fill="auto"/>
            <w:noWrap/>
            <w:vAlign w:val="center"/>
            <w:hideMark/>
          </w:tcPr>
          <w:p w:rsidR="00B36F09" w:rsidRPr="000921FA" w:rsidRDefault="00B36F09" w:rsidP="008F70D3">
            <w:pPr>
              <w:pStyle w:val="table2"/>
              <w:jc w:val="center"/>
              <w:rPr>
                <w:b/>
                <w:lang w:eastAsia="en-AU"/>
              </w:rPr>
            </w:pPr>
            <w:proofErr w:type="spellStart"/>
            <w:r w:rsidRPr="000921FA">
              <w:rPr>
                <w:b/>
                <w:lang w:eastAsia="en-AU"/>
              </w:rPr>
              <w:t>pcdev</w:t>
            </w:r>
            <w:proofErr w:type="spellEnd"/>
          </w:p>
        </w:tc>
      </w:tr>
      <w:tr w:rsidR="00B36F09" w:rsidRPr="000921FA" w:rsidTr="008F70D3">
        <w:trPr>
          <w:trHeight w:val="300"/>
        </w:trPr>
        <w:tc>
          <w:tcPr>
            <w:tcW w:w="2142" w:type="dxa"/>
            <w:vMerge/>
            <w:tcBorders>
              <w:top w:val="single" w:sz="4" w:space="0" w:color="auto"/>
              <w:left w:val="nil"/>
              <w:bottom w:val="single" w:sz="4" w:space="0" w:color="auto"/>
              <w:right w:val="nil"/>
            </w:tcBorders>
            <w:shd w:val="clear" w:color="auto" w:fill="auto"/>
            <w:noWrap/>
            <w:vAlign w:val="bottom"/>
            <w:hideMark/>
          </w:tcPr>
          <w:p w:rsidR="00B36F09" w:rsidRPr="000921FA" w:rsidRDefault="00B36F09" w:rsidP="008F70D3">
            <w:pPr>
              <w:pStyle w:val="table2"/>
              <w:rPr>
                <w:b/>
                <w:lang w:eastAsia="en-AU"/>
              </w:rPr>
            </w:pPr>
          </w:p>
        </w:tc>
        <w:tc>
          <w:tcPr>
            <w:tcW w:w="1559" w:type="dxa"/>
            <w:tcBorders>
              <w:top w:val="single" w:sz="4" w:space="0" w:color="auto"/>
              <w:left w:val="nil"/>
              <w:bottom w:val="single" w:sz="4" w:space="0" w:color="auto"/>
              <w:right w:val="nil"/>
            </w:tcBorders>
            <w:shd w:val="clear" w:color="auto" w:fill="auto"/>
            <w:noWrap/>
            <w:vAlign w:val="bottom"/>
            <w:hideMark/>
          </w:tcPr>
          <w:p w:rsidR="00B36F09" w:rsidRPr="000921FA" w:rsidRDefault="00B36F09" w:rsidP="008F70D3">
            <w:pPr>
              <w:pStyle w:val="table2"/>
              <w:rPr>
                <w:b/>
                <w:lang w:eastAsia="en-AU"/>
              </w:rPr>
            </w:pPr>
            <w:r w:rsidRPr="000921FA">
              <w:rPr>
                <w:b/>
                <w:lang w:eastAsia="en-AU"/>
              </w:rPr>
              <w:t>Intercept of GLM</w:t>
            </w:r>
          </w:p>
        </w:tc>
        <w:tc>
          <w:tcPr>
            <w:tcW w:w="1276" w:type="dxa"/>
            <w:tcBorders>
              <w:top w:val="single" w:sz="4" w:space="0" w:color="auto"/>
              <w:left w:val="nil"/>
              <w:bottom w:val="single" w:sz="4" w:space="0" w:color="auto"/>
              <w:right w:val="nil"/>
            </w:tcBorders>
            <w:shd w:val="clear" w:color="auto" w:fill="auto"/>
            <w:noWrap/>
            <w:vAlign w:val="bottom"/>
            <w:hideMark/>
          </w:tcPr>
          <w:p w:rsidR="00B36F09" w:rsidRPr="000921FA" w:rsidRDefault="00B36F09" w:rsidP="008F70D3">
            <w:pPr>
              <w:pStyle w:val="table2"/>
              <w:rPr>
                <w:b/>
                <w:lang w:eastAsia="en-AU"/>
              </w:rPr>
            </w:pPr>
            <w:r w:rsidRPr="000921FA">
              <w:rPr>
                <w:b/>
                <w:lang w:eastAsia="en-AU"/>
              </w:rPr>
              <w:t>Elevation</w:t>
            </w:r>
          </w:p>
        </w:tc>
        <w:tc>
          <w:tcPr>
            <w:tcW w:w="1134" w:type="dxa"/>
            <w:tcBorders>
              <w:top w:val="single" w:sz="4" w:space="0" w:color="auto"/>
              <w:left w:val="nil"/>
              <w:bottom w:val="single" w:sz="4" w:space="0" w:color="auto"/>
              <w:right w:val="nil"/>
            </w:tcBorders>
            <w:shd w:val="clear" w:color="auto" w:fill="auto"/>
            <w:noWrap/>
            <w:vAlign w:val="bottom"/>
            <w:hideMark/>
          </w:tcPr>
          <w:p w:rsidR="00B36F09" w:rsidRPr="000921FA" w:rsidRDefault="00B36F09" w:rsidP="008F70D3">
            <w:pPr>
              <w:pStyle w:val="table2"/>
              <w:rPr>
                <w:b/>
                <w:lang w:eastAsia="en-AU"/>
              </w:rPr>
            </w:pPr>
            <w:r w:rsidRPr="000921FA">
              <w:rPr>
                <w:b/>
                <w:lang w:eastAsia="en-AU"/>
              </w:rPr>
              <w:t>Relief</w:t>
            </w:r>
          </w:p>
        </w:tc>
        <w:tc>
          <w:tcPr>
            <w:tcW w:w="992" w:type="dxa"/>
            <w:tcBorders>
              <w:top w:val="single" w:sz="4" w:space="0" w:color="auto"/>
              <w:left w:val="nil"/>
              <w:bottom w:val="single" w:sz="4" w:space="0" w:color="auto"/>
              <w:right w:val="nil"/>
            </w:tcBorders>
            <w:shd w:val="clear" w:color="auto" w:fill="auto"/>
            <w:noWrap/>
            <w:vAlign w:val="bottom"/>
            <w:hideMark/>
          </w:tcPr>
          <w:p w:rsidR="00B36F09" w:rsidRPr="000921FA" w:rsidRDefault="00B36F09" w:rsidP="008F70D3">
            <w:pPr>
              <w:pStyle w:val="table2"/>
              <w:rPr>
                <w:b/>
                <w:lang w:eastAsia="en-AU"/>
              </w:rPr>
            </w:pPr>
            <w:r w:rsidRPr="000921FA">
              <w:rPr>
                <w:b/>
                <w:lang w:eastAsia="en-AU"/>
              </w:rPr>
              <w:t>Aspect</w:t>
            </w:r>
          </w:p>
        </w:tc>
        <w:tc>
          <w:tcPr>
            <w:tcW w:w="1169" w:type="dxa"/>
            <w:vMerge/>
            <w:tcBorders>
              <w:top w:val="single" w:sz="4" w:space="0" w:color="auto"/>
              <w:left w:val="nil"/>
              <w:bottom w:val="single" w:sz="4" w:space="0" w:color="auto"/>
              <w:right w:val="nil"/>
            </w:tcBorders>
            <w:shd w:val="clear" w:color="auto" w:fill="auto"/>
            <w:noWrap/>
            <w:vAlign w:val="bottom"/>
            <w:hideMark/>
          </w:tcPr>
          <w:p w:rsidR="00B36F09" w:rsidRPr="000921FA" w:rsidRDefault="00B36F09" w:rsidP="008F70D3">
            <w:pPr>
              <w:pStyle w:val="table2"/>
              <w:rPr>
                <w:b/>
                <w:lang w:eastAsia="en-AU"/>
              </w:rPr>
            </w:pPr>
          </w:p>
        </w:tc>
      </w:tr>
      <w:tr w:rsidR="00B36F09" w:rsidRPr="000921FA" w:rsidTr="008F70D3">
        <w:trPr>
          <w:trHeight w:val="300"/>
        </w:trPr>
        <w:tc>
          <w:tcPr>
            <w:tcW w:w="2142" w:type="dxa"/>
            <w:tcBorders>
              <w:top w:val="single" w:sz="4" w:space="0" w:color="auto"/>
              <w:left w:val="nil"/>
              <w:bottom w:val="nil"/>
              <w:right w:val="nil"/>
            </w:tcBorders>
            <w:shd w:val="clear" w:color="auto" w:fill="auto"/>
            <w:noWrap/>
            <w:vAlign w:val="bottom"/>
            <w:hideMark/>
          </w:tcPr>
          <w:p w:rsidR="00B36F09" w:rsidRPr="000921FA" w:rsidRDefault="00B36F09" w:rsidP="008F70D3">
            <w:pPr>
              <w:pStyle w:val="table2"/>
              <w:rPr>
                <w:i/>
                <w:lang w:eastAsia="en-AU"/>
              </w:rPr>
            </w:pPr>
            <w:r w:rsidRPr="000921FA">
              <w:rPr>
                <w:i/>
                <w:lang w:eastAsia="en-AU"/>
              </w:rPr>
              <w:t xml:space="preserve">Melaleuca </w:t>
            </w:r>
            <w:proofErr w:type="spellStart"/>
            <w:r w:rsidRPr="000921FA">
              <w:rPr>
                <w:i/>
                <w:lang w:eastAsia="en-AU"/>
              </w:rPr>
              <w:t>viridiflora</w:t>
            </w:r>
            <w:proofErr w:type="spellEnd"/>
          </w:p>
        </w:tc>
        <w:tc>
          <w:tcPr>
            <w:tcW w:w="1559" w:type="dxa"/>
            <w:tcBorders>
              <w:top w:val="single" w:sz="4" w:space="0" w:color="auto"/>
              <w:left w:val="nil"/>
              <w:bottom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8.615</w:t>
            </w:r>
          </w:p>
        </w:tc>
        <w:tc>
          <w:tcPr>
            <w:tcW w:w="1276" w:type="dxa"/>
            <w:tcBorders>
              <w:top w:val="single" w:sz="4" w:space="0" w:color="auto"/>
              <w:left w:val="nil"/>
              <w:bottom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-0.356</w:t>
            </w:r>
          </w:p>
        </w:tc>
        <w:tc>
          <w:tcPr>
            <w:tcW w:w="1134" w:type="dxa"/>
            <w:tcBorders>
              <w:top w:val="single" w:sz="4" w:space="0" w:color="auto"/>
              <w:left w:val="nil"/>
              <w:bottom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-0.363</w:t>
            </w:r>
          </w:p>
        </w:tc>
        <w:tc>
          <w:tcPr>
            <w:tcW w:w="992" w:type="dxa"/>
            <w:tcBorders>
              <w:top w:val="single" w:sz="4" w:space="0" w:color="auto"/>
              <w:left w:val="nil"/>
              <w:bottom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-0.383</w:t>
            </w:r>
          </w:p>
        </w:tc>
        <w:tc>
          <w:tcPr>
            <w:tcW w:w="1169" w:type="dxa"/>
            <w:tcBorders>
              <w:top w:val="single" w:sz="4" w:space="0" w:color="auto"/>
              <w:left w:val="nil"/>
              <w:bottom w:val="nil"/>
              <w:right w:val="nil"/>
            </w:tcBorders>
            <w:shd w:val="clear" w:color="auto" w:fill="auto"/>
            <w:noWrap/>
            <w:vAlign w:val="bottom"/>
            <w:hideMark/>
          </w:tcPr>
          <w:p w:rsidR="00B36F09" w:rsidRPr="000921FA" w:rsidRDefault="00B36F09" w:rsidP="008F70D3">
            <w:pPr>
              <w:pStyle w:val="table2"/>
              <w:jc w:val="center"/>
              <w:rPr>
                <w:lang w:eastAsia="en-AU"/>
              </w:rPr>
            </w:pPr>
            <w:r w:rsidRPr="000921FA">
              <w:rPr>
                <w:lang w:eastAsia="en-AU"/>
              </w:rPr>
              <w:t>31.4</w:t>
            </w:r>
          </w:p>
        </w:tc>
      </w:tr>
      <w:tr w:rsidR="00B36F09" w:rsidRPr="000921FA" w:rsidTr="008F70D3">
        <w:trPr>
          <w:trHeight w:val="300"/>
        </w:trPr>
        <w:tc>
          <w:tcPr>
            <w:tcW w:w="2142" w:type="dxa"/>
            <w:tcBorders>
              <w:top w:val="nil"/>
              <w:left w:val="nil"/>
              <w:bottom w:val="nil"/>
              <w:right w:val="nil"/>
            </w:tcBorders>
            <w:shd w:val="clear" w:color="auto" w:fill="auto"/>
            <w:noWrap/>
            <w:vAlign w:val="bottom"/>
            <w:hideMark/>
          </w:tcPr>
          <w:p w:rsidR="00B36F09" w:rsidRPr="000921FA" w:rsidRDefault="00B36F09" w:rsidP="008F70D3">
            <w:pPr>
              <w:pStyle w:val="table2"/>
              <w:rPr>
                <w:i/>
                <w:lang w:eastAsia="en-AU"/>
              </w:rPr>
            </w:pPr>
            <w:proofErr w:type="spellStart"/>
            <w:r w:rsidRPr="000921FA">
              <w:rPr>
                <w:i/>
                <w:lang w:eastAsia="en-AU"/>
              </w:rPr>
              <w:t>Pandanus</w:t>
            </w:r>
            <w:proofErr w:type="spellEnd"/>
            <w:r w:rsidRPr="000921FA">
              <w:rPr>
                <w:i/>
                <w:lang w:eastAsia="en-AU"/>
              </w:rPr>
              <w:t xml:space="preserve"> </w:t>
            </w:r>
            <w:proofErr w:type="spellStart"/>
            <w:r w:rsidRPr="000921FA">
              <w:rPr>
                <w:i/>
                <w:lang w:eastAsia="en-AU"/>
              </w:rPr>
              <w:t>spiralis</w:t>
            </w:r>
            <w:proofErr w:type="spellEnd"/>
          </w:p>
        </w:tc>
        <w:tc>
          <w:tcPr>
            <w:tcW w:w="1559" w:type="dxa"/>
            <w:tcBorders>
              <w:top w:val="nil"/>
              <w:left w:val="nil"/>
              <w:bottom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7.661</w:t>
            </w:r>
          </w:p>
        </w:tc>
        <w:tc>
          <w:tcPr>
            <w:tcW w:w="1276" w:type="dxa"/>
            <w:tcBorders>
              <w:top w:val="nil"/>
              <w:left w:val="nil"/>
              <w:bottom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-0.277</w:t>
            </w:r>
          </w:p>
        </w:tc>
        <w:tc>
          <w:tcPr>
            <w:tcW w:w="1134" w:type="dxa"/>
            <w:tcBorders>
              <w:top w:val="nil"/>
              <w:left w:val="nil"/>
              <w:bottom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-0.646</w:t>
            </w:r>
          </w:p>
        </w:tc>
        <w:tc>
          <w:tcPr>
            <w:tcW w:w="992" w:type="dxa"/>
            <w:tcBorders>
              <w:top w:val="nil"/>
              <w:left w:val="nil"/>
              <w:bottom w:val="nil"/>
              <w:right w:val="nil"/>
            </w:tcBorders>
            <w:shd w:val="clear" w:color="auto" w:fill="auto"/>
            <w:noWrap/>
            <w:vAlign w:val="bottom"/>
            <w:hideMark/>
          </w:tcPr>
          <w:p w:rsidR="00B36F09" w:rsidRPr="000921FA" w:rsidRDefault="00B36F09" w:rsidP="008F70D3">
            <w:pPr>
              <w:pStyle w:val="table2"/>
              <w:rPr>
                <w:lang w:eastAsia="en-AU"/>
              </w:rPr>
            </w:pPr>
          </w:p>
        </w:tc>
        <w:tc>
          <w:tcPr>
            <w:tcW w:w="1169" w:type="dxa"/>
            <w:tcBorders>
              <w:top w:val="nil"/>
              <w:left w:val="nil"/>
              <w:bottom w:val="nil"/>
              <w:right w:val="nil"/>
            </w:tcBorders>
            <w:shd w:val="clear" w:color="auto" w:fill="auto"/>
            <w:noWrap/>
            <w:vAlign w:val="bottom"/>
            <w:hideMark/>
          </w:tcPr>
          <w:p w:rsidR="00B36F09" w:rsidRPr="000921FA" w:rsidRDefault="00B36F09" w:rsidP="008F70D3">
            <w:pPr>
              <w:pStyle w:val="table2"/>
              <w:jc w:val="center"/>
              <w:rPr>
                <w:lang w:eastAsia="en-AU"/>
              </w:rPr>
            </w:pPr>
            <w:r w:rsidRPr="000921FA">
              <w:rPr>
                <w:lang w:eastAsia="en-AU"/>
              </w:rPr>
              <w:t>28.7</w:t>
            </w:r>
          </w:p>
        </w:tc>
      </w:tr>
      <w:tr w:rsidR="00B36F09" w:rsidRPr="000921FA" w:rsidTr="008F70D3">
        <w:trPr>
          <w:trHeight w:val="300"/>
        </w:trPr>
        <w:tc>
          <w:tcPr>
            <w:tcW w:w="2142" w:type="dxa"/>
            <w:tcBorders>
              <w:top w:val="nil"/>
              <w:left w:val="nil"/>
              <w:right w:val="nil"/>
            </w:tcBorders>
            <w:shd w:val="clear" w:color="auto" w:fill="auto"/>
            <w:noWrap/>
            <w:vAlign w:val="bottom"/>
            <w:hideMark/>
          </w:tcPr>
          <w:p w:rsidR="00B36F09" w:rsidRPr="000921FA" w:rsidRDefault="00B36F09" w:rsidP="008F70D3">
            <w:pPr>
              <w:pStyle w:val="table2"/>
              <w:rPr>
                <w:i/>
                <w:lang w:eastAsia="en-AU"/>
              </w:rPr>
            </w:pPr>
            <w:r w:rsidRPr="000921FA">
              <w:rPr>
                <w:i/>
                <w:lang w:eastAsia="en-AU"/>
              </w:rPr>
              <w:t xml:space="preserve">Eucalyptus </w:t>
            </w:r>
            <w:proofErr w:type="spellStart"/>
            <w:r w:rsidRPr="000921FA">
              <w:rPr>
                <w:i/>
                <w:lang w:eastAsia="en-AU"/>
              </w:rPr>
              <w:t>tetrodonta</w:t>
            </w:r>
            <w:proofErr w:type="spellEnd"/>
          </w:p>
        </w:tc>
        <w:tc>
          <w:tcPr>
            <w:tcW w:w="1559" w:type="dxa"/>
            <w:tcBorders>
              <w:top w:val="nil"/>
              <w:left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-9.180</w:t>
            </w:r>
          </w:p>
        </w:tc>
        <w:tc>
          <w:tcPr>
            <w:tcW w:w="1276" w:type="dxa"/>
            <w:tcBorders>
              <w:top w:val="nil"/>
              <w:left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0.282</w:t>
            </w:r>
          </w:p>
        </w:tc>
        <w:tc>
          <w:tcPr>
            <w:tcW w:w="1134" w:type="dxa"/>
            <w:tcBorders>
              <w:top w:val="nil"/>
              <w:left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0.484</w:t>
            </w:r>
          </w:p>
        </w:tc>
        <w:tc>
          <w:tcPr>
            <w:tcW w:w="992" w:type="dxa"/>
            <w:tcBorders>
              <w:top w:val="nil"/>
              <w:left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0.348</w:t>
            </w:r>
          </w:p>
        </w:tc>
        <w:tc>
          <w:tcPr>
            <w:tcW w:w="1169" w:type="dxa"/>
            <w:tcBorders>
              <w:top w:val="nil"/>
              <w:left w:val="nil"/>
              <w:right w:val="nil"/>
            </w:tcBorders>
            <w:shd w:val="clear" w:color="auto" w:fill="auto"/>
            <w:noWrap/>
            <w:vAlign w:val="bottom"/>
            <w:hideMark/>
          </w:tcPr>
          <w:p w:rsidR="00B36F09" w:rsidRPr="000921FA" w:rsidRDefault="00B36F09" w:rsidP="008F70D3">
            <w:pPr>
              <w:pStyle w:val="table2"/>
              <w:jc w:val="center"/>
              <w:rPr>
                <w:lang w:eastAsia="en-AU"/>
              </w:rPr>
            </w:pPr>
            <w:r w:rsidRPr="000921FA">
              <w:rPr>
                <w:lang w:eastAsia="en-AU"/>
              </w:rPr>
              <w:t>28.3</w:t>
            </w:r>
          </w:p>
        </w:tc>
      </w:tr>
      <w:tr w:rsidR="00B36F09" w:rsidRPr="000921FA" w:rsidTr="008F70D3">
        <w:trPr>
          <w:trHeight w:val="300"/>
        </w:trPr>
        <w:tc>
          <w:tcPr>
            <w:tcW w:w="2142" w:type="dxa"/>
            <w:tcBorders>
              <w:top w:val="nil"/>
              <w:left w:val="nil"/>
              <w:right w:val="nil"/>
            </w:tcBorders>
            <w:shd w:val="clear" w:color="auto" w:fill="auto"/>
            <w:noWrap/>
            <w:vAlign w:val="bottom"/>
            <w:hideMark/>
          </w:tcPr>
          <w:p w:rsidR="00B36F09" w:rsidRPr="000921FA" w:rsidRDefault="00B36F09" w:rsidP="008F70D3">
            <w:pPr>
              <w:pStyle w:val="table2"/>
              <w:rPr>
                <w:i/>
                <w:lang w:eastAsia="en-AU"/>
              </w:rPr>
            </w:pPr>
            <w:r w:rsidRPr="000921FA">
              <w:rPr>
                <w:i/>
                <w:lang w:eastAsia="en-AU"/>
              </w:rPr>
              <w:t xml:space="preserve">Acacia </w:t>
            </w:r>
            <w:proofErr w:type="spellStart"/>
            <w:r w:rsidRPr="000921FA">
              <w:rPr>
                <w:i/>
                <w:lang w:eastAsia="en-AU"/>
              </w:rPr>
              <w:t>mimula</w:t>
            </w:r>
            <w:proofErr w:type="spellEnd"/>
          </w:p>
        </w:tc>
        <w:tc>
          <w:tcPr>
            <w:tcW w:w="1559" w:type="dxa"/>
            <w:tcBorders>
              <w:top w:val="nil"/>
              <w:left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-7.000</w:t>
            </w:r>
          </w:p>
        </w:tc>
        <w:tc>
          <w:tcPr>
            <w:tcW w:w="1276" w:type="dxa"/>
            <w:tcBorders>
              <w:top w:val="nil"/>
              <w:left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0.261</w:t>
            </w:r>
          </w:p>
        </w:tc>
        <w:tc>
          <w:tcPr>
            <w:tcW w:w="1134" w:type="dxa"/>
            <w:tcBorders>
              <w:top w:val="nil"/>
              <w:left w:val="nil"/>
              <w:right w:val="nil"/>
            </w:tcBorders>
            <w:shd w:val="clear" w:color="auto" w:fill="auto"/>
            <w:noWrap/>
            <w:vAlign w:val="bottom"/>
            <w:hideMark/>
          </w:tcPr>
          <w:p w:rsidR="00B36F09" w:rsidRPr="000921FA" w:rsidRDefault="00B36F09" w:rsidP="008F70D3">
            <w:pPr>
              <w:pStyle w:val="table2"/>
              <w:rPr>
                <w:lang w:eastAsia="en-AU"/>
              </w:rPr>
            </w:pPr>
            <w:r w:rsidRPr="000921FA">
              <w:rPr>
                <w:lang w:eastAsia="en-AU"/>
              </w:rPr>
              <w:t>0.262</w:t>
            </w:r>
          </w:p>
        </w:tc>
        <w:tc>
          <w:tcPr>
            <w:tcW w:w="992" w:type="dxa"/>
            <w:tcBorders>
              <w:top w:val="nil"/>
              <w:left w:val="nil"/>
              <w:right w:val="nil"/>
            </w:tcBorders>
            <w:shd w:val="clear" w:color="auto" w:fill="auto"/>
            <w:noWrap/>
            <w:vAlign w:val="bottom"/>
            <w:hideMark/>
          </w:tcPr>
          <w:p w:rsidR="00B36F09" w:rsidRPr="000921FA" w:rsidRDefault="00B36F09" w:rsidP="008F70D3">
            <w:pPr>
              <w:pStyle w:val="table2"/>
              <w:rPr>
                <w:lang w:eastAsia="en-AU"/>
              </w:rPr>
            </w:pPr>
          </w:p>
        </w:tc>
        <w:tc>
          <w:tcPr>
            <w:tcW w:w="1169" w:type="dxa"/>
            <w:tcBorders>
              <w:top w:val="nil"/>
              <w:left w:val="nil"/>
              <w:right w:val="nil"/>
            </w:tcBorders>
            <w:shd w:val="clear" w:color="auto" w:fill="auto"/>
            <w:noWrap/>
            <w:vAlign w:val="bottom"/>
            <w:hideMark/>
          </w:tcPr>
          <w:p w:rsidR="00B36F09" w:rsidRPr="000921FA" w:rsidRDefault="00B36F09" w:rsidP="008F70D3">
            <w:pPr>
              <w:pStyle w:val="table2"/>
              <w:jc w:val="center"/>
              <w:rPr>
                <w:lang w:eastAsia="en-AU"/>
              </w:rPr>
            </w:pPr>
            <w:r w:rsidRPr="000921FA">
              <w:rPr>
                <w:lang w:eastAsia="en-AU"/>
              </w:rPr>
              <w:t>19.6</w:t>
            </w:r>
          </w:p>
        </w:tc>
      </w:tr>
      <w:tr w:rsidR="00B36F09" w:rsidRPr="000921FA" w:rsidTr="008F70D3">
        <w:trPr>
          <w:trHeight w:val="300"/>
        </w:trPr>
        <w:tc>
          <w:tcPr>
            <w:tcW w:w="2142" w:type="dxa"/>
            <w:tcBorders>
              <w:top w:val="nil"/>
              <w:left w:val="nil"/>
              <w:bottom w:val="nil"/>
              <w:right w:val="nil"/>
            </w:tcBorders>
            <w:shd w:val="clear" w:color="auto" w:fill="FFFFFF"/>
            <w:noWrap/>
            <w:vAlign w:val="bottom"/>
            <w:hideMark/>
          </w:tcPr>
          <w:p w:rsidR="00B36F09" w:rsidRPr="000921FA" w:rsidRDefault="00B36F09" w:rsidP="008F70D3">
            <w:pPr>
              <w:pStyle w:val="table2"/>
              <w:rPr>
                <w:i/>
                <w:lang w:eastAsia="en-AU"/>
              </w:rPr>
            </w:pPr>
            <w:proofErr w:type="spellStart"/>
            <w:r w:rsidRPr="000921FA">
              <w:rPr>
                <w:i/>
                <w:lang w:eastAsia="en-AU"/>
              </w:rPr>
              <w:t>Corymbia</w:t>
            </w:r>
            <w:proofErr w:type="spellEnd"/>
            <w:r w:rsidRPr="000921FA">
              <w:rPr>
                <w:i/>
                <w:lang w:eastAsia="en-AU"/>
              </w:rPr>
              <w:t xml:space="preserve"> </w:t>
            </w:r>
            <w:proofErr w:type="spellStart"/>
            <w:r w:rsidRPr="000921FA">
              <w:rPr>
                <w:i/>
                <w:lang w:eastAsia="en-AU"/>
              </w:rPr>
              <w:t>bleeseri</w:t>
            </w:r>
            <w:proofErr w:type="spellEnd"/>
            <w:r w:rsidRPr="000921FA">
              <w:rPr>
                <w:i/>
                <w:lang w:eastAsia="en-AU"/>
              </w:rPr>
              <w:t xml:space="preserve"> </w:t>
            </w:r>
          </w:p>
        </w:tc>
        <w:tc>
          <w:tcPr>
            <w:tcW w:w="1559"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-5.113</w:t>
            </w:r>
          </w:p>
        </w:tc>
        <w:tc>
          <w:tcPr>
            <w:tcW w:w="1276"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0.136</w:t>
            </w:r>
          </w:p>
        </w:tc>
        <w:tc>
          <w:tcPr>
            <w:tcW w:w="1134"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992"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0.185</w:t>
            </w:r>
          </w:p>
        </w:tc>
        <w:tc>
          <w:tcPr>
            <w:tcW w:w="1169" w:type="dxa"/>
            <w:tcBorders>
              <w:top w:val="nil"/>
              <w:left w:val="nil"/>
              <w:bottom w:val="nil"/>
              <w:right w:val="nil"/>
            </w:tcBorders>
            <w:shd w:val="clear" w:color="auto" w:fill="FFFFFF"/>
            <w:noWrap/>
            <w:vAlign w:val="bottom"/>
            <w:hideMark/>
          </w:tcPr>
          <w:p w:rsidR="00B36F09" w:rsidRPr="000921FA" w:rsidRDefault="00B36F09" w:rsidP="008F70D3">
            <w:pPr>
              <w:pStyle w:val="table2"/>
              <w:jc w:val="center"/>
              <w:rPr>
                <w:lang w:eastAsia="en-AU"/>
              </w:rPr>
            </w:pPr>
            <w:r w:rsidRPr="000921FA">
              <w:rPr>
                <w:lang w:eastAsia="en-AU"/>
              </w:rPr>
              <w:t>11.6</w:t>
            </w:r>
          </w:p>
        </w:tc>
      </w:tr>
      <w:tr w:rsidR="00B36F09" w:rsidRPr="000921FA" w:rsidTr="008F70D3">
        <w:trPr>
          <w:trHeight w:val="300"/>
        </w:trPr>
        <w:tc>
          <w:tcPr>
            <w:tcW w:w="2142" w:type="dxa"/>
            <w:tcBorders>
              <w:top w:val="nil"/>
              <w:left w:val="nil"/>
              <w:bottom w:val="nil"/>
              <w:right w:val="nil"/>
            </w:tcBorders>
            <w:shd w:val="clear" w:color="auto" w:fill="FFFFFF"/>
            <w:noWrap/>
            <w:vAlign w:val="bottom"/>
            <w:hideMark/>
          </w:tcPr>
          <w:p w:rsidR="00B36F09" w:rsidRPr="000921FA" w:rsidRDefault="00B36F09" w:rsidP="008F70D3">
            <w:pPr>
              <w:pStyle w:val="table2"/>
              <w:rPr>
                <w:i/>
                <w:lang w:eastAsia="en-AU"/>
              </w:rPr>
            </w:pPr>
            <w:proofErr w:type="spellStart"/>
            <w:r w:rsidRPr="000921FA">
              <w:rPr>
                <w:i/>
                <w:lang w:eastAsia="en-AU"/>
              </w:rPr>
              <w:t>Planchonia</w:t>
            </w:r>
            <w:proofErr w:type="spellEnd"/>
            <w:r w:rsidRPr="000921FA">
              <w:rPr>
                <w:i/>
                <w:lang w:eastAsia="en-AU"/>
              </w:rPr>
              <w:t xml:space="preserve"> </w:t>
            </w:r>
            <w:proofErr w:type="spellStart"/>
            <w:r w:rsidRPr="000921FA">
              <w:rPr>
                <w:i/>
                <w:lang w:eastAsia="en-AU"/>
              </w:rPr>
              <w:t>careya</w:t>
            </w:r>
            <w:proofErr w:type="spellEnd"/>
          </w:p>
        </w:tc>
        <w:tc>
          <w:tcPr>
            <w:tcW w:w="1559"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4.149</w:t>
            </w:r>
          </w:p>
        </w:tc>
        <w:tc>
          <w:tcPr>
            <w:tcW w:w="1276"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-0.188</w:t>
            </w:r>
          </w:p>
        </w:tc>
        <w:tc>
          <w:tcPr>
            <w:tcW w:w="1134"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992"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1169" w:type="dxa"/>
            <w:tcBorders>
              <w:top w:val="nil"/>
              <w:left w:val="nil"/>
              <w:bottom w:val="nil"/>
              <w:right w:val="nil"/>
            </w:tcBorders>
            <w:shd w:val="clear" w:color="auto" w:fill="FFFFFF"/>
            <w:noWrap/>
            <w:vAlign w:val="bottom"/>
            <w:hideMark/>
          </w:tcPr>
          <w:p w:rsidR="00B36F09" w:rsidRPr="000921FA" w:rsidRDefault="00B36F09" w:rsidP="008F70D3">
            <w:pPr>
              <w:pStyle w:val="table2"/>
              <w:jc w:val="center"/>
              <w:rPr>
                <w:lang w:eastAsia="en-AU"/>
              </w:rPr>
            </w:pPr>
            <w:r w:rsidRPr="000921FA">
              <w:rPr>
                <w:lang w:eastAsia="en-AU"/>
              </w:rPr>
              <w:t>10.1</w:t>
            </w:r>
          </w:p>
        </w:tc>
      </w:tr>
      <w:tr w:rsidR="00B36F09" w:rsidRPr="000921FA" w:rsidTr="008F70D3">
        <w:trPr>
          <w:trHeight w:val="300"/>
        </w:trPr>
        <w:tc>
          <w:tcPr>
            <w:tcW w:w="2142" w:type="dxa"/>
            <w:tcBorders>
              <w:top w:val="nil"/>
              <w:left w:val="nil"/>
              <w:bottom w:val="nil"/>
              <w:right w:val="nil"/>
            </w:tcBorders>
            <w:shd w:val="clear" w:color="auto" w:fill="FFFFFF"/>
            <w:noWrap/>
            <w:vAlign w:val="bottom"/>
            <w:hideMark/>
          </w:tcPr>
          <w:p w:rsidR="00B36F09" w:rsidRPr="000921FA" w:rsidRDefault="00B36F09" w:rsidP="008F70D3">
            <w:pPr>
              <w:pStyle w:val="table2"/>
              <w:rPr>
                <w:i/>
                <w:lang w:eastAsia="en-AU"/>
              </w:rPr>
            </w:pPr>
            <w:r w:rsidRPr="000921FA">
              <w:rPr>
                <w:i/>
                <w:lang w:eastAsia="en-AU"/>
              </w:rPr>
              <w:t xml:space="preserve">Eucalyptus </w:t>
            </w:r>
            <w:proofErr w:type="spellStart"/>
            <w:r w:rsidRPr="000921FA">
              <w:rPr>
                <w:i/>
                <w:lang w:eastAsia="en-AU"/>
              </w:rPr>
              <w:t>miniata</w:t>
            </w:r>
            <w:proofErr w:type="spellEnd"/>
          </w:p>
        </w:tc>
        <w:tc>
          <w:tcPr>
            <w:tcW w:w="1559"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-4.408</w:t>
            </w:r>
          </w:p>
        </w:tc>
        <w:tc>
          <w:tcPr>
            <w:tcW w:w="1276"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0.150</w:t>
            </w:r>
          </w:p>
        </w:tc>
        <w:tc>
          <w:tcPr>
            <w:tcW w:w="1134"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992"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0.151</w:t>
            </w:r>
          </w:p>
        </w:tc>
        <w:tc>
          <w:tcPr>
            <w:tcW w:w="1169" w:type="dxa"/>
            <w:tcBorders>
              <w:top w:val="nil"/>
              <w:left w:val="nil"/>
              <w:bottom w:val="nil"/>
              <w:right w:val="nil"/>
            </w:tcBorders>
            <w:shd w:val="clear" w:color="auto" w:fill="FFFFFF"/>
            <w:noWrap/>
            <w:vAlign w:val="bottom"/>
            <w:hideMark/>
          </w:tcPr>
          <w:p w:rsidR="00B36F09" w:rsidRPr="000921FA" w:rsidRDefault="00B36F09" w:rsidP="008F70D3">
            <w:pPr>
              <w:pStyle w:val="table2"/>
              <w:jc w:val="center"/>
              <w:rPr>
                <w:lang w:eastAsia="en-AU"/>
              </w:rPr>
            </w:pPr>
            <w:r w:rsidRPr="000921FA">
              <w:rPr>
                <w:lang w:eastAsia="en-AU"/>
              </w:rPr>
              <w:t>8.4</w:t>
            </w:r>
          </w:p>
        </w:tc>
      </w:tr>
      <w:tr w:rsidR="00B36F09" w:rsidRPr="000921FA" w:rsidTr="008F70D3">
        <w:trPr>
          <w:trHeight w:val="300"/>
        </w:trPr>
        <w:tc>
          <w:tcPr>
            <w:tcW w:w="2142" w:type="dxa"/>
            <w:tcBorders>
              <w:top w:val="nil"/>
              <w:left w:val="nil"/>
              <w:bottom w:val="nil"/>
              <w:right w:val="nil"/>
            </w:tcBorders>
            <w:shd w:val="clear" w:color="auto" w:fill="FFFFFF"/>
            <w:noWrap/>
            <w:vAlign w:val="bottom"/>
            <w:hideMark/>
          </w:tcPr>
          <w:p w:rsidR="00B36F09" w:rsidRPr="000921FA" w:rsidRDefault="00B36F09" w:rsidP="008F70D3">
            <w:pPr>
              <w:pStyle w:val="table2"/>
              <w:rPr>
                <w:i/>
                <w:lang w:eastAsia="en-AU"/>
              </w:rPr>
            </w:pPr>
            <w:proofErr w:type="spellStart"/>
            <w:r w:rsidRPr="000921FA">
              <w:rPr>
                <w:i/>
                <w:lang w:eastAsia="en-AU"/>
              </w:rPr>
              <w:t>Corymbia</w:t>
            </w:r>
            <w:proofErr w:type="spellEnd"/>
            <w:r w:rsidRPr="000921FA">
              <w:rPr>
                <w:i/>
                <w:lang w:eastAsia="en-AU"/>
              </w:rPr>
              <w:t xml:space="preserve"> </w:t>
            </w:r>
            <w:proofErr w:type="spellStart"/>
            <w:r w:rsidRPr="000921FA">
              <w:rPr>
                <w:i/>
                <w:lang w:eastAsia="en-AU"/>
              </w:rPr>
              <w:t>porrecta</w:t>
            </w:r>
            <w:proofErr w:type="spellEnd"/>
          </w:p>
        </w:tc>
        <w:tc>
          <w:tcPr>
            <w:tcW w:w="1559"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-3.587</w:t>
            </w:r>
          </w:p>
        </w:tc>
        <w:tc>
          <w:tcPr>
            <w:tcW w:w="1276"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0.134</w:t>
            </w:r>
          </w:p>
        </w:tc>
        <w:tc>
          <w:tcPr>
            <w:tcW w:w="1134"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992"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0.152</w:t>
            </w:r>
          </w:p>
        </w:tc>
        <w:tc>
          <w:tcPr>
            <w:tcW w:w="1169" w:type="dxa"/>
            <w:tcBorders>
              <w:top w:val="nil"/>
              <w:left w:val="nil"/>
              <w:bottom w:val="nil"/>
              <w:right w:val="nil"/>
            </w:tcBorders>
            <w:shd w:val="clear" w:color="auto" w:fill="FFFFFF"/>
            <w:noWrap/>
            <w:vAlign w:val="bottom"/>
            <w:hideMark/>
          </w:tcPr>
          <w:p w:rsidR="00B36F09" w:rsidRPr="000921FA" w:rsidRDefault="00B36F09" w:rsidP="008F70D3">
            <w:pPr>
              <w:pStyle w:val="table2"/>
              <w:jc w:val="center"/>
              <w:rPr>
                <w:lang w:eastAsia="en-AU"/>
              </w:rPr>
            </w:pPr>
            <w:r w:rsidRPr="000921FA">
              <w:rPr>
                <w:lang w:eastAsia="en-AU"/>
              </w:rPr>
              <w:t>8.2</w:t>
            </w:r>
          </w:p>
        </w:tc>
      </w:tr>
      <w:tr w:rsidR="00B36F09" w:rsidRPr="000921FA" w:rsidTr="008F70D3">
        <w:trPr>
          <w:trHeight w:val="300"/>
        </w:trPr>
        <w:tc>
          <w:tcPr>
            <w:tcW w:w="2142" w:type="dxa"/>
            <w:tcBorders>
              <w:top w:val="nil"/>
              <w:left w:val="nil"/>
              <w:bottom w:val="nil"/>
              <w:right w:val="nil"/>
            </w:tcBorders>
            <w:shd w:val="clear" w:color="auto" w:fill="FFFFFF"/>
            <w:noWrap/>
            <w:vAlign w:val="bottom"/>
            <w:hideMark/>
          </w:tcPr>
          <w:p w:rsidR="00B36F09" w:rsidRPr="000921FA" w:rsidRDefault="00B36F09" w:rsidP="008F70D3">
            <w:pPr>
              <w:pStyle w:val="table2"/>
              <w:rPr>
                <w:i/>
                <w:lang w:eastAsia="en-AU"/>
              </w:rPr>
            </w:pPr>
            <w:proofErr w:type="spellStart"/>
            <w:r w:rsidRPr="000921FA">
              <w:rPr>
                <w:i/>
                <w:lang w:eastAsia="en-AU"/>
              </w:rPr>
              <w:t>Terminalia</w:t>
            </w:r>
            <w:proofErr w:type="spellEnd"/>
            <w:r w:rsidRPr="000921FA">
              <w:rPr>
                <w:i/>
                <w:lang w:eastAsia="en-AU"/>
              </w:rPr>
              <w:t xml:space="preserve"> </w:t>
            </w:r>
            <w:proofErr w:type="spellStart"/>
            <w:r w:rsidRPr="000921FA">
              <w:rPr>
                <w:i/>
                <w:lang w:eastAsia="en-AU"/>
              </w:rPr>
              <w:t>pterocarya</w:t>
            </w:r>
            <w:proofErr w:type="spellEnd"/>
          </w:p>
        </w:tc>
        <w:tc>
          <w:tcPr>
            <w:tcW w:w="1559"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-4.840</w:t>
            </w:r>
          </w:p>
        </w:tc>
        <w:tc>
          <w:tcPr>
            <w:tcW w:w="1276"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0.144</w:t>
            </w:r>
          </w:p>
        </w:tc>
        <w:tc>
          <w:tcPr>
            <w:tcW w:w="1134"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992"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1169" w:type="dxa"/>
            <w:tcBorders>
              <w:top w:val="nil"/>
              <w:left w:val="nil"/>
              <w:bottom w:val="nil"/>
              <w:right w:val="nil"/>
            </w:tcBorders>
            <w:shd w:val="clear" w:color="auto" w:fill="FFFFFF"/>
            <w:noWrap/>
            <w:vAlign w:val="bottom"/>
            <w:hideMark/>
          </w:tcPr>
          <w:p w:rsidR="00B36F09" w:rsidRPr="000921FA" w:rsidRDefault="00B36F09" w:rsidP="008F70D3">
            <w:pPr>
              <w:pStyle w:val="table2"/>
              <w:jc w:val="center"/>
              <w:rPr>
                <w:lang w:eastAsia="en-AU"/>
              </w:rPr>
            </w:pPr>
            <w:r w:rsidRPr="000921FA">
              <w:rPr>
                <w:lang w:eastAsia="en-AU"/>
              </w:rPr>
              <w:t>5.6</w:t>
            </w:r>
          </w:p>
        </w:tc>
      </w:tr>
      <w:tr w:rsidR="00B36F09" w:rsidRPr="000921FA" w:rsidTr="008F70D3">
        <w:trPr>
          <w:trHeight w:val="300"/>
        </w:trPr>
        <w:tc>
          <w:tcPr>
            <w:tcW w:w="2142" w:type="dxa"/>
            <w:tcBorders>
              <w:top w:val="nil"/>
              <w:left w:val="nil"/>
              <w:bottom w:val="nil"/>
              <w:right w:val="nil"/>
            </w:tcBorders>
            <w:shd w:val="clear" w:color="auto" w:fill="FFFFFF"/>
            <w:noWrap/>
            <w:vAlign w:val="bottom"/>
            <w:hideMark/>
          </w:tcPr>
          <w:p w:rsidR="00B36F09" w:rsidRPr="000921FA" w:rsidRDefault="00B36F09" w:rsidP="008F70D3">
            <w:pPr>
              <w:pStyle w:val="table2"/>
              <w:rPr>
                <w:i/>
                <w:lang w:eastAsia="en-AU"/>
              </w:rPr>
            </w:pPr>
            <w:proofErr w:type="spellStart"/>
            <w:r w:rsidRPr="000921FA">
              <w:rPr>
                <w:i/>
                <w:lang w:eastAsia="en-AU"/>
              </w:rPr>
              <w:t>Terminalia</w:t>
            </w:r>
            <w:proofErr w:type="spellEnd"/>
            <w:r w:rsidRPr="000921FA">
              <w:rPr>
                <w:i/>
                <w:lang w:eastAsia="en-AU"/>
              </w:rPr>
              <w:t xml:space="preserve"> </w:t>
            </w:r>
            <w:proofErr w:type="spellStart"/>
            <w:r w:rsidRPr="000921FA">
              <w:rPr>
                <w:i/>
                <w:lang w:eastAsia="en-AU"/>
              </w:rPr>
              <w:t>ferdinandiana</w:t>
            </w:r>
            <w:proofErr w:type="spellEnd"/>
          </w:p>
        </w:tc>
        <w:tc>
          <w:tcPr>
            <w:tcW w:w="1559"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-1.063</w:t>
            </w:r>
          </w:p>
        </w:tc>
        <w:tc>
          <w:tcPr>
            <w:tcW w:w="1276"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1134"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r w:rsidRPr="000921FA">
              <w:rPr>
                <w:lang w:eastAsia="en-AU"/>
              </w:rPr>
              <w:t>0.179</w:t>
            </w:r>
          </w:p>
        </w:tc>
        <w:tc>
          <w:tcPr>
            <w:tcW w:w="992"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1169" w:type="dxa"/>
            <w:tcBorders>
              <w:top w:val="nil"/>
              <w:left w:val="nil"/>
              <w:bottom w:val="nil"/>
              <w:right w:val="nil"/>
            </w:tcBorders>
            <w:shd w:val="clear" w:color="auto" w:fill="FFFFFF"/>
            <w:noWrap/>
            <w:vAlign w:val="bottom"/>
            <w:hideMark/>
          </w:tcPr>
          <w:p w:rsidR="00B36F09" w:rsidRPr="000921FA" w:rsidRDefault="00B36F09" w:rsidP="008F70D3">
            <w:pPr>
              <w:pStyle w:val="table2"/>
              <w:jc w:val="center"/>
              <w:rPr>
                <w:lang w:eastAsia="en-AU"/>
              </w:rPr>
            </w:pPr>
            <w:r w:rsidRPr="000921FA">
              <w:rPr>
                <w:lang w:eastAsia="en-AU"/>
              </w:rPr>
              <w:t>2.2</w:t>
            </w:r>
          </w:p>
        </w:tc>
      </w:tr>
      <w:tr w:rsidR="00B36F09" w:rsidRPr="000921FA" w:rsidTr="008F70D3">
        <w:trPr>
          <w:trHeight w:val="300"/>
        </w:trPr>
        <w:tc>
          <w:tcPr>
            <w:tcW w:w="2142" w:type="dxa"/>
            <w:tcBorders>
              <w:top w:val="nil"/>
              <w:left w:val="nil"/>
              <w:bottom w:val="nil"/>
              <w:right w:val="nil"/>
            </w:tcBorders>
            <w:shd w:val="clear" w:color="auto" w:fill="FFFFFF"/>
            <w:noWrap/>
            <w:vAlign w:val="bottom"/>
            <w:hideMark/>
          </w:tcPr>
          <w:p w:rsidR="00B36F09" w:rsidRPr="000921FA" w:rsidRDefault="00B36F09" w:rsidP="008F70D3">
            <w:pPr>
              <w:pStyle w:val="table2"/>
              <w:rPr>
                <w:i/>
                <w:lang w:eastAsia="en-AU"/>
              </w:rPr>
            </w:pPr>
            <w:proofErr w:type="spellStart"/>
            <w:r w:rsidRPr="000921FA">
              <w:rPr>
                <w:i/>
                <w:lang w:eastAsia="en-AU"/>
              </w:rPr>
              <w:t>Cochlospermum</w:t>
            </w:r>
            <w:proofErr w:type="spellEnd"/>
            <w:r w:rsidRPr="000921FA">
              <w:rPr>
                <w:i/>
                <w:lang w:eastAsia="en-AU"/>
              </w:rPr>
              <w:t xml:space="preserve"> </w:t>
            </w:r>
            <w:proofErr w:type="spellStart"/>
            <w:r w:rsidRPr="000921FA">
              <w:rPr>
                <w:i/>
                <w:lang w:eastAsia="en-AU"/>
              </w:rPr>
              <w:t>fraseri</w:t>
            </w:r>
            <w:proofErr w:type="spellEnd"/>
          </w:p>
        </w:tc>
        <w:tc>
          <w:tcPr>
            <w:tcW w:w="1559"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1276"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1134"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992"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1169" w:type="dxa"/>
            <w:tcBorders>
              <w:top w:val="nil"/>
              <w:left w:val="nil"/>
              <w:bottom w:val="nil"/>
              <w:right w:val="nil"/>
            </w:tcBorders>
            <w:shd w:val="clear" w:color="auto" w:fill="FFFFFF"/>
            <w:noWrap/>
            <w:vAlign w:val="bottom"/>
            <w:hideMark/>
          </w:tcPr>
          <w:p w:rsidR="00B36F09" w:rsidRPr="000921FA" w:rsidRDefault="00B36F09" w:rsidP="008F70D3">
            <w:pPr>
              <w:pStyle w:val="table2"/>
              <w:jc w:val="center"/>
              <w:rPr>
                <w:lang w:eastAsia="en-AU"/>
              </w:rPr>
            </w:pPr>
            <w:r w:rsidRPr="000921FA">
              <w:rPr>
                <w:lang w:eastAsia="en-AU"/>
              </w:rPr>
              <w:t>0</w:t>
            </w:r>
          </w:p>
        </w:tc>
      </w:tr>
      <w:tr w:rsidR="00B36F09" w:rsidRPr="000921FA" w:rsidTr="008F70D3">
        <w:trPr>
          <w:trHeight w:val="300"/>
        </w:trPr>
        <w:tc>
          <w:tcPr>
            <w:tcW w:w="2142" w:type="dxa"/>
            <w:tcBorders>
              <w:top w:val="nil"/>
              <w:left w:val="nil"/>
              <w:bottom w:val="nil"/>
              <w:right w:val="nil"/>
            </w:tcBorders>
            <w:shd w:val="clear" w:color="auto" w:fill="FFFFFF"/>
            <w:noWrap/>
            <w:vAlign w:val="bottom"/>
            <w:hideMark/>
          </w:tcPr>
          <w:p w:rsidR="00B36F09" w:rsidRPr="000921FA" w:rsidRDefault="00B36F09" w:rsidP="008F70D3">
            <w:pPr>
              <w:pStyle w:val="table2"/>
              <w:rPr>
                <w:i/>
                <w:lang w:eastAsia="en-AU"/>
              </w:rPr>
            </w:pPr>
            <w:proofErr w:type="spellStart"/>
            <w:r w:rsidRPr="000921FA">
              <w:rPr>
                <w:i/>
                <w:lang w:eastAsia="en-AU"/>
              </w:rPr>
              <w:t>Xanthostemon</w:t>
            </w:r>
            <w:proofErr w:type="spellEnd"/>
            <w:r w:rsidRPr="000921FA">
              <w:rPr>
                <w:i/>
                <w:lang w:eastAsia="en-AU"/>
              </w:rPr>
              <w:t xml:space="preserve"> </w:t>
            </w:r>
            <w:proofErr w:type="spellStart"/>
            <w:r w:rsidRPr="000921FA">
              <w:rPr>
                <w:i/>
                <w:lang w:eastAsia="en-AU"/>
              </w:rPr>
              <w:t>paradoxus</w:t>
            </w:r>
            <w:proofErr w:type="spellEnd"/>
          </w:p>
        </w:tc>
        <w:tc>
          <w:tcPr>
            <w:tcW w:w="1559"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1276"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1134"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992" w:type="dxa"/>
            <w:tcBorders>
              <w:top w:val="nil"/>
              <w:left w:val="nil"/>
              <w:bottom w:val="nil"/>
              <w:right w:val="nil"/>
            </w:tcBorders>
            <w:shd w:val="clear" w:color="auto" w:fill="FFFFFF"/>
            <w:noWrap/>
            <w:vAlign w:val="bottom"/>
            <w:hideMark/>
          </w:tcPr>
          <w:p w:rsidR="00B36F09" w:rsidRPr="000921FA" w:rsidRDefault="00B36F09" w:rsidP="008F70D3">
            <w:pPr>
              <w:pStyle w:val="table2"/>
              <w:rPr>
                <w:lang w:eastAsia="en-AU"/>
              </w:rPr>
            </w:pPr>
          </w:p>
        </w:tc>
        <w:tc>
          <w:tcPr>
            <w:tcW w:w="1169" w:type="dxa"/>
            <w:tcBorders>
              <w:top w:val="nil"/>
              <w:left w:val="nil"/>
              <w:bottom w:val="nil"/>
              <w:right w:val="nil"/>
            </w:tcBorders>
            <w:shd w:val="clear" w:color="auto" w:fill="FFFFFF"/>
            <w:noWrap/>
            <w:vAlign w:val="bottom"/>
            <w:hideMark/>
          </w:tcPr>
          <w:p w:rsidR="00B36F09" w:rsidRPr="000921FA" w:rsidRDefault="00B36F09" w:rsidP="008F70D3">
            <w:pPr>
              <w:pStyle w:val="table2"/>
              <w:jc w:val="center"/>
              <w:rPr>
                <w:lang w:eastAsia="en-AU"/>
              </w:rPr>
            </w:pPr>
            <w:r w:rsidRPr="000921FA">
              <w:rPr>
                <w:lang w:eastAsia="en-AU"/>
              </w:rPr>
              <w:t>0</w:t>
            </w:r>
          </w:p>
        </w:tc>
      </w:tr>
      <w:tr w:rsidR="00B36F09" w:rsidRPr="000921FA" w:rsidTr="008F70D3">
        <w:trPr>
          <w:trHeight w:val="300"/>
        </w:trPr>
        <w:tc>
          <w:tcPr>
            <w:tcW w:w="2142" w:type="dxa"/>
            <w:tcBorders>
              <w:top w:val="nil"/>
              <w:left w:val="nil"/>
              <w:bottom w:val="nil"/>
              <w:right w:val="nil"/>
            </w:tcBorders>
            <w:shd w:val="clear" w:color="auto" w:fill="auto"/>
            <w:noWrap/>
            <w:vAlign w:val="bottom"/>
            <w:hideMark/>
          </w:tcPr>
          <w:p w:rsidR="00B36F09" w:rsidRPr="000921FA" w:rsidRDefault="00B36F09" w:rsidP="008F70D3">
            <w:pPr>
              <w:pStyle w:val="table2"/>
              <w:rPr>
                <w:i/>
                <w:lang w:eastAsia="en-AU"/>
              </w:rPr>
            </w:pPr>
            <w:proofErr w:type="spellStart"/>
            <w:r w:rsidRPr="000921FA">
              <w:rPr>
                <w:i/>
                <w:lang w:eastAsia="en-AU"/>
              </w:rPr>
              <w:t>Corymbia</w:t>
            </w:r>
            <w:proofErr w:type="spellEnd"/>
            <w:r w:rsidRPr="000921FA">
              <w:rPr>
                <w:i/>
                <w:lang w:eastAsia="en-AU"/>
              </w:rPr>
              <w:t xml:space="preserve"> </w:t>
            </w:r>
            <w:proofErr w:type="spellStart"/>
            <w:r w:rsidRPr="000921FA">
              <w:rPr>
                <w:i/>
                <w:lang w:eastAsia="en-AU"/>
              </w:rPr>
              <w:t>disjuncta</w:t>
            </w:r>
            <w:proofErr w:type="spellEnd"/>
          </w:p>
        </w:tc>
        <w:tc>
          <w:tcPr>
            <w:tcW w:w="1559" w:type="dxa"/>
            <w:tcBorders>
              <w:top w:val="nil"/>
              <w:left w:val="nil"/>
              <w:bottom w:val="nil"/>
              <w:right w:val="nil"/>
            </w:tcBorders>
            <w:shd w:val="clear" w:color="auto" w:fill="auto"/>
            <w:noWrap/>
            <w:vAlign w:val="bottom"/>
            <w:hideMark/>
          </w:tcPr>
          <w:p w:rsidR="00B36F09" w:rsidRPr="000921FA" w:rsidRDefault="00B36F09" w:rsidP="008F70D3">
            <w:pPr>
              <w:pStyle w:val="table2"/>
              <w:rPr>
                <w:lang w:eastAsia="en-AU"/>
              </w:rPr>
            </w:pPr>
          </w:p>
        </w:tc>
        <w:tc>
          <w:tcPr>
            <w:tcW w:w="1276" w:type="dxa"/>
            <w:tcBorders>
              <w:top w:val="nil"/>
              <w:left w:val="nil"/>
              <w:bottom w:val="nil"/>
              <w:right w:val="nil"/>
            </w:tcBorders>
            <w:shd w:val="clear" w:color="auto" w:fill="auto"/>
            <w:noWrap/>
            <w:vAlign w:val="bottom"/>
            <w:hideMark/>
          </w:tcPr>
          <w:p w:rsidR="00B36F09" w:rsidRPr="000921FA" w:rsidRDefault="00B36F09" w:rsidP="008F70D3">
            <w:pPr>
              <w:pStyle w:val="table2"/>
              <w:rPr>
                <w:lang w:eastAsia="en-AU"/>
              </w:rPr>
            </w:pPr>
          </w:p>
        </w:tc>
        <w:tc>
          <w:tcPr>
            <w:tcW w:w="1134" w:type="dxa"/>
            <w:tcBorders>
              <w:top w:val="nil"/>
              <w:left w:val="nil"/>
              <w:bottom w:val="nil"/>
              <w:right w:val="nil"/>
            </w:tcBorders>
            <w:shd w:val="clear" w:color="auto" w:fill="auto"/>
            <w:noWrap/>
            <w:vAlign w:val="bottom"/>
            <w:hideMark/>
          </w:tcPr>
          <w:p w:rsidR="00B36F09" w:rsidRPr="000921FA" w:rsidRDefault="00B36F09" w:rsidP="008F70D3">
            <w:pPr>
              <w:pStyle w:val="table2"/>
              <w:rPr>
                <w:lang w:eastAsia="en-AU"/>
              </w:rPr>
            </w:pPr>
          </w:p>
        </w:tc>
        <w:tc>
          <w:tcPr>
            <w:tcW w:w="992" w:type="dxa"/>
            <w:tcBorders>
              <w:top w:val="nil"/>
              <w:left w:val="nil"/>
              <w:bottom w:val="nil"/>
              <w:right w:val="nil"/>
            </w:tcBorders>
            <w:shd w:val="clear" w:color="auto" w:fill="auto"/>
            <w:noWrap/>
            <w:vAlign w:val="bottom"/>
            <w:hideMark/>
          </w:tcPr>
          <w:p w:rsidR="00B36F09" w:rsidRPr="000921FA" w:rsidRDefault="00B36F09" w:rsidP="008F70D3">
            <w:pPr>
              <w:pStyle w:val="table2"/>
              <w:rPr>
                <w:lang w:eastAsia="en-AU"/>
              </w:rPr>
            </w:pPr>
          </w:p>
        </w:tc>
        <w:tc>
          <w:tcPr>
            <w:tcW w:w="1169" w:type="dxa"/>
            <w:tcBorders>
              <w:top w:val="nil"/>
              <w:left w:val="nil"/>
              <w:bottom w:val="nil"/>
              <w:right w:val="nil"/>
            </w:tcBorders>
            <w:shd w:val="clear" w:color="auto" w:fill="auto"/>
            <w:noWrap/>
            <w:vAlign w:val="bottom"/>
            <w:hideMark/>
          </w:tcPr>
          <w:p w:rsidR="00B36F09" w:rsidRPr="000921FA" w:rsidRDefault="00B36F09" w:rsidP="008F70D3">
            <w:pPr>
              <w:pStyle w:val="table2"/>
              <w:jc w:val="center"/>
              <w:rPr>
                <w:lang w:eastAsia="en-AU"/>
              </w:rPr>
            </w:pPr>
            <w:r w:rsidRPr="000921FA">
              <w:rPr>
                <w:lang w:eastAsia="en-AU"/>
              </w:rPr>
              <w:t>0</w:t>
            </w:r>
          </w:p>
        </w:tc>
      </w:tr>
      <w:tr w:rsidR="00B36F09" w:rsidRPr="000921FA" w:rsidTr="008F70D3">
        <w:trPr>
          <w:trHeight w:val="300"/>
        </w:trPr>
        <w:tc>
          <w:tcPr>
            <w:tcW w:w="2142" w:type="dxa"/>
            <w:tcBorders>
              <w:top w:val="nil"/>
              <w:left w:val="nil"/>
              <w:right w:val="nil"/>
            </w:tcBorders>
            <w:shd w:val="clear" w:color="auto" w:fill="auto"/>
            <w:noWrap/>
            <w:vAlign w:val="bottom"/>
            <w:hideMark/>
          </w:tcPr>
          <w:p w:rsidR="00B36F09" w:rsidRPr="000921FA" w:rsidRDefault="00B36F09" w:rsidP="008F70D3">
            <w:pPr>
              <w:pStyle w:val="table2"/>
              <w:rPr>
                <w:i/>
                <w:lang w:eastAsia="en-AU"/>
              </w:rPr>
            </w:pPr>
            <w:proofErr w:type="spellStart"/>
            <w:r w:rsidRPr="000921FA">
              <w:rPr>
                <w:i/>
                <w:lang w:eastAsia="en-AU"/>
              </w:rPr>
              <w:t>Corymbia</w:t>
            </w:r>
            <w:proofErr w:type="spellEnd"/>
            <w:r w:rsidRPr="000921FA">
              <w:rPr>
                <w:i/>
                <w:lang w:eastAsia="en-AU"/>
              </w:rPr>
              <w:t xml:space="preserve"> </w:t>
            </w:r>
            <w:proofErr w:type="spellStart"/>
            <w:r w:rsidRPr="000921FA">
              <w:rPr>
                <w:i/>
                <w:lang w:eastAsia="en-AU"/>
              </w:rPr>
              <w:t>foelscheana</w:t>
            </w:r>
            <w:proofErr w:type="spellEnd"/>
          </w:p>
        </w:tc>
        <w:tc>
          <w:tcPr>
            <w:tcW w:w="1559" w:type="dxa"/>
            <w:tcBorders>
              <w:top w:val="nil"/>
              <w:left w:val="nil"/>
              <w:right w:val="nil"/>
            </w:tcBorders>
            <w:shd w:val="clear" w:color="auto" w:fill="auto"/>
            <w:noWrap/>
            <w:vAlign w:val="bottom"/>
            <w:hideMark/>
          </w:tcPr>
          <w:p w:rsidR="00B36F09" w:rsidRPr="000921FA" w:rsidRDefault="00B36F09" w:rsidP="008F70D3">
            <w:pPr>
              <w:pStyle w:val="table2"/>
              <w:rPr>
                <w:lang w:eastAsia="en-AU"/>
              </w:rPr>
            </w:pPr>
          </w:p>
        </w:tc>
        <w:tc>
          <w:tcPr>
            <w:tcW w:w="1276" w:type="dxa"/>
            <w:tcBorders>
              <w:top w:val="nil"/>
              <w:left w:val="nil"/>
              <w:right w:val="nil"/>
            </w:tcBorders>
            <w:shd w:val="clear" w:color="auto" w:fill="auto"/>
            <w:noWrap/>
            <w:vAlign w:val="bottom"/>
            <w:hideMark/>
          </w:tcPr>
          <w:p w:rsidR="00B36F09" w:rsidRPr="000921FA" w:rsidRDefault="00B36F09" w:rsidP="008F70D3">
            <w:pPr>
              <w:pStyle w:val="table2"/>
              <w:rPr>
                <w:lang w:eastAsia="en-AU"/>
              </w:rPr>
            </w:pPr>
          </w:p>
        </w:tc>
        <w:tc>
          <w:tcPr>
            <w:tcW w:w="1134" w:type="dxa"/>
            <w:tcBorders>
              <w:top w:val="nil"/>
              <w:left w:val="nil"/>
              <w:right w:val="nil"/>
            </w:tcBorders>
            <w:shd w:val="clear" w:color="auto" w:fill="auto"/>
            <w:noWrap/>
            <w:vAlign w:val="bottom"/>
            <w:hideMark/>
          </w:tcPr>
          <w:p w:rsidR="00B36F09" w:rsidRPr="000921FA" w:rsidRDefault="00B36F09" w:rsidP="008F70D3">
            <w:pPr>
              <w:pStyle w:val="table2"/>
              <w:rPr>
                <w:lang w:eastAsia="en-AU"/>
              </w:rPr>
            </w:pPr>
          </w:p>
        </w:tc>
        <w:tc>
          <w:tcPr>
            <w:tcW w:w="992" w:type="dxa"/>
            <w:tcBorders>
              <w:top w:val="nil"/>
              <w:left w:val="nil"/>
              <w:right w:val="nil"/>
            </w:tcBorders>
            <w:shd w:val="clear" w:color="auto" w:fill="auto"/>
            <w:noWrap/>
            <w:vAlign w:val="bottom"/>
            <w:hideMark/>
          </w:tcPr>
          <w:p w:rsidR="00B36F09" w:rsidRPr="000921FA" w:rsidRDefault="00B36F09" w:rsidP="008F70D3">
            <w:pPr>
              <w:pStyle w:val="table2"/>
              <w:rPr>
                <w:lang w:eastAsia="en-AU"/>
              </w:rPr>
            </w:pPr>
          </w:p>
        </w:tc>
        <w:tc>
          <w:tcPr>
            <w:tcW w:w="1169" w:type="dxa"/>
            <w:tcBorders>
              <w:top w:val="nil"/>
              <w:left w:val="nil"/>
              <w:right w:val="nil"/>
            </w:tcBorders>
            <w:shd w:val="clear" w:color="auto" w:fill="auto"/>
            <w:noWrap/>
            <w:vAlign w:val="bottom"/>
            <w:hideMark/>
          </w:tcPr>
          <w:p w:rsidR="00B36F09" w:rsidRPr="000921FA" w:rsidRDefault="00B36F09" w:rsidP="008F70D3">
            <w:pPr>
              <w:pStyle w:val="table2"/>
              <w:jc w:val="center"/>
              <w:rPr>
                <w:lang w:eastAsia="en-AU"/>
              </w:rPr>
            </w:pPr>
            <w:r w:rsidRPr="000921FA">
              <w:rPr>
                <w:lang w:eastAsia="en-AU"/>
              </w:rPr>
              <w:t>0</w:t>
            </w:r>
          </w:p>
        </w:tc>
      </w:tr>
      <w:tr w:rsidR="00B36F09" w:rsidRPr="000921FA" w:rsidTr="008F70D3">
        <w:trPr>
          <w:trHeight w:val="300"/>
        </w:trPr>
        <w:tc>
          <w:tcPr>
            <w:tcW w:w="2142" w:type="dxa"/>
            <w:tcBorders>
              <w:top w:val="nil"/>
              <w:left w:val="nil"/>
              <w:bottom w:val="single" w:sz="4" w:space="0" w:color="auto"/>
              <w:right w:val="nil"/>
            </w:tcBorders>
            <w:shd w:val="clear" w:color="auto" w:fill="auto"/>
            <w:noWrap/>
            <w:vAlign w:val="bottom"/>
            <w:hideMark/>
          </w:tcPr>
          <w:p w:rsidR="00B36F09" w:rsidRPr="000921FA" w:rsidRDefault="00B36F09" w:rsidP="008F70D3">
            <w:pPr>
              <w:pStyle w:val="table2"/>
              <w:rPr>
                <w:i/>
                <w:lang w:eastAsia="en-AU"/>
              </w:rPr>
            </w:pPr>
            <w:r w:rsidRPr="000921FA">
              <w:rPr>
                <w:i/>
                <w:lang w:eastAsia="en-AU"/>
              </w:rPr>
              <w:t xml:space="preserve">Eucalyptus </w:t>
            </w:r>
            <w:proofErr w:type="spellStart"/>
            <w:r w:rsidRPr="000921FA">
              <w:rPr>
                <w:i/>
                <w:lang w:eastAsia="en-AU"/>
              </w:rPr>
              <w:t>tectifica</w:t>
            </w:r>
            <w:proofErr w:type="spellEnd"/>
          </w:p>
        </w:tc>
        <w:tc>
          <w:tcPr>
            <w:tcW w:w="1559" w:type="dxa"/>
            <w:tcBorders>
              <w:top w:val="nil"/>
              <w:left w:val="nil"/>
              <w:bottom w:val="single" w:sz="4" w:space="0" w:color="auto"/>
              <w:right w:val="nil"/>
            </w:tcBorders>
            <w:shd w:val="clear" w:color="auto" w:fill="auto"/>
            <w:noWrap/>
            <w:vAlign w:val="bottom"/>
            <w:hideMark/>
          </w:tcPr>
          <w:p w:rsidR="00B36F09" w:rsidRPr="000921FA" w:rsidRDefault="00B36F09" w:rsidP="008F70D3">
            <w:pPr>
              <w:pStyle w:val="table2"/>
              <w:rPr>
                <w:lang w:eastAsia="en-AU"/>
              </w:rPr>
            </w:pPr>
          </w:p>
        </w:tc>
        <w:tc>
          <w:tcPr>
            <w:tcW w:w="1276" w:type="dxa"/>
            <w:tcBorders>
              <w:top w:val="nil"/>
              <w:left w:val="nil"/>
              <w:bottom w:val="single" w:sz="4" w:space="0" w:color="auto"/>
              <w:right w:val="nil"/>
            </w:tcBorders>
            <w:shd w:val="clear" w:color="auto" w:fill="auto"/>
            <w:noWrap/>
            <w:vAlign w:val="bottom"/>
            <w:hideMark/>
          </w:tcPr>
          <w:p w:rsidR="00B36F09" w:rsidRPr="000921FA" w:rsidRDefault="00B36F09" w:rsidP="008F70D3">
            <w:pPr>
              <w:pStyle w:val="table2"/>
              <w:rPr>
                <w:lang w:eastAsia="en-AU"/>
              </w:rPr>
            </w:pPr>
          </w:p>
        </w:tc>
        <w:tc>
          <w:tcPr>
            <w:tcW w:w="1134" w:type="dxa"/>
            <w:tcBorders>
              <w:top w:val="nil"/>
              <w:left w:val="nil"/>
              <w:bottom w:val="single" w:sz="4" w:space="0" w:color="auto"/>
              <w:right w:val="nil"/>
            </w:tcBorders>
            <w:shd w:val="clear" w:color="auto" w:fill="auto"/>
            <w:noWrap/>
            <w:vAlign w:val="bottom"/>
            <w:hideMark/>
          </w:tcPr>
          <w:p w:rsidR="00B36F09" w:rsidRPr="000921FA" w:rsidRDefault="00B36F09" w:rsidP="008F70D3">
            <w:pPr>
              <w:pStyle w:val="table2"/>
              <w:rPr>
                <w:lang w:eastAsia="en-AU"/>
              </w:rPr>
            </w:pPr>
          </w:p>
        </w:tc>
        <w:tc>
          <w:tcPr>
            <w:tcW w:w="992" w:type="dxa"/>
            <w:tcBorders>
              <w:top w:val="nil"/>
              <w:left w:val="nil"/>
              <w:bottom w:val="single" w:sz="4" w:space="0" w:color="auto"/>
              <w:right w:val="nil"/>
            </w:tcBorders>
            <w:shd w:val="clear" w:color="auto" w:fill="auto"/>
            <w:noWrap/>
            <w:vAlign w:val="bottom"/>
            <w:hideMark/>
          </w:tcPr>
          <w:p w:rsidR="00B36F09" w:rsidRPr="000921FA" w:rsidRDefault="00B36F09" w:rsidP="008F70D3">
            <w:pPr>
              <w:pStyle w:val="table2"/>
              <w:rPr>
                <w:lang w:eastAsia="en-AU"/>
              </w:rPr>
            </w:pPr>
          </w:p>
        </w:tc>
        <w:tc>
          <w:tcPr>
            <w:tcW w:w="1169" w:type="dxa"/>
            <w:tcBorders>
              <w:top w:val="nil"/>
              <w:left w:val="nil"/>
              <w:bottom w:val="single" w:sz="4" w:space="0" w:color="auto"/>
              <w:right w:val="nil"/>
            </w:tcBorders>
            <w:shd w:val="clear" w:color="auto" w:fill="auto"/>
            <w:noWrap/>
            <w:vAlign w:val="bottom"/>
            <w:hideMark/>
          </w:tcPr>
          <w:p w:rsidR="00B36F09" w:rsidRPr="000921FA" w:rsidRDefault="00B36F09" w:rsidP="008F70D3">
            <w:pPr>
              <w:pStyle w:val="table2"/>
              <w:jc w:val="center"/>
              <w:rPr>
                <w:lang w:eastAsia="en-AU"/>
              </w:rPr>
            </w:pPr>
            <w:r w:rsidRPr="000921FA">
              <w:rPr>
                <w:lang w:eastAsia="en-AU"/>
              </w:rPr>
              <w:t>no model</w:t>
            </w:r>
          </w:p>
        </w:tc>
      </w:tr>
    </w:tbl>
    <w:p w:rsidR="00B36F09" w:rsidRPr="000921FA" w:rsidRDefault="00B36F09" w:rsidP="00B36F09">
      <w:pPr>
        <w:pStyle w:val="tablenote"/>
        <w:rPr>
          <w:lang w:val="en-US"/>
        </w:rPr>
      </w:pPr>
    </w:p>
    <w:p w:rsidR="00B36F09" w:rsidRDefault="00B36F09" w:rsidP="00B36F09">
      <w:pPr>
        <w:rPr>
          <w:lang w:val="en-US"/>
        </w:rPr>
      </w:pPr>
      <w:r w:rsidRPr="005126DE">
        <w:t xml:space="preserve">The species- and community-level modelling conducted in this study </w:t>
      </w:r>
      <w:proofErr w:type="gramStart"/>
      <w:r w:rsidRPr="005126DE">
        <w:t>are</w:t>
      </w:r>
      <w:proofErr w:type="gramEnd"/>
      <w:r w:rsidRPr="005126DE">
        <w:t xml:space="preserve"> consistent with one another in highlighting key – but obvious– differences between </w:t>
      </w:r>
      <w:proofErr w:type="spellStart"/>
      <w:r w:rsidRPr="005126DE">
        <w:rPr>
          <w:i/>
          <w:iCs/>
          <w:lang w:val="en-US"/>
        </w:rPr>
        <w:t>Melaleuca</w:t>
      </w:r>
      <w:proofErr w:type="spellEnd"/>
      <w:r w:rsidRPr="005126DE">
        <w:rPr>
          <w:i/>
          <w:iCs/>
          <w:lang w:val="en-US"/>
        </w:rPr>
        <w:t xml:space="preserve"> </w:t>
      </w:r>
      <w:r w:rsidRPr="005126DE">
        <w:rPr>
          <w:lang w:val="en-US"/>
        </w:rPr>
        <w:t xml:space="preserve">woodlands and the dominant mixed eucalypt woodland type. The species-level </w:t>
      </w:r>
      <w:proofErr w:type="spellStart"/>
      <w:r w:rsidRPr="005126DE">
        <w:rPr>
          <w:lang w:val="en-US"/>
        </w:rPr>
        <w:t>modelling</w:t>
      </w:r>
      <w:proofErr w:type="spellEnd"/>
      <w:r w:rsidRPr="005126DE">
        <w:rPr>
          <w:lang w:val="en-US"/>
        </w:rPr>
        <w:t xml:space="preserve"> conducted here and by Hollingsworth is based upon data from a small and confined geographical area, such that apparent </w:t>
      </w:r>
      <w:r>
        <w:rPr>
          <w:lang w:val="en-US"/>
        </w:rPr>
        <w:t>‘</w:t>
      </w:r>
      <w:r w:rsidRPr="005126DE">
        <w:rPr>
          <w:lang w:val="en-US"/>
        </w:rPr>
        <w:t>preferences</w:t>
      </w:r>
      <w:r>
        <w:rPr>
          <w:lang w:val="en-US"/>
        </w:rPr>
        <w:t>’</w:t>
      </w:r>
      <w:r w:rsidRPr="005126DE">
        <w:rPr>
          <w:lang w:val="en-US"/>
        </w:rPr>
        <w:t xml:space="preserve"> of species for particular landform conditions may not necessarily reflect the wider environmental ranges over which the species are known to occur in northern Australia, nor accurately reflect the full range of conditions that </w:t>
      </w:r>
      <w:proofErr w:type="spellStart"/>
      <w:r w:rsidRPr="005126DE">
        <w:rPr>
          <w:lang w:val="en-US"/>
        </w:rPr>
        <w:t>favour</w:t>
      </w:r>
      <w:proofErr w:type="spellEnd"/>
      <w:r w:rsidRPr="005126DE">
        <w:rPr>
          <w:lang w:val="en-US"/>
        </w:rPr>
        <w:t xml:space="preserve"> particular species. However, whilst noting this issue, perhaps the most useful aspect of the </w:t>
      </w:r>
      <w:proofErr w:type="spellStart"/>
      <w:r w:rsidRPr="005126DE">
        <w:rPr>
          <w:lang w:val="en-US"/>
        </w:rPr>
        <w:t>modelling</w:t>
      </w:r>
      <w:proofErr w:type="spellEnd"/>
      <w:r w:rsidRPr="005126DE">
        <w:rPr>
          <w:lang w:val="en-US"/>
        </w:rPr>
        <w:t xml:space="preserve"> that is being done is to define the local environmental conditions for which common plant species in the adjacent natural landscape occur. Thus in mimicking these plant-environment relationships on the </w:t>
      </w:r>
      <w:proofErr w:type="spellStart"/>
      <w:r w:rsidRPr="005126DE">
        <w:rPr>
          <w:lang w:val="en-US"/>
        </w:rPr>
        <w:t>revegetated</w:t>
      </w:r>
      <w:proofErr w:type="spellEnd"/>
      <w:r w:rsidRPr="005126DE">
        <w:rPr>
          <w:lang w:val="en-US"/>
        </w:rPr>
        <w:t xml:space="preserve"> landform, the Ranger Environmental Requirements for </w:t>
      </w:r>
      <w:proofErr w:type="spellStart"/>
      <w:r w:rsidRPr="005126DE">
        <w:rPr>
          <w:lang w:val="en-US"/>
        </w:rPr>
        <w:t>revegetating</w:t>
      </w:r>
      <w:proofErr w:type="spellEnd"/>
      <w:r w:rsidRPr="005126DE">
        <w:rPr>
          <w:lang w:val="en-US"/>
        </w:rPr>
        <w:t xml:space="preserve"> the site according to assemblages and structure similar to the adjacent natural landscape may best be met. In doing so it should be noted that this match may have no stronger basis than resemblance and aesthetics, as distinct from a strong eco-physiological basis for the occurrence of particular species in the landscape. To this end, further </w:t>
      </w:r>
      <w:proofErr w:type="spellStart"/>
      <w:r w:rsidRPr="005126DE">
        <w:rPr>
          <w:lang w:val="en-US"/>
        </w:rPr>
        <w:t>modelling</w:t>
      </w:r>
      <w:proofErr w:type="spellEnd"/>
      <w:r w:rsidRPr="005126DE">
        <w:rPr>
          <w:lang w:val="en-US"/>
        </w:rPr>
        <w:t xml:space="preserve"> may need to be no more sophisticated than defining the environmental ranges (</w:t>
      </w:r>
      <w:proofErr w:type="spellStart"/>
      <w:r w:rsidRPr="005126DE">
        <w:rPr>
          <w:lang w:val="en-US"/>
        </w:rPr>
        <w:t>viz</w:t>
      </w:r>
      <w:proofErr w:type="spellEnd"/>
      <w:r w:rsidRPr="005126DE">
        <w:rPr>
          <w:lang w:val="en-US"/>
        </w:rPr>
        <w:t xml:space="preserve"> statistical ranges and medians for landform variables) for the occurrence of dominant plant species.</w:t>
      </w:r>
    </w:p>
    <w:p w:rsidR="00B36F09" w:rsidRPr="000921FA" w:rsidRDefault="00B36F09" w:rsidP="00B36F09">
      <w:pPr>
        <w:pStyle w:val="Heading2"/>
        <w:rPr>
          <w:lang w:eastAsia="en-AU"/>
        </w:rPr>
      </w:pPr>
      <w:bookmarkStart w:id="132" w:name="_Toc316985413"/>
      <w:r>
        <w:rPr>
          <w:lang w:eastAsia="en-AU"/>
        </w:rPr>
        <w:lastRenderedPageBreak/>
        <w:t>Acknowledgments</w:t>
      </w:r>
      <w:bookmarkEnd w:id="132"/>
    </w:p>
    <w:p w:rsidR="00B36F09" w:rsidRPr="005126DE" w:rsidRDefault="00B36F09" w:rsidP="00B36F09">
      <w:pPr>
        <w:spacing w:line="270" w:lineRule="atLeast"/>
        <w:rPr>
          <w:spacing w:val="-2"/>
          <w:lang w:val="en-US"/>
        </w:rPr>
      </w:pPr>
      <w:r>
        <w:rPr>
          <w:spacing w:val="-2"/>
          <w:lang w:val="en-US"/>
        </w:rPr>
        <w:t xml:space="preserve">We thank Peter </w:t>
      </w:r>
      <w:proofErr w:type="spellStart"/>
      <w:r>
        <w:rPr>
          <w:spacing w:val="-2"/>
          <w:lang w:val="en-US"/>
        </w:rPr>
        <w:t>Dostine</w:t>
      </w:r>
      <w:proofErr w:type="spellEnd"/>
      <w:r>
        <w:rPr>
          <w:spacing w:val="-2"/>
          <w:lang w:val="en-US"/>
        </w:rPr>
        <w:t xml:space="preserve">, </w:t>
      </w:r>
      <w:r>
        <w:rPr>
          <w:szCs w:val="22"/>
        </w:rPr>
        <w:t xml:space="preserve">Aquatic Health Unit, Northern Territory Department of Natural Resources, Environment, the Arts and Sport, for assistance with </w:t>
      </w:r>
      <w:r w:rsidRPr="000921FA">
        <w:rPr>
          <w:lang w:eastAsia="en-AU"/>
        </w:rPr>
        <w:t xml:space="preserve">GLM modelling based upon </w:t>
      </w:r>
      <w:proofErr w:type="spellStart"/>
      <w:r w:rsidRPr="000921FA">
        <w:rPr>
          <w:lang w:eastAsia="en-AU"/>
        </w:rPr>
        <w:t>AICc</w:t>
      </w:r>
      <w:proofErr w:type="spellEnd"/>
      <w:r w:rsidRPr="000921FA">
        <w:rPr>
          <w:lang w:eastAsia="en-AU"/>
        </w:rPr>
        <w:t xml:space="preserve"> model selection</w:t>
      </w:r>
      <w:r>
        <w:rPr>
          <w:lang w:eastAsia="en-AU"/>
        </w:rPr>
        <w:t>.</w:t>
      </w:r>
    </w:p>
    <w:p w:rsidR="00B36F09" w:rsidRPr="000921FA" w:rsidRDefault="00B36F09" w:rsidP="00B36F09">
      <w:pPr>
        <w:pStyle w:val="Heading2"/>
        <w:rPr>
          <w:lang w:eastAsia="en-AU"/>
        </w:rPr>
      </w:pPr>
      <w:bookmarkStart w:id="133" w:name="_Toc313523570"/>
      <w:bookmarkStart w:id="134" w:name="_Toc316985414"/>
      <w:r w:rsidRPr="000921FA">
        <w:rPr>
          <w:lang w:eastAsia="en-AU"/>
        </w:rPr>
        <w:t>References</w:t>
      </w:r>
      <w:bookmarkEnd w:id="133"/>
      <w:bookmarkEnd w:id="134"/>
    </w:p>
    <w:p w:rsidR="00B36F09" w:rsidRPr="000921FA" w:rsidRDefault="00B36F09" w:rsidP="00B36F09">
      <w:pPr>
        <w:pStyle w:val="referencelist1"/>
      </w:pPr>
      <w:proofErr w:type="gramStart"/>
      <w:r w:rsidRPr="000921FA">
        <w:t xml:space="preserve">Anderson MJ, </w:t>
      </w:r>
      <w:proofErr w:type="spellStart"/>
      <w:r w:rsidRPr="000921FA">
        <w:t>Gorley</w:t>
      </w:r>
      <w:proofErr w:type="spellEnd"/>
      <w:r w:rsidRPr="000921FA">
        <w:t xml:space="preserve"> RN </w:t>
      </w:r>
      <w:r>
        <w:t>&amp;</w:t>
      </w:r>
      <w:r w:rsidRPr="000921FA">
        <w:t xml:space="preserve"> Clarke KR 2008.</w:t>
      </w:r>
      <w:proofErr w:type="gramEnd"/>
      <w:r w:rsidRPr="000921FA">
        <w:t xml:space="preserve"> </w:t>
      </w:r>
      <w:r w:rsidRPr="000921FA">
        <w:rPr>
          <w:i/>
        </w:rPr>
        <w:t>PERMANOVA+ for PRIMER: Guide to software and statistical methods</w:t>
      </w:r>
      <w:r w:rsidRPr="000921FA">
        <w:t>. Primer-E: Plymouth, UK.</w:t>
      </w:r>
    </w:p>
    <w:p w:rsidR="00B36F09" w:rsidRPr="000921FA" w:rsidRDefault="00B36F09" w:rsidP="00B36F09">
      <w:pPr>
        <w:pStyle w:val="referencelist1"/>
      </w:pPr>
      <w:proofErr w:type="gramStart"/>
      <w:r w:rsidRPr="000921FA">
        <w:rPr>
          <w:lang w:eastAsia="en-AU"/>
        </w:rPr>
        <w:t>Burnham KP &amp; Anderson DR. 2002.</w:t>
      </w:r>
      <w:proofErr w:type="gramEnd"/>
      <w:r w:rsidRPr="000921FA">
        <w:rPr>
          <w:lang w:eastAsia="en-AU"/>
        </w:rPr>
        <w:t xml:space="preserve"> </w:t>
      </w:r>
      <w:r w:rsidRPr="00D2055B">
        <w:rPr>
          <w:i/>
          <w:lang w:eastAsia="en-AU"/>
        </w:rPr>
        <w:t xml:space="preserve">Model selection and </w:t>
      </w:r>
      <w:proofErr w:type="spellStart"/>
      <w:r w:rsidRPr="00D2055B">
        <w:rPr>
          <w:i/>
          <w:lang w:eastAsia="en-AU"/>
        </w:rPr>
        <w:t>multimodel</w:t>
      </w:r>
      <w:proofErr w:type="spellEnd"/>
      <w:r w:rsidRPr="00D2055B">
        <w:rPr>
          <w:i/>
          <w:lang w:eastAsia="en-AU"/>
        </w:rPr>
        <w:t xml:space="preserve"> inference: a practical information-theoretical approach</w:t>
      </w:r>
      <w:r w:rsidRPr="000921FA">
        <w:rPr>
          <w:lang w:eastAsia="en-AU"/>
        </w:rPr>
        <w:t xml:space="preserve">. 2nd </w:t>
      </w:r>
      <w:proofErr w:type="spellStart"/>
      <w:proofErr w:type="gramStart"/>
      <w:r w:rsidRPr="000921FA">
        <w:rPr>
          <w:lang w:eastAsia="en-AU"/>
        </w:rPr>
        <w:t>ed</w:t>
      </w:r>
      <w:proofErr w:type="spellEnd"/>
      <w:proofErr w:type="gramEnd"/>
      <w:r>
        <w:rPr>
          <w:lang w:eastAsia="en-AU"/>
        </w:rPr>
        <w:t>,</w:t>
      </w:r>
      <w:r w:rsidRPr="000921FA">
        <w:rPr>
          <w:lang w:eastAsia="en-AU"/>
        </w:rPr>
        <w:t xml:space="preserve"> Springer-</w:t>
      </w:r>
      <w:proofErr w:type="spellStart"/>
      <w:r w:rsidRPr="000921FA">
        <w:rPr>
          <w:lang w:eastAsia="en-AU"/>
        </w:rPr>
        <w:t>Verlag</w:t>
      </w:r>
      <w:proofErr w:type="spellEnd"/>
      <w:r>
        <w:rPr>
          <w:lang w:eastAsia="en-AU"/>
        </w:rPr>
        <w:t>,</w:t>
      </w:r>
      <w:r w:rsidRPr="000921FA">
        <w:rPr>
          <w:lang w:eastAsia="en-AU"/>
        </w:rPr>
        <w:t xml:space="preserve"> New York.</w:t>
      </w:r>
    </w:p>
    <w:p w:rsidR="00B36F09" w:rsidRPr="000921FA" w:rsidRDefault="00B36F09" w:rsidP="00B36F09">
      <w:pPr>
        <w:pStyle w:val="referencelist1"/>
        <w:rPr>
          <w:lang w:eastAsia="en-AU"/>
        </w:rPr>
      </w:pPr>
      <w:proofErr w:type="gramStart"/>
      <w:r w:rsidRPr="000921FA">
        <w:rPr>
          <w:lang w:eastAsia="en-AU"/>
        </w:rPr>
        <w:t xml:space="preserve">Clarke KR &amp; </w:t>
      </w:r>
      <w:proofErr w:type="spellStart"/>
      <w:r w:rsidRPr="000921FA">
        <w:rPr>
          <w:lang w:eastAsia="en-AU"/>
        </w:rPr>
        <w:t>Gorley</w:t>
      </w:r>
      <w:proofErr w:type="spellEnd"/>
      <w:r w:rsidRPr="000921FA">
        <w:rPr>
          <w:lang w:eastAsia="en-AU"/>
        </w:rPr>
        <w:t xml:space="preserve"> RN 2006.</w:t>
      </w:r>
      <w:proofErr w:type="gramEnd"/>
      <w:r w:rsidRPr="000921FA">
        <w:rPr>
          <w:lang w:eastAsia="en-AU"/>
        </w:rPr>
        <w:t xml:space="preserve"> </w:t>
      </w:r>
      <w:r w:rsidRPr="00B12917">
        <w:rPr>
          <w:i/>
          <w:lang w:eastAsia="en-AU"/>
        </w:rPr>
        <w:t>Primer v6: User Manual/Tutorial, Primer E: Plymouth</w:t>
      </w:r>
      <w:r w:rsidRPr="000921FA">
        <w:rPr>
          <w:lang w:eastAsia="en-AU"/>
        </w:rPr>
        <w:t xml:space="preserve">. </w:t>
      </w:r>
      <w:proofErr w:type="gramStart"/>
      <w:r w:rsidRPr="000921FA">
        <w:rPr>
          <w:lang w:eastAsia="en-AU"/>
        </w:rPr>
        <w:t>Plymouth Marine Laboratory, Plymouth, UK.</w:t>
      </w:r>
      <w:proofErr w:type="gramEnd"/>
    </w:p>
    <w:p w:rsidR="00B36F09" w:rsidRPr="000921FA" w:rsidRDefault="00B36F09" w:rsidP="00B36F09">
      <w:pPr>
        <w:pStyle w:val="referencelist1"/>
      </w:pPr>
      <w:proofErr w:type="gramStart"/>
      <w:r w:rsidRPr="000921FA">
        <w:t>Hollingsworth ID, Humphrey C &amp; Gardiner M 2007.</w:t>
      </w:r>
      <w:proofErr w:type="gramEnd"/>
      <w:r w:rsidRPr="000921FA">
        <w:t xml:space="preserve"> Revegetation at Ranger: An analysis of vegetation types and environmental trends in analogue areas. </w:t>
      </w:r>
      <w:proofErr w:type="gramStart"/>
      <w:r w:rsidRPr="000921FA">
        <w:t>EWL Sciences Pty Ltd. Darwin.</w:t>
      </w:r>
      <w:proofErr w:type="gramEnd"/>
    </w:p>
    <w:p w:rsidR="00B36F09" w:rsidRPr="000921FA" w:rsidRDefault="00B36F09" w:rsidP="00B36F09">
      <w:pPr>
        <w:pStyle w:val="referencelist1"/>
      </w:pPr>
      <w:r w:rsidRPr="000921FA">
        <w:t xml:space="preserve">Humphrey C, Hollingsworth I &amp; Fox G 2006. Development of predictive habitat suitability models of vegetation communities associated with the rehabilitated Ranger final landform. </w:t>
      </w:r>
      <w:proofErr w:type="gramStart"/>
      <w:r w:rsidRPr="000921FA">
        <w:t xml:space="preserve">In </w:t>
      </w:r>
      <w:proofErr w:type="spellStart"/>
      <w:r w:rsidRPr="000921FA">
        <w:rPr>
          <w:b/>
          <w:i/>
          <w:sz w:val="26"/>
          <w:szCs w:val="24"/>
        </w:rPr>
        <w:t>eriss</w:t>
      </w:r>
      <w:proofErr w:type="spellEnd"/>
      <w:r w:rsidRPr="000921FA">
        <w:t xml:space="preserve"> </w:t>
      </w:r>
      <w:r w:rsidRPr="000921FA">
        <w:rPr>
          <w:i/>
        </w:rPr>
        <w:t>research summary 2004–2005</w:t>
      </w:r>
      <w:r w:rsidRPr="000921FA">
        <w:t>.</w:t>
      </w:r>
      <w:proofErr w:type="gramEnd"/>
      <w:r w:rsidRPr="000921FA">
        <w:t xml:space="preserve"> </w:t>
      </w:r>
      <w:proofErr w:type="spellStart"/>
      <w:r w:rsidRPr="000921FA">
        <w:t>eds</w:t>
      </w:r>
      <w:proofErr w:type="spellEnd"/>
      <w:r w:rsidRPr="000921FA">
        <w:t xml:space="preserve"> Evans KG, </w:t>
      </w:r>
      <w:proofErr w:type="spellStart"/>
      <w:r w:rsidRPr="000921FA">
        <w:t>Rovis</w:t>
      </w:r>
      <w:proofErr w:type="spellEnd"/>
      <w:r w:rsidRPr="000921FA">
        <w:t>-Hermann J, Webb A &amp; Jones DR, Supervising Scientist Report 189, Supervising Scientist, Darwin NT, 86–98.</w:t>
      </w:r>
    </w:p>
    <w:p w:rsidR="00B36F09" w:rsidRPr="000921FA" w:rsidRDefault="00B36F09" w:rsidP="00B36F09">
      <w:pPr>
        <w:pStyle w:val="referencelist1"/>
      </w:pPr>
      <w:proofErr w:type="gramStart"/>
      <w:r w:rsidRPr="000921FA">
        <w:t>Humphrey C, Hollingsworth I, Gardener M &amp; Fox G 2007.</w:t>
      </w:r>
      <w:proofErr w:type="gramEnd"/>
      <w:r w:rsidRPr="000921FA">
        <w:t xml:space="preserve"> </w:t>
      </w:r>
      <w:proofErr w:type="gramStart"/>
      <w:r w:rsidRPr="000921FA">
        <w:t xml:space="preserve">Use of analogue plant communities as a guide to revegetation and associated monitoring of the </w:t>
      </w:r>
      <w:r w:rsidRPr="000921FA">
        <w:rPr>
          <w:szCs w:val="22"/>
          <w:lang w:val="en-US"/>
        </w:rPr>
        <w:t>post-mine landform at Ranger.</w:t>
      </w:r>
      <w:proofErr w:type="gramEnd"/>
      <w:r w:rsidRPr="000921FA">
        <w:rPr>
          <w:szCs w:val="22"/>
          <w:lang w:val="en-US"/>
        </w:rPr>
        <w:t xml:space="preserve"> </w:t>
      </w:r>
      <w:proofErr w:type="gramStart"/>
      <w:r w:rsidRPr="000921FA">
        <w:rPr>
          <w:szCs w:val="22"/>
          <w:lang w:val="en-US"/>
        </w:rPr>
        <w:t xml:space="preserve">In </w:t>
      </w:r>
      <w:proofErr w:type="spellStart"/>
      <w:r w:rsidRPr="000921FA">
        <w:rPr>
          <w:b/>
          <w:i/>
          <w:sz w:val="26"/>
          <w:szCs w:val="26"/>
        </w:rPr>
        <w:t>eriss</w:t>
      </w:r>
      <w:proofErr w:type="spellEnd"/>
      <w:r w:rsidRPr="000921FA">
        <w:t xml:space="preserve"> </w:t>
      </w:r>
      <w:r w:rsidRPr="000921FA">
        <w:rPr>
          <w:i/>
        </w:rPr>
        <w:t>research summary 2005–2006</w:t>
      </w:r>
      <w:r w:rsidRPr="000921FA">
        <w:t>.</w:t>
      </w:r>
      <w:proofErr w:type="gramEnd"/>
      <w:r w:rsidRPr="000921FA">
        <w:t xml:space="preserve"> </w:t>
      </w:r>
      <w:proofErr w:type="spellStart"/>
      <w:r w:rsidRPr="000921FA">
        <w:t>eds</w:t>
      </w:r>
      <w:proofErr w:type="spellEnd"/>
      <w:r w:rsidRPr="000921FA">
        <w:t xml:space="preserve"> Jones DR, Evans KG &amp; Webb A, Supervising Scientist Report 193, Supervising Scientist, Darwin NT, 84–86.</w:t>
      </w:r>
    </w:p>
    <w:p w:rsidR="00B36F09" w:rsidRPr="000921FA" w:rsidRDefault="00B36F09" w:rsidP="00B36F09">
      <w:pPr>
        <w:pStyle w:val="referencelist1"/>
      </w:pPr>
      <w:proofErr w:type="gramStart"/>
      <w:r w:rsidRPr="000921FA">
        <w:t>Humphrey C, Hollingsworth I, Gardener M &amp; Fox G 2008.</w:t>
      </w:r>
      <w:proofErr w:type="gramEnd"/>
      <w:r w:rsidRPr="000921FA">
        <w:rPr>
          <w:noProof/>
        </w:rPr>
        <w:t xml:space="preserve"> </w:t>
      </w:r>
      <w:proofErr w:type="gramStart"/>
      <w:r w:rsidRPr="000921FA">
        <w:t>Use of vegetation analogues to guide planning for rehabilitation of the Ranger mine site</w:t>
      </w:r>
      <w:r w:rsidRPr="000921FA">
        <w:rPr>
          <w:noProof/>
        </w:rPr>
        <w:t>.</w:t>
      </w:r>
      <w:proofErr w:type="gramEnd"/>
      <w:r w:rsidRPr="000921FA">
        <w:rPr>
          <w:noProof/>
        </w:rPr>
        <w:t xml:space="preserve"> </w:t>
      </w:r>
      <w:proofErr w:type="gramStart"/>
      <w:r w:rsidRPr="000921FA">
        <w:rPr>
          <w:noProof/>
        </w:rPr>
        <w:t xml:space="preserve">In </w:t>
      </w:r>
      <w:proofErr w:type="spellStart"/>
      <w:r w:rsidRPr="000921FA">
        <w:rPr>
          <w:b/>
          <w:i/>
          <w:sz w:val="26"/>
          <w:szCs w:val="26"/>
        </w:rPr>
        <w:t>eriss</w:t>
      </w:r>
      <w:proofErr w:type="spellEnd"/>
      <w:r w:rsidRPr="000921FA">
        <w:t xml:space="preserve"> </w:t>
      </w:r>
      <w:r w:rsidRPr="000921FA">
        <w:rPr>
          <w:i/>
        </w:rPr>
        <w:t>research summary 2006–2007</w:t>
      </w:r>
      <w:r w:rsidRPr="000921FA">
        <w:t>.</w:t>
      </w:r>
      <w:proofErr w:type="gramEnd"/>
      <w:r w:rsidRPr="000921FA">
        <w:t xml:space="preserve"> </w:t>
      </w:r>
      <w:proofErr w:type="spellStart"/>
      <w:proofErr w:type="gramStart"/>
      <w:r w:rsidRPr="000921FA">
        <w:t>eds</w:t>
      </w:r>
      <w:proofErr w:type="spellEnd"/>
      <w:proofErr w:type="gramEnd"/>
      <w:r w:rsidRPr="000921FA">
        <w:t xml:space="preserve"> Jones DR, Humphrey C, van Dam R &amp; Webb A, Supervising Scientist Report 196, Supervising Scientist, Darwin NT, 90–94.</w:t>
      </w:r>
    </w:p>
    <w:p w:rsidR="00B36F09" w:rsidRPr="000921FA" w:rsidRDefault="00B36F09" w:rsidP="00B36F09">
      <w:pPr>
        <w:pStyle w:val="referencelist1"/>
      </w:pPr>
      <w:proofErr w:type="gramStart"/>
      <w:r w:rsidRPr="000921FA">
        <w:t>Humphrey C, Fox G &amp; Lu P</w:t>
      </w:r>
      <w:r w:rsidRPr="000921FA">
        <w:rPr>
          <w:noProof/>
        </w:rPr>
        <w:t xml:space="preserve"> 2009.</w:t>
      </w:r>
      <w:proofErr w:type="gramEnd"/>
      <w:r w:rsidRPr="000921FA">
        <w:rPr>
          <w:noProof/>
        </w:rPr>
        <w:t xml:space="preserve"> </w:t>
      </w:r>
      <w:bookmarkStart w:id="135" w:name="_Toc223844898"/>
      <w:bookmarkStart w:id="136" w:name="_Toc223849326"/>
      <w:bookmarkStart w:id="137" w:name="_Toc223849711"/>
      <w:bookmarkStart w:id="138" w:name="_Toc223849903"/>
      <w:bookmarkStart w:id="139" w:name="_Toc223850070"/>
      <w:bookmarkStart w:id="140" w:name="_Toc223850341"/>
      <w:bookmarkStart w:id="141" w:name="_Toc226267901"/>
      <w:proofErr w:type="gramStart"/>
      <w:r w:rsidRPr="000921FA">
        <w:t xml:space="preserve">Use of vegetation analogues to guide planning for rehabilitation of the Ranger </w:t>
      </w:r>
      <w:proofErr w:type="spellStart"/>
      <w:r w:rsidRPr="000921FA">
        <w:t>minesite</w:t>
      </w:r>
      <w:bookmarkEnd w:id="135"/>
      <w:bookmarkEnd w:id="136"/>
      <w:bookmarkEnd w:id="137"/>
      <w:bookmarkEnd w:id="138"/>
      <w:bookmarkEnd w:id="139"/>
      <w:bookmarkEnd w:id="140"/>
      <w:bookmarkEnd w:id="141"/>
      <w:proofErr w:type="spellEnd"/>
      <w:r w:rsidRPr="000921FA">
        <w:rPr>
          <w:noProof/>
        </w:rPr>
        <w:t>.</w:t>
      </w:r>
      <w:proofErr w:type="gramEnd"/>
      <w:r w:rsidRPr="000921FA">
        <w:rPr>
          <w:noProof/>
        </w:rPr>
        <w:t xml:space="preserve"> </w:t>
      </w:r>
      <w:proofErr w:type="gramStart"/>
      <w:r w:rsidRPr="000921FA">
        <w:rPr>
          <w:noProof/>
        </w:rPr>
        <w:t xml:space="preserve">In </w:t>
      </w:r>
      <w:proofErr w:type="spellStart"/>
      <w:r w:rsidRPr="000921FA">
        <w:rPr>
          <w:b/>
          <w:i/>
          <w:sz w:val="26"/>
          <w:szCs w:val="26"/>
        </w:rPr>
        <w:t>eriss</w:t>
      </w:r>
      <w:proofErr w:type="spellEnd"/>
      <w:r w:rsidRPr="000921FA">
        <w:t xml:space="preserve"> </w:t>
      </w:r>
      <w:r w:rsidRPr="000921FA">
        <w:rPr>
          <w:i/>
        </w:rPr>
        <w:t>research summary 2007–2008</w:t>
      </w:r>
      <w:r w:rsidRPr="000921FA">
        <w:t>.</w:t>
      </w:r>
      <w:proofErr w:type="gramEnd"/>
      <w:r w:rsidRPr="000921FA">
        <w:t xml:space="preserve"> </w:t>
      </w:r>
      <w:proofErr w:type="spellStart"/>
      <w:proofErr w:type="gramStart"/>
      <w:r w:rsidRPr="000921FA">
        <w:t>eds</w:t>
      </w:r>
      <w:proofErr w:type="spellEnd"/>
      <w:proofErr w:type="gramEnd"/>
      <w:r w:rsidRPr="000921FA">
        <w:t xml:space="preserve"> Jones DR &amp; Webb A, Supervising Scientist Report 200, Supervising Scientist, Darwin NT, 136</w:t>
      </w:r>
      <w:r>
        <w:t>–</w:t>
      </w:r>
      <w:r w:rsidRPr="000921FA">
        <w:t>146.</w:t>
      </w:r>
    </w:p>
    <w:p w:rsidR="00B36F09" w:rsidRPr="000921FA" w:rsidRDefault="00B36F09" w:rsidP="00B36F09">
      <w:pPr>
        <w:pStyle w:val="referencelist1"/>
      </w:pPr>
      <w:r w:rsidRPr="000921FA">
        <w:rPr>
          <w:lang w:val="en-US"/>
        </w:rPr>
        <w:t xml:space="preserve">Humphrey C &amp; Fox G 2010. </w:t>
      </w:r>
      <w:proofErr w:type="gramStart"/>
      <w:r w:rsidRPr="000921FA">
        <w:t>Use of vegetation analogues to guide planning for rehabilitation of the Ranger mine site</w:t>
      </w:r>
      <w:r w:rsidRPr="000921FA">
        <w:rPr>
          <w:lang w:eastAsia="en-AU"/>
        </w:rPr>
        <w:t>.</w:t>
      </w:r>
      <w:proofErr w:type="gramEnd"/>
      <w:r w:rsidRPr="000921FA">
        <w:rPr>
          <w:lang w:eastAsia="en-AU"/>
        </w:rPr>
        <w:t xml:space="preserve"> </w:t>
      </w:r>
      <w:proofErr w:type="gramStart"/>
      <w:r w:rsidRPr="000921FA">
        <w:rPr>
          <w:lang w:eastAsia="en-AU"/>
        </w:rPr>
        <w:t xml:space="preserve">In </w:t>
      </w:r>
      <w:proofErr w:type="spellStart"/>
      <w:r w:rsidRPr="000921FA">
        <w:rPr>
          <w:b/>
          <w:i/>
          <w:sz w:val="26"/>
          <w:szCs w:val="26"/>
        </w:rPr>
        <w:t>eriss</w:t>
      </w:r>
      <w:proofErr w:type="spellEnd"/>
      <w:r w:rsidRPr="000921FA">
        <w:t xml:space="preserve"> </w:t>
      </w:r>
      <w:r w:rsidRPr="000921FA">
        <w:rPr>
          <w:i/>
        </w:rPr>
        <w:t>research summary 2008–2009</w:t>
      </w:r>
      <w:r w:rsidRPr="000921FA">
        <w:t>.</w:t>
      </w:r>
      <w:proofErr w:type="gramEnd"/>
      <w:r w:rsidRPr="000921FA">
        <w:t xml:space="preserve"> </w:t>
      </w:r>
      <w:proofErr w:type="spellStart"/>
      <w:proofErr w:type="gramStart"/>
      <w:r w:rsidRPr="000921FA">
        <w:t>eds</w:t>
      </w:r>
      <w:proofErr w:type="spellEnd"/>
      <w:proofErr w:type="gramEnd"/>
      <w:r w:rsidRPr="000921FA">
        <w:t xml:space="preserve"> Jones DR &amp; Webb A, Supervising Scientist Report 201, Supervising Scientist, Darwin NT, 150–154.</w:t>
      </w:r>
    </w:p>
    <w:p w:rsidR="00B36F09" w:rsidRPr="000921FA" w:rsidRDefault="00B36F09" w:rsidP="00B36F09">
      <w:pPr>
        <w:pStyle w:val="referencelist1"/>
      </w:pPr>
      <w:r w:rsidRPr="000921FA">
        <w:t xml:space="preserve">Humphrey C, Fox G, </w:t>
      </w:r>
      <w:proofErr w:type="spellStart"/>
      <w:r w:rsidRPr="000921FA">
        <w:t>Staben</w:t>
      </w:r>
      <w:proofErr w:type="spellEnd"/>
      <w:r w:rsidRPr="000921FA">
        <w:t xml:space="preserve"> G &amp; Lowry</w:t>
      </w:r>
      <w:r w:rsidRPr="000921FA">
        <w:rPr>
          <w:lang w:eastAsia="en-AU"/>
        </w:rPr>
        <w:t xml:space="preserve"> J 2011. </w:t>
      </w:r>
      <w:proofErr w:type="gramStart"/>
      <w:r w:rsidRPr="000921FA">
        <w:t>Use of vegetation analogues to guide planning for rehabilitation of the Ranger mine site.</w:t>
      </w:r>
      <w:proofErr w:type="gramEnd"/>
      <w:r w:rsidRPr="000921FA">
        <w:t xml:space="preserve"> </w:t>
      </w:r>
      <w:proofErr w:type="gramStart"/>
      <w:r w:rsidRPr="000921FA">
        <w:rPr>
          <w:lang w:eastAsia="en-AU"/>
        </w:rPr>
        <w:t xml:space="preserve">In </w:t>
      </w:r>
      <w:proofErr w:type="spellStart"/>
      <w:r w:rsidRPr="000921FA">
        <w:rPr>
          <w:b/>
          <w:i/>
          <w:sz w:val="26"/>
          <w:szCs w:val="26"/>
        </w:rPr>
        <w:t>eriss</w:t>
      </w:r>
      <w:proofErr w:type="spellEnd"/>
      <w:r w:rsidRPr="000921FA">
        <w:t xml:space="preserve"> </w:t>
      </w:r>
      <w:r w:rsidRPr="000921FA">
        <w:rPr>
          <w:i/>
          <w:lang w:eastAsia="en-AU"/>
        </w:rPr>
        <w:t>research summary 2009–2010</w:t>
      </w:r>
      <w:r w:rsidRPr="000921FA">
        <w:rPr>
          <w:lang w:eastAsia="en-AU"/>
        </w:rPr>
        <w:t>.</w:t>
      </w:r>
      <w:proofErr w:type="gramEnd"/>
      <w:r w:rsidRPr="000921FA">
        <w:rPr>
          <w:lang w:eastAsia="en-AU"/>
        </w:rPr>
        <w:t xml:space="preserve"> </w:t>
      </w:r>
      <w:proofErr w:type="spellStart"/>
      <w:proofErr w:type="gramStart"/>
      <w:r w:rsidRPr="000921FA">
        <w:rPr>
          <w:lang w:eastAsia="en-AU"/>
        </w:rPr>
        <w:t>eds</w:t>
      </w:r>
      <w:proofErr w:type="spellEnd"/>
      <w:proofErr w:type="gramEnd"/>
      <w:r w:rsidRPr="000921FA">
        <w:rPr>
          <w:lang w:eastAsia="en-AU"/>
        </w:rPr>
        <w:t xml:space="preserve"> Jones DR &amp; Webb A, Supervising Scientist Report 202, Supervising Scientist, Darwin NT, 122–124.</w:t>
      </w:r>
    </w:p>
    <w:p w:rsidR="00B36F09" w:rsidRPr="000921FA" w:rsidRDefault="00B36F09" w:rsidP="00B36F09">
      <w:pPr>
        <w:pStyle w:val="referencelist1"/>
      </w:pPr>
      <w:proofErr w:type="gramStart"/>
      <w:r w:rsidRPr="000921FA">
        <w:t>R Development Core Team 2008.</w:t>
      </w:r>
      <w:proofErr w:type="gramEnd"/>
      <w:r w:rsidRPr="000921FA">
        <w:t xml:space="preserve"> R: A language and environment for statistical computing, reference index version 2.6.2. </w:t>
      </w:r>
      <w:proofErr w:type="gramStart"/>
      <w:r w:rsidRPr="000921FA">
        <w:t>R Foundation for Statistical Computing, Vienna, Austria.</w:t>
      </w:r>
      <w:proofErr w:type="gramEnd"/>
    </w:p>
    <w:p w:rsidR="00B36F09" w:rsidRDefault="00B36F09" w:rsidP="00B36F09">
      <w:pPr>
        <w:pStyle w:val="Heading2"/>
      </w:pPr>
      <w:bookmarkStart w:id="142" w:name="_Toc309215813"/>
      <w:bookmarkStart w:id="143" w:name="_Toc313523571"/>
      <w:bookmarkStart w:id="144" w:name="_Toc316985415"/>
      <w:bookmarkEnd w:id="113"/>
      <w:bookmarkEnd w:id="114"/>
      <w:bookmarkEnd w:id="115"/>
      <w:bookmarkEnd w:id="116"/>
      <w:bookmarkEnd w:id="117"/>
      <w:r>
        <w:lastRenderedPageBreak/>
        <w:t>Appendices</w:t>
      </w:r>
      <w:bookmarkEnd w:id="142"/>
      <w:bookmarkEnd w:id="143"/>
      <w:bookmarkEnd w:id="144"/>
    </w:p>
    <w:p w:rsidR="00B36F09" w:rsidRPr="0021456B" w:rsidRDefault="00B36F09" w:rsidP="00B36F09">
      <w:pPr>
        <w:pStyle w:val="Heading3"/>
        <w:rPr>
          <w:spacing w:val="-2"/>
        </w:rPr>
      </w:pPr>
      <w:bookmarkStart w:id="145" w:name="_Toc313523572"/>
      <w:bookmarkStart w:id="146" w:name="_Toc316985416"/>
      <w:r w:rsidRPr="0021456B">
        <w:rPr>
          <w:spacing w:val="-2"/>
        </w:rPr>
        <w:t xml:space="preserve">Appendix </w:t>
      </w:r>
      <w:proofErr w:type="gramStart"/>
      <w:r w:rsidRPr="0021456B">
        <w:rPr>
          <w:spacing w:val="-2"/>
        </w:rPr>
        <w:t>1  Environmental</w:t>
      </w:r>
      <w:proofErr w:type="gramEnd"/>
      <w:r w:rsidRPr="0021456B">
        <w:rPr>
          <w:spacing w:val="-2"/>
        </w:rPr>
        <w:t xml:space="preserve"> attributes calculated by terrain analysis of DEM</w:t>
      </w:r>
      <w:bookmarkEnd w:id="145"/>
      <w:bookmarkEnd w:id="146"/>
    </w:p>
    <w:tbl>
      <w:tblPr>
        <w:tblW w:w="0" w:type="auto"/>
        <w:tblCellMar>
          <w:left w:w="0" w:type="dxa"/>
          <w:right w:w="0" w:type="dxa"/>
        </w:tblCellMar>
        <w:tblLook w:val="04A0"/>
      </w:tblPr>
      <w:tblGrid>
        <w:gridCol w:w="1809"/>
        <w:gridCol w:w="1834"/>
        <w:gridCol w:w="2336"/>
        <w:gridCol w:w="2493"/>
      </w:tblGrid>
      <w:tr w:rsidR="00B36F09" w:rsidRPr="000921FA" w:rsidTr="008F70D3">
        <w:tc>
          <w:tcPr>
            <w:tcW w:w="1809" w:type="dxa"/>
            <w:tcBorders>
              <w:top w:val="single" w:sz="4" w:space="0" w:color="000000"/>
              <w:left w:val="nil"/>
              <w:bottom w:val="single" w:sz="4" w:space="0" w:color="000000"/>
              <w:right w:val="nil"/>
            </w:tcBorders>
            <w:tcMar>
              <w:top w:w="0" w:type="dxa"/>
              <w:left w:w="108" w:type="dxa"/>
              <w:bottom w:w="0" w:type="dxa"/>
              <w:right w:w="108" w:type="dxa"/>
            </w:tcMar>
            <w:hideMark/>
          </w:tcPr>
          <w:p w:rsidR="00B36F09" w:rsidRPr="000921FA" w:rsidRDefault="00B36F09" w:rsidP="008F70D3">
            <w:pPr>
              <w:pStyle w:val="table2"/>
              <w:rPr>
                <w:b/>
              </w:rPr>
            </w:pPr>
            <w:r w:rsidRPr="000921FA">
              <w:rPr>
                <w:b/>
              </w:rPr>
              <w:t>Parameter</w:t>
            </w:r>
          </w:p>
        </w:tc>
        <w:tc>
          <w:tcPr>
            <w:tcW w:w="1834" w:type="dxa"/>
            <w:tcBorders>
              <w:top w:val="single" w:sz="4" w:space="0" w:color="000000"/>
              <w:left w:val="nil"/>
              <w:bottom w:val="single" w:sz="4" w:space="0" w:color="000000"/>
              <w:right w:val="nil"/>
            </w:tcBorders>
            <w:tcMar>
              <w:top w:w="0" w:type="dxa"/>
              <w:left w:w="108" w:type="dxa"/>
              <w:bottom w:w="0" w:type="dxa"/>
              <w:right w:w="108" w:type="dxa"/>
            </w:tcMar>
            <w:hideMark/>
          </w:tcPr>
          <w:p w:rsidR="00B36F09" w:rsidRPr="000921FA" w:rsidRDefault="00B36F09" w:rsidP="008F70D3">
            <w:pPr>
              <w:pStyle w:val="table2"/>
              <w:rPr>
                <w:b/>
              </w:rPr>
            </w:pPr>
            <w:r w:rsidRPr="000921FA">
              <w:rPr>
                <w:b/>
              </w:rPr>
              <w:t>Definition</w:t>
            </w:r>
          </w:p>
        </w:tc>
        <w:tc>
          <w:tcPr>
            <w:tcW w:w="2336" w:type="dxa"/>
            <w:tcBorders>
              <w:top w:val="single" w:sz="4" w:space="0" w:color="000000"/>
              <w:left w:val="nil"/>
              <w:bottom w:val="single" w:sz="4" w:space="0" w:color="000000"/>
              <w:right w:val="nil"/>
            </w:tcBorders>
            <w:tcMar>
              <w:top w:w="0" w:type="dxa"/>
              <w:left w:w="108" w:type="dxa"/>
              <w:bottom w:w="0" w:type="dxa"/>
              <w:right w:w="108" w:type="dxa"/>
            </w:tcMar>
            <w:hideMark/>
          </w:tcPr>
          <w:p w:rsidR="00B36F09" w:rsidRPr="000921FA" w:rsidRDefault="00B36F09" w:rsidP="008F70D3">
            <w:pPr>
              <w:pStyle w:val="table2"/>
              <w:rPr>
                <w:b/>
              </w:rPr>
            </w:pPr>
            <w:r w:rsidRPr="000921FA">
              <w:rPr>
                <w:b/>
              </w:rPr>
              <w:t>Environmental significance</w:t>
            </w:r>
          </w:p>
        </w:tc>
        <w:tc>
          <w:tcPr>
            <w:tcW w:w="2493" w:type="dxa"/>
            <w:tcBorders>
              <w:top w:val="single" w:sz="4" w:space="0" w:color="000000"/>
              <w:left w:val="nil"/>
              <w:bottom w:val="single" w:sz="4" w:space="0" w:color="000000"/>
              <w:right w:val="nil"/>
            </w:tcBorders>
            <w:tcMar>
              <w:top w:w="0" w:type="dxa"/>
              <w:left w:w="108" w:type="dxa"/>
              <w:bottom w:w="0" w:type="dxa"/>
              <w:right w:w="108" w:type="dxa"/>
            </w:tcMar>
            <w:hideMark/>
          </w:tcPr>
          <w:p w:rsidR="00B36F09" w:rsidRPr="000921FA" w:rsidRDefault="00B36F09" w:rsidP="008F70D3">
            <w:pPr>
              <w:pStyle w:val="table2"/>
              <w:rPr>
                <w:b/>
              </w:rPr>
            </w:pPr>
            <w:r w:rsidRPr="000921FA">
              <w:rPr>
                <w:b/>
              </w:rPr>
              <w:t>Source / method used to calculate</w:t>
            </w:r>
          </w:p>
        </w:tc>
      </w:tr>
      <w:tr w:rsidR="00B36F09" w:rsidRPr="000921FA" w:rsidTr="008F70D3">
        <w:tc>
          <w:tcPr>
            <w:tcW w:w="1809" w:type="dxa"/>
            <w:tcBorders>
              <w:top w:val="single" w:sz="4" w:space="0" w:color="000000"/>
              <w:left w:val="dotted" w:sz="8" w:space="0" w:color="auto"/>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Slope</w:t>
            </w:r>
          </w:p>
        </w:tc>
        <w:tc>
          <w:tcPr>
            <w:tcW w:w="1834" w:type="dxa"/>
            <w:tcBorders>
              <w:top w:val="single" w:sz="4" w:space="0" w:color="000000"/>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Gradient</w:t>
            </w:r>
          </w:p>
        </w:tc>
        <w:tc>
          <w:tcPr>
            <w:tcW w:w="2336" w:type="dxa"/>
            <w:tcBorders>
              <w:top w:val="single" w:sz="4" w:space="0" w:color="000000"/>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Affects overland and subsurface flow velocity and runoff rate, geomorphology</w:t>
            </w:r>
          </w:p>
        </w:tc>
        <w:tc>
          <w:tcPr>
            <w:tcW w:w="2493" w:type="dxa"/>
            <w:tcBorders>
              <w:top w:val="single" w:sz="4" w:space="0" w:color="000000"/>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proofErr w:type="spellStart"/>
            <w:r w:rsidRPr="000921FA">
              <w:t>ArcGIS</w:t>
            </w:r>
            <w:proofErr w:type="spellEnd"/>
            <w:r w:rsidRPr="000921FA">
              <w:t xml:space="preserve"> Spatial Analyst – Surface analysis – slope function applied to DEM </w:t>
            </w:r>
          </w:p>
        </w:tc>
      </w:tr>
      <w:tr w:rsidR="00B36F09" w:rsidRPr="000921FA" w:rsidTr="008F70D3">
        <w:tc>
          <w:tcPr>
            <w:tcW w:w="180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Profile Curvature</w:t>
            </w:r>
          </w:p>
        </w:tc>
        <w:tc>
          <w:tcPr>
            <w:tcW w:w="1834"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Slope profile curvature</w:t>
            </w:r>
          </w:p>
        </w:tc>
        <w:tc>
          <w:tcPr>
            <w:tcW w:w="2336"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Affects flow acceleration, erosion/deposition rate, geomorphology</w:t>
            </w:r>
          </w:p>
        </w:tc>
        <w:tc>
          <w:tcPr>
            <w:tcW w:w="2493"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proofErr w:type="spellStart"/>
            <w:r w:rsidRPr="000921FA">
              <w:t>ArcGIS</w:t>
            </w:r>
            <w:proofErr w:type="spellEnd"/>
            <w:r w:rsidRPr="000921FA">
              <w:t xml:space="preserve"> Spatial Analyst Surface Toolbox – Curvature tool applied to DEM</w:t>
            </w:r>
          </w:p>
        </w:tc>
      </w:tr>
      <w:tr w:rsidR="00B36F09" w:rsidRPr="000921FA" w:rsidTr="008F70D3">
        <w:tc>
          <w:tcPr>
            <w:tcW w:w="180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Plan Curvature</w:t>
            </w:r>
          </w:p>
        </w:tc>
        <w:tc>
          <w:tcPr>
            <w:tcW w:w="1834"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Contour curvature</w:t>
            </w:r>
          </w:p>
        </w:tc>
        <w:tc>
          <w:tcPr>
            <w:tcW w:w="2336"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Affects converging / diverging flow, soil water content, soil characteristics.</w:t>
            </w:r>
          </w:p>
        </w:tc>
        <w:tc>
          <w:tcPr>
            <w:tcW w:w="2493"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proofErr w:type="spellStart"/>
            <w:r w:rsidRPr="000921FA">
              <w:t>ArcGIS</w:t>
            </w:r>
            <w:proofErr w:type="spellEnd"/>
            <w:r w:rsidRPr="000921FA">
              <w:t xml:space="preserve"> Spatial Analyst Surface Toolbox – Curvature tool applied to DEM</w:t>
            </w:r>
          </w:p>
        </w:tc>
      </w:tr>
      <w:tr w:rsidR="00B36F09" w:rsidRPr="000921FA" w:rsidTr="008F70D3">
        <w:tc>
          <w:tcPr>
            <w:tcW w:w="180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Slope Length (flow path length)</w:t>
            </w:r>
          </w:p>
        </w:tc>
        <w:tc>
          <w:tcPr>
            <w:tcW w:w="1834"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Maximum distance of water flow to a point in the catchment</w:t>
            </w:r>
          </w:p>
        </w:tc>
        <w:tc>
          <w:tcPr>
            <w:tcW w:w="2336"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 xml:space="preserve">Affects erosion rates and sediment yield. </w:t>
            </w:r>
          </w:p>
        </w:tc>
        <w:tc>
          <w:tcPr>
            <w:tcW w:w="2493"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proofErr w:type="spellStart"/>
            <w:r w:rsidRPr="000921FA">
              <w:t>ArcGIS</w:t>
            </w:r>
            <w:proofErr w:type="spellEnd"/>
            <w:r w:rsidRPr="000921FA">
              <w:t xml:space="preserve"> Spatial Analyst hydrology tool set used to </w:t>
            </w:r>
            <w:proofErr w:type="gramStart"/>
            <w:r w:rsidRPr="000921FA">
              <w:t>produce  a</w:t>
            </w:r>
            <w:proofErr w:type="gramEnd"/>
            <w:r w:rsidRPr="000921FA">
              <w:t xml:space="preserve"> flow direction grid from DEM; the Flow Length tool within the Spatial Analyst Hydrology tool set applied to the flow direction grid;  flow length upstream option selected.</w:t>
            </w:r>
          </w:p>
        </w:tc>
      </w:tr>
      <w:tr w:rsidR="00B36F09" w:rsidRPr="000921FA" w:rsidTr="008F70D3">
        <w:tc>
          <w:tcPr>
            <w:tcW w:w="180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Elevation</w:t>
            </w:r>
          </w:p>
        </w:tc>
        <w:tc>
          <w:tcPr>
            <w:tcW w:w="1834"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Height relative to sea level</w:t>
            </w:r>
          </w:p>
        </w:tc>
        <w:tc>
          <w:tcPr>
            <w:tcW w:w="2336"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 xml:space="preserve">Affects climate, vegetation composition, distribution and abundance </w:t>
            </w:r>
          </w:p>
        </w:tc>
        <w:tc>
          <w:tcPr>
            <w:tcW w:w="2493"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 xml:space="preserve">Interpolated from contours using IDW procedure in </w:t>
            </w:r>
            <w:proofErr w:type="spellStart"/>
            <w:r w:rsidRPr="000921FA">
              <w:t>ArcGIS</w:t>
            </w:r>
            <w:proofErr w:type="spellEnd"/>
            <w:r w:rsidRPr="000921FA">
              <w:t xml:space="preserve"> Spatial analyst</w:t>
            </w:r>
          </w:p>
        </w:tc>
      </w:tr>
      <w:tr w:rsidR="00B36F09" w:rsidRPr="000921FA" w:rsidTr="008F70D3">
        <w:tc>
          <w:tcPr>
            <w:tcW w:w="180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proofErr w:type="spellStart"/>
            <w:r w:rsidRPr="000921FA">
              <w:t>LS_Factor</w:t>
            </w:r>
            <w:proofErr w:type="spellEnd"/>
            <w:r w:rsidRPr="000921FA">
              <w:t xml:space="preserve"> (erosion index)</w:t>
            </w:r>
          </w:p>
        </w:tc>
        <w:tc>
          <w:tcPr>
            <w:tcW w:w="1834"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 xml:space="preserve">Represents effect of slope length on erosion; ratio of soil loss from a given </w:t>
            </w:r>
            <w:proofErr w:type="spellStart"/>
            <w:r w:rsidRPr="000921FA">
              <w:t>hillslope</w:t>
            </w:r>
            <w:proofErr w:type="spellEnd"/>
            <w:r w:rsidRPr="000921FA">
              <w:t xml:space="preserve"> length and gradient to soil loss from a standard</w:t>
            </w:r>
            <w:proofErr w:type="gramStart"/>
            <w:r w:rsidRPr="000921FA">
              <w:t>  unit</w:t>
            </w:r>
            <w:proofErr w:type="gramEnd"/>
            <w:r w:rsidRPr="000921FA">
              <w:t xml:space="preserve"> plot. </w:t>
            </w:r>
          </w:p>
        </w:tc>
        <w:tc>
          <w:tcPr>
            <w:tcW w:w="2336" w:type="dxa"/>
            <w:tcBorders>
              <w:top w:val="nil"/>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Predicts areas of net erosion and net deposition areas</w:t>
            </w:r>
          </w:p>
        </w:tc>
        <w:tc>
          <w:tcPr>
            <w:tcW w:w="2493" w:type="dxa"/>
            <w:tcBorders>
              <w:top w:val="nil"/>
              <w:left w:val="nil"/>
              <w:bottom w:val="dotted" w:sz="8" w:space="0" w:color="auto"/>
              <w:right w:val="dotted" w:sz="8" w:space="0" w:color="auto"/>
            </w:tcBorders>
            <w:tcMar>
              <w:top w:w="0" w:type="dxa"/>
              <w:left w:w="108" w:type="dxa"/>
              <w:bottom w:w="0" w:type="dxa"/>
              <w:right w:w="108" w:type="dxa"/>
            </w:tcMar>
          </w:tcPr>
          <w:p w:rsidR="00B36F09" w:rsidRPr="000921FA" w:rsidRDefault="00B36F09" w:rsidP="008F70D3">
            <w:pPr>
              <w:pStyle w:val="table2"/>
              <w:rPr>
                <w:rFonts w:eastAsia="Calibri" w:cs="Arial"/>
                <w:szCs w:val="16"/>
              </w:rPr>
            </w:pPr>
            <w:r w:rsidRPr="000921FA">
              <w:t xml:space="preserve">Calculated using the Terrain Analysis extension in ArcView3 – </w:t>
            </w:r>
            <w:proofErr w:type="spellStart"/>
            <w:r w:rsidRPr="000921FA">
              <w:t>SlopeLength</w:t>
            </w:r>
            <w:proofErr w:type="spellEnd"/>
            <w:r w:rsidRPr="000921FA">
              <w:t xml:space="preserve"> Factor</w:t>
            </w:r>
          </w:p>
          <w:p w:rsidR="00B36F09" w:rsidRPr="000921FA" w:rsidRDefault="00B36F09" w:rsidP="008F70D3">
            <w:pPr>
              <w:pStyle w:val="table2"/>
            </w:pPr>
          </w:p>
        </w:tc>
      </w:tr>
      <w:tr w:rsidR="00B36F09" w:rsidRPr="000921FA" w:rsidTr="008F70D3">
        <w:tc>
          <w:tcPr>
            <w:tcW w:w="1809" w:type="dxa"/>
            <w:tcBorders>
              <w:top w:val="dotted" w:sz="8" w:space="0" w:color="auto"/>
              <w:left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 xml:space="preserve">Erosion – Deposition Index (stream power index) </w:t>
            </w:r>
          </w:p>
        </w:tc>
        <w:tc>
          <w:tcPr>
            <w:tcW w:w="1834" w:type="dxa"/>
            <w:tcBorders>
              <w:top w:val="dotted" w:sz="8" w:space="0" w:color="auto"/>
              <w:left w:val="nil"/>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Measure of erosive power that predicts net erosion in convex areas and net deposition in concave areas</w:t>
            </w:r>
          </w:p>
        </w:tc>
        <w:tc>
          <w:tcPr>
            <w:tcW w:w="2336" w:type="dxa"/>
            <w:tcBorders>
              <w:top w:val="dotted" w:sz="8" w:space="0" w:color="auto"/>
              <w:left w:val="nil"/>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 xml:space="preserve">Affects erosion / sedimentation rate, nutrient supply, soil depth and texture, </w:t>
            </w:r>
          </w:p>
        </w:tc>
        <w:tc>
          <w:tcPr>
            <w:tcW w:w="2493" w:type="dxa"/>
            <w:tcBorders>
              <w:top w:val="dotted" w:sz="8" w:space="0" w:color="auto"/>
              <w:left w:val="nil"/>
              <w:right w:val="dotted" w:sz="8" w:space="0" w:color="auto"/>
            </w:tcBorders>
            <w:tcMar>
              <w:top w:w="0" w:type="dxa"/>
              <w:left w:w="108" w:type="dxa"/>
              <w:bottom w:w="0" w:type="dxa"/>
              <w:right w:w="108" w:type="dxa"/>
            </w:tcMar>
          </w:tcPr>
          <w:p w:rsidR="00B36F09" w:rsidRPr="000921FA" w:rsidRDefault="00B36F09" w:rsidP="008F70D3">
            <w:pPr>
              <w:pStyle w:val="table2"/>
              <w:rPr>
                <w:rFonts w:eastAsia="Calibri" w:cs="Arial"/>
                <w:szCs w:val="16"/>
              </w:rPr>
            </w:pPr>
            <w:r w:rsidRPr="000921FA">
              <w:t xml:space="preserve">Calculated using the Terrain Analysis extension in </w:t>
            </w:r>
            <w:proofErr w:type="spellStart"/>
            <w:r w:rsidRPr="000921FA">
              <w:t>ArcView</w:t>
            </w:r>
            <w:proofErr w:type="spellEnd"/>
            <w:r w:rsidRPr="000921FA">
              <w:t xml:space="preserve"> 3 – stream power index</w:t>
            </w:r>
          </w:p>
          <w:p w:rsidR="00B36F09" w:rsidRPr="000921FA" w:rsidRDefault="00B36F09" w:rsidP="008F70D3">
            <w:pPr>
              <w:pStyle w:val="table2"/>
            </w:pPr>
          </w:p>
        </w:tc>
      </w:tr>
      <w:tr w:rsidR="00B36F09" w:rsidRPr="000921FA" w:rsidTr="008F70D3">
        <w:tc>
          <w:tcPr>
            <w:tcW w:w="1809" w:type="dxa"/>
            <w:tcMar>
              <w:top w:w="0" w:type="dxa"/>
              <w:left w:w="108" w:type="dxa"/>
              <w:bottom w:w="0" w:type="dxa"/>
              <w:right w:w="108" w:type="dxa"/>
            </w:tcMar>
            <w:hideMark/>
          </w:tcPr>
          <w:p w:rsidR="00B36F09" w:rsidRPr="000921FA" w:rsidRDefault="00B36F09" w:rsidP="008F70D3">
            <w:pPr>
              <w:pStyle w:val="table2"/>
            </w:pPr>
            <w:r w:rsidRPr="000921FA">
              <w:t>Aspect</w:t>
            </w:r>
          </w:p>
        </w:tc>
        <w:tc>
          <w:tcPr>
            <w:tcW w:w="1834" w:type="dxa"/>
            <w:tcMar>
              <w:top w:w="0" w:type="dxa"/>
              <w:left w:w="108" w:type="dxa"/>
              <w:bottom w:w="0" w:type="dxa"/>
              <w:right w:w="108" w:type="dxa"/>
            </w:tcMar>
            <w:hideMark/>
          </w:tcPr>
          <w:p w:rsidR="00B36F09" w:rsidRPr="000921FA" w:rsidRDefault="00B36F09" w:rsidP="008F70D3">
            <w:pPr>
              <w:pStyle w:val="table2"/>
            </w:pPr>
            <w:r w:rsidRPr="000921FA">
              <w:t>The direction or orientation (compass bearing)  in which a slope faces</w:t>
            </w:r>
          </w:p>
        </w:tc>
        <w:tc>
          <w:tcPr>
            <w:tcW w:w="2336" w:type="dxa"/>
            <w:tcMar>
              <w:top w:w="0" w:type="dxa"/>
              <w:left w:w="108" w:type="dxa"/>
              <w:bottom w:w="0" w:type="dxa"/>
              <w:right w:w="108" w:type="dxa"/>
            </w:tcMar>
            <w:hideMark/>
          </w:tcPr>
          <w:p w:rsidR="00B36F09" w:rsidRPr="000921FA" w:rsidRDefault="00B36F09" w:rsidP="008F70D3">
            <w:pPr>
              <w:pStyle w:val="table2"/>
            </w:pPr>
            <w:r w:rsidRPr="000921FA">
              <w:t>Position of a site in relation to climatic elements (winds, sunlight) received. Affects vegetation composition and distribution</w:t>
            </w:r>
          </w:p>
        </w:tc>
        <w:tc>
          <w:tcPr>
            <w:tcW w:w="2493" w:type="dxa"/>
            <w:tcMar>
              <w:top w:w="0" w:type="dxa"/>
              <w:left w:w="108" w:type="dxa"/>
              <w:bottom w:w="0" w:type="dxa"/>
              <w:right w:w="108" w:type="dxa"/>
            </w:tcMar>
            <w:hideMark/>
          </w:tcPr>
          <w:p w:rsidR="00B36F09" w:rsidRPr="000921FA" w:rsidRDefault="00B36F09" w:rsidP="008F70D3">
            <w:pPr>
              <w:pStyle w:val="table2"/>
            </w:pPr>
            <w:proofErr w:type="spellStart"/>
            <w:r w:rsidRPr="000921FA">
              <w:t>ArcGIS</w:t>
            </w:r>
            <w:proofErr w:type="spellEnd"/>
            <w:r w:rsidRPr="000921FA">
              <w:t xml:space="preserve"> Spatial Analyst – Surface analysis – Aspect function applied to DEM</w:t>
            </w:r>
          </w:p>
        </w:tc>
      </w:tr>
      <w:tr w:rsidR="00B36F09" w:rsidRPr="000921FA" w:rsidTr="008F70D3">
        <w:tc>
          <w:tcPr>
            <w:tcW w:w="1809" w:type="dxa"/>
            <w:tcBorders>
              <w:left w:val="dotted" w:sz="8" w:space="0" w:color="auto"/>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Relief</w:t>
            </w:r>
          </w:p>
        </w:tc>
        <w:tc>
          <w:tcPr>
            <w:tcW w:w="1834" w:type="dxa"/>
            <w:tcBorders>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Absolute difference in elevation within a [300m] radius of a defined point</w:t>
            </w:r>
          </w:p>
        </w:tc>
        <w:tc>
          <w:tcPr>
            <w:tcW w:w="2336" w:type="dxa"/>
            <w:tcBorders>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Range in elevation within a defined radius of a point</w:t>
            </w:r>
          </w:p>
        </w:tc>
        <w:tc>
          <w:tcPr>
            <w:tcW w:w="2493" w:type="dxa"/>
            <w:tcBorders>
              <w:left w:val="nil"/>
              <w:bottom w:val="dotted" w:sz="8" w:space="0" w:color="auto"/>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 xml:space="preserve">Points buffered in </w:t>
            </w:r>
            <w:proofErr w:type="spellStart"/>
            <w:r w:rsidRPr="000921FA">
              <w:t>ArcGIS</w:t>
            </w:r>
            <w:proofErr w:type="spellEnd"/>
            <w:r w:rsidRPr="000921FA">
              <w:t xml:space="preserve">; queried using </w:t>
            </w:r>
            <w:proofErr w:type="spellStart"/>
            <w:r w:rsidRPr="000921FA">
              <w:t>zonal</w:t>
            </w:r>
            <w:proofErr w:type="spellEnd"/>
            <w:r w:rsidRPr="000921FA">
              <w:t xml:space="preserve"> analyst with ERIN-developed script</w:t>
            </w:r>
          </w:p>
        </w:tc>
      </w:tr>
      <w:tr w:rsidR="00B36F09" w:rsidRPr="000921FA" w:rsidTr="008F70D3">
        <w:tc>
          <w:tcPr>
            <w:tcW w:w="1809" w:type="dxa"/>
            <w:tcBorders>
              <w:top w:val="dotted" w:sz="8" w:space="0" w:color="auto"/>
              <w:left w:val="dotted" w:sz="8" w:space="0" w:color="auto"/>
              <w:bottom w:val="single" w:sz="4" w:space="0" w:color="000000"/>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TWI (topographic wetness indices)</w:t>
            </w:r>
          </w:p>
        </w:tc>
        <w:tc>
          <w:tcPr>
            <w:tcW w:w="1834" w:type="dxa"/>
            <w:tcBorders>
              <w:top w:val="dotted" w:sz="8" w:space="0" w:color="auto"/>
              <w:left w:val="nil"/>
              <w:bottom w:val="single" w:sz="4" w:space="0" w:color="000000"/>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Describes the distribution and extent of zones of saturation for runoff generation</w:t>
            </w:r>
          </w:p>
        </w:tc>
        <w:tc>
          <w:tcPr>
            <w:tcW w:w="2336" w:type="dxa"/>
            <w:tcBorders>
              <w:top w:val="dotted" w:sz="8" w:space="0" w:color="auto"/>
              <w:left w:val="nil"/>
              <w:bottom w:val="single" w:sz="4" w:space="0" w:color="000000"/>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Identifies areas/ zones of water concentration in the landscape. Will affect vegetation composition and distribution</w:t>
            </w:r>
          </w:p>
        </w:tc>
        <w:tc>
          <w:tcPr>
            <w:tcW w:w="2493" w:type="dxa"/>
            <w:tcBorders>
              <w:top w:val="dotted" w:sz="8" w:space="0" w:color="auto"/>
              <w:left w:val="nil"/>
              <w:bottom w:val="single" w:sz="4" w:space="0" w:color="000000"/>
              <w:right w:val="dotted" w:sz="8" w:space="0" w:color="auto"/>
            </w:tcBorders>
            <w:tcMar>
              <w:top w:w="0" w:type="dxa"/>
              <w:left w:w="108" w:type="dxa"/>
              <w:bottom w:w="0" w:type="dxa"/>
              <w:right w:w="108" w:type="dxa"/>
            </w:tcMar>
            <w:hideMark/>
          </w:tcPr>
          <w:p w:rsidR="00B36F09" w:rsidRPr="000921FA" w:rsidRDefault="00B36F09" w:rsidP="008F70D3">
            <w:pPr>
              <w:pStyle w:val="table2"/>
            </w:pPr>
            <w:r w:rsidRPr="000921FA">
              <w:t xml:space="preserve">Calculated using the Terrain Analysis extension in </w:t>
            </w:r>
            <w:proofErr w:type="spellStart"/>
            <w:r w:rsidRPr="000921FA">
              <w:t>ArcView</w:t>
            </w:r>
            <w:proofErr w:type="spellEnd"/>
            <w:r w:rsidRPr="000921FA">
              <w:t xml:space="preserve"> 3</w:t>
            </w:r>
          </w:p>
        </w:tc>
      </w:tr>
    </w:tbl>
    <w:p w:rsidR="00B36F09" w:rsidRPr="000921FA" w:rsidRDefault="00B36F09" w:rsidP="00B36F09">
      <w:pPr>
        <w:pStyle w:val="tablenote"/>
        <w:rPr>
          <w:lang w:eastAsia="en-AU"/>
        </w:rPr>
      </w:pPr>
    </w:p>
    <w:p w:rsidR="00B36F09" w:rsidRDefault="00B36F09" w:rsidP="00B36F09">
      <w:pPr>
        <w:spacing w:after="0" w:line="240" w:lineRule="auto"/>
        <w:jc w:val="left"/>
        <w:rPr>
          <w:rFonts w:ascii="Arial" w:hAnsi="Arial"/>
          <w:b/>
          <w:sz w:val="28"/>
        </w:rPr>
      </w:pPr>
      <w:r>
        <w:br w:type="page"/>
      </w:r>
    </w:p>
    <w:p w:rsidR="00B36F09" w:rsidRPr="000921FA" w:rsidRDefault="00B36F09" w:rsidP="00B36F09">
      <w:pPr>
        <w:pStyle w:val="Heading3"/>
      </w:pPr>
      <w:bookmarkStart w:id="147" w:name="_Toc313523573"/>
      <w:bookmarkStart w:id="148" w:name="_Toc316985417"/>
      <w:r w:rsidRPr="000921FA">
        <w:lastRenderedPageBreak/>
        <w:t xml:space="preserve">Appendix </w:t>
      </w:r>
      <w:proofErr w:type="gramStart"/>
      <w:r w:rsidRPr="000921FA">
        <w:t>2</w:t>
      </w:r>
      <w:r>
        <w:t xml:space="preserve"> </w:t>
      </w:r>
      <w:r w:rsidRPr="000921FA">
        <w:t xml:space="preserve"> Physical</w:t>
      </w:r>
      <w:proofErr w:type="gramEnd"/>
      <w:r w:rsidRPr="000921FA">
        <w:t xml:space="preserve"> and chemical properties of soils measured at selected sites on the Georgetown analogue sites</w:t>
      </w:r>
      <w:bookmarkEnd w:id="147"/>
      <w:bookmarkEnd w:id="148"/>
    </w:p>
    <w:p w:rsidR="00B36F09" w:rsidRPr="000921FA" w:rsidRDefault="00B36F09" w:rsidP="00B36F09">
      <w:pPr>
        <w:pStyle w:val="Heading6"/>
      </w:pPr>
      <w:r w:rsidRPr="000921FA">
        <w:t>Soil chemistry (major ions and nutrients)</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H</w:t>
      </w:r>
      <w:r w:rsidRPr="000921FA">
        <w:rPr>
          <w:snapToGrid w:val="0"/>
          <w:position w:val="-5"/>
          <w:sz w:val="15"/>
          <w:szCs w:val="0"/>
          <w:u w:color="000000"/>
          <w:lang w:eastAsia="en-AU"/>
        </w:rPr>
        <w:t>2</w:t>
      </w:r>
      <w:r w:rsidRPr="000921FA">
        <w:rPr>
          <w:szCs w:val="22"/>
          <w:lang w:eastAsia="en-AU"/>
        </w:rPr>
        <w:t>O</w:t>
      </w:r>
    </w:p>
    <w:p w:rsidR="00B36F09" w:rsidRPr="000921FA" w:rsidRDefault="00B36F09" w:rsidP="00B36F09">
      <w:pPr>
        <w:autoSpaceDE w:val="0"/>
        <w:autoSpaceDN w:val="0"/>
        <w:adjustRightInd w:val="0"/>
        <w:spacing w:after="0" w:line="240" w:lineRule="auto"/>
        <w:jc w:val="left"/>
        <w:rPr>
          <w:szCs w:val="22"/>
          <w:lang w:eastAsia="en-AU"/>
        </w:rPr>
      </w:pPr>
      <w:proofErr w:type="spellStart"/>
      <w:r w:rsidRPr="000921FA">
        <w:rPr>
          <w:szCs w:val="22"/>
          <w:lang w:eastAsia="en-AU"/>
        </w:rPr>
        <w:t>ECe</w:t>
      </w:r>
      <w:proofErr w:type="spellEnd"/>
      <w:r w:rsidRPr="000921FA">
        <w:rPr>
          <w:szCs w:val="22"/>
          <w:lang w:eastAsia="en-AU"/>
        </w:rPr>
        <w:t xml:space="preserve"> (soil salinity)</w:t>
      </w:r>
    </w:p>
    <w:p w:rsidR="00B36F09" w:rsidRPr="000921FA" w:rsidRDefault="00B36F09" w:rsidP="00B36F09">
      <w:pPr>
        <w:autoSpaceDE w:val="0"/>
        <w:autoSpaceDN w:val="0"/>
        <w:adjustRightInd w:val="0"/>
        <w:spacing w:after="0" w:line="240" w:lineRule="auto"/>
        <w:jc w:val="left"/>
        <w:rPr>
          <w:szCs w:val="22"/>
          <w:lang w:eastAsia="en-AU"/>
        </w:rPr>
      </w:pPr>
      <w:proofErr w:type="gramStart"/>
      <w:r w:rsidRPr="000921FA">
        <w:rPr>
          <w:szCs w:val="22"/>
          <w:lang w:eastAsia="en-AU"/>
        </w:rPr>
        <w:t>pH</w:t>
      </w:r>
      <w:proofErr w:type="gramEnd"/>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Ca</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Mg</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Na</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C-TOC (total soil organic carbon)</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S</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Cu</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Fe</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K</w:t>
      </w:r>
    </w:p>
    <w:p w:rsidR="00B36F09" w:rsidRPr="000921FA" w:rsidRDefault="00B36F09" w:rsidP="00B36F09">
      <w:pPr>
        <w:autoSpaceDE w:val="0"/>
        <w:autoSpaceDN w:val="0"/>
        <w:adjustRightInd w:val="0"/>
        <w:spacing w:after="0" w:line="240" w:lineRule="auto"/>
        <w:jc w:val="left"/>
        <w:rPr>
          <w:szCs w:val="22"/>
          <w:lang w:eastAsia="en-AU"/>
        </w:rPr>
      </w:pPr>
      <w:proofErr w:type="spellStart"/>
      <w:r w:rsidRPr="000921FA">
        <w:rPr>
          <w:szCs w:val="22"/>
          <w:lang w:eastAsia="en-AU"/>
        </w:rPr>
        <w:t>Mn</w:t>
      </w:r>
      <w:proofErr w:type="spellEnd"/>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Total N</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N-NH</w:t>
      </w:r>
      <w:r w:rsidRPr="000921FA">
        <w:rPr>
          <w:snapToGrid w:val="0"/>
          <w:position w:val="-5"/>
          <w:sz w:val="15"/>
          <w:szCs w:val="0"/>
          <w:u w:color="000000"/>
          <w:lang w:eastAsia="en-AU"/>
        </w:rPr>
        <w:t>4</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N-NO</w:t>
      </w:r>
      <w:r w:rsidRPr="000921FA">
        <w:rPr>
          <w:snapToGrid w:val="0"/>
          <w:position w:val="-5"/>
          <w:sz w:val="15"/>
          <w:szCs w:val="0"/>
          <w:u w:color="000000"/>
          <w:lang w:eastAsia="en-AU"/>
        </w:rPr>
        <w:t>3</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P</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Zn</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CEC (</w:t>
      </w:r>
      <w:proofErr w:type="spellStart"/>
      <w:r w:rsidRPr="000921FA">
        <w:rPr>
          <w:szCs w:val="22"/>
          <w:lang w:eastAsia="en-AU"/>
        </w:rPr>
        <w:t>cation</w:t>
      </w:r>
      <w:proofErr w:type="spellEnd"/>
      <w:r w:rsidRPr="000921FA">
        <w:rPr>
          <w:szCs w:val="22"/>
          <w:lang w:eastAsia="en-AU"/>
        </w:rPr>
        <w:t xml:space="preserve"> exchange capacity)</w:t>
      </w:r>
    </w:p>
    <w:p w:rsidR="00B36F09" w:rsidRPr="000921FA" w:rsidRDefault="00B36F09" w:rsidP="00B36F09">
      <w:pPr>
        <w:spacing w:after="0" w:line="240" w:lineRule="auto"/>
        <w:jc w:val="left"/>
        <w:rPr>
          <w:szCs w:val="22"/>
        </w:rPr>
      </w:pPr>
    </w:p>
    <w:p w:rsidR="00B36F09" w:rsidRPr="000921FA" w:rsidRDefault="00B36F09" w:rsidP="00B36F09">
      <w:pPr>
        <w:pStyle w:val="Heading6"/>
      </w:pPr>
      <w:r w:rsidRPr="000921FA">
        <w:t>Particle size distribution</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Gravel</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Sand</w:t>
      </w:r>
    </w:p>
    <w:p w:rsidR="00B36F09" w:rsidRPr="000921FA" w:rsidRDefault="00B36F09" w:rsidP="00B36F09">
      <w:pPr>
        <w:spacing w:after="0" w:line="240" w:lineRule="auto"/>
        <w:jc w:val="left"/>
      </w:pPr>
    </w:p>
    <w:p w:rsidR="00B36F09" w:rsidRPr="000921FA" w:rsidRDefault="00B36F09" w:rsidP="00B36F09">
      <w:pPr>
        <w:pStyle w:val="Heading6"/>
        <w:rPr>
          <w:lang w:eastAsia="en-AU"/>
        </w:rPr>
      </w:pPr>
      <w:r w:rsidRPr="000921FA">
        <w:t>Soil water retention properties</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Infiltration-dry</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Infiltration-wet</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Bore-infiltration</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Petro-10</w:t>
      </w:r>
      <w:r>
        <w:rPr>
          <w:szCs w:val="22"/>
          <w:lang w:eastAsia="en-AU"/>
        </w:rPr>
        <w:t xml:space="preserve"> (</w:t>
      </w:r>
      <w:proofErr w:type="spellStart"/>
      <w:r>
        <w:rPr>
          <w:szCs w:val="22"/>
          <w:lang w:eastAsia="en-AU"/>
        </w:rPr>
        <w:t>Penetrometer</w:t>
      </w:r>
      <w:proofErr w:type="spellEnd"/>
      <w:r>
        <w:rPr>
          <w:szCs w:val="22"/>
          <w:lang w:eastAsia="en-AU"/>
        </w:rPr>
        <w:t xml:space="preserve"> at </w:t>
      </w:r>
      <w:r w:rsidRPr="007638B5">
        <w:rPr>
          <w:szCs w:val="22"/>
          <w:lang w:eastAsia="en-AU"/>
        </w:rPr>
        <w:t>10kPa</w:t>
      </w:r>
      <w:r>
        <w:rPr>
          <w:szCs w:val="22"/>
          <w:lang w:eastAsia="en-AU"/>
        </w:rPr>
        <w:t>)</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WH-10</w:t>
      </w:r>
      <w:r>
        <w:rPr>
          <w:szCs w:val="22"/>
          <w:lang w:eastAsia="en-AU"/>
        </w:rPr>
        <w:t xml:space="preserve"> (</w:t>
      </w:r>
      <w:r w:rsidRPr="007638B5">
        <w:rPr>
          <w:szCs w:val="22"/>
          <w:lang w:eastAsia="en-AU"/>
        </w:rPr>
        <w:t>Water holding cc/cc</w:t>
      </w:r>
      <w:r>
        <w:rPr>
          <w:szCs w:val="22"/>
          <w:lang w:eastAsia="en-AU"/>
        </w:rPr>
        <w:t xml:space="preserve"> at </w:t>
      </w:r>
      <w:r w:rsidRPr="007638B5">
        <w:rPr>
          <w:szCs w:val="22"/>
          <w:lang w:eastAsia="en-AU"/>
        </w:rPr>
        <w:t>10kPa</w:t>
      </w:r>
      <w:r>
        <w:rPr>
          <w:szCs w:val="22"/>
          <w:lang w:eastAsia="en-AU"/>
        </w:rPr>
        <w:t>)</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Density</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Porosity</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Aeration</w:t>
      </w:r>
    </w:p>
    <w:p w:rsidR="00B36F09" w:rsidRPr="000921FA" w:rsidRDefault="00B36F09" w:rsidP="00B36F09">
      <w:pPr>
        <w:spacing w:after="0" w:line="240" w:lineRule="auto"/>
        <w:jc w:val="left"/>
      </w:pPr>
    </w:p>
    <w:p w:rsidR="00B36F09" w:rsidRPr="000921FA" w:rsidRDefault="00B36F09" w:rsidP="00B36F09">
      <w:pPr>
        <w:pStyle w:val="Heading6"/>
        <w:rPr>
          <w:lang w:eastAsia="en-AU"/>
        </w:rPr>
      </w:pPr>
      <w:r w:rsidRPr="000921FA">
        <w:t>Soil morphology and surface drainage classes from published classifications representing horizon thickness, gravel and texture, and soil permeability</w:t>
      </w:r>
    </w:p>
    <w:p w:rsidR="00B36F09" w:rsidRPr="000921FA" w:rsidRDefault="00B36F09" w:rsidP="00B36F09">
      <w:pPr>
        <w:autoSpaceDE w:val="0"/>
        <w:autoSpaceDN w:val="0"/>
        <w:adjustRightInd w:val="0"/>
        <w:spacing w:after="0" w:line="240" w:lineRule="auto"/>
        <w:jc w:val="left"/>
        <w:rPr>
          <w:szCs w:val="22"/>
          <w:lang w:eastAsia="en-AU"/>
        </w:rPr>
      </w:pPr>
      <w:proofErr w:type="gramStart"/>
      <w:r w:rsidRPr="000921FA">
        <w:rPr>
          <w:szCs w:val="22"/>
          <w:lang w:eastAsia="en-AU"/>
        </w:rPr>
        <w:t>A</w:t>
      </w:r>
      <w:proofErr w:type="gramEnd"/>
      <w:r w:rsidRPr="000921FA">
        <w:rPr>
          <w:szCs w:val="22"/>
          <w:lang w:eastAsia="en-AU"/>
        </w:rPr>
        <w:t xml:space="preserve"> h thickness</w:t>
      </w:r>
    </w:p>
    <w:p w:rsidR="00B36F09" w:rsidRPr="000921FA" w:rsidRDefault="00B36F09" w:rsidP="00B36F09">
      <w:pPr>
        <w:autoSpaceDE w:val="0"/>
        <w:autoSpaceDN w:val="0"/>
        <w:adjustRightInd w:val="0"/>
        <w:spacing w:after="0" w:line="240" w:lineRule="auto"/>
        <w:jc w:val="left"/>
        <w:rPr>
          <w:szCs w:val="22"/>
          <w:lang w:eastAsia="en-AU"/>
        </w:rPr>
      </w:pPr>
      <w:proofErr w:type="gramStart"/>
      <w:r w:rsidRPr="000921FA">
        <w:rPr>
          <w:szCs w:val="22"/>
          <w:lang w:eastAsia="en-AU"/>
        </w:rPr>
        <w:t>A</w:t>
      </w:r>
      <w:proofErr w:type="gramEnd"/>
      <w:r w:rsidRPr="000921FA">
        <w:rPr>
          <w:szCs w:val="22"/>
          <w:lang w:eastAsia="en-AU"/>
        </w:rPr>
        <w:t xml:space="preserve"> h gravel</w:t>
      </w:r>
    </w:p>
    <w:p w:rsidR="00B36F09" w:rsidRPr="000921FA" w:rsidRDefault="00B36F09" w:rsidP="00B36F09">
      <w:pPr>
        <w:autoSpaceDE w:val="0"/>
        <w:autoSpaceDN w:val="0"/>
        <w:adjustRightInd w:val="0"/>
        <w:spacing w:after="0" w:line="240" w:lineRule="auto"/>
        <w:jc w:val="left"/>
        <w:rPr>
          <w:szCs w:val="22"/>
          <w:lang w:eastAsia="en-AU"/>
        </w:rPr>
      </w:pPr>
      <w:proofErr w:type="gramStart"/>
      <w:r w:rsidRPr="000921FA">
        <w:rPr>
          <w:szCs w:val="22"/>
          <w:lang w:eastAsia="en-AU"/>
        </w:rPr>
        <w:t>A</w:t>
      </w:r>
      <w:proofErr w:type="gramEnd"/>
      <w:r w:rsidRPr="000921FA">
        <w:rPr>
          <w:szCs w:val="22"/>
          <w:lang w:eastAsia="en-AU"/>
        </w:rPr>
        <w:t xml:space="preserve"> h texture</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B h texture</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Soil depth</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Depth to rock</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Runoff</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Permeability</w:t>
      </w:r>
    </w:p>
    <w:p w:rsidR="00B36F09" w:rsidRPr="000921FA" w:rsidRDefault="00B36F09" w:rsidP="00B36F09">
      <w:pPr>
        <w:autoSpaceDE w:val="0"/>
        <w:autoSpaceDN w:val="0"/>
        <w:adjustRightInd w:val="0"/>
        <w:spacing w:after="0" w:line="240" w:lineRule="auto"/>
        <w:jc w:val="left"/>
        <w:rPr>
          <w:szCs w:val="22"/>
          <w:lang w:eastAsia="en-AU"/>
        </w:rPr>
      </w:pPr>
      <w:r w:rsidRPr="000921FA">
        <w:rPr>
          <w:szCs w:val="22"/>
          <w:lang w:eastAsia="en-AU"/>
        </w:rPr>
        <w:t>Drainage-class</w:t>
      </w:r>
    </w:p>
    <w:p w:rsidR="00B36F09" w:rsidRPr="000921FA" w:rsidRDefault="00B36F09" w:rsidP="00B36F09">
      <w:pPr>
        <w:rPr>
          <w:lang w:eastAsia="en-AU"/>
        </w:rPr>
      </w:pPr>
    </w:p>
    <w:p w:rsidR="00B36F09" w:rsidRDefault="00B36F09" w:rsidP="00B36F09">
      <w:pPr>
        <w:pStyle w:val="Heading3"/>
        <w:sectPr w:rsidR="00B36F09" w:rsidSect="00CB7F69">
          <w:headerReference w:type="even" r:id="rId44"/>
          <w:headerReference w:type="default" r:id="rId45"/>
          <w:headerReference w:type="first" r:id="rId46"/>
          <w:footnotePr>
            <w:numRestart w:val="eachSect"/>
          </w:footnotePr>
          <w:pgSz w:w="11906" w:h="16838" w:code="9"/>
          <w:pgMar w:top="1440" w:right="1797" w:bottom="1440" w:left="1797" w:header="851" w:footer="833" w:gutter="0"/>
          <w:cols w:space="360"/>
          <w:noEndnote/>
          <w:titlePg/>
        </w:sectPr>
      </w:pPr>
      <w:bookmarkStart w:id="149" w:name="_Toc308710365"/>
      <w:bookmarkStart w:id="150" w:name="_Toc309215814"/>
    </w:p>
    <w:p w:rsidR="00B36F09" w:rsidRDefault="00B36F09" w:rsidP="00B36F09">
      <w:pPr>
        <w:pStyle w:val="Heading1"/>
      </w:pPr>
      <w:bookmarkStart w:id="151" w:name="_Toc309215815"/>
      <w:bookmarkStart w:id="152" w:name="_Toc319670754"/>
      <w:bookmarkEnd w:id="149"/>
      <w:bookmarkEnd w:id="150"/>
      <w:r>
        <w:lastRenderedPageBreak/>
        <w:t xml:space="preserve">Estimating radionuclide transfer to </w:t>
      </w:r>
      <w:proofErr w:type="spellStart"/>
      <w:r>
        <w:t>bushfoods</w:t>
      </w:r>
      <w:proofErr w:type="spellEnd"/>
      <w:r>
        <w:t xml:space="preserve"> and ingestion doses to the public</w:t>
      </w:r>
      <w:bookmarkEnd w:id="151"/>
      <w:bookmarkEnd w:id="152"/>
    </w:p>
    <w:p w:rsidR="00B36F09" w:rsidRPr="008E44C5" w:rsidRDefault="00B36F09" w:rsidP="00B36F09">
      <w:pPr>
        <w:pStyle w:val="authors"/>
        <w:spacing w:after="800"/>
      </w:pPr>
      <w:bookmarkStart w:id="153" w:name="_Toc316987257"/>
      <w:bookmarkStart w:id="154" w:name="_Toc319670755"/>
      <w:r>
        <w:t xml:space="preserve">C Doering, </w:t>
      </w:r>
      <w:proofErr w:type="gramStart"/>
      <w:r>
        <w:t>A</w:t>
      </w:r>
      <w:proofErr w:type="gramEnd"/>
      <w:r>
        <w:t xml:space="preserve"> </w:t>
      </w:r>
      <w:proofErr w:type="spellStart"/>
      <w:r>
        <w:t>Bollhöfer</w:t>
      </w:r>
      <w:proofErr w:type="spellEnd"/>
      <w:r>
        <w:t xml:space="preserve"> &amp;</w:t>
      </w:r>
      <w:r w:rsidRPr="009108AA">
        <w:t xml:space="preserve"> </w:t>
      </w:r>
      <w:r>
        <w:t>B Ryan</w:t>
      </w:r>
      <w:bookmarkEnd w:id="153"/>
      <w:bookmarkEnd w:id="154"/>
    </w:p>
    <w:p w:rsidR="00B36F09" w:rsidRDefault="00B36F09" w:rsidP="00B36F09">
      <w:pPr>
        <w:pStyle w:val="Heading2"/>
      </w:pPr>
      <w:bookmarkStart w:id="155" w:name="_Toc313523575"/>
      <w:bookmarkStart w:id="156" w:name="_Toc316985419"/>
      <w:r>
        <w:t>Introduction</w:t>
      </w:r>
      <w:bookmarkEnd w:id="155"/>
      <w:bookmarkEnd w:id="156"/>
    </w:p>
    <w:p w:rsidR="00B36F09" w:rsidRDefault="00B36F09" w:rsidP="00B36F09">
      <w:r>
        <w:t xml:space="preserve">The ARR is an area of past and present uranium mining activity. It is also an area where there is customary harvesting of aquatic and terrestrial </w:t>
      </w:r>
      <w:proofErr w:type="spellStart"/>
      <w:r>
        <w:t>bushfoods</w:t>
      </w:r>
      <w:proofErr w:type="spellEnd"/>
      <w:r>
        <w:t xml:space="preserve"> by local Aboriginal people for sustenance. The accumulation of </w:t>
      </w:r>
      <w:proofErr w:type="spellStart"/>
      <w:r>
        <w:t>radionuclides</w:t>
      </w:r>
      <w:proofErr w:type="spellEnd"/>
      <w:r>
        <w:t xml:space="preserve"> in </w:t>
      </w:r>
      <w:proofErr w:type="spellStart"/>
      <w:r>
        <w:t>bushfoods</w:t>
      </w:r>
      <w:proofErr w:type="spellEnd"/>
      <w:r>
        <w:t xml:space="preserve"> and their consumption means that the ingestion pathway should be addressed in member of the public dose assessments for current and future exposure situations. In particular, the ingestion dose from uptake of </w:t>
      </w:r>
      <w:proofErr w:type="spellStart"/>
      <w:r>
        <w:t>radionuclides</w:t>
      </w:r>
      <w:proofErr w:type="spellEnd"/>
      <w:r>
        <w:t xml:space="preserve"> in </w:t>
      </w:r>
      <w:proofErr w:type="spellStart"/>
      <w:r>
        <w:t>bushfoods</w:t>
      </w:r>
      <w:proofErr w:type="spellEnd"/>
      <w:r>
        <w:t xml:space="preserve"> should be assessed for areas impacted by the Ranger uranium mine to provide the evidence base needed to determine the acceptability of current operations and proposed closure and rehabilitation options.</w:t>
      </w:r>
    </w:p>
    <w:p w:rsidR="00B36F09" w:rsidRDefault="00B36F09" w:rsidP="00B36F09">
      <w:r>
        <w:t xml:space="preserve">Ingestion dose can be calculated from information on diet and radionuclide activity concentrations in food items and using dose conversion factors recommended by the </w:t>
      </w:r>
      <w:r>
        <w:rPr>
          <w:snapToGrid w:val="0"/>
          <w:lang w:val="en-US"/>
        </w:rPr>
        <w:t xml:space="preserve">International Commission on </w:t>
      </w:r>
      <w:r w:rsidRPr="00A4594B">
        <w:t>Radiological</w:t>
      </w:r>
      <w:r>
        <w:rPr>
          <w:rFonts w:ascii="Arial" w:hAnsi="Arial" w:cs="Arial"/>
          <w:sz w:val="20"/>
          <w:lang w:eastAsia="en-AU"/>
        </w:rPr>
        <w:t xml:space="preserve"> </w:t>
      </w:r>
      <w:r>
        <w:rPr>
          <w:snapToGrid w:val="0"/>
          <w:lang w:val="en-US"/>
        </w:rPr>
        <w:t xml:space="preserve">Protection (ICRP) </w:t>
      </w:r>
      <w:r>
        <w:t xml:space="preserve">(ICRP 1996). Radionuclide activity concentrations in food items can be determined by direct measurement. They can also be estimated using transfer factors applied to measured radionuclide activity concentrations in environmental media such as soil or water. The transfer of </w:t>
      </w:r>
      <w:proofErr w:type="spellStart"/>
      <w:r>
        <w:t>radionuclides</w:t>
      </w:r>
      <w:proofErr w:type="spellEnd"/>
      <w:r>
        <w:t xml:space="preserve"> from the environment to food items is commonly parameterised using a concentration ratio (IAEA 2010), which is the ratio of radionuclide activity concentration in the edible portion of the food item (wet or dry) to that in the surrounding environmental media.</w:t>
      </w:r>
    </w:p>
    <w:p w:rsidR="00B36F09" w:rsidRDefault="00B36F09" w:rsidP="00B36F09">
      <w:proofErr w:type="spellStart"/>
      <w:proofErr w:type="gramStart"/>
      <w:r w:rsidRPr="00DB15B6">
        <w:rPr>
          <w:b/>
          <w:i/>
          <w:sz w:val="26"/>
          <w:szCs w:val="22"/>
        </w:rPr>
        <w:t>eriss</w:t>
      </w:r>
      <w:proofErr w:type="spellEnd"/>
      <w:proofErr w:type="gramEnd"/>
      <w:r w:rsidRPr="004278E4">
        <w:rPr>
          <w:szCs w:val="22"/>
        </w:rPr>
        <w:t xml:space="preserve"> </w:t>
      </w:r>
      <w:r>
        <w:t xml:space="preserve">has been measuring activity concentrations of uranium- and thorium-series </w:t>
      </w:r>
      <w:proofErr w:type="spellStart"/>
      <w:r>
        <w:t>radionuclides</w:t>
      </w:r>
      <w:proofErr w:type="spellEnd"/>
      <w:r>
        <w:t xml:space="preserve"> in aquatic and terrestrial </w:t>
      </w:r>
      <w:proofErr w:type="spellStart"/>
      <w:r>
        <w:t>bushfoods</w:t>
      </w:r>
      <w:proofErr w:type="spellEnd"/>
      <w:r>
        <w:t xml:space="preserve"> and environmental media from the ARR for around 30 years (</w:t>
      </w:r>
      <w:proofErr w:type="spellStart"/>
      <w:r>
        <w:t>Bollhöfer</w:t>
      </w:r>
      <w:proofErr w:type="spellEnd"/>
      <w:r>
        <w:t xml:space="preserve"> et al 2011, Martin et al 1998, Ryan et al 2005a, Ryan et al 2005b). The data enable derivation of ARR-specific concentration ratios for </w:t>
      </w:r>
      <w:proofErr w:type="spellStart"/>
      <w:r>
        <w:t>bushfood</w:t>
      </w:r>
      <w:proofErr w:type="spellEnd"/>
      <w:r>
        <w:t xml:space="preserve"> items which can be used in ingestion dose assessments for circumstances where only the soil or water radionuclide activity concentrations have been measured. </w:t>
      </w:r>
      <w:r w:rsidRPr="003F26AC">
        <w:t>The data also reduce reliance on the use of generic transfer factors</w:t>
      </w:r>
      <w:r>
        <w:t xml:space="preserve"> in undertaking ingestion dose assessments</w:t>
      </w:r>
      <w:r w:rsidRPr="003F26AC">
        <w:t>.</w:t>
      </w:r>
    </w:p>
    <w:p w:rsidR="00B36F09" w:rsidRDefault="00B36F09" w:rsidP="00B36F09">
      <w:r>
        <w:t xml:space="preserve">The </w:t>
      </w:r>
      <w:proofErr w:type="spellStart"/>
      <w:r w:rsidRPr="00DB15B6">
        <w:rPr>
          <w:b/>
          <w:i/>
          <w:sz w:val="26"/>
          <w:szCs w:val="22"/>
        </w:rPr>
        <w:t>eriss</w:t>
      </w:r>
      <w:proofErr w:type="spellEnd"/>
      <w:r w:rsidRPr="004278E4">
        <w:rPr>
          <w:szCs w:val="22"/>
        </w:rPr>
        <w:t xml:space="preserve"> </w:t>
      </w:r>
      <w:r>
        <w:t xml:space="preserve">data on radionuclide activity concentrations in </w:t>
      </w:r>
      <w:proofErr w:type="spellStart"/>
      <w:r>
        <w:t>bushfoods</w:t>
      </w:r>
      <w:proofErr w:type="spellEnd"/>
      <w:r>
        <w:t xml:space="preserve"> and environmental media from the ARR are being consolidated into a consistent, quality controlled and </w:t>
      </w:r>
      <w:proofErr w:type="spellStart"/>
      <w:r>
        <w:t>queryable</w:t>
      </w:r>
      <w:proofErr w:type="spellEnd"/>
      <w:r>
        <w:t xml:space="preserve"> database. The database has been dubbed </w:t>
      </w:r>
      <w:r w:rsidRPr="00D66BEC">
        <w:rPr>
          <w:b/>
        </w:rPr>
        <w:t>B</w:t>
      </w:r>
      <w:r>
        <w:t xml:space="preserve">ioaccumulation of </w:t>
      </w:r>
      <w:r w:rsidRPr="00D66BEC">
        <w:rPr>
          <w:b/>
        </w:rPr>
        <w:t>R</w:t>
      </w:r>
      <w:r>
        <w:t xml:space="preserve">adioactive </w:t>
      </w:r>
      <w:r w:rsidRPr="00D66BEC">
        <w:rPr>
          <w:b/>
        </w:rPr>
        <w:t>U</w:t>
      </w:r>
      <w:r>
        <w:t xml:space="preserve">ranium-series </w:t>
      </w:r>
      <w:r w:rsidRPr="00D66BEC">
        <w:rPr>
          <w:b/>
        </w:rPr>
        <w:t>C</w:t>
      </w:r>
      <w:r>
        <w:t xml:space="preserve">onstituents from the </w:t>
      </w:r>
      <w:r w:rsidRPr="00D66BEC">
        <w:rPr>
          <w:b/>
        </w:rPr>
        <w:t>E</w:t>
      </w:r>
      <w:r>
        <w:t xml:space="preserve">nvironment (BRUCE). The intention of the database is to provide a central data repository and to facilitate member of the public ingestion dose assessments for consumption of </w:t>
      </w:r>
      <w:proofErr w:type="spellStart"/>
      <w:r>
        <w:t>bushfoods</w:t>
      </w:r>
      <w:proofErr w:type="spellEnd"/>
      <w:r>
        <w:t xml:space="preserve"> from the ARR.</w:t>
      </w:r>
    </w:p>
    <w:p w:rsidR="00B36F09" w:rsidRDefault="00B36F09" w:rsidP="00B36F09">
      <w:pPr>
        <w:pStyle w:val="Heading2"/>
      </w:pPr>
      <w:bookmarkStart w:id="157" w:name="_Toc313523576"/>
      <w:bookmarkStart w:id="158" w:name="_Toc316985420"/>
      <w:r>
        <w:t>The BRUCE database</w:t>
      </w:r>
      <w:bookmarkEnd w:id="157"/>
      <w:bookmarkEnd w:id="158"/>
    </w:p>
    <w:p w:rsidR="00B36F09" w:rsidRDefault="00B36F09" w:rsidP="00B36F09">
      <w:r>
        <w:t xml:space="preserve">The BRUCE database has been designed for the storage and handling of data on natural-series radionuclide activity concentrations in </w:t>
      </w:r>
      <w:proofErr w:type="spellStart"/>
      <w:r>
        <w:t>bushfoods</w:t>
      </w:r>
      <w:proofErr w:type="spellEnd"/>
      <w:r>
        <w:t xml:space="preserve"> and environmental media from the ARR. Historical data </w:t>
      </w:r>
      <w:r w:rsidRPr="004278E4">
        <w:rPr>
          <w:szCs w:val="22"/>
        </w:rPr>
        <w:t xml:space="preserve">accumulated by </w:t>
      </w:r>
      <w:proofErr w:type="spellStart"/>
      <w:r w:rsidRPr="004278E4">
        <w:rPr>
          <w:b/>
          <w:i/>
          <w:szCs w:val="22"/>
        </w:rPr>
        <w:t>eriss</w:t>
      </w:r>
      <w:proofErr w:type="spellEnd"/>
      <w:r w:rsidRPr="004278E4">
        <w:rPr>
          <w:szCs w:val="22"/>
        </w:rPr>
        <w:t xml:space="preserve"> have</w:t>
      </w:r>
      <w:r>
        <w:t xml:space="preserve"> been retrieved from original source files, quality assessed and entered into the database. Associated metadata such as spatial coordinates, wet-to-dry weight ratios and common names of </w:t>
      </w:r>
      <w:proofErr w:type="spellStart"/>
      <w:r>
        <w:t>bushfoods</w:t>
      </w:r>
      <w:proofErr w:type="spellEnd"/>
      <w:r>
        <w:t xml:space="preserve"> have also been entered. The database </w:t>
      </w:r>
      <w:r>
        <w:lastRenderedPageBreak/>
        <w:t xml:space="preserve">currently contains more than 1700 individual </w:t>
      </w:r>
      <w:r w:rsidRPr="003D3EA6">
        <w:t>records. Table 1</w:t>
      </w:r>
      <w:r>
        <w:t xml:space="preserve"> </w:t>
      </w:r>
      <w:proofErr w:type="gramStart"/>
      <w:r w:rsidRPr="003D3EA6">
        <w:t>summaries</w:t>
      </w:r>
      <w:proofErr w:type="gramEnd"/>
      <w:r w:rsidRPr="003D3EA6">
        <w:t xml:space="preserve"> </w:t>
      </w:r>
      <w:r>
        <w:t>th</w:t>
      </w:r>
      <w:r w:rsidRPr="003D3EA6">
        <w:t xml:space="preserve">e number of records available for aquatic and terrestrial </w:t>
      </w:r>
      <w:proofErr w:type="spellStart"/>
      <w:r w:rsidRPr="003D3EA6">
        <w:t>bushfoods</w:t>
      </w:r>
      <w:proofErr w:type="spellEnd"/>
      <w:r w:rsidRPr="003D3EA6">
        <w:t xml:space="preserve"> and for environmental media.</w:t>
      </w:r>
    </w:p>
    <w:p w:rsidR="00B36F09" w:rsidRDefault="00B36F09" w:rsidP="00B36F09">
      <w:r>
        <w:t xml:space="preserve">A transfer query is available in the BRUCE database to calculate radionuclide concentration ratios for </w:t>
      </w:r>
      <w:proofErr w:type="spellStart"/>
      <w:r>
        <w:t>bushfoods</w:t>
      </w:r>
      <w:proofErr w:type="spellEnd"/>
      <w:r>
        <w:t xml:space="preserve">, including the ability to match </w:t>
      </w:r>
      <w:proofErr w:type="spellStart"/>
      <w:r>
        <w:t>bushfood</w:t>
      </w:r>
      <w:proofErr w:type="spellEnd"/>
      <w:r>
        <w:t xml:space="preserve"> and environmental media data on the basis of spatial coordinates and animal home range. An ingestion dose query is currently being developed to calculate ingestion doses to the public from consumption of </w:t>
      </w:r>
      <w:proofErr w:type="spellStart"/>
      <w:r>
        <w:t>bushfoods</w:t>
      </w:r>
      <w:proofErr w:type="spellEnd"/>
      <w:r>
        <w:t xml:space="preserve"> using composition of local diet information and dose conversion factors recommended by the ICRP (ICRP 1996).</w:t>
      </w:r>
    </w:p>
    <w:p w:rsidR="00B36F09" w:rsidRPr="00523832" w:rsidRDefault="00B36F09" w:rsidP="00B36F09">
      <w:pPr>
        <w:pStyle w:val="tablecaption"/>
        <w:rPr>
          <w:spacing w:val="-2"/>
        </w:rPr>
      </w:pPr>
      <w:r w:rsidRPr="00523832">
        <w:rPr>
          <w:b/>
          <w:spacing w:val="-2"/>
        </w:rPr>
        <w:t xml:space="preserve">Table </w:t>
      </w:r>
      <w:proofErr w:type="gramStart"/>
      <w:r w:rsidRPr="00523832">
        <w:rPr>
          <w:b/>
          <w:spacing w:val="-2"/>
        </w:rPr>
        <w:t>1</w:t>
      </w:r>
      <w:r w:rsidRPr="00523832">
        <w:rPr>
          <w:spacing w:val="-2"/>
        </w:rPr>
        <w:t xml:space="preserve">  Summary</w:t>
      </w:r>
      <w:proofErr w:type="gramEnd"/>
      <w:r w:rsidRPr="00523832">
        <w:rPr>
          <w:spacing w:val="-2"/>
        </w:rPr>
        <w:t xml:space="preserve"> of the number of </w:t>
      </w:r>
      <w:proofErr w:type="spellStart"/>
      <w:r w:rsidRPr="00523832">
        <w:rPr>
          <w:spacing w:val="-2"/>
        </w:rPr>
        <w:t>bushfood</w:t>
      </w:r>
      <w:proofErr w:type="spellEnd"/>
      <w:r w:rsidRPr="00523832">
        <w:rPr>
          <w:spacing w:val="-2"/>
        </w:rPr>
        <w:t xml:space="preserve"> and environmental media records in the BRUCE database</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4261"/>
        <w:gridCol w:w="4261"/>
      </w:tblGrid>
      <w:tr w:rsidR="00B36F09" w:rsidTr="008F70D3">
        <w:tc>
          <w:tcPr>
            <w:tcW w:w="4261" w:type="dxa"/>
            <w:tcBorders>
              <w:top w:val="single" w:sz="4" w:space="0" w:color="000000" w:themeColor="text1"/>
              <w:bottom w:val="single" w:sz="4" w:space="0" w:color="000000" w:themeColor="text1"/>
            </w:tcBorders>
          </w:tcPr>
          <w:p w:rsidR="00B36F09" w:rsidRDefault="00B36F09" w:rsidP="008F70D3">
            <w:pPr>
              <w:pStyle w:val="table1"/>
            </w:pPr>
            <w:r>
              <w:t>Biota/media</w:t>
            </w:r>
          </w:p>
        </w:tc>
        <w:tc>
          <w:tcPr>
            <w:tcW w:w="4261" w:type="dxa"/>
            <w:tcBorders>
              <w:top w:val="single" w:sz="4" w:space="0" w:color="000000" w:themeColor="text1"/>
              <w:bottom w:val="single" w:sz="4" w:space="0" w:color="000000" w:themeColor="text1"/>
            </w:tcBorders>
          </w:tcPr>
          <w:p w:rsidR="00B36F09" w:rsidRDefault="00B36F09" w:rsidP="008F70D3">
            <w:pPr>
              <w:pStyle w:val="table1"/>
            </w:pPr>
            <w:r>
              <w:t>Number of records</w:t>
            </w:r>
          </w:p>
        </w:tc>
      </w:tr>
      <w:tr w:rsidR="00B36F09" w:rsidTr="008F70D3">
        <w:tc>
          <w:tcPr>
            <w:tcW w:w="4261" w:type="dxa"/>
            <w:tcBorders>
              <w:top w:val="single" w:sz="4" w:space="0" w:color="000000" w:themeColor="text1"/>
              <w:bottom w:val="nil"/>
            </w:tcBorders>
          </w:tcPr>
          <w:p w:rsidR="00B36F09" w:rsidRPr="00F80A6C" w:rsidRDefault="00B36F09" w:rsidP="008F70D3">
            <w:pPr>
              <w:pStyle w:val="table1"/>
              <w:rPr>
                <w:i/>
              </w:rPr>
            </w:pPr>
            <w:r>
              <w:rPr>
                <w:i/>
              </w:rPr>
              <w:t>Aquatic biota</w:t>
            </w:r>
          </w:p>
        </w:tc>
        <w:tc>
          <w:tcPr>
            <w:tcW w:w="4261" w:type="dxa"/>
            <w:tcBorders>
              <w:top w:val="single" w:sz="4" w:space="0" w:color="000000" w:themeColor="text1"/>
              <w:bottom w:val="nil"/>
            </w:tcBorders>
          </w:tcPr>
          <w:p w:rsidR="00B36F09" w:rsidRDefault="00B36F09" w:rsidP="008F70D3">
            <w:pPr>
              <w:pStyle w:val="table1"/>
            </w:pPr>
          </w:p>
        </w:tc>
      </w:tr>
      <w:tr w:rsidR="00B36F09" w:rsidTr="008F70D3">
        <w:tc>
          <w:tcPr>
            <w:tcW w:w="4261" w:type="dxa"/>
            <w:tcBorders>
              <w:top w:val="nil"/>
            </w:tcBorders>
          </w:tcPr>
          <w:p w:rsidR="00B36F09" w:rsidRDefault="00B36F09" w:rsidP="008F70D3">
            <w:pPr>
              <w:pStyle w:val="table1"/>
            </w:pPr>
            <w:r>
              <w:t>Fish</w:t>
            </w:r>
          </w:p>
        </w:tc>
        <w:tc>
          <w:tcPr>
            <w:tcW w:w="4261" w:type="dxa"/>
            <w:tcBorders>
              <w:top w:val="nil"/>
            </w:tcBorders>
          </w:tcPr>
          <w:p w:rsidR="00B36F09" w:rsidRDefault="00B36F09" w:rsidP="008F70D3">
            <w:pPr>
              <w:pStyle w:val="table1"/>
            </w:pPr>
            <w:r>
              <w:t>236</w:t>
            </w:r>
          </w:p>
        </w:tc>
      </w:tr>
      <w:tr w:rsidR="00B36F09" w:rsidTr="008F70D3">
        <w:tc>
          <w:tcPr>
            <w:tcW w:w="4261" w:type="dxa"/>
          </w:tcPr>
          <w:p w:rsidR="00B36F09" w:rsidRDefault="00B36F09" w:rsidP="008F70D3">
            <w:pPr>
              <w:pStyle w:val="table1"/>
            </w:pPr>
            <w:r>
              <w:t>Mussel</w:t>
            </w:r>
          </w:p>
        </w:tc>
        <w:tc>
          <w:tcPr>
            <w:tcW w:w="4261" w:type="dxa"/>
          </w:tcPr>
          <w:p w:rsidR="00B36F09" w:rsidRDefault="00B36F09" w:rsidP="008F70D3">
            <w:pPr>
              <w:pStyle w:val="table1"/>
            </w:pPr>
            <w:r>
              <w:t>396</w:t>
            </w:r>
          </w:p>
        </w:tc>
      </w:tr>
      <w:tr w:rsidR="00B36F09" w:rsidTr="008F70D3">
        <w:tc>
          <w:tcPr>
            <w:tcW w:w="4261" w:type="dxa"/>
          </w:tcPr>
          <w:p w:rsidR="00B36F09" w:rsidRDefault="00B36F09" w:rsidP="008F70D3">
            <w:pPr>
              <w:pStyle w:val="table1"/>
            </w:pPr>
            <w:r>
              <w:t>Bird</w:t>
            </w:r>
          </w:p>
        </w:tc>
        <w:tc>
          <w:tcPr>
            <w:tcW w:w="4261" w:type="dxa"/>
          </w:tcPr>
          <w:p w:rsidR="00B36F09" w:rsidRDefault="00B36F09" w:rsidP="008F70D3">
            <w:pPr>
              <w:pStyle w:val="table1"/>
            </w:pPr>
            <w:r>
              <w:t>37</w:t>
            </w:r>
          </w:p>
        </w:tc>
      </w:tr>
      <w:tr w:rsidR="00B36F09" w:rsidTr="008F70D3">
        <w:tc>
          <w:tcPr>
            <w:tcW w:w="4261" w:type="dxa"/>
          </w:tcPr>
          <w:p w:rsidR="00B36F09" w:rsidRDefault="00B36F09" w:rsidP="008F70D3">
            <w:pPr>
              <w:pStyle w:val="table1"/>
            </w:pPr>
            <w:r>
              <w:t>Reptile (crocodile, file snake and turtle)</w:t>
            </w:r>
          </w:p>
        </w:tc>
        <w:tc>
          <w:tcPr>
            <w:tcW w:w="4261" w:type="dxa"/>
          </w:tcPr>
          <w:p w:rsidR="00B36F09" w:rsidRDefault="00B36F09" w:rsidP="008F70D3">
            <w:pPr>
              <w:pStyle w:val="table1"/>
            </w:pPr>
            <w:r>
              <w:t>34</w:t>
            </w:r>
          </w:p>
        </w:tc>
      </w:tr>
      <w:tr w:rsidR="00B36F09" w:rsidTr="008F70D3">
        <w:tc>
          <w:tcPr>
            <w:tcW w:w="4261" w:type="dxa"/>
          </w:tcPr>
          <w:p w:rsidR="00B36F09" w:rsidRDefault="00B36F09" w:rsidP="008F70D3">
            <w:pPr>
              <w:pStyle w:val="table1"/>
            </w:pPr>
            <w:r>
              <w:t>Plant</w:t>
            </w:r>
          </w:p>
        </w:tc>
        <w:tc>
          <w:tcPr>
            <w:tcW w:w="4261" w:type="dxa"/>
          </w:tcPr>
          <w:p w:rsidR="00B36F09" w:rsidRDefault="00B36F09" w:rsidP="008F70D3">
            <w:pPr>
              <w:pStyle w:val="table1"/>
            </w:pPr>
            <w:r>
              <w:t>85</w:t>
            </w:r>
          </w:p>
        </w:tc>
      </w:tr>
      <w:tr w:rsidR="00B36F09" w:rsidTr="008F70D3">
        <w:tc>
          <w:tcPr>
            <w:tcW w:w="4261" w:type="dxa"/>
          </w:tcPr>
          <w:p w:rsidR="00B36F09" w:rsidRPr="00F80A6C" w:rsidRDefault="00B36F09" w:rsidP="008F70D3">
            <w:pPr>
              <w:pStyle w:val="table1"/>
              <w:rPr>
                <w:i/>
              </w:rPr>
            </w:pPr>
            <w:r w:rsidRPr="00F80A6C">
              <w:rPr>
                <w:i/>
              </w:rPr>
              <w:t>Terrestria</w:t>
            </w:r>
            <w:r>
              <w:rPr>
                <w:i/>
              </w:rPr>
              <w:t>l biota</w:t>
            </w:r>
          </w:p>
        </w:tc>
        <w:tc>
          <w:tcPr>
            <w:tcW w:w="4261" w:type="dxa"/>
          </w:tcPr>
          <w:p w:rsidR="00B36F09" w:rsidRDefault="00B36F09" w:rsidP="008F70D3">
            <w:pPr>
              <w:pStyle w:val="table1"/>
            </w:pPr>
          </w:p>
        </w:tc>
      </w:tr>
      <w:tr w:rsidR="00B36F09" w:rsidTr="008F70D3">
        <w:tc>
          <w:tcPr>
            <w:tcW w:w="4261" w:type="dxa"/>
          </w:tcPr>
          <w:p w:rsidR="00B36F09" w:rsidRDefault="00B36F09" w:rsidP="008F70D3">
            <w:pPr>
              <w:pStyle w:val="table1"/>
            </w:pPr>
            <w:r>
              <w:t>Mammal (bandicoot, buffalo, flying fox, pig and wallaby)</w:t>
            </w:r>
          </w:p>
        </w:tc>
        <w:tc>
          <w:tcPr>
            <w:tcW w:w="4261" w:type="dxa"/>
          </w:tcPr>
          <w:p w:rsidR="00B36F09" w:rsidRDefault="00B36F09" w:rsidP="008F70D3">
            <w:pPr>
              <w:pStyle w:val="table1"/>
            </w:pPr>
            <w:r>
              <w:t>130</w:t>
            </w:r>
          </w:p>
        </w:tc>
      </w:tr>
      <w:tr w:rsidR="00B36F09" w:rsidTr="008F70D3">
        <w:tc>
          <w:tcPr>
            <w:tcW w:w="4261" w:type="dxa"/>
          </w:tcPr>
          <w:p w:rsidR="00B36F09" w:rsidRDefault="00B36F09" w:rsidP="008F70D3">
            <w:pPr>
              <w:pStyle w:val="table1"/>
            </w:pPr>
            <w:r>
              <w:t>Reptile (goanna and snake)</w:t>
            </w:r>
          </w:p>
        </w:tc>
        <w:tc>
          <w:tcPr>
            <w:tcW w:w="4261" w:type="dxa"/>
          </w:tcPr>
          <w:p w:rsidR="00B36F09" w:rsidRDefault="00B36F09" w:rsidP="008F70D3">
            <w:pPr>
              <w:pStyle w:val="table1"/>
            </w:pPr>
            <w:r>
              <w:t>10</w:t>
            </w:r>
          </w:p>
        </w:tc>
      </w:tr>
      <w:tr w:rsidR="00B36F09" w:rsidTr="008F70D3">
        <w:tc>
          <w:tcPr>
            <w:tcW w:w="4261" w:type="dxa"/>
          </w:tcPr>
          <w:p w:rsidR="00B36F09" w:rsidRDefault="00B36F09" w:rsidP="008F70D3">
            <w:pPr>
              <w:pStyle w:val="table1"/>
            </w:pPr>
            <w:r>
              <w:t>Fruits</w:t>
            </w:r>
          </w:p>
        </w:tc>
        <w:tc>
          <w:tcPr>
            <w:tcW w:w="4261" w:type="dxa"/>
          </w:tcPr>
          <w:p w:rsidR="00B36F09" w:rsidRDefault="00B36F09" w:rsidP="008F70D3">
            <w:pPr>
              <w:pStyle w:val="table1"/>
            </w:pPr>
            <w:r>
              <w:t>87</w:t>
            </w:r>
          </w:p>
        </w:tc>
      </w:tr>
      <w:tr w:rsidR="00B36F09" w:rsidTr="008F70D3">
        <w:tc>
          <w:tcPr>
            <w:tcW w:w="4261" w:type="dxa"/>
          </w:tcPr>
          <w:p w:rsidR="00B36F09" w:rsidRDefault="00B36F09" w:rsidP="008F70D3">
            <w:pPr>
              <w:pStyle w:val="table1"/>
            </w:pPr>
            <w:r>
              <w:t>Vegetables</w:t>
            </w:r>
          </w:p>
        </w:tc>
        <w:tc>
          <w:tcPr>
            <w:tcW w:w="4261" w:type="dxa"/>
          </w:tcPr>
          <w:p w:rsidR="00B36F09" w:rsidRDefault="00B36F09" w:rsidP="008F70D3">
            <w:pPr>
              <w:pStyle w:val="table1"/>
            </w:pPr>
            <w:r>
              <w:t>26</w:t>
            </w:r>
          </w:p>
        </w:tc>
      </w:tr>
      <w:tr w:rsidR="00B36F09" w:rsidTr="008F70D3">
        <w:tc>
          <w:tcPr>
            <w:tcW w:w="4261" w:type="dxa"/>
          </w:tcPr>
          <w:p w:rsidR="00B36F09" w:rsidRPr="00F80A6C" w:rsidRDefault="00B36F09" w:rsidP="008F70D3">
            <w:pPr>
              <w:pStyle w:val="table1"/>
              <w:rPr>
                <w:i/>
              </w:rPr>
            </w:pPr>
            <w:r w:rsidRPr="00F80A6C">
              <w:rPr>
                <w:i/>
              </w:rPr>
              <w:t>Environmental media</w:t>
            </w:r>
          </w:p>
        </w:tc>
        <w:tc>
          <w:tcPr>
            <w:tcW w:w="4261" w:type="dxa"/>
          </w:tcPr>
          <w:p w:rsidR="00B36F09" w:rsidRDefault="00B36F09" w:rsidP="008F70D3">
            <w:pPr>
              <w:pStyle w:val="table1"/>
            </w:pPr>
          </w:p>
        </w:tc>
      </w:tr>
      <w:tr w:rsidR="00B36F09" w:rsidTr="008F70D3">
        <w:tc>
          <w:tcPr>
            <w:tcW w:w="4261" w:type="dxa"/>
          </w:tcPr>
          <w:p w:rsidR="00B36F09" w:rsidRDefault="00B36F09" w:rsidP="008F70D3">
            <w:pPr>
              <w:pStyle w:val="table1"/>
            </w:pPr>
            <w:r>
              <w:t>Soil</w:t>
            </w:r>
          </w:p>
        </w:tc>
        <w:tc>
          <w:tcPr>
            <w:tcW w:w="4261" w:type="dxa"/>
          </w:tcPr>
          <w:p w:rsidR="00B36F09" w:rsidRDefault="00B36F09" w:rsidP="008F70D3">
            <w:pPr>
              <w:pStyle w:val="table1"/>
            </w:pPr>
            <w:r>
              <w:t>283</w:t>
            </w:r>
          </w:p>
        </w:tc>
      </w:tr>
      <w:tr w:rsidR="00B36F09" w:rsidTr="008F70D3">
        <w:tc>
          <w:tcPr>
            <w:tcW w:w="4261" w:type="dxa"/>
          </w:tcPr>
          <w:p w:rsidR="00B36F09" w:rsidRDefault="00B36F09" w:rsidP="008F70D3">
            <w:pPr>
              <w:pStyle w:val="table1"/>
            </w:pPr>
            <w:r>
              <w:t>Water</w:t>
            </w:r>
          </w:p>
        </w:tc>
        <w:tc>
          <w:tcPr>
            <w:tcW w:w="4261" w:type="dxa"/>
          </w:tcPr>
          <w:p w:rsidR="00B36F09" w:rsidRDefault="00B36F09" w:rsidP="008F70D3">
            <w:pPr>
              <w:pStyle w:val="table1"/>
            </w:pPr>
            <w:r>
              <w:t>364</w:t>
            </w:r>
          </w:p>
        </w:tc>
      </w:tr>
      <w:tr w:rsidR="00B36F09" w:rsidTr="008F70D3">
        <w:tc>
          <w:tcPr>
            <w:tcW w:w="4261" w:type="dxa"/>
          </w:tcPr>
          <w:p w:rsidR="00B36F09" w:rsidRDefault="00B36F09" w:rsidP="008F70D3">
            <w:pPr>
              <w:pStyle w:val="table1"/>
            </w:pPr>
            <w:r>
              <w:t>Sediment</w:t>
            </w:r>
          </w:p>
        </w:tc>
        <w:tc>
          <w:tcPr>
            <w:tcW w:w="4261" w:type="dxa"/>
          </w:tcPr>
          <w:p w:rsidR="00B36F09" w:rsidRDefault="00B36F09" w:rsidP="008F70D3">
            <w:pPr>
              <w:pStyle w:val="table1"/>
            </w:pPr>
            <w:r>
              <w:t>45</w:t>
            </w:r>
          </w:p>
        </w:tc>
      </w:tr>
    </w:tbl>
    <w:p w:rsidR="00B36F09" w:rsidRDefault="00B36F09" w:rsidP="00B36F09">
      <w:pPr>
        <w:pStyle w:val="tablenote"/>
      </w:pPr>
    </w:p>
    <w:p w:rsidR="00B36F09" w:rsidRDefault="00B36F09" w:rsidP="00B36F09">
      <w:r>
        <w:t>Figure 1 shows a screenshot and results obtained using the transfer query applied to radium-226 (</w:t>
      </w:r>
      <w:r w:rsidRPr="001C7714">
        <w:rPr>
          <w:snapToGrid w:val="0"/>
          <w:color w:val="000000"/>
          <w:position w:val="5"/>
          <w:sz w:val="15"/>
          <w:szCs w:val="0"/>
          <w:u w:color="000000"/>
        </w:rPr>
        <w:t>226</w:t>
      </w:r>
      <w:r>
        <w:t>Ra) in the fruit tissue of passionfruit (</w:t>
      </w:r>
      <w:proofErr w:type="spellStart"/>
      <w:r>
        <w:rPr>
          <w:i/>
        </w:rPr>
        <w:t>Passiflora</w:t>
      </w:r>
      <w:proofErr w:type="spellEnd"/>
      <w:r>
        <w:rPr>
          <w:i/>
        </w:rPr>
        <w:t xml:space="preserve"> </w:t>
      </w:r>
      <w:proofErr w:type="spellStart"/>
      <w:r>
        <w:rPr>
          <w:i/>
        </w:rPr>
        <w:t>foetida</w:t>
      </w:r>
      <w:proofErr w:type="spellEnd"/>
      <w:r>
        <w:t xml:space="preserve">). The query returns results from all sites where </w:t>
      </w:r>
      <w:r w:rsidRPr="001C7714">
        <w:rPr>
          <w:snapToGrid w:val="0"/>
          <w:color w:val="000000"/>
          <w:position w:val="5"/>
          <w:sz w:val="15"/>
          <w:szCs w:val="0"/>
          <w:u w:color="000000"/>
        </w:rPr>
        <w:t>226</w:t>
      </w:r>
      <w:r>
        <w:t xml:space="preserve">Ra activity concentrations have been measured in both passionfruit and the soil in which the plant was growing. The mean, minimum and maximum value of concentration ratio for the </w:t>
      </w:r>
      <w:proofErr w:type="spellStart"/>
      <w:r>
        <w:t>bushfood</w:t>
      </w:r>
      <w:proofErr w:type="spellEnd"/>
      <w:r>
        <w:t xml:space="preserve">-radionuclide combination is calculated and returned. </w:t>
      </w:r>
    </w:p>
    <w:p w:rsidR="00B36F09" w:rsidRDefault="00B36F09" w:rsidP="00B36F09">
      <w:r>
        <w:t xml:space="preserve">Figure 1 illustrates that there is large variability in the </w:t>
      </w:r>
      <w:r w:rsidRPr="001C7714">
        <w:rPr>
          <w:snapToGrid w:val="0"/>
          <w:color w:val="000000"/>
          <w:position w:val="5"/>
          <w:sz w:val="15"/>
          <w:szCs w:val="0"/>
          <w:u w:color="000000"/>
        </w:rPr>
        <w:t>226</w:t>
      </w:r>
      <w:r>
        <w:t>Ra-passionfruit concentration ratio. Similar variability in concentration ratio occurs for other radionuclide-</w:t>
      </w:r>
      <w:proofErr w:type="spellStart"/>
      <w:r>
        <w:t>bushfood</w:t>
      </w:r>
      <w:proofErr w:type="spellEnd"/>
      <w:r>
        <w:t xml:space="preserve"> combinations and has also been found for radionuclide accumulation in foodstuff studies conducted elsewhere. In the case of </w:t>
      </w:r>
      <w:r w:rsidRPr="00F40F4A">
        <w:rPr>
          <w:snapToGrid w:val="0"/>
          <w:color w:val="000000"/>
          <w:position w:val="5"/>
          <w:sz w:val="15"/>
          <w:szCs w:val="0"/>
          <w:u w:color="000000"/>
        </w:rPr>
        <w:t>226</w:t>
      </w:r>
      <w:r>
        <w:t xml:space="preserve">Ra accumulation in passionfruit, this variability occurs as a result of physical and chemical factors affecting the bioavailability of </w:t>
      </w:r>
      <w:proofErr w:type="spellStart"/>
      <w:r>
        <w:t>radionuclides</w:t>
      </w:r>
      <w:proofErr w:type="spellEnd"/>
      <w:r>
        <w:t xml:space="preserve"> present in the soil (Medley et al 2011; Supervising Scientist 2009). </w:t>
      </w:r>
    </w:p>
    <w:p w:rsidR="00B36F09" w:rsidRPr="001F156D" w:rsidRDefault="00B36F09" w:rsidP="00B36F09"/>
    <w:p w:rsidR="00B36F09" w:rsidRDefault="00B36F09" w:rsidP="00B36F09">
      <w:r>
        <w:rPr>
          <w:noProof/>
          <w:lang w:eastAsia="en-AU"/>
        </w:rPr>
        <w:lastRenderedPageBreak/>
        <w:drawing>
          <wp:inline distT="0" distB="0" distL="0" distR="0">
            <wp:extent cx="5273621" cy="2974834"/>
            <wp:effectExtent l="19050" t="0" r="3229" b="0"/>
            <wp:docPr id="1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screen">
                      <a:grayscl/>
                    </a:blip>
                    <a:srcRect/>
                    <a:stretch>
                      <a:fillRect/>
                    </a:stretch>
                  </pic:blipFill>
                  <pic:spPr bwMode="auto">
                    <a:xfrm>
                      <a:off x="0" y="0"/>
                      <a:ext cx="5278459" cy="2977563"/>
                    </a:xfrm>
                    <a:prstGeom prst="rect">
                      <a:avLst/>
                    </a:prstGeom>
                    <a:noFill/>
                    <a:ln w="9525">
                      <a:noFill/>
                      <a:miter lim="800000"/>
                      <a:headEnd/>
                      <a:tailEnd/>
                    </a:ln>
                  </pic:spPr>
                </pic:pic>
              </a:graphicData>
            </a:graphic>
          </wp:inline>
        </w:drawing>
      </w:r>
    </w:p>
    <w:p w:rsidR="00B36F09" w:rsidRPr="001435A9" w:rsidRDefault="00B36F09" w:rsidP="00B36F09">
      <w:pPr>
        <w:pStyle w:val="figurecaption"/>
      </w:pPr>
      <w:r w:rsidRPr="001435A9">
        <w:rPr>
          <w:b/>
        </w:rPr>
        <w:t xml:space="preserve">Figure </w:t>
      </w:r>
      <w:proofErr w:type="gramStart"/>
      <w:r>
        <w:rPr>
          <w:b/>
        </w:rPr>
        <w:t>1</w:t>
      </w:r>
      <w:r w:rsidRPr="001435A9">
        <w:t xml:space="preserve">  Example</w:t>
      </w:r>
      <w:proofErr w:type="gramEnd"/>
      <w:r w:rsidRPr="001435A9">
        <w:t xml:space="preserve"> transfer query output from the BRUCE database showing </w:t>
      </w:r>
      <w:r w:rsidRPr="001435A9">
        <w:rPr>
          <w:szCs w:val="0"/>
          <w:u w:color="000000"/>
        </w:rPr>
        <w:t>226</w:t>
      </w:r>
      <w:r w:rsidRPr="001435A9">
        <w:t>Ra activity concentration data for passionfruit and associated soil, followed by the derived concentration ratio for each data pair. The bottom three panels show the summary statistics for the primary data and concentration ratios.</w:t>
      </w:r>
    </w:p>
    <w:p w:rsidR="00B36F09" w:rsidRDefault="00B36F09" w:rsidP="00B36F09">
      <w:r>
        <w:t xml:space="preserve">Table 2 compares the </w:t>
      </w:r>
      <w:r w:rsidRPr="00602466">
        <w:rPr>
          <w:snapToGrid w:val="0"/>
          <w:color w:val="000000"/>
          <w:position w:val="5"/>
          <w:sz w:val="15"/>
          <w:szCs w:val="0"/>
          <w:u w:color="000000"/>
        </w:rPr>
        <w:t>226</w:t>
      </w:r>
      <w:r>
        <w:t xml:space="preserve">Ra-passionfruit concentration ratio values from the BRUCE database to the generic soil-to-plant transfer factor values for radium accumulation in fruits in tropical environments reported by the International Atomic Energy Agency (IAEA) (IAEA 2010). The mean concentration ratio value for </w:t>
      </w:r>
      <w:r w:rsidRPr="00602466">
        <w:rPr>
          <w:snapToGrid w:val="0"/>
          <w:color w:val="000000"/>
          <w:position w:val="5"/>
          <w:sz w:val="15"/>
          <w:szCs w:val="0"/>
          <w:u w:color="000000"/>
        </w:rPr>
        <w:t>226</w:t>
      </w:r>
      <w:r>
        <w:t xml:space="preserve">Ra accumulation in passionfruit is approximately three times higher than the corresponding generic worldwide value for fruit in tropical environments. The implication is that the use of generic transfer factors may not provide a representative measure of radionuclide accumulation in ARR </w:t>
      </w:r>
      <w:proofErr w:type="spellStart"/>
      <w:r>
        <w:t>bushfoods</w:t>
      </w:r>
      <w:proofErr w:type="spellEnd"/>
      <w:r>
        <w:t xml:space="preserve"> and that site-</w:t>
      </w:r>
      <w:proofErr w:type="spellStart"/>
      <w:r>
        <w:t>specifc</w:t>
      </w:r>
      <w:proofErr w:type="spellEnd"/>
      <w:r>
        <w:t xml:space="preserve"> values should be used where available.</w:t>
      </w:r>
    </w:p>
    <w:p w:rsidR="00B36F09" w:rsidRDefault="00B36F09" w:rsidP="00B36F09">
      <w:pPr>
        <w:pStyle w:val="tablecaption"/>
      </w:pPr>
      <w:r w:rsidRPr="001435A9">
        <w:rPr>
          <w:b/>
        </w:rPr>
        <w:t xml:space="preserve">Table </w:t>
      </w:r>
      <w:proofErr w:type="gramStart"/>
      <w:r w:rsidRPr="001435A9">
        <w:rPr>
          <w:b/>
        </w:rPr>
        <w:t>2</w:t>
      </w:r>
      <w:r>
        <w:rPr>
          <w:b/>
        </w:rPr>
        <w:t xml:space="preserve"> </w:t>
      </w:r>
      <w:r>
        <w:t xml:space="preserve"> Comparison</w:t>
      </w:r>
      <w:proofErr w:type="gramEnd"/>
      <w:r>
        <w:t xml:space="preserve"> of </w:t>
      </w:r>
      <w:r w:rsidRPr="00AB6243">
        <w:rPr>
          <w:snapToGrid w:val="0"/>
          <w:color w:val="000000"/>
          <w:position w:val="4"/>
          <w:sz w:val="12"/>
          <w:szCs w:val="0"/>
          <w:u w:color="000000"/>
        </w:rPr>
        <w:t>226</w:t>
      </w:r>
      <w:r>
        <w:t>Ra-passionfruit concentration ratio values (</w:t>
      </w:r>
      <w:proofErr w:type="spellStart"/>
      <w:r>
        <w:t>Bq</w:t>
      </w:r>
      <w:proofErr w:type="spellEnd"/>
      <w:r>
        <w:t>/</w:t>
      </w:r>
      <w:proofErr w:type="spellStart"/>
      <w:r>
        <w:t>kg</w:t>
      </w:r>
      <w:r w:rsidRPr="00B558E7">
        <w:rPr>
          <w:vertAlign w:val="subscript"/>
        </w:rPr>
        <w:t>dry</w:t>
      </w:r>
      <w:proofErr w:type="spellEnd"/>
      <w:r>
        <w:t xml:space="preserve"> in fruit / </w:t>
      </w:r>
      <w:proofErr w:type="spellStart"/>
      <w:r>
        <w:t>Bq</w:t>
      </w:r>
      <w:proofErr w:type="spellEnd"/>
      <w:r>
        <w:t>/</w:t>
      </w:r>
      <w:proofErr w:type="spellStart"/>
      <w:r>
        <w:t>kg</w:t>
      </w:r>
      <w:r w:rsidRPr="00B558E7">
        <w:rPr>
          <w:vertAlign w:val="subscript"/>
        </w:rPr>
        <w:t>dry</w:t>
      </w:r>
      <w:proofErr w:type="spellEnd"/>
      <w:r>
        <w:t xml:space="preserve"> in soil) from the BRUCE database with IAEA soil to plant transfer factor values for radium accumulation in fruits in tropical environments</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2840"/>
        <w:gridCol w:w="2841"/>
        <w:gridCol w:w="2841"/>
      </w:tblGrid>
      <w:tr w:rsidR="00B36F09" w:rsidTr="008F70D3">
        <w:tc>
          <w:tcPr>
            <w:tcW w:w="2840" w:type="dxa"/>
            <w:tcBorders>
              <w:top w:val="single" w:sz="4" w:space="0" w:color="000000" w:themeColor="text1"/>
              <w:bottom w:val="single" w:sz="4" w:space="0" w:color="000000" w:themeColor="text1"/>
            </w:tcBorders>
          </w:tcPr>
          <w:p w:rsidR="00B36F09" w:rsidRDefault="00B36F09" w:rsidP="008F70D3">
            <w:pPr>
              <w:pStyle w:val="table1"/>
            </w:pPr>
          </w:p>
        </w:tc>
        <w:tc>
          <w:tcPr>
            <w:tcW w:w="2841" w:type="dxa"/>
            <w:tcBorders>
              <w:top w:val="single" w:sz="4" w:space="0" w:color="000000" w:themeColor="text1"/>
              <w:bottom w:val="single" w:sz="4" w:space="0" w:color="000000" w:themeColor="text1"/>
            </w:tcBorders>
          </w:tcPr>
          <w:p w:rsidR="00B36F09" w:rsidRDefault="00B36F09" w:rsidP="008F70D3">
            <w:pPr>
              <w:pStyle w:val="table1"/>
            </w:pPr>
            <w:r>
              <w:t>BRUCE database value</w:t>
            </w:r>
          </w:p>
        </w:tc>
        <w:tc>
          <w:tcPr>
            <w:tcW w:w="2841" w:type="dxa"/>
            <w:tcBorders>
              <w:top w:val="single" w:sz="4" w:space="0" w:color="000000" w:themeColor="text1"/>
              <w:bottom w:val="single" w:sz="4" w:space="0" w:color="000000" w:themeColor="text1"/>
            </w:tcBorders>
          </w:tcPr>
          <w:p w:rsidR="00B36F09" w:rsidRDefault="00B36F09" w:rsidP="008F70D3">
            <w:pPr>
              <w:pStyle w:val="table1"/>
            </w:pPr>
            <w:r>
              <w:t>IAEA value</w:t>
            </w:r>
          </w:p>
        </w:tc>
      </w:tr>
      <w:tr w:rsidR="00B36F09" w:rsidTr="008F70D3">
        <w:tc>
          <w:tcPr>
            <w:tcW w:w="2840" w:type="dxa"/>
            <w:tcBorders>
              <w:top w:val="single" w:sz="4" w:space="0" w:color="000000" w:themeColor="text1"/>
            </w:tcBorders>
          </w:tcPr>
          <w:p w:rsidR="00B36F09" w:rsidRDefault="00B36F09" w:rsidP="008F70D3">
            <w:pPr>
              <w:pStyle w:val="table1"/>
            </w:pPr>
            <w:r>
              <w:t>Mean</w:t>
            </w:r>
          </w:p>
        </w:tc>
        <w:tc>
          <w:tcPr>
            <w:tcW w:w="2841" w:type="dxa"/>
            <w:tcBorders>
              <w:top w:val="single" w:sz="4" w:space="0" w:color="000000" w:themeColor="text1"/>
            </w:tcBorders>
          </w:tcPr>
          <w:p w:rsidR="00B36F09" w:rsidRDefault="00B36F09" w:rsidP="008F70D3">
            <w:pPr>
              <w:pStyle w:val="table1"/>
            </w:pPr>
            <w:r>
              <w:t>9.3</w:t>
            </w:r>
            <w:r>
              <w:rPr>
                <w:rFonts w:cs="Arial"/>
              </w:rPr>
              <w:t>×</w:t>
            </w:r>
            <w:r>
              <w:t>10</w:t>
            </w:r>
            <w:r w:rsidRPr="00E024B2">
              <w:rPr>
                <w:snapToGrid w:val="0"/>
                <w:color w:val="000000"/>
                <w:position w:val="4"/>
                <w:sz w:val="11"/>
                <w:szCs w:val="0"/>
                <w:u w:color="000000"/>
              </w:rPr>
              <w:t>-3</w:t>
            </w:r>
          </w:p>
        </w:tc>
        <w:tc>
          <w:tcPr>
            <w:tcW w:w="2841" w:type="dxa"/>
            <w:tcBorders>
              <w:top w:val="single" w:sz="4" w:space="0" w:color="000000" w:themeColor="text1"/>
            </w:tcBorders>
          </w:tcPr>
          <w:p w:rsidR="00B36F09" w:rsidRDefault="00B36F09" w:rsidP="008F70D3">
            <w:pPr>
              <w:pStyle w:val="table1"/>
            </w:pPr>
            <w:r>
              <w:t>3.2</w:t>
            </w:r>
            <w:r>
              <w:rPr>
                <w:rFonts w:cs="Arial"/>
              </w:rPr>
              <w:t>×</w:t>
            </w:r>
            <w:r>
              <w:t>10</w:t>
            </w:r>
            <w:r w:rsidRPr="00EC5B21">
              <w:rPr>
                <w:snapToGrid w:val="0"/>
                <w:color w:val="000000"/>
                <w:position w:val="4"/>
                <w:sz w:val="11"/>
                <w:szCs w:val="0"/>
                <w:u w:color="000000"/>
              </w:rPr>
              <w:t>-3</w:t>
            </w:r>
          </w:p>
        </w:tc>
      </w:tr>
      <w:tr w:rsidR="00B36F09" w:rsidTr="008F70D3">
        <w:tc>
          <w:tcPr>
            <w:tcW w:w="2840" w:type="dxa"/>
          </w:tcPr>
          <w:p w:rsidR="00B36F09" w:rsidRDefault="00B36F09" w:rsidP="008F70D3">
            <w:pPr>
              <w:pStyle w:val="table1"/>
            </w:pPr>
            <w:r>
              <w:t>Minimum</w:t>
            </w:r>
          </w:p>
        </w:tc>
        <w:tc>
          <w:tcPr>
            <w:tcW w:w="2841" w:type="dxa"/>
          </w:tcPr>
          <w:p w:rsidR="00B36F09" w:rsidRDefault="00B36F09" w:rsidP="008F70D3">
            <w:pPr>
              <w:pStyle w:val="table1"/>
            </w:pPr>
            <w:r>
              <w:t>5.0</w:t>
            </w:r>
            <w:r>
              <w:rPr>
                <w:rFonts w:cs="Arial"/>
              </w:rPr>
              <w:t>×</w:t>
            </w:r>
            <w:r>
              <w:t>10</w:t>
            </w:r>
            <w:r w:rsidRPr="00EC5B21">
              <w:rPr>
                <w:snapToGrid w:val="0"/>
                <w:color w:val="000000"/>
                <w:position w:val="4"/>
                <w:sz w:val="11"/>
                <w:szCs w:val="0"/>
                <w:u w:color="000000"/>
              </w:rPr>
              <w:t>-4</w:t>
            </w:r>
          </w:p>
        </w:tc>
        <w:tc>
          <w:tcPr>
            <w:tcW w:w="2841" w:type="dxa"/>
          </w:tcPr>
          <w:p w:rsidR="00B36F09" w:rsidRDefault="00B36F09" w:rsidP="008F70D3">
            <w:pPr>
              <w:pStyle w:val="table1"/>
            </w:pPr>
            <w:r>
              <w:t>5.2</w:t>
            </w:r>
            <w:r>
              <w:rPr>
                <w:rFonts w:cs="Arial"/>
              </w:rPr>
              <w:t>×</w:t>
            </w:r>
            <w:r>
              <w:t>10</w:t>
            </w:r>
            <w:r w:rsidRPr="00EC5B21">
              <w:rPr>
                <w:snapToGrid w:val="0"/>
                <w:color w:val="000000"/>
                <w:position w:val="4"/>
                <w:sz w:val="11"/>
                <w:szCs w:val="0"/>
                <w:u w:color="000000"/>
              </w:rPr>
              <w:t>-4</w:t>
            </w:r>
          </w:p>
        </w:tc>
      </w:tr>
      <w:tr w:rsidR="00B36F09" w:rsidTr="008F70D3">
        <w:tc>
          <w:tcPr>
            <w:tcW w:w="2840" w:type="dxa"/>
          </w:tcPr>
          <w:p w:rsidR="00B36F09" w:rsidRDefault="00B36F09" w:rsidP="008F70D3">
            <w:pPr>
              <w:pStyle w:val="table1"/>
            </w:pPr>
            <w:r>
              <w:t>Maximum</w:t>
            </w:r>
          </w:p>
        </w:tc>
        <w:tc>
          <w:tcPr>
            <w:tcW w:w="2841" w:type="dxa"/>
          </w:tcPr>
          <w:p w:rsidR="00B36F09" w:rsidRDefault="00B36F09" w:rsidP="008F70D3">
            <w:pPr>
              <w:pStyle w:val="table1"/>
            </w:pPr>
            <w:r>
              <w:t>2.7</w:t>
            </w:r>
            <w:r>
              <w:rPr>
                <w:rFonts w:cs="Arial"/>
              </w:rPr>
              <w:t>×</w:t>
            </w:r>
            <w:r>
              <w:t>10</w:t>
            </w:r>
            <w:r w:rsidRPr="00EC5B21">
              <w:rPr>
                <w:snapToGrid w:val="0"/>
                <w:color w:val="000000"/>
                <w:position w:val="4"/>
                <w:sz w:val="11"/>
                <w:szCs w:val="0"/>
                <w:u w:color="000000"/>
              </w:rPr>
              <w:t>-1</w:t>
            </w:r>
          </w:p>
        </w:tc>
        <w:tc>
          <w:tcPr>
            <w:tcW w:w="2841" w:type="dxa"/>
          </w:tcPr>
          <w:p w:rsidR="00B36F09" w:rsidRDefault="00B36F09" w:rsidP="008F70D3">
            <w:pPr>
              <w:pStyle w:val="table1"/>
            </w:pPr>
            <w:r>
              <w:t>7.0</w:t>
            </w:r>
            <w:r>
              <w:rPr>
                <w:rFonts w:cs="Arial"/>
              </w:rPr>
              <w:t>×</w:t>
            </w:r>
            <w:r>
              <w:t>10</w:t>
            </w:r>
            <w:r w:rsidRPr="00EC5B21">
              <w:rPr>
                <w:snapToGrid w:val="0"/>
                <w:color w:val="000000"/>
                <w:position w:val="4"/>
                <w:sz w:val="11"/>
                <w:szCs w:val="0"/>
                <w:u w:color="000000"/>
              </w:rPr>
              <w:t>-2</w:t>
            </w:r>
          </w:p>
        </w:tc>
      </w:tr>
    </w:tbl>
    <w:p w:rsidR="00B36F09" w:rsidRDefault="00B36F09" w:rsidP="00B36F09">
      <w:pPr>
        <w:pStyle w:val="tablenote"/>
      </w:pPr>
    </w:p>
    <w:p w:rsidR="00B36F09" w:rsidRDefault="00B36F09" w:rsidP="00B36F09">
      <w:pPr>
        <w:pStyle w:val="Heading2"/>
      </w:pPr>
      <w:bookmarkStart w:id="159" w:name="_Toc313523577"/>
      <w:bookmarkStart w:id="160" w:name="_Toc316985421"/>
      <w:r>
        <w:t>Application of the data to radiation protection of the non-human environment</w:t>
      </w:r>
      <w:bookmarkEnd w:id="159"/>
      <w:bookmarkEnd w:id="160"/>
    </w:p>
    <w:p w:rsidR="00B36F09" w:rsidRPr="005C231B" w:rsidRDefault="00B36F09" w:rsidP="00B36F09">
      <w:r w:rsidRPr="005C231B">
        <w:t xml:space="preserve">International trends in radiation protection indicate the need in certain circumstances to demonstrate that non-human species living in natural habitats are protected against deleterious radiation effects from practices releasing </w:t>
      </w:r>
      <w:proofErr w:type="spellStart"/>
      <w:r w:rsidRPr="005C231B">
        <w:t>radionuclides</w:t>
      </w:r>
      <w:proofErr w:type="spellEnd"/>
      <w:r w:rsidRPr="005C231B">
        <w:t xml:space="preserve"> to the environment. In particular, this has emerged as a best practice approach for nuclear fuel cycle activities, including uranium mining.</w:t>
      </w:r>
    </w:p>
    <w:p w:rsidR="00B36F09" w:rsidRDefault="00B36F09" w:rsidP="00B36F09">
      <w:r w:rsidRPr="000D276F">
        <w:rPr>
          <w:i/>
        </w:rPr>
        <w:t xml:space="preserve">The 2007 Recommendations of the </w:t>
      </w:r>
      <w:r w:rsidRPr="000D276F">
        <w:rPr>
          <w:i/>
          <w:snapToGrid w:val="0"/>
          <w:lang w:val="en-US"/>
        </w:rPr>
        <w:t xml:space="preserve">International Commission on </w:t>
      </w:r>
      <w:r w:rsidRPr="000D276F">
        <w:rPr>
          <w:i/>
        </w:rPr>
        <w:t>Radiological</w:t>
      </w:r>
      <w:r w:rsidRPr="000D276F">
        <w:rPr>
          <w:rFonts w:ascii="Arial" w:hAnsi="Arial" w:cs="Arial"/>
          <w:i/>
          <w:sz w:val="20"/>
          <w:lang w:eastAsia="en-AU"/>
        </w:rPr>
        <w:t xml:space="preserve"> </w:t>
      </w:r>
      <w:r w:rsidRPr="000D276F">
        <w:rPr>
          <w:i/>
          <w:snapToGrid w:val="0"/>
          <w:lang w:val="en-US"/>
        </w:rPr>
        <w:t>Protection</w:t>
      </w:r>
      <w:r>
        <w:rPr>
          <w:snapToGrid w:val="0"/>
          <w:lang w:val="en-US"/>
        </w:rPr>
        <w:t xml:space="preserve"> </w:t>
      </w:r>
      <w:r>
        <w:t xml:space="preserve">(ICRP 2007) distinguishes environmental protection objectives from human protection </w:t>
      </w:r>
      <w:r>
        <w:lastRenderedPageBreak/>
        <w:t xml:space="preserve">objectives. It also establishes a framework for assessing radiation exposures to non-human species from </w:t>
      </w:r>
      <w:proofErr w:type="spellStart"/>
      <w:r>
        <w:t>radionuclides</w:t>
      </w:r>
      <w:proofErr w:type="spellEnd"/>
      <w:r>
        <w:t xml:space="preserve"> released to the environment. Central to the framework is the use of reference organisms as conceptual and numerical proxies for estimating radiation dose rates to living organisms that are representative of an impacted environment.</w:t>
      </w:r>
    </w:p>
    <w:p w:rsidR="00B36F09" w:rsidRDefault="00B36F09" w:rsidP="00B36F09">
      <w:r>
        <w:t xml:space="preserve">The common method for estimating radionuclide transfer to non-human species, necessary for internal </w:t>
      </w:r>
      <w:proofErr w:type="spellStart"/>
      <w:r>
        <w:t>dosimetry</w:t>
      </w:r>
      <w:proofErr w:type="spellEnd"/>
      <w:r>
        <w:t xml:space="preserve"> calculations, is to use concentration ratio (</w:t>
      </w:r>
      <w:r w:rsidRPr="00117E8B">
        <w:t>IAEA in press</w:t>
      </w:r>
      <w:r>
        <w:t xml:space="preserve">). Concentration ratio in this context is the ratio of the average radionuclide activity concentration in the whole organism to that in the surrounding environmental media. This can differ from the concentration ratio for </w:t>
      </w:r>
      <w:proofErr w:type="spellStart"/>
      <w:r>
        <w:t>bushfoods</w:t>
      </w:r>
      <w:proofErr w:type="spellEnd"/>
      <w:r>
        <w:t>, which is generally defined for a specific tissue component of the animal or plant.</w:t>
      </w:r>
    </w:p>
    <w:p w:rsidR="00B36F09" w:rsidRDefault="00B36F09" w:rsidP="00B36F09">
      <w:r>
        <w:t>The need to determine whole organism concentration ratios for a range of environment and species types has led to an increased data focus, nationally via the Australian Radiation Protection and Nuclear Safety Agency (ARPANSA) and internationally via the IAEA Environmental Modelling for Radiation Safety (EMRAS II) programme. In particular, ARPANSA has identified that there is a need to collect and assemble concentration ratio data for species typical of Australian environment types to facilitate more robust environmental assessments using existing tools (Doering 2010).</w:t>
      </w:r>
    </w:p>
    <w:p w:rsidR="00B36F09" w:rsidRDefault="00B36F09" w:rsidP="00B36F09">
      <w:r>
        <w:t>While the data in the BRUCE database has not been specifically collected for assessing radiation protection of the non-human environment, there are some measurements of whole organism radionuclide activity concentrations from which concentration ratios can be derived, notably for freshwater mussels and some fish species. Additionally, published values of whole organism to tissue-specific concentration ratios for animals (</w:t>
      </w:r>
      <w:proofErr w:type="spellStart"/>
      <w:r>
        <w:t>Yankovich</w:t>
      </w:r>
      <w:proofErr w:type="spellEnd"/>
      <w:r>
        <w:t xml:space="preserve"> et al 2010) could be used to transform some of the data in the BRUCE database to the format required for estimating radiation dose rates to biota using tools such as ERICA (Brown et al 2008) or </w:t>
      </w:r>
      <w:proofErr w:type="spellStart"/>
      <w:r>
        <w:t>ResRad</w:t>
      </w:r>
      <w:proofErr w:type="spellEnd"/>
      <w:r>
        <w:t>-Biota.</w:t>
      </w:r>
    </w:p>
    <w:p w:rsidR="00B36F09" w:rsidRDefault="00B36F09" w:rsidP="00B36F09">
      <w:r>
        <w:t xml:space="preserve">The whole organism data for freshwater mussels and fish species from the ARR have been provided to Working Group 5 (‘Wildlife Transfer Coefficient’ Handbook) of the IAEA EMRAS II programme for inclusion in a new IAEA Technical Report Series document, </w:t>
      </w:r>
      <w:r>
        <w:rPr>
          <w:i/>
        </w:rPr>
        <w:t>Handbook of parameter values for the prediction of radionuclide transfer to wildlife</w:t>
      </w:r>
      <w:r>
        <w:t>, which is expected to be published in late 2011 or early 2012. The document provides a summary of worldwide radionuclide transfer data for non-human species, including means (arithmetic and geometric), standard deviations and ranges.</w:t>
      </w:r>
    </w:p>
    <w:p w:rsidR="00B36F09" w:rsidRDefault="00B36F09" w:rsidP="00B36F09">
      <w:pPr>
        <w:pStyle w:val="Heading2"/>
      </w:pPr>
      <w:bookmarkStart w:id="161" w:name="_Toc313523578"/>
      <w:bookmarkStart w:id="162" w:name="_Toc316985422"/>
      <w:r>
        <w:t>References</w:t>
      </w:r>
      <w:bookmarkEnd w:id="161"/>
      <w:bookmarkEnd w:id="162"/>
    </w:p>
    <w:p w:rsidR="00B36F09" w:rsidRPr="00D56650" w:rsidRDefault="00B36F09" w:rsidP="00B36F09">
      <w:pPr>
        <w:pStyle w:val="referencelist1"/>
      </w:pPr>
      <w:proofErr w:type="spellStart"/>
      <w:r>
        <w:t>Bollhöfer</w:t>
      </w:r>
      <w:proofErr w:type="spellEnd"/>
      <w:r>
        <w:t xml:space="preserve"> A, Brazier J, Humphrey C, Ryan B &amp; </w:t>
      </w:r>
      <w:proofErr w:type="spellStart"/>
      <w:r>
        <w:t>Esparon</w:t>
      </w:r>
      <w:proofErr w:type="spellEnd"/>
      <w:r>
        <w:t xml:space="preserve"> A 2011. </w:t>
      </w:r>
      <w:proofErr w:type="gramStart"/>
      <w:r>
        <w:t xml:space="preserve">A study of radium bioaccumulation in freshwater mussels, </w:t>
      </w:r>
      <w:proofErr w:type="spellStart"/>
      <w:r>
        <w:rPr>
          <w:i/>
        </w:rPr>
        <w:t>Velesunio</w:t>
      </w:r>
      <w:proofErr w:type="spellEnd"/>
      <w:r>
        <w:rPr>
          <w:i/>
        </w:rPr>
        <w:t xml:space="preserve"> </w:t>
      </w:r>
      <w:proofErr w:type="spellStart"/>
      <w:r>
        <w:rPr>
          <w:i/>
        </w:rPr>
        <w:t>angasi</w:t>
      </w:r>
      <w:proofErr w:type="spellEnd"/>
      <w:r>
        <w:t xml:space="preserve">, in the </w:t>
      </w:r>
      <w:proofErr w:type="spellStart"/>
      <w:r>
        <w:t>Magela</w:t>
      </w:r>
      <w:proofErr w:type="spellEnd"/>
      <w:r>
        <w:t xml:space="preserve"> Creek catchment, Northern Territory, Australia.</w:t>
      </w:r>
      <w:proofErr w:type="gramEnd"/>
      <w:r>
        <w:t xml:space="preserve"> </w:t>
      </w:r>
      <w:r w:rsidRPr="00E52D2F">
        <w:rPr>
          <w:i/>
        </w:rPr>
        <w:t>Journal of Environmental Radioactivity</w:t>
      </w:r>
      <w:r>
        <w:t xml:space="preserve"> 102(10), 964–974.</w:t>
      </w:r>
    </w:p>
    <w:p w:rsidR="00B36F09" w:rsidRDefault="00B36F09" w:rsidP="00B36F09">
      <w:pPr>
        <w:pStyle w:val="referencelist1"/>
      </w:pPr>
      <w:r>
        <w:t xml:space="preserve">Brown JE, Alfonso B, Avila R, Beresford NA, </w:t>
      </w:r>
      <w:proofErr w:type="spellStart"/>
      <w:r>
        <w:t>Copplestone</w:t>
      </w:r>
      <w:proofErr w:type="spellEnd"/>
      <w:r>
        <w:t xml:space="preserve"> D, </w:t>
      </w:r>
      <w:proofErr w:type="spellStart"/>
      <w:r>
        <w:t>Pröhl</w:t>
      </w:r>
      <w:proofErr w:type="spellEnd"/>
      <w:r>
        <w:t xml:space="preserve"> G &amp; </w:t>
      </w:r>
      <w:proofErr w:type="spellStart"/>
      <w:r>
        <w:t>Ulanovsky</w:t>
      </w:r>
      <w:proofErr w:type="spellEnd"/>
      <w:r>
        <w:t xml:space="preserve"> A 2008. </w:t>
      </w:r>
      <w:proofErr w:type="gramStart"/>
      <w:r>
        <w:t>The ERICA Tool.</w:t>
      </w:r>
      <w:proofErr w:type="gramEnd"/>
      <w:r>
        <w:t xml:space="preserve"> </w:t>
      </w:r>
      <w:r w:rsidRPr="00E52D2F">
        <w:rPr>
          <w:i/>
        </w:rPr>
        <w:t>Journal of Environmental Radioactivity</w:t>
      </w:r>
      <w:r>
        <w:t xml:space="preserve"> 99, 1371–1383.</w:t>
      </w:r>
    </w:p>
    <w:p w:rsidR="00B36F09" w:rsidRDefault="00B36F09" w:rsidP="00B36F09">
      <w:pPr>
        <w:pStyle w:val="referencelist1"/>
      </w:pPr>
      <w:proofErr w:type="gramStart"/>
      <w:r>
        <w:t>Doering C 2010.</w:t>
      </w:r>
      <w:proofErr w:type="gramEnd"/>
      <w:r>
        <w:t xml:space="preserve"> </w:t>
      </w:r>
      <w:r w:rsidRPr="00A110A0">
        <w:t xml:space="preserve">Environmental protection: Development of an Australian approach for assessing effects of ionising radiation on non-human species. Technical Report 154, </w:t>
      </w:r>
      <w:r>
        <w:t>Australian Radiation Protection and Nuclear Safety Agency</w:t>
      </w:r>
      <w:r w:rsidRPr="00A110A0">
        <w:t>, Yallamb</w:t>
      </w:r>
      <w:r>
        <w:t>ie</w:t>
      </w:r>
    </w:p>
    <w:p w:rsidR="00B36F09" w:rsidRDefault="00B36F09" w:rsidP="00B36F09">
      <w:pPr>
        <w:pStyle w:val="referencelist1"/>
      </w:pPr>
      <w:proofErr w:type="gramStart"/>
      <w:r>
        <w:t>IAEA (in press).</w:t>
      </w:r>
      <w:proofErr w:type="gramEnd"/>
      <w:r>
        <w:t xml:space="preserve"> Modelling radiation exposure and radionuclide transfer for non-human species. </w:t>
      </w:r>
      <w:proofErr w:type="gramStart"/>
      <w:r>
        <w:t>Report of the Biota Working Group of EMRAS Theme 3.</w:t>
      </w:r>
      <w:proofErr w:type="gramEnd"/>
      <w:r>
        <w:t xml:space="preserve"> Draft available from: </w:t>
      </w:r>
      <w:r w:rsidRPr="00806CD5">
        <w:t>http://www-ns.iaea.org/downloads/rw/projects/emras/final-reports/biota-final.pdf</w:t>
      </w:r>
      <w:r>
        <w:t>.</w:t>
      </w:r>
    </w:p>
    <w:p w:rsidR="00B36F09" w:rsidRDefault="00B36F09" w:rsidP="00B36F09">
      <w:pPr>
        <w:pStyle w:val="referencelist1"/>
      </w:pPr>
      <w:proofErr w:type="gramStart"/>
      <w:r>
        <w:lastRenderedPageBreak/>
        <w:t>IAEA 2010.</w:t>
      </w:r>
      <w:proofErr w:type="gramEnd"/>
      <w:r>
        <w:t xml:space="preserve"> </w:t>
      </w:r>
      <w:r w:rsidRPr="005C231B">
        <w:rPr>
          <w:i/>
        </w:rPr>
        <w:t>Handbook of parameter values for the prediction of radionuclide transfer in terrestrial and freshwater environments</w:t>
      </w:r>
      <w:r>
        <w:t>. Technical Report Series No. 472, International Atomic Energy Agency, Vienna.</w:t>
      </w:r>
    </w:p>
    <w:p w:rsidR="00B36F09" w:rsidRDefault="00B36F09" w:rsidP="00B36F09">
      <w:pPr>
        <w:pStyle w:val="referencelist1"/>
      </w:pPr>
      <w:proofErr w:type="gramStart"/>
      <w:r>
        <w:t>ICRP 1996.</w:t>
      </w:r>
      <w:proofErr w:type="gramEnd"/>
      <w:r>
        <w:t xml:space="preserve"> </w:t>
      </w:r>
      <w:r w:rsidRPr="005C231B">
        <w:rPr>
          <w:i/>
        </w:rPr>
        <w:t xml:space="preserve">Age-dependent doses to members of the public from intake of </w:t>
      </w:r>
      <w:proofErr w:type="spellStart"/>
      <w:r w:rsidRPr="005C231B">
        <w:rPr>
          <w:i/>
        </w:rPr>
        <w:t>radionuclides</w:t>
      </w:r>
      <w:proofErr w:type="spellEnd"/>
      <w:r w:rsidRPr="005C231B">
        <w:rPr>
          <w:i/>
        </w:rPr>
        <w:t>: Part 5 compilation of ingestion and inhalation dose coefficients</w:t>
      </w:r>
      <w:r>
        <w:t xml:space="preserve">. </w:t>
      </w:r>
      <w:proofErr w:type="gramStart"/>
      <w:r>
        <w:t>ICRP Publication 72.</w:t>
      </w:r>
      <w:proofErr w:type="gramEnd"/>
      <w:r>
        <w:t xml:space="preserve"> </w:t>
      </w:r>
      <w:proofErr w:type="gramStart"/>
      <w:r>
        <w:t>Annals of the ICRP 26(1).</w:t>
      </w:r>
      <w:proofErr w:type="gramEnd"/>
    </w:p>
    <w:p w:rsidR="00B36F09" w:rsidRDefault="00B36F09" w:rsidP="00B36F09">
      <w:pPr>
        <w:pStyle w:val="referencelist1"/>
      </w:pPr>
      <w:proofErr w:type="gramStart"/>
      <w:r>
        <w:t>ICRP 2007.</w:t>
      </w:r>
      <w:proofErr w:type="gramEnd"/>
      <w:r>
        <w:t xml:space="preserve"> </w:t>
      </w:r>
      <w:r w:rsidRPr="005C231B">
        <w:rPr>
          <w:i/>
        </w:rPr>
        <w:t>The 2007 Recommendations of the International Commission on Radiological Protection</w:t>
      </w:r>
      <w:r w:rsidRPr="00AF2A68">
        <w:t xml:space="preserve">. </w:t>
      </w:r>
      <w:proofErr w:type="gramStart"/>
      <w:r w:rsidRPr="00AF2A68">
        <w:t>ICRP Publication 103.</w:t>
      </w:r>
      <w:proofErr w:type="gramEnd"/>
      <w:r w:rsidRPr="00AF2A68">
        <w:t xml:space="preserve"> Annals of the ICRP 37 (2–4).</w:t>
      </w:r>
    </w:p>
    <w:p w:rsidR="00B36F09" w:rsidRDefault="00B36F09" w:rsidP="00B36F09">
      <w:pPr>
        <w:pStyle w:val="referencelist1"/>
      </w:pPr>
      <w:proofErr w:type="gramStart"/>
      <w:r>
        <w:t>Martin P, Hancock GJ, Johnston A &amp; Murray AS 1998.</w:t>
      </w:r>
      <w:proofErr w:type="gramEnd"/>
      <w:r>
        <w:t xml:space="preserve"> </w:t>
      </w:r>
      <w:proofErr w:type="gramStart"/>
      <w:r>
        <w:t xml:space="preserve">Natural-series </w:t>
      </w:r>
      <w:proofErr w:type="spellStart"/>
      <w:r>
        <w:t>radionuclides</w:t>
      </w:r>
      <w:proofErr w:type="spellEnd"/>
      <w:r>
        <w:t xml:space="preserve"> in traditional north Australian Aboriginal foods.</w:t>
      </w:r>
      <w:proofErr w:type="gramEnd"/>
      <w:r>
        <w:t xml:space="preserve"> </w:t>
      </w:r>
      <w:r w:rsidRPr="00E52D2F">
        <w:rPr>
          <w:i/>
        </w:rPr>
        <w:t>Journal of Environmental Radioactivity</w:t>
      </w:r>
      <w:r>
        <w:t xml:space="preserve"> 40(1), 37–58.</w:t>
      </w:r>
    </w:p>
    <w:p w:rsidR="00B36F09" w:rsidRDefault="00B36F09" w:rsidP="00B36F09">
      <w:pPr>
        <w:pStyle w:val="referencelist1"/>
      </w:pPr>
      <w:r>
        <w:t xml:space="preserve">Medley P, </w:t>
      </w:r>
      <w:proofErr w:type="spellStart"/>
      <w:r>
        <w:t>Bollhöfer</w:t>
      </w:r>
      <w:proofErr w:type="spellEnd"/>
      <w:r>
        <w:t xml:space="preserve"> A, Parry D, Ryan B, </w:t>
      </w:r>
      <w:proofErr w:type="spellStart"/>
      <w:r>
        <w:t>Sellwood</w:t>
      </w:r>
      <w:proofErr w:type="spellEnd"/>
      <w:r>
        <w:t xml:space="preserve"> J &amp; Martin P 2011. </w:t>
      </w:r>
      <w:r w:rsidRPr="00515227">
        <w:t>Radium concentration factors in passionfruit (</w:t>
      </w:r>
      <w:proofErr w:type="spellStart"/>
      <w:r w:rsidRPr="00515227">
        <w:t>Passiflora</w:t>
      </w:r>
      <w:proofErr w:type="spellEnd"/>
      <w:r w:rsidRPr="00515227">
        <w:t xml:space="preserve"> </w:t>
      </w:r>
      <w:proofErr w:type="spellStart"/>
      <w:r w:rsidRPr="00515227">
        <w:t>foetida</w:t>
      </w:r>
      <w:proofErr w:type="spellEnd"/>
      <w:r w:rsidRPr="00515227">
        <w:t xml:space="preserve">) from the Alligator Rivers Region, Northern Territory, </w:t>
      </w:r>
      <w:proofErr w:type="gramStart"/>
      <w:r w:rsidRPr="00515227">
        <w:t>Australia</w:t>
      </w:r>
      <w:proofErr w:type="gramEnd"/>
      <w:r>
        <w:t xml:space="preserve">. </w:t>
      </w:r>
      <w:proofErr w:type="gramStart"/>
      <w:r>
        <w:t xml:space="preserve">Submitted to </w:t>
      </w:r>
      <w:r>
        <w:rPr>
          <w:i/>
        </w:rPr>
        <w:t>Radiation and Environmental Biophysics.</w:t>
      </w:r>
      <w:proofErr w:type="gramEnd"/>
      <w:r>
        <w:t xml:space="preserve"> </w:t>
      </w:r>
    </w:p>
    <w:p w:rsidR="00B36F09" w:rsidRDefault="00B36F09" w:rsidP="00B36F09">
      <w:pPr>
        <w:pStyle w:val="referencelist1"/>
      </w:pPr>
      <w:r>
        <w:t xml:space="preserve">Ryan B, Martin P, Humphrey C, </w:t>
      </w:r>
      <w:proofErr w:type="spellStart"/>
      <w:r>
        <w:t>Pidgeon</w:t>
      </w:r>
      <w:proofErr w:type="spellEnd"/>
      <w:r>
        <w:t xml:space="preserve"> R, </w:t>
      </w:r>
      <w:proofErr w:type="spellStart"/>
      <w:r>
        <w:t>Bollh</w:t>
      </w:r>
      <w:r>
        <w:rPr>
          <w:rFonts w:cs="Arial"/>
        </w:rPr>
        <w:t>ö</w:t>
      </w:r>
      <w:r>
        <w:t>fer</w:t>
      </w:r>
      <w:proofErr w:type="spellEnd"/>
      <w:r>
        <w:t xml:space="preserve"> A, Fox T &amp; Medley P 2005a. </w:t>
      </w:r>
      <w:proofErr w:type="spellStart"/>
      <w:proofErr w:type="gramStart"/>
      <w:r>
        <w:t>Radionuclides</w:t>
      </w:r>
      <w:proofErr w:type="spellEnd"/>
      <w:r>
        <w:t xml:space="preserve"> and metals in fish and freshwater mussels from </w:t>
      </w:r>
      <w:proofErr w:type="spellStart"/>
      <w:r>
        <w:t>Mudginberri</w:t>
      </w:r>
      <w:proofErr w:type="spellEnd"/>
      <w:r>
        <w:t xml:space="preserve"> and Sandy Billabongs, Alligator Rivers Region, 2000–2003.</w:t>
      </w:r>
      <w:proofErr w:type="gramEnd"/>
      <w:r w:rsidRPr="00B75FFE">
        <w:rPr>
          <w:lang w:val="en-US"/>
        </w:rPr>
        <w:t xml:space="preserve"> </w:t>
      </w:r>
      <w:r>
        <w:rPr>
          <w:lang w:val="en-US"/>
        </w:rPr>
        <w:t xml:space="preserve">Internal Report 498, November, </w:t>
      </w:r>
      <w:r>
        <w:t xml:space="preserve">Supervising Scientist, Darwin. </w:t>
      </w:r>
      <w:proofErr w:type="gramStart"/>
      <w:r>
        <w:t>Unpublished paper.</w:t>
      </w:r>
      <w:proofErr w:type="gramEnd"/>
    </w:p>
    <w:p w:rsidR="00B36F09" w:rsidRDefault="00B36F09" w:rsidP="00B36F09">
      <w:pPr>
        <w:pStyle w:val="referencelist1"/>
      </w:pPr>
      <w:r>
        <w:t xml:space="preserve">Ryan B, Martin P &amp; Iles M 2005b. </w:t>
      </w:r>
      <w:proofErr w:type="gramStart"/>
      <w:r>
        <w:t xml:space="preserve">Uranium-series </w:t>
      </w:r>
      <w:proofErr w:type="spellStart"/>
      <w:r>
        <w:t>radionuclides</w:t>
      </w:r>
      <w:proofErr w:type="spellEnd"/>
      <w:r>
        <w:t xml:space="preserve"> in native fruits and vegetables of northern Australia.</w:t>
      </w:r>
      <w:proofErr w:type="gramEnd"/>
      <w:r>
        <w:t xml:space="preserve"> </w:t>
      </w:r>
      <w:r w:rsidRPr="00E52D2F">
        <w:rPr>
          <w:i/>
        </w:rPr>
        <w:t xml:space="preserve">Journal of </w:t>
      </w:r>
      <w:proofErr w:type="spellStart"/>
      <w:r w:rsidRPr="00E52D2F">
        <w:rPr>
          <w:i/>
        </w:rPr>
        <w:t>Radioanalytical</w:t>
      </w:r>
      <w:proofErr w:type="spellEnd"/>
      <w:r w:rsidRPr="00E52D2F">
        <w:rPr>
          <w:i/>
        </w:rPr>
        <w:t xml:space="preserve"> and Nuclear Chemistry</w:t>
      </w:r>
      <w:r>
        <w:t xml:space="preserve"> 264(2), 407–412.</w:t>
      </w:r>
    </w:p>
    <w:p w:rsidR="00B36F09" w:rsidRDefault="00B36F09" w:rsidP="00B36F09">
      <w:pPr>
        <w:pStyle w:val="referencelist1"/>
      </w:pPr>
      <w:proofErr w:type="gramStart"/>
      <w:r>
        <w:t>Supervising Scientist 2009.</w:t>
      </w:r>
      <w:proofErr w:type="gramEnd"/>
      <w:r>
        <w:t xml:space="preserve"> </w:t>
      </w:r>
      <w:r w:rsidRPr="00E52D2F">
        <w:rPr>
          <w:i/>
        </w:rPr>
        <w:t>Annual Report 2008–2009</w:t>
      </w:r>
      <w:r>
        <w:t xml:space="preserve">. </w:t>
      </w:r>
      <w:proofErr w:type="gramStart"/>
      <w:r>
        <w:t>Supervising Scientist, Darwin.</w:t>
      </w:r>
      <w:proofErr w:type="gramEnd"/>
    </w:p>
    <w:p w:rsidR="00B36F09" w:rsidRDefault="00B36F09" w:rsidP="00B36F09">
      <w:pPr>
        <w:pStyle w:val="referencelist1"/>
      </w:pPr>
      <w:proofErr w:type="spellStart"/>
      <w:r>
        <w:t>Yankovich</w:t>
      </w:r>
      <w:proofErr w:type="spellEnd"/>
      <w:r>
        <w:t xml:space="preserve"> TL, Beresford NA, Wood MD, </w:t>
      </w:r>
      <w:proofErr w:type="spellStart"/>
      <w:r>
        <w:t>Aono</w:t>
      </w:r>
      <w:proofErr w:type="spellEnd"/>
      <w:r>
        <w:t xml:space="preserve"> T, </w:t>
      </w:r>
      <w:proofErr w:type="spellStart"/>
      <w:r>
        <w:t>Andersson</w:t>
      </w:r>
      <w:proofErr w:type="spellEnd"/>
      <w:r>
        <w:t xml:space="preserve"> P, Barnett CL, Bennett P, Brown JE, </w:t>
      </w:r>
      <w:proofErr w:type="spellStart"/>
      <w:r>
        <w:t>Fesenko</w:t>
      </w:r>
      <w:proofErr w:type="spellEnd"/>
      <w:r>
        <w:t xml:space="preserve"> S, </w:t>
      </w:r>
      <w:proofErr w:type="spellStart"/>
      <w:r>
        <w:t>Fesenko</w:t>
      </w:r>
      <w:proofErr w:type="spellEnd"/>
      <w:r>
        <w:t xml:space="preserve"> J, </w:t>
      </w:r>
      <w:proofErr w:type="spellStart"/>
      <w:r>
        <w:t>Hosseini</w:t>
      </w:r>
      <w:proofErr w:type="spellEnd"/>
      <w:r>
        <w:t xml:space="preserve"> A, Howard BJ, Johansen MP, </w:t>
      </w:r>
      <w:proofErr w:type="spellStart"/>
      <w:r>
        <w:t>Phaneuf</w:t>
      </w:r>
      <w:proofErr w:type="spellEnd"/>
      <w:r>
        <w:t xml:space="preserve"> MM, </w:t>
      </w:r>
      <w:proofErr w:type="spellStart"/>
      <w:r>
        <w:t>Tagami</w:t>
      </w:r>
      <w:proofErr w:type="spellEnd"/>
      <w:r>
        <w:t xml:space="preserve"> K, </w:t>
      </w:r>
      <w:proofErr w:type="spellStart"/>
      <w:r>
        <w:t>Takata</w:t>
      </w:r>
      <w:proofErr w:type="spellEnd"/>
      <w:r>
        <w:t xml:space="preserve"> H, Twining JR &amp; Uchida S 2010. </w:t>
      </w:r>
      <w:proofErr w:type="gramStart"/>
      <w:r>
        <w:t>Whole-body to tissue concentration ratios for use in biota dose assessments for animals.</w:t>
      </w:r>
      <w:proofErr w:type="gramEnd"/>
      <w:r>
        <w:t xml:space="preserve"> </w:t>
      </w:r>
      <w:r w:rsidRPr="00E52D2F">
        <w:rPr>
          <w:i/>
        </w:rPr>
        <w:t>Radiation and Environmental Biophysics</w:t>
      </w:r>
      <w:r>
        <w:t xml:space="preserve"> 49, 549–565.</w:t>
      </w:r>
    </w:p>
    <w:p w:rsidR="005315FA" w:rsidRPr="00557A7B" w:rsidRDefault="005315FA" w:rsidP="00557A7B"/>
    <w:sectPr w:rsidR="005315FA" w:rsidRPr="00557A7B" w:rsidSect="00680F91">
      <w:headerReference w:type="even" r:id="rId48"/>
      <w:headerReference w:type="default" r:id="rId49"/>
      <w:footerReference w:type="even" r:id="rId50"/>
      <w:footerReference w:type="default" r:id="rId51"/>
      <w:headerReference w:type="first" r:id="rId52"/>
      <w:footerReference w:type="first" r:id="rId53"/>
      <w:pgSz w:w="11906" w:h="16838" w:code="9"/>
      <w:pgMar w:top="1440" w:right="1797" w:bottom="1440" w:left="1797" w:header="851" w:footer="833" w:gutter="0"/>
      <w:cols w:space="3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A95" w:rsidRDefault="001B1A95">
      <w:r>
        <w:separator/>
      </w:r>
    </w:p>
  </w:endnote>
  <w:endnote w:type="continuationSeparator" w:id="0">
    <w:p w:rsidR="001B1A95" w:rsidRDefault="001B1A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FIGLOG+Arial,Bold">
    <w:altName w:val="Arial"/>
    <w:panose1 w:val="00000000000000000000"/>
    <w:charset w:val="00"/>
    <w:family w:val="swiss"/>
    <w:notTrueType/>
    <w:pitch w:val="default"/>
    <w:sig w:usb0="00000003" w:usb1="00000000" w:usb2="00000000" w:usb3="00000000" w:csb0="00000001" w:csb1="00000000"/>
  </w:font>
  <w:font w:name="Arial Bold Italic">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 New (W1)">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A00002EF" w:usb1="420020EB"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4060578"/>
      <w:docPartObj>
        <w:docPartGallery w:val="Page Numbers (Bottom of Page)"/>
        <w:docPartUnique/>
      </w:docPartObj>
    </w:sdtPr>
    <w:sdtContent>
      <w:p w:rsidR="00B36F09" w:rsidRDefault="00DD66B9">
        <w:pPr>
          <w:pStyle w:val="Footer"/>
        </w:pPr>
        <w:fldSimple w:instr=" PAGE   \* MERGEFORMAT ">
          <w:r w:rsidR="008976E1">
            <w:rPr>
              <w:noProof/>
            </w:rPr>
            <w:t>108</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AA8" w:rsidRDefault="00DD66B9">
    <w:pPr>
      <w:pStyle w:val="Footer"/>
    </w:pPr>
    <w:fldSimple w:instr="PAGE">
      <w:r w:rsidR="00745AA8">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AA8" w:rsidRDefault="00DD66B9">
    <w:pPr>
      <w:pStyle w:val="Footer"/>
    </w:pPr>
    <w:fldSimple w:instr="PAGE">
      <w:r w:rsidR="008976E1">
        <w:rPr>
          <w:noProof/>
        </w:rPr>
        <w:t>148</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AA8" w:rsidRDefault="00DD66B9">
    <w:pPr>
      <w:pStyle w:val="Footer"/>
    </w:pPr>
    <w:fldSimple w:instr="PAGE">
      <w:r w:rsidR="006F526A">
        <w:rPr>
          <w:noProof/>
        </w:rPr>
        <w:t>146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A95" w:rsidRDefault="001B1A95">
      <w:r>
        <w:separator/>
      </w:r>
    </w:p>
  </w:footnote>
  <w:footnote w:type="continuationSeparator" w:id="0">
    <w:p w:rsidR="001B1A95" w:rsidRDefault="001B1A95">
      <w:r>
        <w:continuationSeparator/>
      </w:r>
    </w:p>
  </w:footnote>
  <w:footnote w:id="1">
    <w:p w:rsidR="00B36F09" w:rsidRDefault="00B36F09" w:rsidP="00B36F09">
      <w:pPr>
        <w:pStyle w:val="FootnoteText"/>
        <w:spacing w:after="0"/>
      </w:pPr>
      <w:r>
        <w:rPr>
          <w:rStyle w:val="FootnoteReference"/>
        </w:rPr>
        <w:footnoteRef/>
      </w:r>
      <w:r>
        <w:t xml:space="preserve"> </w:t>
      </w:r>
      <w:r>
        <w:tab/>
        <w:t xml:space="preserve">Department of Geography, </w:t>
      </w:r>
      <w:smartTag w:uri="urn:schemas-microsoft-com:office:smarttags" w:element="PlaceType">
        <w:r>
          <w:t>University</w:t>
        </w:r>
      </w:smartTag>
      <w:r>
        <w:t xml:space="preserve"> of </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Name">
              <w:r>
                <w:t>H</w:t>
              </w:r>
            </w:smartTag>
            <w:r>
              <w:t>u</w:t>
            </w:r>
          </w:smartTag>
          <w:r>
            <w:t>l</w:t>
          </w:r>
        </w:smartTag>
        <w:r>
          <w:t>l</w:t>
        </w:r>
      </w:smartTag>
      <w:r>
        <w:t xml:space="preserve">, </w:t>
      </w:r>
      <w:smartTag w:uri="urn:schemas-microsoft-com:office:smarttags" w:element="City">
        <w:r>
          <w:t>Hull</w:t>
        </w:r>
      </w:smartTag>
      <w:r>
        <w:t xml:space="preserve">, </w:t>
      </w:r>
      <w:smartTag w:uri="urn:schemas-microsoft-com:office:smarttags" w:element="PostalCode">
        <w:r>
          <w:t>HU6 7RX</w:t>
        </w:r>
      </w:smartTag>
      <w:r>
        <w:t>, UK</w:t>
      </w:r>
    </w:p>
  </w:footnote>
  <w:footnote w:id="2">
    <w:p w:rsidR="00B36F09" w:rsidRDefault="00B36F09" w:rsidP="00B36F09">
      <w:pPr>
        <w:pStyle w:val="FootnoteText"/>
        <w:spacing w:after="0"/>
      </w:pPr>
      <w:r>
        <w:rPr>
          <w:rStyle w:val="FootnoteReference"/>
        </w:rPr>
        <w:footnoteRef/>
      </w:r>
      <w:r>
        <w:t xml:space="preserve"> </w:t>
      </w:r>
      <w:r>
        <w:tab/>
        <w:t xml:space="preserve">School of Environmental and Life Sciences, </w:t>
      </w:r>
      <w:smartTag w:uri="urn:schemas-microsoft-com:office:smarttags" w:element="PlaceType">
        <w:r>
          <w:t>University</w:t>
        </w:r>
      </w:smartTag>
      <w:r>
        <w:t xml:space="preserve"> of Newcastle, Callaghan, NSW 2308, Australia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Default="00B36F09" w:rsidP="00117586">
    <w:pPr>
      <w:pStyle w:val="Header"/>
      <w:jc w:val="right"/>
      <w:rPr>
        <w:sz w:val="1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477852" w:rsidRDefault="00B36F09" w:rsidP="00477852">
    <w:pPr>
      <w:pStyle w:val="Header"/>
    </w:pPr>
    <w:r>
      <w:rPr>
        <w:noProof/>
      </w:rPr>
      <w:t xml:space="preserve">KKN </w:t>
    </w:r>
    <w:r w:rsidRPr="005A1F59">
      <w:rPr>
        <w:noProof/>
      </w:rPr>
      <w:t>2.</w:t>
    </w:r>
    <w:r>
      <w:rPr>
        <w:noProof/>
      </w:rPr>
      <w:t>5</w:t>
    </w:r>
    <w:r w:rsidRPr="005A1F59">
      <w:rPr>
        <w:noProof/>
      </w:rPr>
      <w:t>.</w:t>
    </w:r>
    <w:r>
      <w:rPr>
        <w:noProof/>
      </w:rPr>
      <w:t>1</w:t>
    </w:r>
    <w:r w:rsidRPr="005A1F59">
      <w:rPr>
        <w:noProof/>
      </w:rPr>
      <w:t xml:space="preserve"> </w:t>
    </w:r>
    <w:r w:rsidRPr="007852D6">
      <w:rPr>
        <w:noProof/>
      </w:rPr>
      <w:t xml:space="preserve"> Development and agreement of closure criteria from ecosystem establishment perspective</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3239DC" w:rsidRDefault="00B36F09" w:rsidP="005A1F59">
    <w:pPr>
      <w:pStyle w:val="Header"/>
      <w:jc w:val="right"/>
      <w:rPr>
        <w:rFonts w:ascii="Arial" w:hAnsi="Arial"/>
        <w:sz w:val="16"/>
      </w:rPr>
    </w:pPr>
    <w:r w:rsidRPr="003239DC">
      <w:rPr>
        <w:rFonts w:ascii="Arial" w:hAnsi="Arial"/>
        <w:sz w:val="16"/>
      </w:rPr>
      <w:t xml:space="preserve">Development of surface water quality closure criteria for Ranger billabongs using </w:t>
    </w:r>
    <w:proofErr w:type="spellStart"/>
    <w:r w:rsidRPr="003239DC">
      <w:rPr>
        <w:rFonts w:ascii="Arial" w:hAnsi="Arial"/>
        <w:sz w:val="16"/>
      </w:rPr>
      <w:t>macroinvertebrate</w:t>
    </w:r>
    <w:proofErr w:type="spellEnd"/>
    <w:r w:rsidRPr="003239DC">
      <w:rPr>
        <w:rFonts w:ascii="Arial" w:hAnsi="Arial"/>
        <w:sz w:val="16"/>
      </w:rPr>
      <w:t xml:space="preserve"> community data (C Humphrey &amp; D Jones)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3239DC" w:rsidRDefault="00B36F09" w:rsidP="00117586">
    <w:pPr>
      <w:pStyle w:val="Header"/>
      <w:jc w:val="right"/>
      <w:rPr>
        <w:rFonts w:ascii="Arial" w:hAnsi="Arial"/>
        <w:sz w:val="16"/>
      </w:rPr>
    </w:pPr>
    <w:r w:rsidRPr="003239DC">
      <w:rPr>
        <w:rFonts w:ascii="Arial" w:hAnsi="Arial"/>
        <w:sz w:val="16"/>
      </w:rPr>
      <w:t xml:space="preserve">KKN </w:t>
    </w:r>
    <w:proofErr w:type="gramStart"/>
    <w:r w:rsidRPr="003239DC">
      <w:rPr>
        <w:rFonts w:ascii="Arial" w:hAnsi="Arial"/>
        <w:sz w:val="16"/>
      </w:rPr>
      <w:t>2.5.1  Development</w:t>
    </w:r>
    <w:proofErr w:type="gramEnd"/>
    <w:r w:rsidRPr="003239DC">
      <w:rPr>
        <w:rFonts w:ascii="Arial" w:hAnsi="Arial"/>
        <w:sz w:val="16"/>
      </w:rPr>
      <w:t xml:space="preserve"> and agreement of closure criteria from ecosystem establishment perspective</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9971FF" w:rsidRDefault="00B36F09" w:rsidP="009971FF">
    <w:pPr>
      <w:pStyle w:val="Header"/>
    </w:pPr>
    <w:r>
      <w:rPr>
        <w:noProof/>
      </w:rPr>
      <w:t xml:space="preserve">KKN </w:t>
    </w:r>
    <w:r w:rsidRPr="009971FF">
      <w:rPr>
        <w:noProof/>
      </w:rPr>
      <w:t xml:space="preserve">2.5.2  </w:t>
    </w:r>
    <w:r>
      <w:rPr>
        <w:noProof/>
      </w:rPr>
      <w:t xml:space="preserve">Characterisation of terrestrial and aquatic ecosystem types at </w:t>
    </w:r>
    <w:r w:rsidRPr="009971FF">
      <w:rPr>
        <w:noProof/>
      </w:rPr>
      <w:t>analogue</w:t>
    </w:r>
    <w:r>
      <w:rPr>
        <w:noProof/>
      </w:rPr>
      <w:t xml:space="preserve"> sites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3239DC" w:rsidRDefault="00B36F09" w:rsidP="005A1F59">
    <w:pPr>
      <w:pStyle w:val="Header"/>
      <w:jc w:val="right"/>
      <w:rPr>
        <w:rFonts w:ascii="Arial" w:hAnsi="Arial"/>
        <w:sz w:val="16"/>
      </w:rPr>
    </w:pPr>
    <w:r w:rsidRPr="003239DC">
      <w:rPr>
        <w:rFonts w:ascii="Arial" w:hAnsi="Arial"/>
        <w:sz w:val="16"/>
      </w:rPr>
      <w:t xml:space="preserve">Use of vegetation analogues to guide planning for rehabilitation of the Ranger mine site </w:t>
    </w:r>
    <w:r w:rsidRPr="003239DC">
      <w:rPr>
        <w:rFonts w:ascii="Arial" w:hAnsi="Arial"/>
        <w:sz w:val="16"/>
      </w:rPr>
      <w:br/>
      <w:t>(C Humphrey, J Lowry &amp; G Fox)</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3239DC" w:rsidRDefault="00B36F09" w:rsidP="00117586">
    <w:pPr>
      <w:pStyle w:val="Header"/>
      <w:jc w:val="right"/>
      <w:rPr>
        <w:rFonts w:ascii="Arial" w:hAnsi="Arial"/>
        <w:sz w:val="16"/>
      </w:rPr>
    </w:pPr>
    <w:r w:rsidRPr="003239DC">
      <w:rPr>
        <w:rFonts w:ascii="Arial" w:hAnsi="Arial"/>
        <w:sz w:val="16"/>
      </w:rPr>
      <w:t xml:space="preserve">KKN </w:t>
    </w:r>
    <w:proofErr w:type="gramStart"/>
    <w:r w:rsidRPr="003239DC">
      <w:rPr>
        <w:rFonts w:ascii="Arial" w:hAnsi="Arial"/>
        <w:sz w:val="16"/>
      </w:rPr>
      <w:t>2.5.2  Characterisation</w:t>
    </w:r>
    <w:proofErr w:type="gramEnd"/>
    <w:r w:rsidRPr="003239DC">
      <w:rPr>
        <w:rFonts w:ascii="Arial" w:hAnsi="Arial"/>
        <w:sz w:val="16"/>
      </w:rPr>
      <w:t xml:space="preserve"> of terrestrial and aquatic ecosystem types at analogue sites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AA8" w:rsidRDefault="00745AA8">
    <w:pPr>
      <w:pStyle w:val="Header"/>
      <w:jc w:val="right"/>
      <w:rPr>
        <w:smallCaps/>
        <w:sz w:val="18"/>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F91" w:rsidRPr="003239DC" w:rsidRDefault="00680F91" w:rsidP="005A1F59">
    <w:pPr>
      <w:pStyle w:val="Header"/>
      <w:jc w:val="right"/>
      <w:rPr>
        <w:rFonts w:ascii="Arial" w:hAnsi="Arial"/>
        <w:sz w:val="16"/>
      </w:rPr>
    </w:pPr>
    <w:r w:rsidRPr="00680F91">
      <w:rPr>
        <w:rFonts w:ascii="Arial" w:hAnsi="Arial"/>
        <w:sz w:val="16"/>
      </w:rPr>
      <w:t xml:space="preserve">Estimating radionuclide transfer to </w:t>
    </w:r>
    <w:proofErr w:type="spellStart"/>
    <w:r w:rsidRPr="00680F91">
      <w:rPr>
        <w:rFonts w:ascii="Arial" w:hAnsi="Arial"/>
        <w:sz w:val="16"/>
      </w:rPr>
      <w:t>bushfoods</w:t>
    </w:r>
    <w:proofErr w:type="spellEnd"/>
    <w:r w:rsidRPr="00680F91">
      <w:rPr>
        <w:rFonts w:ascii="Arial" w:hAnsi="Arial"/>
        <w:sz w:val="16"/>
      </w:rPr>
      <w:t xml:space="preserve"> and ingestion doses to the public</w:t>
    </w:r>
    <w:r>
      <w:rPr>
        <w:rFonts w:ascii="Arial" w:hAnsi="Arial"/>
        <w:sz w:val="16"/>
      </w:rPr>
      <w:t xml:space="preserve"> (</w:t>
    </w:r>
    <w:r w:rsidRPr="00680F91">
      <w:rPr>
        <w:rFonts w:ascii="Arial" w:hAnsi="Arial"/>
        <w:sz w:val="16"/>
      </w:rPr>
      <w:t xml:space="preserve">C Doering, A </w:t>
    </w:r>
    <w:proofErr w:type="spellStart"/>
    <w:r w:rsidRPr="00680F91">
      <w:rPr>
        <w:rFonts w:ascii="Arial" w:hAnsi="Arial"/>
        <w:sz w:val="16"/>
      </w:rPr>
      <w:t>Bollhöfer</w:t>
    </w:r>
    <w:proofErr w:type="spellEnd"/>
    <w:r w:rsidRPr="00680F91">
      <w:rPr>
        <w:rFonts w:ascii="Arial" w:hAnsi="Arial"/>
        <w:sz w:val="16"/>
      </w:rPr>
      <w:t xml:space="preserve"> &amp; B Ryan</w:t>
    </w:r>
    <w:r>
      <w:rPr>
        <w:rFonts w:ascii="Arial" w:hAnsi="Arial"/>
        <w:sz w:val="16"/>
      </w:rPr>
      <w:t>)</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AA8" w:rsidRDefault="00745AA8">
    <w:pPr>
      <w:pStyle w:val="Header"/>
      <w:jc w:val="right"/>
      <w:rPr>
        <w:rFonts w:ascii="Arial" w:hAnsi="Arial"/>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477852" w:rsidRDefault="00B36F09" w:rsidP="00477852">
    <w:pPr>
      <w:pStyle w:val="Header"/>
    </w:pPr>
    <w:r>
      <w:rPr>
        <w:noProof/>
      </w:rPr>
      <w:t>KKN 2.2.1  Landform design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184D90" w:rsidRDefault="00B36F09" w:rsidP="005A1F59">
    <w:pPr>
      <w:pStyle w:val="Header"/>
      <w:jc w:val="right"/>
      <w:rPr>
        <w:rFonts w:ascii="Arial" w:hAnsi="Arial"/>
        <w:sz w:val="16"/>
      </w:rPr>
    </w:pPr>
    <w:r w:rsidRPr="00184D90">
      <w:rPr>
        <w:rFonts w:ascii="Arial" w:hAnsi="Arial"/>
        <w:sz w:val="16"/>
      </w:rPr>
      <w:t xml:space="preserve">Revegetation trial demonstration landform – erosion and chemistry studies </w:t>
    </w:r>
    <w:r w:rsidRPr="00184D90">
      <w:rPr>
        <w:rFonts w:ascii="Arial" w:hAnsi="Arial"/>
        <w:sz w:val="16"/>
      </w:rPr>
      <w:br/>
      <w:t xml:space="preserve">(MJ </w:t>
    </w:r>
    <w:proofErr w:type="spellStart"/>
    <w:r w:rsidRPr="00184D90">
      <w:rPr>
        <w:rFonts w:ascii="Arial" w:hAnsi="Arial"/>
        <w:sz w:val="16"/>
      </w:rPr>
      <w:t>Saynor</w:t>
    </w:r>
    <w:proofErr w:type="spellEnd"/>
    <w:r w:rsidRPr="00184D90">
      <w:rPr>
        <w:rFonts w:ascii="Arial" w:hAnsi="Arial"/>
        <w:sz w:val="16"/>
      </w:rPr>
      <w:t>, J Taylor, R Houghton, WD Erskine &amp; D Jones)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184D90" w:rsidRDefault="00B36F09" w:rsidP="00117586">
    <w:pPr>
      <w:pStyle w:val="Header"/>
      <w:jc w:val="right"/>
      <w:rPr>
        <w:rFonts w:ascii="Arial" w:hAnsi="Arial"/>
        <w:sz w:val="16"/>
      </w:rPr>
    </w:pPr>
    <w:r w:rsidRPr="00184D90">
      <w:rPr>
        <w:rFonts w:ascii="Arial" w:hAnsi="Arial"/>
        <w:sz w:val="16"/>
      </w:rPr>
      <w:t xml:space="preserve">KKN </w:t>
    </w:r>
    <w:proofErr w:type="gramStart"/>
    <w:r w:rsidRPr="00184D90">
      <w:rPr>
        <w:rFonts w:ascii="Arial" w:hAnsi="Arial"/>
        <w:sz w:val="16"/>
      </w:rPr>
      <w:t>2.2.1  Landform</w:t>
    </w:r>
    <w:proofErr w:type="gramEnd"/>
    <w:r w:rsidRPr="00184D90">
      <w:rPr>
        <w:rFonts w:ascii="Arial" w:hAnsi="Arial"/>
        <w:sz w:val="16"/>
      </w:rPr>
      <w:t xml:space="preserve"> design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184D90" w:rsidRDefault="00B36F09" w:rsidP="005A1F59">
    <w:pPr>
      <w:pStyle w:val="Header"/>
      <w:jc w:val="right"/>
      <w:rPr>
        <w:rFonts w:ascii="Arial" w:hAnsi="Arial"/>
        <w:sz w:val="16"/>
      </w:rPr>
    </w:pPr>
    <w:r w:rsidRPr="00184D90">
      <w:rPr>
        <w:rFonts w:ascii="Arial" w:hAnsi="Arial"/>
        <w:sz w:val="16"/>
      </w:rPr>
      <w:t xml:space="preserve">Assessing the geomorphic stability of the Ranger trial landform using landform evolution models </w:t>
    </w:r>
    <w:r w:rsidRPr="00184D90">
      <w:rPr>
        <w:rFonts w:ascii="Arial" w:hAnsi="Arial"/>
        <w:sz w:val="16"/>
      </w:rPr>
      <w:br/>
      <w:t xml:space="preserve">(J Lowry, T </w:t>
    </w:r>
    <w:proofErr w:type="spellStart"/>
    <w:r w:rsidRPr="00184D90">
      <w:rPr>
        <w:rFonts w:ascii="Arial" w:hAnsi="Arial"/>
        <w:sz w:val="16"/>
      </w:rPr>
      <w:t>Coulthard</w:t>
    </w:r>
    <w:proofErr w:type="spellEnd"/>
    <w:r w:rsidRPr="00184D90">
      <w:rPr>
        <w:rFonts w:ascii="Arial" w:hAnsi="Arial"/>
        <w:sz w:val="16"/>
      </w:rPr>
      <w:t xml:space="preserve"> &amp; G Hancock &amp; D Jones)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477852" w:rsidRDefault="00B36F09" w:rsidP="00477852">
    <w:pPr>
      <w:pStyle w:val="Header"/>
    </w:pPr>
    <w:r>
      <w:rPr>
        <w:noProof/>
      </w:rPr>
      <w:t xml:space="preserve">KKN </w:t>
    </w:r>
    <w:r w:rsidRPr="005A1F59">
      <w:rPr>
        <w:noProof/>
      </w:rPr>
      <w:t>2.2.5  Radiological characteristics of the final landform</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3239DC" w:rsidRDefault="00B36F09" w:rsidP="005A1F59">
    <w:pPr>
      <w:pStyle w:val="Header"/>
      <w:jc w:val="right"/>
      <w:rPr>
        <w:rFonts w:ascii="Arial" w:hAnsi="Arial"/>
        <w:sz w:val="16"/>
      </w:rPr>
    </w:pPr>
    <w:r w:rsidRPr="003239DC">
      <w:rPr>
        <w:rFonts w:ascii="Arial" w:hAnsi="Arial"/>
        <w:sz w:val="16"/>
      </w:rPr>
      <w:t xml:space="preserve">Pre-mining radiological conditions at Ranger mine (A </w:t>
    </w:r>
    <w:proofErr w:type="spellStart"/>
    <w:r w:rsidRPr="003239DC">
      <w:rPr>
        <w:rFonts w:ascii="Arial" w:hAnsi="Arial"/>
        <w:sz w:val="16"/>
      </w:rPr>
      <w:t>Bollhöfer</w:t>
    </w:r>
    <w:proofErr w:type="spellEnd"/>
    <w:r w:rsidRPr="003239DC">
      <w:rPr>
        <w:rFonts w:ascii="Arial" w:hAnsi="Arial"/>
        <w:sz w:val="16"/>
      </w:rPr>
      <w:t xml:space="preserve">, A </w:t>
    </w:r>
    <w:proofErr w:type="spellStart"/>
    <w:r w:rsidRPr="003239DC">
      <w:rPr>
        <w:rFonts w:ascii="Arial" w:hAnsi="Arial"/>
        <w:sz w:val="16"/>
      </w:rPr>
      <w:t>Beraldo</w:t>
    </w:r>
    <w:proofErr w:type="spellEnd"/>
    <w:r w:rsidRPr="003239DC">
      <w:rPr>
        <w:rFonts w:ascii="Arial" w:hAnsi="Arial"/>
        <w:sz w:val="16"/>
      </w:rPr>
      <w:t xml:space="preserve">, K </w:t>
    </w:r>
    <w:proofErr w:type="spellStart"/>
    <w:r w:rsidRPr="003239DC">
      <w:rPr>
        <w:rFonts w:ascii="Arial" w:hAnsi="Arial"/>
        <w:sz w:val="16"/>
      </w:rPr>
      <w:t>Pfitzner</w:t>
    </w:r>
    <w:proofErr w:type="spellEnd"/>
    <w:r w:rsidRPr="003239DC">
      <w:rPr>
        <w:rFonts w:ascii="Arial" w:hAnsi="Arial"/>
        <w:sz w:val="16"/>
      </w:rPr>
      <w:t xml:space="preserve"> &amp; A </w:t>
    </w:r>
    <w:proofErr w:type="spellStart"/>
    <w:r w:rsidRPr="003239DC">
      <w:rPr>
        <w:rFonts w:ascii="Arial" w:hAnsi="Arial"/>
        <w:sz w:val="16"/>
      </w:rPr>
      <w:t>Esparon</w:t>
    </w:r>
    <w:proofErr w:type="spellEnd"/>
    <w:r w:rsidRPr="003239DC">
      <w:rPr>
        <w:rFonts w:ascii="Arial" w:hAnsi="Arial"/>
        <w:sz w:val="16"/>
      </w:rPr>
      <w: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3239DC" w:rsidRDefault="00B36F09" w:rsidP="00117586">
    <w:pPr>
      <w:pStyle w:val="Header"/>
      <w:jc w:val="right"/>
      <w:rPr>
        <w:rFonts w:ascii="Arial" w:hAnsi="Arial"/>
        <w:sz w:val="16"/>
      </w:rPr>
    </w:pPr>
    <w:r w:rsidRPr="003239DC">
      <w:rPr>
        <w:rFonts w:ascii="Arial" w:hAnsi="Arial"/>
        <w:sz w:val="16"/>
      </w:rPr>
      <w:t xml:space="preserve">KKN </w:t>
    </w:r>
    <w:proofErr w:type="gramStart"/>
    <w:r w:rsidRPr="003239DC">
      <w:rPr>
        <w:rFonts w:ascii="Arial" w:hAnsi="Arial"/>
        <w:sz w:val="16"/>
      </w:rPr>
      <w:t>2.2.5  Radiological</w:t>
    </w:r>
    <w:proofErr w:type="gramEnd"/>
    <w:r w:rsidRPr="003239DC">
      <w:rPr>
        <w:rFonts w:ascii="Arial" w:hAnsi="Arial"/>
        <w:sz w:val="16"/>
      </w:rPr>
      <w:t xml:space="preserve"> characteristics of the final landform</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F09" w:rsidRPr="003239DC" w:rsidRDefault="00B36F09" w:rsidP="005A1F59">
    <w:pPr>
      <w:pStyle w:val="Header"/>
      <w:jc w:val="right"/>
      <w:rPr>
        <w:rFonts w:ascii="Arial" w:hAnsi="Arial"/>
        <w:sz w:val="16"/>
      </w:rPr>
    </w:pPr>
    <w:r w:rsidRPr="003239DC">
      <w:rPr>
        <w:rFonts w:ascii="Arial" w:hAnsi="Arial"/>
        <w:sz w:val="16"/>
      </w:rPr>
      <w:t xml:space="preserve">Radon exhalation from a rehabilitated landform (A </w:t>
    </w:r>
    <w:proofErr w:type="spellStart"/>
    <w:r w:rsidRPr="003239DC">
      <w:rPr>
        <w:rFonts w:ascii="Arial" w:hAnsi="Arial"/>
        <w:sz w:val="16"/>
      </w:rPr>
      <w:t>Bollhöfer</w:t>
    </w:r>
    <w:proofErr w:type="spellEnd"/>
    <w:r w:rsidRPr="003239DC">
      <w:rPr>
        <w:rFonts w:ascii="Arial" w:hAnsi="Arial"/>
        <w:sz w:val="16"/>
      </w:rPr>
      <w:t xml:space="preserve"> &amp; J </w:t>
    </w:r>
    <w:proofErr w:type="spellStart"/>
    <w:r w:rsidRPr="003239DC">
      <w:rPr>
        <w:rFonts w:ascii="Arial" w:hAnsi="Arial"/>
        <w:sz w:val="16"/>
      </w:rPr>
      <w:t>Pfitzner</w:t>
    </w:r>
    <w:proofErr w:type="spellEnd"/>
    <w:r w:rsidRPr="003239DC">
      <w:rPr>
        <w:rFonts w:ascii="Arial" w:hAnsi="Arial"/>
        <w:sz w:val="16"/>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E3A03"/>
    <w:multiLevelType w:val="hybridMultilevel"/>
    <w:tmpl w:val="A6241B7C"/>
    <w:lvl w:ilvl="0" w:tplc="0C090001">
      <w:start w:val="1"/>
      <w:numFmt w:val="bullet"/>
      <w:lvlText w:val=""/>
      <w:lvlJc w:val="left"/>
      <w:pPr>
        <w:ind w:left="1074" w:hanging="360"/>
      </w:pPr>
      <w:rPr>
        <w:rFonts w:ascii="Symbol" w:hAnsi="Symbol" w:hint="default"/>
      </w:rPr>
    </w:lvl>
    <w:lvl w:ilvl="1" w:tplc="0C090019">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
    <w:nsid w:val="2ECE55F6"/>
    <w:multiLevelType w:val="hybridMultilevel"/>
    <w:tmpl w:val="45CCF55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4F6922A4"/>
    <w:multiLevelType w:val="hybridMultilevel"/>
    <w:tmpl w:val="523C3ADC"/>
    <w:lvl w:ilvl="0" w:tplc="3260E596">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C0D7454"/>
    <w:multiLevelType w:val="hybridMultilevel"/>
    <w:tmpl w:val="C6403498"/>
    <w:lvl w:ilvl="0" w:tplc="0C09000F">
      <w:start w:val="1"/>
      <w:numFmt w:val="decimal"/>
      <w:lvlText w:val="%1."/>
      <w:lvlJc w:val="left"/>
      <w:pPr>
        <w:tabs>
          <w:tab w:val="num" w:pos="360"/>
        </w:tabs>
        <w:ind w:left="360" w:hanging="360"/>
      </w:pPr>
      <w:rPr>
        <w:rFonts w:hint="default"/>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
    <w:nsid w:val="764B5B03"/>
    <w:multiLevelType w:val="hybridMultilevel"/>
    <w:tmpl w:val="0E564588"/>
    <w:lvl w:ilvl="0" w:tplc="3FF880CE">
      <w:start w:val="1"/>
      <w:numFmt w:val="decimal"/>
      <w:pStyle w:val="numberlist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3"/>
  </w:num>
  <w:num w:numId="3">
    <w:abstractNumId w:val="4"/>
  </w:num>
  <w:num w:numId="4">
    <w:abstractNumId w:val="6"/>
  </w:num>
  <w:num w:numId="5">
    <w:abstractNumId w:val="5"/>
  </w:num>
  <w:num w:numId="6">
    <w:abstractNumId w:val="1"/>
  </w:num>
  <w:num w:numId="7">
    <w:abstractNumId w:val="2"/>
  </w:num>
  <w:num w:numId="8">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8"/>
  <w:printFractionalCharacterWidth/>
  <w:hideSpellingErrors/>
  <w:hideGrammaticalErrors/>
  <w:proofState w:spelling="clean" w:grammar="clean"/>
  <w:stylePaneFormatFilter w:val="3F01"/>
  <w:defaultTabStop w:val="357"/>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rsids>
    <w:rsidRoot w:val="00184D90"/>
    <w:rsid w:val="00000C98"/>
    <w:rsid w:val="00006C0E"/>
    <w:rsid w:val="0001589D"/>
    <w:rsid w:val="00017B14"/>
    <w:rsid w:val="00017DB7"/>
    <w:rsid w:val="0002272C"/>
    <w:rsid w:val="0003782C"/>
    <w:rsid w:val="00050B13"/>
    <w:rsid w:val="0005479D"/>
    <w:rsid w:val="000669BE"/>
    <w:rsid w:val="00066C4E"/>
    <w:rsid w:val="000713C6"/>
    <w:rsid w:val="00075939"/>
    <w:rsid w:val="000845D9"/>
    <w:rsid w:val="00087931"/>
    <w:rsid w:val="00097528"/>
    <w:rsid w:val="000A2B5B"/>
    <w:rsid w:val="000B2922"/>
    <w:rsid w:val="000B29C9"/>
    <w:rsid w:val="000B2D97"/>
    <w:rsid w:val="000B2EEC"/>
    <w:rsid w:val="000B3732"/>
    <w:rsid w:val="000B545B"/>
    <w:rsid w:val="000B7847"/>
    <w:rsid w:val="000C092F"/>
    <w:rsid w:val="000C0E75"/>
    <w:rsid w:val="000C571C"/>
    <w:rsid w:val="000C6829"/>
    <w:rsid w:val="000D11B6"/>
    <w:rsid w:val="000E50A5"/>
    <w:rsid w:val="000E58C4"/>
    <w:rsid w:val="000E65F5"/>
    <w:rsid w:val="000E76C9"/>
    <w:rsid w:val="000E7C07"/>
    <w:rsid w:val="000F0830"/>
    <w:rsid w:val="000F5233"/>
    <w:rsid w:val="00110195"/>
    <w:rsid w:val="00111997"/>
    <w:rsid w:val="0011217A"/>
    <w:rsid w:val="00113765"/>
    <w:rsid w:val="0011436C"/>
    <w:rsid w:val="001214C4"/>
    <w:rsid w:val="00123CF8"/>
    <w:rsid w:val="00125327"/>
    <w:rsid w:val="00125F0A"/>
    <w:rsid w:val="0012678B"/>
    <w:rsid w:val="001269FC"/>
    <w:rsid w:val="001270F4"/>
    <w:rsid w:val="00134186"/>
    <w:rsid w:val="00134695"/>
    <w:rsid w:val="00134D9F"/>
    <w:rsid w:val="00142D27"/>
    <w:rsid w:val="00145731"/>
    <w:rsid w:val="00154A5E"/>
    <w:rsid w:val="001601EF"/>
    <w:rsid w:val="00163EEA"/>
    <w:rsid w:val="001656AC"/>
    <w:rsid w:val="0016597F"/>
    <w:rsid w:val="00176891"/>
    <w:rsid w:val="00180D27"/>
    <w:rsid w:val="00184D90"/>
    <w:rsid w:val="0019142D"/>
    <w:rsid w:val="001A4E41"/>
    <w:rsid w:val="001A7136"/>
    <w:rsid w:val="001B053F"/>
    <w:rsid w:val="001B09BD"/>
    <w:rsid w:val="001B1A95"/>
    <w:rsid w:val="001B78A2"/>
    <w:rsid w:val="001B7E04"/>
    <w:rsid w:val="001C0E26"/>
    <w:rsid w:val="001C1173"/>
    <w:rsid w:val="001C2362"/>
    <w:rsid w:val="001C3301"/>
    <w:rsid w:val="001C3A3E"/>
    <w:rsid w:val="001C4EE1"/>
    <w:rsid w:val="001C6950"/>
    <w:rsid w:val="001D61DA"/>
    <w:rsid w:val="001E2550"/>
    <w:rsid w:val="001E300A"/>
    <w:rsid w:val="001E357E"/>
    <w:rsid w:val="001E6A03"/>
    <w:rsid w:val="001F4AA1"/>
    <w:rsid w:val="00211FB4"/>
    <w:rsid w:val="00213B63"/>
    <w:rsid w:val="00213B6C"/>
    <w:rsid w:val="00214161"/>
    <w:rsid w:val="002142E4"/>
    <w:rsid w:val="002156A7"/>
    <w:rsid w:val="00215B62"/>
    <w:rsid w:val="00221233"/>
    <w:rsid w:val="00222BE9"/>
    <w:rsid w:val="00223FBD"/>
    <w:rsid w:val="002245D8"/>
    <w:rsid w:val="00226125"/>
    <w:rsid w:val="00226DCA"/>
    <w:rsid w:val="00226F5A"/>
    <w:rsid w:val="00231192"/>
    <w:rsid w:val="002326AF"/>
    <w:rsid w:val="00233DF2"/>
    <w:rsid w:val="00235C96"/>
    <w:rsid w:val="00235E84"/>
    <w:rsid w:val="00235F26"/>
    <w:rsid w:val="00235F94"/>
    <w:rsid w:val="00243311"/>
    <w:rsid w:val="002448D0"/>
    <w:rsid w:val="00245C83"/>
    <w:rsid w:val="0025118E"/>
    <w:rsid w:val="00277807"/>
    <w:rsid w:val="00280BAB"/>
    <w:rsid w:val="002B4431"/>
    <w:rsid w:val="002B44AF"/>
    <w:rsid w:val="002B4C07"/>
    <w:rsid w:val="002C106A"/>
    <w:rsid w:val="002C380E"/>
    <w:rsid w:val="002D23B7"/>
    <w:rsid w:val="002D35E4"/>
    <w:rsid w:val="002D447D"/>
    <w:rsid w:val="002E2F0F"/>
    <w:rsid w:val="002E3D13"/>
    <w:rsid w:val="002E5826"/>
    <w:rsid w:val="002F0BA5"/>
    <w:rsid w:val="002F707B"/>
    <w:rsid w:val="003100CE"/>
    <w:rsid w:val="00311B98"/>
    <w:rsid w:val="00313409"/>
    <w:rsid w:val="00315F5E"/>
    <w:rsid w:val="0031698F"/>
    <w:rsid w:val="00317937"/>
    <w:rsid w:val="00317AF0"/>
    <w:rsid w:val="00320C74"/>
    <w:rsid w:val="0032274C"/>
    <w:rsid w:val="00322964"/>
    <w:rsid w:val="003239DC"/>
    <w:rsid w:val="00325CC8"/>
    <w:rsid w:val="003263BE"/>
    <w:rsid w:val="00327272"/>
    <w:rsid w:val="00327BBC"/>
    <w:rsid w:val="0033105C"/>
    <w:rsid w:val="00331506"/>
    <w:rsid w:val="0034332C"/>
    <w:rsid w:val="003448B8"/>
    <w:rsid w:val="00346BE6"/>
    <w:rsid w:val="00347201"/>
    <w:rsid w:val="00355414"/>
    <w:rsid w:val="00356AF1"/>
    <w:rsid w:val="003667F8"/>
    <w:rsid w:val="00370817"/>
    <w:rsid w:val="00371A8C"/>
    <w:rsid w:val="00376E45"/>
    <w:rsid w:val="0037727B"/>
    <w:rsid w:val="00384BD8"/>
    <w:rsid w:val="00386168"/>
    <w:rsid w:val="00386C78"/>
    <w:rsid w:val="00394A27"/>
    <w:rsid w:val="00396106"/>
    <w:rsid w:val="003A067F"/>
    <w:rsid w:val="003A0DD0"/>
    <w:rsid w:val="003A26E8"/>
    <w:rsid w:val="003A2704"/>
    <w:rsid w:val="003B1789"/>
    <w:rsid w:val="003B299C"/>
    <w:rsid w:val="003B3460"/>
    <w:rsid w:val="003C76D0"/>
    <w:rsid w:val="003D1712"/>
    <w:rsid w:val="003D55F8"/>
    <w:rsid w:val="003D7C88"/>
    <w:rsid w:val="003D7C8C"/>
    <w:rsid w:val="003E08F8"/>
    <w:rsid w:val="003E4BFC"/>
    <w:rsid w:val="003E54C7"/>
    <w:rsid w:val="003E64BA"/>
    <w:rsid w:val="003F13C7"/>
    <w:rsid w:val="003F3829"/>
    <w:rsid w:val="00400D67"/>
    <w:rsid w:val="00404DF1"/>
    <w:rsid w:val="00406518"/>
    <w:rsid w:val="004117E8"/>
    <w:rsid w:val="00413BFC"/>
    <w:rsid w:val="00414B20"/>
    <w:rsid w:val="004207B3"/>
    <w:rsid w:val="00425A27"/>
    <w:rsid w:val="00430666"/>
    <w:rsid w:val="00445C20"/>
    <w:rsid w:val="004479D5"/>
    <w:rsid w:val="00451B07"/>
    <w:rsid w:val="00454032"/>
    <w:rsid w:val="00457754"/>
    <w:rsid w:val="0046129E"/>
    <w:rsid w:val="00463B64"/>
    <w:rsid w:val="00465089"/>
    <w:rsid w:val="004657FE"/>
    <w:rsid w:val="004756D5"/>
    <w:rsid w:val="004761F4"/>
    <w:rsid w:val="004767AE"/>
    <w:rsid w:val="00480BD5"/>
    <w:rsid w:val="00482DE9"/>
    <w:rsid w:val="0048329E"/>
    <w:rsid w:val="004866CD"/>
    <w:rsid w:val="00486FC5"/>
    <w:rsid w:val="00492C28"/>
    <w:rsid w:val="00494101"/>
    <w:rsid w:val="0049749E"/>
    <w:rsid w:val="004A4033"/>
    <w:rsid w:val="004A579F"/>
    <w:rsid w:val="004B2F3D"/>
    <w:rsid w:val="004B401B"/>
    <w:rsid w:val="004C68AF"/>
    <w:rsid w:val="004D15CD"/>
    <w:rsid w:val="004E1F27"/>
    <w:rsid w:val="004E4021"/>
    <w:rsid w:val="004F1DEB"/>
    <w:rsid w:val="004F327F"/>
    <w:rsid w:val="004F6802"/>
    <w:rsid w:val="004F6F50"/>
    <w:rsid w:val="0050266D"/>
    <w:rsid w:val="005068E7"/>
    <w:rsid w:val="00510078"/>
    <w:rsid w:val="00510AB6"/>
    <w:rsid w:val="0051503C"/>
    <w:rsid w:val="00516F7C"/>
    <w:rsid w:val="005227D4"/>
    <w:rsid w:val="00525BE1"/>
    <w:rsid w:val="005303CA"/>
    <w:rsid w:val="00530AA8"/>
    <w:rsid w:val="005315FA"/>
    <w:rsid w:val="005321FE"/>
    <w:rsid w:val="00533656"/>
    <w:rsid w:val="00536229"/>
    <w:rsid w:val="005439C2"/>
    <w:rsid w:val="00544239"/>
    <w:rsid w:val="00544A97"/>
    <w:rsid w:val="005479DC"/>
    <w:rsid w:val="00551213"/>
    <w:rsid w:val="00557A7B"/>
    <w:rsid w:val="00561274"/>
    <w:rsid w:val="0056309D"/>
    <w:rsid w:val="005662DE"/>
    <w:rsid w:val="00571270"/>
    <w:rsid w:val="005806E9"/>
    <w:rsid w:val="00581172"/>
    <w:rsid w:val="00586E16"/>
    <w:rsid w:val="00591815"/>
    <w:rsid w:val="00595FA4"/>
    <w:rsid w:val="005A4C7F"/>
    <w:rsid w:val="005A5C40"/>
    <w:rsid w:val="005B1EF0"/>
    <w:rsid w:val="005B4285"/>
    <w:rsid w:val="005B5ACB"/>
    <w:rsid w:val="005B68C8"/>
    <w:rsid w:val="005C7833"/>
    <w:rsid w:val="005C7EE2"/>
    <w:rsid w:val="005D1AC4"/>
    <w:rsid w:val="005D407F"/>
    <w:rsid w:val="005D52DC"/>
    <w:rsid w:val="005D60E2"/>
    <w:rsid w:val="005E354E"/>
    <w:rsid w:val="005E3E46"/>
    <w:rsid w:val="005E4AFB"/>
    <w:rsid w:val="005E68DA"/>
    <w:rsid w:val="005F327D"/>
    <w:rsid w:val="005F4A4B"/>
    <w:rsid w:val="005F65E6"/>
    <w:rsid w:val="00601C9B"/>
    <w:rsid w:val="00606BEC"/>
    <w:rsid w:val="0061240B"/>
    <w:rsid w:val="00614B21"/>
    <w:rsid w:val="0061709F"/>
    <w:rsid w:val="00624D46"/>
    <w:rsid w:val="0062759B"/>
    <w:rsid w:val="00630609"/>
    <w:rsid w:val="00635B10"/>
    <w:rsid w:val="00642034"/>
    <w:rsid w:val="00642D5F"/>
    <w:rsid w:val="00644AD8"/>
    <w:rsid w:val="006542DC"/>
    <w:rsid w:val="00654608"/>
    <w:rsid w:val="006553B6"/>
    <w:rsid w:val="0065608E"/>
    <w:rsid w:val="00656167"/>
    <w:rsid w:val="00666DB4"/>
    <w:rsid w:val="00667337"/>
    <w:rsid w:val="00672CB5"/>
    <w:rsid w:val="00674D13"/>
    <w:rsid w:val="0067603A"/>
    <w:rsid w:val="00676BD7"/>
    <w:rsid w:val="0067722C"/>
    <w:rsid w:val="00677BB2"/>
    <w:rsid w:val="00677DF6"/>
    <w:rsid w:val="00680F91"/>
    <w:rsid w:val="00691D8E"/>
    <w:rsid w:val="00691E0C"/>
    <w:rsid w:val="00693703"/>
    <w:rsid w:val="006969EF"/>
    <w:rsid w:val="006977F4"/>
    <w:rsid w:val="006A040F"/>
    <w:rsid w:val="006A21A8"/>
    <w:rsid w:val="006A29AE"/>
    <w:rsid w:val="006A2F31"/>
    <w:rsid w:val="006B44D2"/>
    <w:rsid w:val="006B4740"/>
    <w:rsid w:val="006C16BC"/>
    <w:rsid w:val="006C2ABD"/>
    <w:rsid w:val="006C3035"/>
    <w:rsid w:val="006C3ADE"/>
    <w:rsid w:val="006D14C8"/>
    <w:rsid w:val="006E54AF"/>
    <w:rsid w:val="006F3939"/>
    <w:rsid w:val="006F3C87"/>
    <w:rsid w:val="006F4A8E"/>
    <w:rsid w:val="006F526A"/>
    <w:rsid w:val="00701036"/>
    <w:rsid w:val="00701E39"/>
    <w:rsid w:val="00704EA0"/>
    <w:rsid w:val="00705831"/>
    <w:rsid w:val="007135BC"/>
    <w:rsid w:val="00715816"/>
    <w:rsid w:val="0073509E"/>
    <w:rsid w:val="00735FE2"/>
    <w:rsid w:val="00743C22"/>
    <w:rsid w:val="00745AA8"/>
    <w:rsid w:val="00745D45"/>
    <w:rsid w:val="00747309"/>
    <w:rsid w:val="00751503"/>
    <w:rsid w:val="00764540"/>
    <w:rsid w:val="00764710"/>
    <w:rsid w:val="00767F4F"/>
    <w:rsid w:val="00772DBE"/>
    <w:rsid w:val="007773C1"/>
    <w:rsid w:val="00781BA0"/>
    <w:rsid w:val="007934E3"/>
    <w:rsid w:val="007936D6"/>
    <w:rsid w:val="00794C12"/>
    <w:rsid w:val="007A0813"/>
    <w:rsid w:val="007A615F"/>
    <w:rsid w:val="007B27C6"/>
    <w:rsid w:val="007B34B6"/>
    <w:rsid w:val="007B3880"/>
    <w:rsid w:val="007B4340"/>
    <w:rsid w:val="007B6D4E"/>
    <w:rsid w:val="007C1242"/>
    <w:rsid w:val="007C2263"/>
    <w:rsid w:val="007C5B39"/>
    <w:rsid w:val="007C5EC6"/>
    <w:rsid w:val="007D07BC"/>
    <w:rsid w:val="007D3A08"/>
    <w:rsid w:val="007D68EC"/>
    <w:rsid w:val="007E0142"/>
    <w:rsid w:val="007E65D9"/>
    <w:rsid w:val="007E6805"/>
    <w:rsid w:val="007F5ED7"/>
    <w:rsid w:val="007F6CE3"/>
    <w:rsid w:val="008071A0"/>
    <w:rsid w:val="00815A1F"/>
    <w:rsid w:val="00817522"/>
    <w:rsid w:val="00817627"/>
    <w:rsid w:val="00821E45"/>
    <w:rsid w:val="00826BDB"/>
    <w:rsid w:val="00831F5A"/>
    <w:rsid w:val="00835364"/>
    <w:rsid w:val="008428E5"/>
    <w:rsid w:val="0084399C"/>
    <w:rsid w:val="008513CD"/>
    <w:rsid w:val="00852E02"/>
    <w:rsid w:val="00852E88"/>
    <w:rsid w:val="00855E93"/>
    <w:rsid w:val="00857F28"/>
    <w:rsid w:val="00862649"/>
    <w:rsid w:val="008641E7"/>
    <w:rsid w:val="00870CCB"/>
    <w:rsid w:val="008712D9"/>
    <w:rsid w:val="00874E67"/>
    <w:rsid w:val="00880D91"/>
    <w:rsid w:val="00886AA4"/>
    <w:rsid w:val="008912CB"/>
    <w:rsid w:val="00895B4F"/>
    <w:rsid w:val="00896920"/>
    <w:rsid w:val="008976E1"/>
    <w:rsid w:val="008A34C9"/>
    <w:rsid w:val="008A3864"/>
    <w:rsid w:val="008A69D5"/>
    <w:rsid w:val="008A7B98"/>
    <w:rsid w:val="008B21CC"/>
    <w:rsid w:val="008C1A00"/>
    <w:rsid w:val="008C2A7C"/>
    <w:rsid w:val="008C3B77"/>
    <w:rsid w:val="008C598B"/>
    <w:rsid w:val="008E24CB"/>
    <w:rsid w:val="008E3DBA"/>
    <w:rsid w:val="008E4325"/>
    <w:rsid w:val="008E67E0"/>
    <w:rsid w:val="008F44E5"/>
    <w:rsid w:val="008F57ED"/>
    <w:rsid w:val="009005D0"/>
    <w:rsid w:val="00911EB6"/>
    <w:rsid w:val="00914032"/>
    <w:rsid w:val="009142FA"/>
    <w:rsid w:val="009178D9"/>
    <w:rsid w:val="009212C2"/>
    <w:rsid w:val="00922F9B"/>
    <w:rsid w:val="00925EDE"/>
    <w:rsid w:val="00930FF3"/>
    <w:rsid w:val="009318CE"/>
    <w:rsid w:val="00941A63"/>
    <w:rsid w:val="009429EF"/>
    <w:rsid w:val="00944246"/>
    <w:rsid w:val="00945766"/>
    <w:rsid w:val="009459C1"/>
    <w:rsid w:val="0094612A"/>
    <w:rsid w:val="00946376"/>
    <w:rsid w:val="00946AA7"/>
    <w:rsid w:val="00953F0C"/>
    <w:rsid w:val="00954AD2"/>
    <w:rsid w:val="00963094"/>
    <w:rsid w:val="009676DA"/>
    <w:rsid w:val="00967F02"/>
    <w:rsid w:val="00976D42"/>
    <w:rsid w:val="00977BB0"/>
    <w:rsid w:val="00984157"/>
    <w:rsid w:val="00984795"/>
    <w:rsid w:val="00986822"/>
    <w:rsid w:val="009876A4"/>
    <w:rsid w:val="009909E5"/>
    <w:rsid w:val="00992DA0"/>
    <w:rsid w:val="00993F53"/>
    <w:rsid w:val="009957C5"/>
    <w:rsid w:val="009A2583"/>
    <w:rsid w:val="009A5FB0"/>
    <w:rsid w:val="009C1AF7"/>
    <w:rsid w:val="009C4161"/>
    <w:rsid w:val="009D6920"/>
    <w:rsid w:val="009E0EA3"/>
    <w:rsid w:val="009E397B"/>
    <w:rsid w:val="009E7101"/>
    <w:rsid w:val="009F0803"/>
    <w:rsid w:val="009F15D6"/>
    <w:rsid w:val="009F6522"/>
    <w:rsid w:val="00A03FA2"/>
    <w:rsid w:val="00A050B9"/>
    <w:rsid w:val="00A15AE6"/>
    <w:rsid w:val="00A22B7A"/>
    <w:rsid w:val="00A25498"/>
    <w:rsid w:val="00A25708"/>
    <w:rsid w:val="00A27F8A"/>
    <w:rsid w:val="00A321D9"/>
    <w:rsid w:val="00A32CB9"/>
    <w:rsid w:val="00A346F7"/>
    <w:rsid w:val="00A34C1B"/>
    <w:rsid w:val="00A3527B"/>
    <w:rsid w:val="00A464D5"/>
    <w:rsid w:val="00A512F1"/>
    <w:rsid w:val="00A52D6E"/>
    <w:rsid w:val="00A57542"/>
    <w:rsid w:val="00A61748"/>
    <w:rsid w:val="00A62268"/>
    <w:rsid w:val="00A62C27"/>
    <w:rsid w:val="00A63FD5"/>
    <w:rsid w:val="00A657FD"/>
    <w:rsid w:val="00A74A35"/>
    <w:rsid w:val="00A85E4F"/>
    <w:rsid w:val="00A861E2"/>
    <w:rsid w:val="00A918BB"/>
    <w:rsid w:val="00A94040"/>
    <w:rsid w:val="00A96176"/>
    <w:rsid w:val="00AA34DA"/>
    <w:rsid w:val="00AA3BDE"/>
    <w:rsid w:val="00AA3D6F"/>
    <w:rsid w:val="00AA4F45"/>
    <w:rsid w:val="00AA763E"/>
    <w:rsid w:val="00AA7A0E"/>
    <w:rsid w:val="00AA7DB0"/>
    <w:rsid w:val="00AB3335"/>
    <w:rsid w:val="00AB3EB9"/>
    <w:rsid w:val="00AC1960"/>
    <w:rsid w:val="00AC76DB"/>
    <w:rsid w:val="00AD0B6C"/>
    <w:rsid w:val="00AD0E22"/>
    <w:rsid w:val="00AE00CF"/>
    <w:rsid w:val="00AF0824"/>
    <w:rsid w:val="00AF2ABA"/>
    <w:rsid w:val="00B0177E"/>
    <w:rsid w:val="00B01AF0"/>
    <w:rsid w:val="00B1003A"/>
    <w:rsid w:val="00B14C89"/>
    <w:rsid w:val="00B208E1"/>
    <w:rsid w:val="00B23F79"/>
    <w:rsid w:val="00B24861"/>
    <w:rsid w:val="00B310C0"/>
    <w:rsid w:val="00B36F09"/>
    <w:rsid w:val="00B515EF"/>
    <w:rsid w:val="00B527A4"/>
    <w:rsid w:val="00B55093"/>
    <w:rsid w:val="00B57DBA"/>
    <w:rsid w:val="00B6029B"/>
    <w:rsid w:val="00B6095B"/>
    <w:rsid w:val="00B62C88"/>
    <w:rsid w:val="00B63343"/>
    <w:rsid w:val="00B64E71"/>
    <w:rsid w:val="00B66F58"/>
    <w:rsid w:val="00B76697"/>
    <w:rsid w:val="00B83178"/>
    <w:rsid w:val="00B85A5C"/>
    <w:rsid w:val="00B8630E"/>
    <w:rsid w:val="00B86674"/>
    <w:rsid w:val="00B90AB1"/>
    <w:rsid w:val="00B924A2"/>
    <w:rsid w:val="00B92DD7"/>
    <w:rsid w:val="00B97C80"/>
    <w:rsid w:val="00BA7217"/>
    <w:rsid w:val="00BA7FF7"/>
    <w:rsid w:val="00BB32F7"/>
    <w:rsid w:val="00BB7038"/>
    <w:rsid w:val="00BB7F0E"/>
    <w:rsid w:val="00BC0B47"/>
    <w:rsid w:val="00BC0C5D"/>
    <w:rsid w:val="00BC2592"/>
    <w:rsid w:val="00BC364D"/>
    <w:rsid w:val="00BC5B18"/>
    <w:rsid w:val="00BD074F"/>
    <w:rsid w:val="00BD42D1"/>
    <w:rsid w:val="00BE0AEE"/>
    <w:rsid w:val="00BE2324"/>
    <w:rsid w:val="00BE28B0"/>
    <w:rsid w:val="00BE6172"/>
    <w:rsid w:val="00BF3A98"/>
    <w:rsid w:val="00C0482E"/>
    <w:rsid w:val="00C104ED"/>
    <w:rsid w:val="00C120F3"/>
    <w:rsid w:val="00C132A2"/>
    <w:rsid w:val="00C1445E"/>
    <w:rsid w:val="00C1660F"/>
    <w:rsid w:val="00C16FB6"/>
    <w:rsid w:val="00C2224D"/>
    <w:rsid w:val="00C3004F"/>
    <w:rsid w:val="00C308F0"/>
    <w:rsid w:val="00C31720"/>
    <w:rsid w:val="00C34B03"/>
    <w:rsid w:val="00C3775D"/>
    <w:rsid w:val="00C37DF0"/>
    <w:rsid w:val="00C46D53"/>
    <w:rsid w:val="00C55B73"/>
    <w:rsid w:val="00C61C5E"/>
    <w:rsid w:val="00C620C4"/>
    <w:rsid w:val="00C637AC"/>
    <w:rsid w:val="00C646F8"/>
    <w:rsid w:val="00C649FC"/>
    <w:rsid w:val="00C6779C"/>
    <w:rsid w:val="00C7221B"/>
    <w:rsid w:val="00C84273"/>
    <w:rsid w:val="00C84B98"/>
    <w:rsid w:val="00C94FB9"/>
    <w:rsid w:val="00C95117"/>
    <w:rsid w:val="00C96358"/>
    <w:rsid w:val="00C978A4"/>
    <w:rsid w:val="00CA0335"/>
    <w:rsid w:val="00CA2C35"/>
    <w:rsid w:val="00CA6136"/>
    <w:rsid w:val="00CA6FAA"/>
    <w:rsid w:val="00CB17F9"/>
    <w:rsid w:val="00CB3C73"/>
    <w:rsid w:val="00CC06F9"/>
    <w:rsid w:val="00CD35DC"/>
    <w:rsid w:val="00CD3A88"/>
    <w:rsid w:val="00CD6922"/>
    <w:rsid w:val="00CE200E"/>
    <w:rsid w:val="00CE5DC5"/>
    <w:rsid w:val="00CE7036"/>
    <w:rsid w:val="00CF3120"/>
    <w:rsid w:val="00CF4C4E"/>
    <w:rsid w:val="00D01FDF"/>
    <w:rsid w:val="00D3065D"/>
    <w:rsid w:val="00D41D04"/>
    <w:rsid w:val="00D42073"/>
    <w:rsid w:val="00D4231A"/>
    <w:rsid w:val="00D44129"/>
    <w:rsid w:val="00D444BD"/>
    <w:rsid w:val="00D44924"/>
    <w:rsid w:val="00D46CBF"/>
    <w:rsid w:val="00D55CEB"/>
    <w:rsid w:val="00D56FD0"/>
    <w:rsid w:val="00D5773F"/>
    <w:rsid w:val="00D60ED8"/>
    <w:rsid w:val="00D61DB6"/>
    <w:rsid w:val="00D63FD9"/>
    <w:rsid w:val="00D716AC"/>
    <w:rsid w:val="00D77C3E"/>
    <w:rsid w:val="00DA0BA8"/>
    <w:rsid w:val="00DA1E1D"/>
    <w:rsid w:val="00DA240F"/>
    <w:rsid w:val="00DA5E0F"/>
    <w:rsid w:val="00DA7E32"/>
    <w:rsid w:val="00DB41D8"/>
    <w:rsid w:val="00DC4DA7"/>
    <w:rsid w:val="00DD0076"/>
    <w:rsid w:val="00DD0D7B"/>
    <w:rsid w:val="00DD4F41"/>
    <w:rsid w:val="00DD66B9"/>
    <w:rsid w:val="00DE4192"/>
    <w:rsid w:val="00DE60B1"/>
    <w:rsid w:val="00DE6BCF"/>
    <w:rsid w:val="00DF1F6B"/>
    <w:rsid w:val="00DF3E74"/>
    <w:rsid w:val="00E01296"/>
    <w:rsid w:val="00E11374"/>
    <w:rsid w:val="00E122A4"/>
    <w:rsid w:val="00E1324A"/>
    <w:rsid w:val="00E1621C"/>
    <w:rsid w:val="00E16763"/>
    <w:rsid w:val="00E2354F"/>
    <w:rsid w:val="00E24065"/>
    <w:rsid w:val="00E30C70"/>
    <w:rsid w:val="00E32EB8"/>
    <w:rsid w:val="00E36CA9"/>
    <w:rsid w:val="00E36FAF"/>
    <w:rsid w:val="00E408D3"/>
    <w:rsid w:val="00E43C18"/>
    <w:rsid w:val="00E513FB"/>
    <w:rsid w:val="00E534CC"/>
    <w:rsid w:val="00E53C0F"/>
    <w:rsid w:val="00E56C72"/>
    <w:rsid w:val="00E57C7E"/>
    <w:rsid w:val="00E60560"/>
    <w:rsid w:val="00E61FFD"/>
    <w:rsid w:val="00E63E7C"/>
    <w:rsid w:val="00E7741E"/>
    <w:rsid w:val="00E858BF"/>
    <w:rsid w:val="00E86865"/>
    <w:rsid w:val="00E873EC"/>
    <w:rsid w:val="00E90067"/>
    <w:rsid w:val="00E93AB9"/>
    <w:rsid w:val="00EA142C"/>
    <w:rsid w:val="00EA37E8"/>
    <w:rsid w:val="00EA400E"/>
    <w:rsid w:val="00EA43B5"/>
    <w:rsid w:val="00EA4F58"/>
    <w:rsid w:val="00EA54C5"/>
    <w:rsid w:val="00EA6A34"/>
    <w:rsid w:val="00EB4E2E"/>
    <w:rsid w:val="00EB4F5C"/>
    <w:rsid w:val="00EC033C"/>
    <w:rsid w:val="00EC0787"/>
    <w:rsid w:val="00EC3042"/>
    <w:rsid w:val="00EC7E08"/>
    <w:rsid w:val="00ED1053"/>
    <w:rsid w:val="00EE2797"/>
    <w:rsid w:val="00EE319D"/>
    <w:rsid w:val="00EE70A1"/>
    <w:rsid w:val="00EF0C63"/>
    <w:rsid w:val="00EF69FF"/>
    <w:rsid w:val="00F028C0"/>
    <w:rsid w:val="00F0423E"/>
    <w:rsid w:val="00F15B3B"/>
    <w:rsid w:val="00F15F53"/>
    <w:rsid w:val="00F167CB"/>
    <w:rsid w:val="00F23506"/>
    <w:rsid w:val="00F25869"/>
    <w:rsid w:val="00F274D2"/>
    <w:rsid w:val="00F342EE"/>
    <w:rsid w:val="00F344E8"/>
    <w:rsid w:val="00F4009A"/>
    <w:rsid w:val="00F41E45"/>
    <w:rsid w:val="00F478B6"/>
    <w:rsid w:val="00F504B4"/>
    <w:rsid w:val="00F523CA"/>
    <w:rsid w:val="00F54767"/>
    <w:rsid w:val="00F57D8F"/>
    <w:rsid w:val="00F6647C"/>
    <w:rsid w:val="00F71F1C"/>
    <w:rsid w:val="00F76205"/>
    <w:rsid w:val="00F92BC1"/>
    <w:rsid w:val="00F935E5"/>
    <w:rsid w:val="00FA1789"/>
    <w:rsid w:val="00FA18C0"/>
    <w:rsid w:val="00FA29AC"/>
    <w:rsid w:val="00FB63F8"/>
    <w:rsid w:val="00FB782D"/>
    <w:rsid w:val="00FC0B7C"/>
    <w:rsid w:val="00FC229A"/>
    <w:rsid w:val="00FC4C3D"/>
    <w:rsid w:val="00FD3FBB"/>
    <w:rsid w:val="00FE1E4F"/>
    <w:rsid w:val="00FF1A8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48"/>
    <o:shapelayout v:ext="edit">
      <o:idmap v:ext="edit" data="1"/>
      <o:rules v:ext="edit">
        <o:r id="V:Rule10" type="connector" idref="#_x0000_s1028"/>
        <o:r id="V:Rule11" type="connector" idref="#_x0000_s1039"/>
        <o:r id="V:Rule12" type="connector" idref="#_x0000_s1043"/>
        <o:r id="V:Rule13" type="connector" idref="#_x0000_s1030"/>
        <o:r id="V:Rule14" type="connector" idref="#_x0000_s1031"/>
        <o:r id="V:Rule15" type="connector" idref="#_x0000_s1041"/>
        <o:r id="V:Rule16" type="connector" idref="#_x0000_s1035"/>
        <o:r id="V:Rule17" type="connector" idref="#_x0000_s1033"/>
        <o:r id="V:Rule1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lsdException w:name="caption" w:semiHidden="1" w:unhideWhenUsed="1" w:qFormat="1"/>
    <w:lsdException w:name="line number" w:uiPriority="2"/>
    <w:lsdException w:name="endnote reference" w:uiPriority="2"/>
    <w:lsdException w:name="Title" w:qFormat="1"/>
    <w:lsdException w:name="Default Paragraph Font" w:uiPriority="2"/>
    <w:lsdException w:name="Subtitle" w:qFormat="1"/>
    <w:lsdException w:name="Hyperlink" w:uiPriority="99"/>
    <w:lsdException w:name="Strong" w:uiPriority="2" w:qFormat="1"/>
    <w:lsdException w:name="Emphasis" w:uiPriority="20" w:qFormat="1"/>
    <w:lsdException w:name="Plain Text" w:uiPriority="99"/>
    <w:lsdException w:name="HTML Cite" w:uiPriority="2"/>
    <w:lsdException w:name="HTML Code" w:uiPriority="2"/>
    <w:lsdException w:name="HTML Definition" w:uiPriority="2"/>
    <w:lsdException w:name="HTML Keyboard" w:uiPriority="2"/>
    <w:lsdException w:name="HTML Sample" w:uiPriority="2"/>
    <w:lsdException w:name="HTML Typewriter" w:uiPriority="2"/>
    <w:lsdException w:name="HTML Variable" w:uiPriority="2"/>
    <w:lsdException w:name="No List" w:uiPriority="99"/>
    <w:lsdException w:name="Placeholder Text" w:semiHidden="1" w:uiPriority="2"/>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 w:qFormat="1"/>
    <w:lsdException w:name="Subtle Reference" w:uiPriority="2" w:qFormat="1"/>
    <w:lsdException w:name="Intense Reference" w:uiPriority="2" w:qFormat="1"/>
    <w:lsdException w:name="Book Title" w:uiPriority="2" w:qFormat="1"/>
    <w:lsdException w:name="Bibliography" w:semiHidden="1" w:unhideWhenUsed="1"/>
    <w:lsdException w:name="TOC Heading" w:semiHidden="1" w:uiPriority="39" w:unhideWhenUsed="1" w:qFormat="1"/>
  </w:latentStyles>
  <w:style w:type="paragraph" w:default="1" w:styleId="Normal">
    <w:name w:val="Normal"/>
    <w:qFormat/>
    <w:rsid w:val="00B36F09"/>
    <w:pPr>
      <w:spacing w:after="120" w:line="280" w:lineRule="atLeast"/>
      <w:jc w:val="both"/>
    </w:pPr>
    <w:rPr>
      <w:sz w:val="22"/>
      <w:lang w:eastAsia="en-US"/>
    </w:rPr>
  </w:style>
  <w:style w:type="paragraph" w:styleId="Heading1">
    <w:name w:val="heading 1"/>
    <w:next w:val="Normal"/>
    <w:link w:val="Heading1Char"/>
    <w:uiPriority w:val="1"/>
    <w:qFormat/>
    <w:rsid w:val="00322964"/>
    <w:pPr>
      <w:keepNext/>
      <w:spacing w:after="240" w:line="470" w:lineRule="exact"/>
      <w:jc w:val="center"/>
      <w:outlineLvl w:val="0"/>
    </w:pPr>
    <w:rPr>
      <w:rFonts w:ascii="Arial" w:hAnsi="Arial"/>
      <w:b/>
      <w:sz w:val="36"/>
      <w:lang w:eastAsia="en-US"/>
    </w:rPr>
  </w:style>
  <w:style w:type="paragraph" w:styleId="Heading2">
    <w:name w:val="heading 2"/>
    <w:next w:val="Normal"/>
    <w:link w:val="Heading2Char"/>
    <w:qFormat/>
    <w:rsid w:val="00322964"/>
    <w:pPr>
      <w:keepNext/>
      <w:spacing w:before="240" w:after="140" w:line="350" w:lineRule="exact"/>
      <w:outlineLvl w:val="1"/>
    </w:pPr>
    <w:rPr>
      <w:rFonts w:ascii="Arial" w:hAnsi="Arial"/>
      <w:b/>
      <w:sz w:val="28"/>
      <w:lang w:eastAsia="en-US"/>
    </w:rPr>
  </w:style>
  <w:style w:type="paragraph" w:styleId="Heading3">
    <w:name w:val="heading 3"/>
    <w:next w:val="Normal"/>
    <w:link w:val="Heading3Char"/>
    <w:qFormat/>
    <w:rsid w:val="00322964"/>
    <w:pPr>
      <w:keepNext/>
      <w:spacing w:before="180" w:after="100" w:line="300" w:lineRule="exact"/>
      <w:outlineLvl w:val="2"/>
    </w:pPr>
    <w:rPr>
      <w:rFonts w:ascii="Arial" w:hAnsi="Arial"/>
      <w:b/>
      <w:sz w:val="24"/>
      <w:lang w:eastAsia="en-US"/>
    </w:rPr>
  </w:style>
  <w:style w:type="paragraph" w:styleId="Heading4">
    <w:name w:val="heading 4"/>
    <w:next w:val="Normal"/>
    <w:link w:val="Heading4Char"/>
    <w:qFormat/>
    <w:rsid w:val="00322964"/>
    <w:pPr>
      <w:keepNext/>
      <w:spacing w:before="100" w:after="20" w:line="250" w:lineRule="exact"/>
      <w:outlineLvl w:val="3"/>
    </w:pPr>
    <w:rPr>
      <w:rFonts w:ascii="Arial" w:hAnsi="Arial"/>
      <w:b/>
      <w:lang w:eastAsia="en-US"/>
    </w:rPr>
  </w:style>
  <w:style w:type="paragraph" w:styleId="Heading5">
    <w:name w:val="heading 5"/>
    <w:next w:val="Normal"/>
    <w:link w:val="Heading5Char"/>
    <w:qFormat/>
    <w:rsid w:val="00322964"/>
    <w:pPr>
      <w:keepNext/>
      <w:spacing w:before="60" w:after="20" w:line="250" w:lineRule="exact"/>
      <w:outlineLvl w:val="4"/>
    </w:pPr>
    <w:rPr>
      <w:rFonts w:ascii="Arial" w:hAnsi="Arial"/>
      <w:i/>
      <w:lang w:eastAsia="en-US"/>
    </w:rPr>
  </w:style>
  <w:style w:type="paragraph" w:styleId="Heading6">
    <w:name w:val="heading 6"/>
    <w:basedOn w:val="Normal"/>
    <w:next w:val="Normal"/>
    <w:link w:val="Heading6Char"/>
    <w:qFormat/>
    <w:rsid w:val="00322964"/>
    <w:pPr>
      <w:keepNext/>
      <w:spacing w:before="60" w:after="20" w:line="250" w:lineRule="atLeast"/>
      <w:jc w:val="left"/>
      <w:outlineLvl w:val="5"/>
    </w:pPr>
    <w:rPr>
      <w:b/>
      <w:sz w:val="20"/>
    </w:rPr>
  </w:style>
  <w:style w:type="paragraph" w:styleId="Heading7">
    <w:name w:val="heading 7"/>
    <w:basedOn w:val="Normal"/>
    <w:next w:val="Normal"/>
    <w:qFormat/>
    <w:rsid w:val="00322964"/>
    <w:pPr>
      <w:spacing w:before="60" w:after="40" w:line="240" w:lineRule="atLeast"/>
      <w:jc w:val="left"/>
      <w:outlineLvl w:val="6"/>
    </w:pPr>
    <w:rPr>
      <w:i/>
      <w:sz w:val="20"/>
    </w:rPr>
  </w:style>
  <w:style w:type="paragraph" w:styleId="Heading8">
    <w:name w:val="heading 8"/>
    <w:qFormat/>
    <w:rsid w:val="00322964"/>
    <w:pPr>
      <w:spacing w:after="240" w:line="260" w:lineRule="atLeast"/>
      <w:jc w:val="center"/>
      <w:outlineLvl w:val="7"/>
    </w:pPr>
    <w:rPr>
      <w:rFonts w:ascii="Arial" w:hAnsi="Arial"/>
      <w:lang w:eastAsia="en-US"/>
    </w:rPr>
  </w:style>
  <w:style w:type="paragraph" w:styleId="Heading9">
    <w:name w:val="heading 9"/>
    <w:qFormat/>
    <w:rsid w:val="00322964"/>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9909E5"/>
    <w:pPr>
      <w:tabs>
        <w:tab w:val="left" w:pos="357"/>
        <w:tab w:val="right" w:pos="8250"/>
      </w:tabs>
      <w:spacing w:before="240" w:after="60" w:line="300" w:lineRule="atLeast"/>
      <w:ind w:left="357" w:right="1077" w:hanging="357"/>
    </w:pPr>
    <w:rPr>
      <w:rFonts w:ascii="Arial Bold" w:hAnsi="Arial Bold"/>
      <w:b/>
      <w:bCs/>
      <w:sz w:val="24"/>
      <w:lang w:eastAsia="en-US"/>
    </w:rPr>
  </w:style>
  <w:style w:type="paragraph" w:styleId="TOC4">
    <w:name w:val="toc 4"/>
    <w:basedOn w:val="TOC1"/>
    <w:uiPriority w:val="39"/>
    <w:rsid w:val="009909E5"/>
    <w:pPr>
      <w:tabs>
        <w:tab w:val="left" w:pos="8307"/>
      </w:tabs>
      <w:spacing w:before="40" w:after="40" w:line="260" w:lineRule="atLeast"/>
      <w:ind w:left="1554" w:hanging="482"/>
    </w:pPr>
    <w:rPr>
      <w:b w:val="0"/>
      <w:i/>
      <w:sz w:val="18"/>
      <w:szCs w:val="18"/>
    </w:rPr>
  </w:style>
  <w:style w:type="paragraph" w:styleId="TOC3">
    <w:name w:val="toc 3"/>
    <w:basedOn w:val="TOC1"/>
    <w:uiPriority w:val="39"/>
    <w:rsid w:val="009909E5"/>
    <w:pPr>
      <w:tabs>
        <w:tab w:val="left" w:pos="8307"/>
      </w:tabs>
      <w:spacing w:before="60" w:line="280" w:lineRule="atLeast"/>
      <w:ind w:left="1071"/>
    </w:pPr>
    <w:rPr>
      <w:b w:val="0"/>
      <w:iCs/>
      <w:sz w:val="20"/>
    </w:rPr>
  </w:style>
  <w:style w:type="paragraph" w:styleId="TOC2">
    <w:name w:val="toc 2"/>
    <w:basedOn w:val="TOC1"/>
    <w:uiPriority w:val="39"/>
    <w:rsid w:val="009909E5"/>
    <w:pPr>
      <w:tabs>
        <w:tab w:val="left" w:pos="8307"/>
      </w:tabs>
      <w:spacing w:before="60" w:line="280" w:lineRule="atLeast"/>
      <w:ind w:left="839" w:hanging="482"/>
    </w:pPr>
    <w:rPr>
      <w:b w:val="0"/>
      <w:sz w:val="22"/>
    </w:rPr>
  </w:style>
  <w:style w:type="paragraph" w:styleId="Footer">
    <w:name w:val="footer"/>
    <w:link w:val="FooterChar"/>
    <w:uiPriority w:val="99"/>
    <w:rsid w:val="00322964"/>
    <w:pPr>
      <w:jc w:val="center"/>
    </w:pPr>
    <w:rPr>
      <w:rFonts w:ascii="Arial" w:hAnsi="Arial"/>
      <w:lang w:eastAsia="en-US"/>
    </w:rPr>
  </w:style>
  <w:style w:type="paragraph" w:styleId="Header">
    <w:name w:val="header"/>
    <w:link w:val="HeaderChar"/>
    <w:qFormat/>
    <w:rsid w:val="00322964"/>
    <w:rPr>
      <w:lang w:eastAsia="en-US"/>
    </w:rPr>
  </w:style>
  <w:style w:type="paragraph" w:styleId="NormalIndent">
    <w:name w:val="Normal Indent"/>
    <w:basedOn w:val="Normal"/>
    <w:rsid w:val="00322964"/>
    <w:pPr>
      <w:ind w:firstLine="360"/>
    </w:pPr>
  </w:style>
  <w:style w:type="paragraph" w:customStyle="1" w:styleId="Normallist1">
    <w:name w:val="Normal list 1"/>
    <w:basedOn w:val="Normal"/>
    <w:uiPriority w:val="2"/>
    <w:qFormat/>
    <w:rsid w:val="00322964"/>
    <w:pPr>
      <w:ind w:left="360" w:hanging="360"/>
    </w:pPr>
  </w:style>
  <w:style w:type="paragraph" w:customStyle="1" w:styleId="Normalno">
    <w:name w:val="Normal no #"/>
    <w:basedOn w:val="Normal"/>
    <w:rsid w:val="00322964"/>
    <w:pPr>
      <w:spacing w:after="0"/>
    </w:pPr>
  </w:style>
  <w:style w:type="paragraph" w:customStyle="1" w:styleId="byline">
    <w:name w:val="byline"/>
    <w:next w:val="Normal"/>
    <w:rsid w:val="00322964"/>
    <w:pPr>
      <w:spacing w:before="240" w:after="60"/>
    </w:pPr>
    <w:rPr>
      <w:rFonts w:ascii="Arial" w:hAnsi="Arial"/>
      <w:b/>
      <w:lang w:eastAsia="en-US"/>
    </w:rPr>
  </w:style>
  <w:style w:type="paragraph" w:customStyle="1" w:styleId="Normallist2">
    <w:name w:val="Normal list 2"/>
    <w:basedOn w:val="Normal"/>
    <w:link w:val="Normallist2Char"/>
    <w:qFormat/>
    <w:rsid w:val="00322964"/>
    <w:pPr>
      <w:ind w:left="720" w:hanging="360"/>
    </w:pPr>
  </w:style>
  <w:style w:type="paragraph" w:customStyle="1" w:styleId="subhead">
    <w:name w:val="subhead"/>
    <w:next w:val="Normal"/>
    <w:rsid w:val="00322964"/>
    <w:pPr>
      <w:spacing w:before="140" w:after="300"/>
      <w:jc w:val="center"/>
    </w:pPr>
    <w:rPr>
      <w:rFonts w:ascii="Arial" w:hAnsi="Arial"/>
      <w:sz w:val="30"/>
      <w:lang w:eastAsia="en-US"/>
    </w:rPr>
  </w:style>
  <w:style w:type="paragraph" w:customStyle="1" w:styleId="figurecaption">
    <w:name w:val="figure caption"/>
    <w:next w:val="Normal"/>
    <w:link w:val="figurecaptionChar"/>
    <w:uiPriority w:val="2"/>
    <w:qFormat/>
    <w:rsid w:val="00322964"/>
    <w:pPr>
      <w:spacing w:after="240" w:line="240" w:lineRule="atLeast"/>
      <w:jc w:val="center"/>
    </w:pPr>
    <w:rPr>
      <w:rFonts w:ascii="Arial" w:hAnsi="Arial"/>
      <w:sz w:val="18"/>
      <w:lang w:eastAsia="en-US"/>
    </w:rPr>
  </w:style>
  <w:style w:type="paragraph" w:customStyle="1" w:styleId="tablecaption">
    <w:name w:val="table caption"/>
    <w:next w:val="Normal"/>
    <w:link w:val="tablecaptionChar"/>
    <w:qFormat/>
    <w:rsid w:val="00322964"/>
    <w:pPr>
      <w:keepNext/>
      <w:spacing w:before="120" w:after="120" w:line="240" w:lineRule="atLeast"/>
    </w:pPr>
    <w:rPr>
      <w:rFonts w:ascii="Arial" w:hAnsi="Arial"/>
      <w:sz w:val="18"/>
      <w:lang w:eastAsia="en-US"/>
    </w:rPr>
  </w:style>
  <w:style w:type="paragraph" w:customStyle="1" w:styleId="table1">
    <w:name w:val="table 1"/>
    <w:link w:val="table1Char"/>
    <w:uiPriority w:val="2"/>
    <w:qFormat/>
    <w:rsid w:val="00322964"/>
    <w:pPr>
      <w:spacing w:before="60" w:after="60" w:line="200" w:lineRule="atLeast"/>
    </w:pPr>
    <w:rPr>
      <w:rFonts w:ascii="Arial" w:hAnsi="Arial"/>
      <w:sz w:val="16"/>
      <w:lang w:eastAsia="en-US"/>
    </w:rPr>
  </w:style>
  <w:style w:type="paragraph" w:customStyle="1" w:styleId="table1list">
    <w:name w:val="table 1 list"/>
    <w:basedOn w:val="table1"/>
    <w:rsid w:val="00322964"/>
    <w:pPr>
      <w:ind w:left="240" w:hanging="240"/>
    </w:pPr>
  </w:style>
  <w:style w:type="paragraph" w:customStyle="1" w:styleId="tablenote">
    <w:name w:val="table note"/>
    <w:basedOn w:val="table1"/>
    <w:link w:val="tablenoteChar"/>
    <w:qFormat/>
    <w:rsid w:val="00322964"/>
    <w:pPr>
      <w:tabs>
        <w:tab w:val="left" w:pos="240"/>
      </w:tabs>
      <w:spacing w:after="180" w:line="180" w:lineRule="atLeast"/>
      <w:ind w:left="238" w:hanging="238"/>
    </w:pPr>
    <w:rPr>
      <w:sz w:val="14"/>
    </w:rPr>
  </w:style>
  <w:style w:type="paragraph" w:customStyle="1" w:styleId="bulletlist1">
    <w:name w:val="bullet list 1"/>
    <w:basedOn w:val="Normal"/>
    <w:link w:val="bulletlist1Char"/>
    <w:qFormat/>
    <w:rsid w:val="00322964"/>
    <w:pPr>
      <w:numPr>
        <w:numId w:val="2"/>
      </w:numPr>
    </w:pPr>
  </w:style>
  <w:style w:type="paragraph" w:customStyle="1" w:styleId="4point">
    <w:name w:val="4 point #"/>
    <w:qFormat/>
    <w:rsid w:val="00322964"/>
    <w:rPr>
      <w:sz w:val="8"/>
      <w:lang w:eastAsia="en-US"/>
    </w:rPr>
  </w:style>
  <w:style w:type="paragraph" w:customStyle="1" w:styleId="referencelist1">
    <w:name w:val="reference list 1"/>
    <w:link w:val="referencelist1Char"/>
    <w:qFormat/>
    <w:rsid w:val="00322964"/>
    <w:pPr>
      <w:spacing w:after="120" w:line="280" w:lineRule="atLeast"/>
      <w:ind w:left="360" w:hanging="360"/>
      <w:jc w:val="both"/>
    </w:pPr>
    <w:rPr>
      <w:sz w:val="22"/>
      <w:lang w:eastAsia="en-US"/>
    </w:rPr>
  </w:style>
  <w:style w:type="paragraph" w:customStyle="1" w:styleId="table2">
    <w:name w:val="table 2"/>
    <w:basedOn w:val="table1"/>
    <w:qFormat/>
    <w:rsid w:val="00322964"/>
    <w:pPr>
      <w:spacing w:before="20" w:after="20"/>
    </w:pPr>
  </w:style>
  <w:style w:type="paragraph" w:customStyle="1" w:styleId="equation1">
    <w:name w:val="equation 1"/>
    <w:basedOn w:val="Normal"/>
    <w:rsid w:val="00322964"/>
    <w:pPr>
      <w:tabs>
        <w:tab w:val="right" w:pos="5280"/>
      </w:tabs>
      <w:spacing w:before="40" w:after="140"/>
      <w:ind w:left="360"/>
      <w:jc w:val="left"/>
    </w:pPr>
    <w:rPr>
      <w:rFonts w:ascii="Arial" w:hAnsi="Arial"/>
      <w:sz w:val="20"/>
    </w:rPr>
  </w:style>
  <w:style w:type="paragraph" w:customStyle="1" w:styleId="verso1">
    <w:name w:val="verso 1"/>
    <w:rsid w:val="00322964"/>
    <w:pPr>
      <w:spacing w:after="80" w:line="220" w:lineRule="atLeast"/>
      <w:ind w:left="240" w:right="720"/>
    </w:pPr>
    <w:rPr>
      <w:rFonts w:ascii="Arial" w:hAnsi="Arial"/>
      <w:sz w:val="18"/>
      <w:lang w:eastAsia="en-US"/>
    </w:rPr>
  </w:style>
  <w:style w:type="paragraph" w:styleId="FootnoteText">
    <w:name w:val="footnote text"/>
    <w:basedOn w:val="Normal"/>
    <w:link w:val="FootnoteTextChar"/>
    <w:semiHidden/>
    <w:rsid w:val="00322964"/>
    <w:pPr>
      <w:tabs>
        <w:tab w:val="left" w:pos="240"/>
      </w:tabs>
      <w:spacing w:after="80" w:line="240" w:lineRule="atLeast"/>
      <w:ind w:left="240" w:hanging="240"/>
    </w:pPr>
    <w:rPr>
      <w:sz w:val="18"/>
    </w:rPr>
  </w:style>
  <w:style w:type="paragraph" w:styleId="Bibliography">
    <w:name w:val="Bibliography"/>
    <w:basedOn w:val="referencelist1"/>
    <w:rsid w:val="00322964"/>
  </w:style>
  <w:style w:type="paragraph" w:customStyle="1" w:styleId="address">
    <w:name w:val="address"/>
    <w:basedOn w:val="Heading4"/>
    <w:qFormat/>
    <w:rsid w:val="00322964"/>
    <w:pPr>
      <w:spacing w:after="800"/>
      <w:jc w:val="center"/>
    </w:pPr>
    <w:rPr>
      <w:b w:val="0"/>
    </w:rPr>
  </w:style>
  <w:style w:type="paragraph" w:customStyle="1" w:styleId="Normallist3">
    <w:name w:val="Normal list 3"/>
    <w:basedOn w:val="Normallist2"/>
    <w:rsid w:val="00322964"/>
    <w:pPr>
      <w:ind w:left="1320"/>
    </w:pPr>
  </w:style>
  <w:style w:type="paragraph" w:customStyle="1" w:styleId="quote">
    <w:name w:val="quote"/>
    <w:basedOn w:val="Normal"/>
    <w:qFormat/>
    <w:rsid w:val="00322964"/>
    <w:pPr>
      <w:spacing w:line="260" w:lineRule="atLeast"/>
      <w:ind w:left="360"/>
    </w:pPr>
    <w:rPr>
      <w:sz w:val="20"/>
    </w:rPr>
  </w:style>
  <w:style w:type="paragraph" w:customStyle="1" w:styleId="bulletlist2">
    <w:name w:val="bullet list 2"/>
    <w:basedOn w:val="bulletlist1"/>
    <w:qFormat/>
    <w:rsid w:val="00322964"/>
    <w:pPr>
      <w:numPr>
        <w:ilvl w:val="1"/>
        <w:numId w:val="3"/>
      </w:numPr>
    </w:pPr>
  </w:style>
  <w:style w:type="paragraph" w:customStyle="1" w:styleId="landscape">
    <w:name w:val="landscape#"/>
    <w:basedOn w:val="Normal"/>
    <w:qFormat/>
    <w:rsid w:val="00322964"/>
    <w:pPr>
      <w:framePr w:w="567" w:h="1134" w:hSpace="181" w:wrap="around" w:vAnchor="page" w:hAnchor="page" w:x="568" w:yAlign="center"/>
      <w:shd w:val="solid" w:color="FFFFFF" w:fill="FFFFFF"/>
      <w:jc w:val="center"/>
      <w:textDirection w:val="tbRl"/>
    </w:pPr>
    <w:rPr>
      <w:rFonts w:ascii="Arial" w:hAnsi="Arial"/>
      <w:sz w:val="20"/>
    </w:rPr>
  </w:style>
  <w:style w:type="paragraph" w:customStyle="1" w:styleId="authors">
    <w:name w:val="authors"/>
    <w:basedOn w:val="Heading3"/>
    <w:uiPriority w:val="2"/>
    <w:rsid w:val="00322964"/>
    <w:pPr>
      <w:spacing w:after="400"/>
      <w:jc w:val="center"/>
    </w:pPr>
  </w:style>
  <w:style w:type="paragraph" w:customStyle="1" w:styleId="numberlist1">
    <w:name w:val="number list 1"/>
    <w:basedOn w:val="Normal"/>
    <w:qFormat/>
    <w:rsid w:val="00322964"/>
    <w:pPr>
      <w:numPr>
        <w:numId w:val="4"/>
      </w:numPr>
    </w:pPr>
    <w:rPr>
      <w:snapToGrid w:val="0"/>
    </w:rPr>
  </w:style>
  <w:style w:type="paragraph" w:customStyle="1" w:styleId="platecaption">
    <w:name w:val="plate caption"/>
    <w:basedOn w:val="figurecaption"/>
    <w:link w:val="platecaptionChar"/>
    <w:qFormat/>
    <w:rsid w:val="00322964"/>
  </w:style>
  <w:style w:type="character" w:styleId="Emphasis">
    <w:name w:val="Emphasis"/>
    <w:basedOn w:val="DefaultParagraphFont"/>
    <w:uiPriority w:val="20"/>
    <w:qFormat/>
    <w:rsid w:val="00322964"/>
    <w:rPr>
      <w:i/>
      <w:iCs/>
    </w:rPr>
  </w:style>
  <w:style w:type="paragraph" w:styleId="Quote0">
    <w:name w:val="Quote"/>
    <w:basedOn w:val="Normal"/>
    <w:next w:val="Normal"/>
    <w:link w:val="QuoteChar"/>
    <w:uiPriority w:val="2"/>
    <w:rsid w:val="00322964"/>
    <w:rPr>
      <w:i/>
      <w:iCs/>
      <w:color w:val="000000" w:themeColor="text1"/>
    </w:rPr>
  </w:style>
  <w:style w:type="character" w:customStyle="1" w:styleId="QuoteChar">
    <w:name w:val="Quote Char"/>
    <w:basedOn w:val="DefaultParagraphFont"/>
    <w:link w:val="Quote0"/>
    <w:uiPriority w:val="2"/>
    <w:rsid w:val="00322964"/>
    <w:rPr>
      <w:i/>
      <w:iCs/>
      <w:color w:val="000000" w:themeColor="text1"/>
      <w:sz w:val="22"/>
      <w:lang w:eastAsia="en-US"/>
    </w:rPr>
  </w:style>
  <w:style w:type="paragraph" w:styleId="NoSpacing">
    <w:name w:val="No Spacing"/>
    <w:uiPriority w:val="2"/>
    <w:rsid w:val="00322964"/>
    <w:pPr>
      <w:jc w:val="both"/>
    </w:pPr>
    <w:rPr>
      <w:sz w:val="22"/>
      <w:lang w:eastAsia="en-US"/>
    </w:rPr>
  </w:style>
  <w:style w:type="paragraph" w:styleId="Title">
    <w:name w:val="Title"/>
    <w:basedOn w:val="Normal"/>
    <w:next w:val="Normal"/>
    <w:link w:val="TitleChar"/>
    <w:qFormat/>
    <w:rsid w:val="003229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22964"/>
    <w:rPr>
      <w:rFonts w:asciiTheme="majorHAnsi" w:eastAsiaTheme="majorEastAsia" w:hAnsiTheme="majorHAnsi" w:cstheme="majorBidi"/>
      <w:color w:val="17365D" w:themeColor="text2" w:themeShade="BF"/>
      <w:spacing w:val="5"/>
      <w:kern w:val="28"/>
      <w:sz w:val="52"/>
      <w:szCs w:val="52"/>
      <w:lang w:eastAsia="en-US"/>
    </w:rPr>
  </w:style>
  <w:style w:type="character" w:styleId="SubtleEmphasis">
    <w:name w:val="Subtle Emphasis"/>
    <w:basedOn w:val="DefaultParagraphFont"/>
    <w:uiPriority w:val="2"/>
    <w:rsid w:val="00322964"/>
    <w:rPr>
      <w:i/>
      <w:iCs/>
      <w:color w:val="808080" w:themeColor="text1" w:themeTint="7F"/>
    </w:rPr>
  </w:style>
  <w:style w:type="character" w:styleId="IntenseEmphasis">
    <w:name w:val="Intense Emphasis"/>
    <w:basedOn w:val="DefaultParagraphFont"/>
    <w:uiPriority w:val="2"/>
    <w:rsid w:val="00322964"/>
    <w:rPr>
      <w:b/>
      <w:bCs/>
      <w:i/>
      <w:iCs/>
      <w:color w:val="4F81BD" w:themeColor="accent1"/>
    </w:rPr>
  </w:style>
  <w:style w:type="paragraph" w:styleId="IntenseQuote">
    <w:name w:val="Intense Quote"/>
    <w:basedOn w:val="Normal"/>
    <w:next w:val="Normal"/>
    <w:link w:val="IntenseQuoteChar"/>
    <w:uiPriority w:val="2"/>
    <w:rsid w:val="003229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2"/>
    <w:rsid w:val="00322964"/>
    <w:rPr>
      <w:b/>
      <w:bCs/>
      <w:i/>
      <w:iCs/>
      <w:color w:val="4F81BD" w:themeColor="accent1"/>
      <w:sz w:val="22"/>
      <w:lang w:eastAsia="en-US"/>
    </w:rPr>
  </w:style>
  <w:style w:type="character" w:styleId="SubtleReference">
    <w:name w:val="Subtle Reference"/>
    <w:basedOn w:val="DefaultParagraphFont"/>
    <w:uiPriority w:val="2"/>
    <w:rsid w:val="00322964"/>
    <w:rPr>
      <w:smallCaps/>
      <w:color w:val="C0504D" w:themeColor="accent2"/>
      <w:u w:val="single"/>
    </w:rPr>
  </w:style>
  <w:style w:type="character" w:styleId="IntenseReference">
    <w:name w:val="Intense Reference"/>
    <w:basedOn w:val="DefaultParagraphFont"/>
    <w:uiPriority w:val="2"/>
    <w:rsid w:val="00322964"/>
    <w:rPr>
      <w:b/>
      <w:bCs/>
      <w:smallCaps/>
      <w:color w:val="C0504D" w:themeColor="accent2"/>
      <w:spacing w:val="5"/>
      <w:u w:val="single"/>
    </w:rPr>
  </w:style>
  <w:style w:type="paragraph" w:styleId="ListParagraph">
    <w:name w:val="List Paragraph"/>
    <w:basedOn w:val="Normal"/>
    <w:uiPriority w:val="34"/>
    <w:qFormat/>
    <w:rsid w:val="00322964"/>
    <w:pPr>
      <w:ind w:left="720"/>
      <w:contextualSpacing/>
    </w:pPr>
  </w:style>
  <w:style w:type="character" w:styleId="Strong">
    <w:name w:val="Strong"/>
    <w:basedOn w:val="DefaultParagraphFont"/>
    <w:uiPriority w:val="2"/>
    <w:rsid w:val="00322964"/>
    <w:rPr>
      <w:b/>
      <w:bCs/>
    </w:rPr>
  </w:style>
  <w:style w:type="paragraph" w:styleId="Subtitle">
    <w:name w:val="Subtitle"/>
    <w:basedOn w:val="Normal"/>
    <w:next w:val="Normal"/>
    <w:link w:val="SubtitleChar"/>
    <w:qFormat/>
    <w:rsid w:val="003229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322964"/>
    <w:rPr>
      <w:rFonts w:asciiTheme="majorHAnsi" w:eastAsiaTheme="majorEastAsia" w:hAnsiTheme="majorHAnsi" w:cstheme="majorBidi"/>
      <w:i/>
      <w:iCs/>
      <w:color w:val="4F81BD" w:themeColor="accent1"/>
      <w:spacing w:val="15"/>
      <w:sz w:val="24"/>
      <w:szCs w:val="24"/>
      <w:lang w:eastAsia="en-US"/>
    </w:rPr>
  </w:style>
  <w:style w:type="character" w:styleId="BookTitle">
    <w:name w:val="Book Title"/>
    <w:basedOn w:val="DefaultParagraphFont"/>
    <w:uiPriority w:val="2"/>
    <w:rsid w:val="00322964"/>
    <w:rPr>
      <w:b/>
      <w:bCs/>
      <w:smallCaps/>
      <w:spacing w:val="5"/>
    </w:rPr>
  </w:style>
  <w:style w:type="paragraph" w:styleId="BalloonText">
    <w:name w:val="Balloon Text"/>
    <w:basedOn w:val="Normal"/>
    <w:link w:val="BalloonTextChar"/>
    <w:rsid w:val="00B36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36F09"/>
    <w:rPr>
      <w:rFonts w:ascii="Tahoma" w:hAnsi="Tahoma" w:cs="Tahoma"/>
      <w:sz w:val="16"/>
      <w:szCs w:val="16"/>
      <w:lang w:eastAsia="en-US"/>
    </w:rPr>
  </w:style>
  <w:style w:type="character" w:customStyle="1" w:styleId="tablecaptionChar">
    <w:name w:val="table caption Char"/>
    <w:basedOn w:val="DefaultParagraphFont"/>
    <w:link w:val="tablecaption"/>
    <w:rsid w:val="00B36F09"/>
    <w:rPr>
      <w:rFonts w:ascii="Arial" w:hAnsi="Arial"/>
      <w:sz w:val="18"/>
      <w:lang w:eastAsia="en-US"/>
    </w:rPr>
  </w:style>
  <w:style w:type="character" w:customStyle="1" w:styleId="table1Char">
    <w:name w:val="table 1 Char"/>
    <w:basedOn w:val="DefaultParagraphFont"/>
    <w:link w:val="table1"/>
    <w:uiPriority w:val="2"/>
    <w:rsid w:val="00B36F09"/>
    <w:rPr>
      <w:rFonts w:ascii="Arial" w:hAnsi="Arial"/>
      <w:sz w:val="16"/>
      <w:lang w:eastAsia="en-US"/>
    </w:rPr>
  </w:style>
  <w:style w:type="character" w:customStyle="1" w:styleId="bulletlist1Char">
    <w:name w:val="bullet list 1 Char"/>
    <w:basedOn w:val="DefaultParagraphFont"/>
    <w:link w:val="bulletlist1"/>
    <w:rsid w:val="00B36F09"/>
    <w:rPr>
      <w:sz w:val="22"/>
      <w:lang w:eastAsia="en-US"/>
    </w:rPr>
  </w:style>
  <w:style w:type="table" w:styleId="TableGrid">
    <w:name w:val="Table Grid"/>
    <w:basedOn w:val="TableNormal"/>
    <w:rsid w:val="00B36F09"/>
    <w:pPr>
      <w:spacing w:after="10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36F09"/>
    <w:rPr>
      <w:rFonts w:ascii="Arial" w:hAnsi="Arial"/>
      <w:b/>
      <w:sz w:val="28"/>
      <w:lang w:eastAsia="en-US"/>
    </w:rPr>
  </w:style>
  <w:style w:type="character" w:customStyle="1" w:styleId="Heading3Char">
    <w:name w:val="Heading 3 Char"/>
    <w:basedOn w:val="DefaultParagraphFont"/>
    <w:link w:val="Heading3"/>
    <w:rsid w:val="00B36F09"/>
    <w:rPr>
      <w:rFonts w:ascii="Arial" w:hAnsi="Arial"/>
      <w:b/>
      <w:sz w:val="24"/>
      <w:lang w:eastAsia="en-US"/>
    </w:rPr>
  </w:style>
  <w:style w:type="character" w:customStyle="1" w:styleId="Heading4Char">
    <w:name w:val="Heading 4 Char"/>
    <w:basedOn w:val="DefaultParagraphFont"/>
    <w:link w:val="Heading4"/>
    <w:rsid w:val="00B36F09"/>
    <w:rPr>
      <w:rFonts w:ascii="Arial" w:hAnsi="Arial"/>
      <w:b/>
      <w:lang w:eastAsia="en-US"/>
    </w:rPr>
  </w:style>
  <w:style w:type="character" w:customStyle="1" w:styleId="Heading5Char">
    <w:name w:val="Heading 5 Char"/>
    <w:basedOn w:val="DefaultParagraphFont"/>
    <w:link w:val="Heading5"/>
    <w:rsid w:val="00B36F09"/>
    <w:rPr>
      <w:rFonts w:ascii="Arial" w:hAnsi="Arial"/>
      <w:i/>
      <w:lang w:eastAsia="en-US"/>
    </w:rPr>
  </w:style>
  <w:style w:type="character" w:customStyle="1" w:styleId="referencelist1Char">
    <w:name w:val="reference list 1 Char"/>
    <w:basedOn w:val="DefaultParagraphFont"/>
    <w:link w:val="referencelist1"/>
    <w:rsid w:val="00B36F09"/>
    <w:rPr>
      <w:sz w:val="22"/>
      <w:lang w:eastAsia="en-US"/>
    </w:rPr>
  </w:style>
  <w:style w:type="character" w:customStyle="1" w:styleId="figurecaptionChar">
    <w:name w:val="figure caption Char"/>
    <w:basedOn w:val="DefaultParagraphFont"/>
    <w:link w:val="figurecaption"/>
    <w:uiPriority w:val="2"/>
    <w:rsid w:val="00B36F09"/>
    <w:rPr>
      <w:rFonts w:ascii="Arial" w:hAnsi="Arial"/>
      <w:sz w:val="18"/>
      <w:lang w:eastAsia="en-US"/>
    </w:rPr>
  </w:style>
  <w:style w:type="character" w:customStyle="1" w:styleId="FooterChar">
    <w:name w:val="Footer Char"/>
    <w:basedOn w:val="DefaultParagraphFont"/>
    <w:link w:val="Footer"/>
    <w:uiPriority w:val="99"/>
    <w:rsid w:val="00B36F09"/>
    <w:rPr>
      <w:rFonts w:ascii="Arial" w:hAnsi="Arial"/>
      <w:lang w:eastAsia="en-US"/>
    </w:rPr>
  </w:style>
  <w:style w:type="character" w:customStyle="1" w:styleId="HeaderChar">
    <w:name w:val="Header Char"/>
    <w:basedOn w:val="DefaultParagraphFont"/>
    <w:link w:val="Header"/>
    <w:rsid w:val="00B36F09"/>
    <w:rPr>
      <w:lang w:eastAsia="en-US"/>
    </w:rPr>
  </w:style>
  <w:style w:type="character" w:styleId="Hyperlink">
    <w:name w:val="Hyperlink"/>
    <w:basedOn w:val="DefaultParagraphFont"/>
    <w:uiPriority w:val="99"/>
    <w:rsid w:val="00B36F09"/>
    <w:rPr>
      <w:rFonts w:cs="Times New Roman"/>
      <w:color w:val="0000FF"/>
      <w:u w:val="single"/>
    </w:rPr>
  </w:style>
  <w:style w:type="paragraph" w:customStyle="1" w:styleId="TCTableBody">
    <w:name w:val="TC_Table_Body"/>
    <w:basedOn w:val="Normal"/>
    <w:rsid w:val="00B36F09"/>
    <w:pPr>
      <w:spacing w:after="200" w:line="240" w:lineRule="auto"/>
    </w:pPr>
    <w:rPr>
      <w:rFonts w:ascii="Times" w:hAnsi="Times"/>
      <w:sz w:val="24"/>
      <w:lang w:val="en-US"/>
    </w:rPr>
  </w:style>
  <w:style w:type="character" w:customStyle="1" w:styleId="tablenoteChar">
    <w:name w:val="table note Char"/>
    <w:basedOn w:val="DefaultParagraphFont"/>
    <w:link w:val="tablenote"/>
    <w:locked/>
    <w:rsid w:val="00B36F09"/>
    <w:rPr>
      <w:rFonts w:ascii="Arial" w:hAnsi="Arial"/>
      <w:sz w:val="14"/>
      <w:lang w:eastAsia="en-US"/>
    </w:rPr>
  </w:style>
  <w:style w:type="character" w:styleId="PageNumber">
    <w:name w:val="page number"/>
    <w:basedOn w:val="DefaultParagraphFont"/>
    <w:rsid w:val="00B36F09"/>
  </w:style>
  <w:style w:type="character" w:styleId="FootnoteReference">
    <w:name w:val="footnote reference"/>
    <w:basedOn w:val="DefaultParagraphFont"/>
    <w:rsid w:val="00B36F09"/>
    <w:rPr>
      <w:vertAlign w:val="superscript"/>
    </w:rPr>
  </w:style>
  <w:style w:type="paragraph" w:styleId="NormalWeb">
    <w:name w:val="Normal (Web)"/>
    <w:basedOn w:val="Normal"/>
    <w:rsid w:val="00B36F09"/>
    <w:pPr>
      <w:spacing w:before="100" w:beforeAutospacing="1" w:after="100" w:afterAutospacing="1" w:line="240" w:lineRule="auto"/>
      <w:jc w:val="left"/>
    </w:pPr>
    <w:rPr>
      <w:sz w:val="24"/>
      <w:szCs w:val="24"/>
      <w:lang w:eastAsia="en-AU"/>
    </w:rPr>
  </w:style>
  <w:style w:type="character" w:customStyle="1" w:styleId="Heading6Char">
    <w:name w:val="Heading 6 Char"/>
    <w:basedOn w:val="DefaultParagraphFont"/>
    <w:link w:val="Heading6"/>
    <w:rsid w:val="00B36F09"/>
    <w:rPr>
      <w:b/>
      <w:lang w:eastAsia="en-US"/>
    </w:rPr>
  </w:style>
  <w:style w:type="character" w:styleId="CommentReference">
    <w:name w:val="annotation reference"/>
    <w:basedOn w:val="DefaultParagraphFont"/>
    <w:rsid w:val="00B36F09"/>
    <w:rPr>
      <w:sz w:val="16"/>
      <w:szCs w:val="16"/>
    </w:rPr>
  </w:style>
  <w:style w:type="character" w:customStyle="1" w:styleId="Normallist2Char">
    <w:name w:val="Normal list 2 Char"/>
    <w:link w:val="Normallist2"/>
    <w:rsid w:val="00B36F09"/>
    <w:rPr>
      <w:sz w:val="22"/>
      <w:lang w:eastAsia="en-US"/>
    </w:rPr>
  </w:style>
  <w:style w:type="paragraph" w:styleId="CommentText">
    <w:name w:val="annotation text"/>
    <w:basedOn w:val="Normal"/>
    <w:link w:val="CommentTextChar"/>
    <w:rsid w:val="00B36F09"/>
    <w:pPr>
      <w:spacing w:after="100" w:line="260" w:lineRule="atLeast"/>
      <w:jc w:val="left"/>
    </w:pPr>
    <w:rPr>
      <w:sz w:val="20"/>
    </w:rPr>
  </w:style>
  <w:style w:type="character" w:customStyle="1" w:styleId="CommentTextChar">
    <w:name w:val="Comment Text Char"/>
    <w:basedOn w:val="DefaultParagraphFont"/>
    <w:link w:val="CommentText"/>
    <w:rsid w:val="00B36F09"/>
    <w:rPr>
      <w:lang w:eastAsia="en-US"/>
    </w:rPr>
  </w:style>
  <w:style w:type="character" w:customStyle="1" w:styleId="platecaptionChar">
    <w:name w:val="plate caption Char"/>
    <w:basedOn w:val="figurecaptionChar"/>
    <w:link w:val="platecaption"/>
    <w:rsid w:val="00B36F09"/>
  </w:style>
  <w:style w:type="paragraph" w:styleId="ListBullet">
    <w:name w:val="List Bullet"/>
    <w:basedOn w:val="Normal"/>
    <w:rsid w:val="00B36F09"/>
    <w:pPr>
      <w:tabs>
        <w:tab w:val="num" w:pos="360"/>
      </w:tabs>
      <w:spacing w:after="100" w:line="260" w:lineRule="atLeast"/>
      <w:ind w:left="360" w:hanging="360"/>
      <w:jc w:val="left"/>
    </w:pPr>
    <w:rPr>
      <w:sz w:val="20"/>
    </w:rPr>
  </w:style>
  <w:style w:type="paragraph" w:styleId="BodyText2">
    <w:name w:val="Body Text 2"/>
    <w:basedOn w:val="Normal"/>
    <w:link w:val="BodyText2Char"/>
    <w:rsid w:val="00B36F09"/>
    <w:pPr>
      <w:spacing w:after="100" w:line="260" w:lineRule="atLeast"/>
      <w:ind w:right="288"/>
      <w:jc w:val="left"/>
    </w:pPr>
    <w:rPr>
      <w:sz w:val="20"/>
      <w:szCs w:val="14"/>
    </w:rPr>
  </w:style>
  <w:style w:type="character" w:customStyle="1" w:styleId="BodyText2Char">
    <w:name w:val="Body Text 2 Char"/>
    <w:basedOn w:val="DefaultParagraphFont"/>
    <w:link w:val="BodyText2"/>
    <w:rsid w:val="00B36F09"/>
    <w:rPr>
      <w:szCs w:val="14"/>
      <w:lang w:eastAsia="en-US"/>
    </w:rPr>
  </w:style>
  <w:style w:type="paragraph" w:styleId="CommentSubject">
    <w:name w:val="annotation subject"/>
    <w:basedOn w:val="CommentText"/>
    <w:next w:val="CommentText"/>
    <w:link w:val="CommentSubjectChar"/>
    <w:rsid w:val="00B36F09"/>
    <w:pPr>
      <w:spacing w:after="120" w:line="280" w:lineRule="atLeast"/>
      <w:jc w:val="both"/>
    </w:pPr>
    <w:rPr>
      <w:b/>
      <w:bCs/>
    </w:rPr>
  </w:style>
  <w:style w:type="character" w:customStyle="1" w:styleId="CommentSubjectChar">
    <w:name w:val="Comment Subject Char"/>
    <w:basedOn w:val="CommentTextChar"/>
    <w:link w:val="CommentSubject"/>
    <w:rsid w:val="00B36F09"/>
    <w:rPr>
      <w:b/>
      <w:bCs/>
    </w:rPr>
  </w:style>
  <w:style w:type="paragraph" w:customStyle="1" w:styleId="CM23">
    <w:name w:val="CM23"/>
    <w:basedOn w:val="Normal"/>
    <w:next w:val="Normal"/>
    <w:rsid w:val="00B36F09"/>
    <w:pPr>
      <w:widowControl w:val="0"/>
      <w:autoSpaceDE w:val="0"/>
      <w:autoSpaceDN w:val="0"/>
      <w:adjustRightInd w:val="0"/>
      <w:spacing w:after="190" w:line="240" w:lineRule="auto"/>
      <w:jc w:val="left"/>
    </w:pPr>
    <w:rPr>
      <w:rFonts w:ascii="FIGLOG+Arial,Bold" w:hAnsi="FIGLOG+Arial,Bold"/>
      <w:sz w:val="24"/>
      <w:szCs w:val="24"/>
      <w:lang w:eastAsia="en-AU"/>
    </w:rPr>
  </w:style>
  <w:style w:type="paragraph" w:customStyle="1" w:styleId="Default">
    <w:name w:val="Default"/>
    <w:rsid w:val="00B36F09"/>
    <w:pPr>
      <w:widowControl w:val="0"/>
      <w:autoSpaceDE w:val="0"/>
      <w:autoSpaceDN w:val="0"/>
      <w:adjustRightInd w:val="0"/>
    </w:pPr>
    <w:rPr>
      <w:rFonts w:ascii="FIGLOG+Arial,Bold" w:hAnsi="FIGLOG+Arial,Bold" w:cs="FIGLOG+Arial,Bold"/>
      <w:color w:val="000000"/>
      <w:sz w:val="24"/>
      <w:szCs w:val="24"/>
    </w:rPr>
  </w:style>
  <w:style w:type="paragraph" w:customStyle="1" w:styleId="CM20">
    <w:name w:val="CM20"/>
    <w:basedOn w:val="Default"/>
    <w:next w:val="Default"/>
    <w:rsid w:val="00B36F09"/>
    <w:pPr>
      <w:spacing w:after="303"/>
    </w:pPr>
    <w:rPr>
      <w:rFonts w:cs="Times New Roman"/>
      <w:color w:val="auto"/>
    </w:rPr>
  </w:style>
  <w:style w:type="paragraph" w:customStyle="1" w:styleId="CM6">
    <w:name w:val="CM6"/>
    <w:basedOn w:val="Default"/>
    <w:next w:val="Default"/>
    <w:rsid w:val="00B36F09"/>
    <w:rPr>
      <w:rFonts w:cs="Times New Roman"/>
      <w:color w:val="auto"/>
    </w:rPr>
  </w:style>
  <w:style w:type="paragraph" w:customStyle="1" w:styleId="referencelist10">
    <w:name w:val="referencelist1"/>
    <w:basedOn w:val="Normal"/>
    <w:rsid w:val="00B36F09"/>
    <w:pPr>
      <w:ind w:left="360" w:hanging="360"/>
    </w:pPr>
    <w:rPr>
      <w:szCs w:val="22"/>
      <w:lang w:eastAsia="en-AU"/>
    </w:rPr>
  </w:style>
  <w:style w:type="paragraph" w:styleId="Caption">
    <w:name w:val="caption"/>
    <w:basedOn w:val="Normal"/>
    <w:next w:val="Normal"/>
    <w:qFormat/>
    <w:rsid w:val="00B36F09"/>
    <w:pPr>
      <w:spacing w:before="120" w:line="260" w:lineRule="atLeast"/>
      <w:jc w:val="left"/>
    </w:pPr>
    <w:rPr>
      <w:b/>
      <w:bCs/>
      <w:sz w:val="20"/>
    </w:rPr>
  </w:style>
  <w:style w:type="table" w:styleId="TableClassic1">
    <w:name w:val="Table Classic 1"/>
    <w:basedOn w:val="TableNormal"/>
    <w:rsid w:val="00B36F09"/>
    <w:pPr>
      <w:spacing w:after="120" w:line="28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lockText">
    <w:name w:val="Block Text"/>
    <w:basedOn w:val="Normal"/>
    <w:rsid w:val="00B36F09"/>
    <w:pPr>
      <w:ind w:left="1440" w:right="1440"/>
    </w:pPr>
  </w:style>
  <w:style w:type="paragraph" w:styleId="BodyText">
    <w:name w:val="Body Text"/>
    <w:basedOn w:val="Normal"/>
    <w:link w:val="BodyTextChar"/>
    <w:rsid w:val="00B36F09"/>
  </w:style>
  <w:style w:type="character" w:customStyle="1" w:styleId="BodyTextChar">
    <w:name w:val="Body Text Char"/>
    <w:basedOn w:val="DefaultParagraphFont"/>
    <w:link w:val="BodyText"/>
    <w:rsid w:val="00B36F09"/>
    <w:rPr>
      <w:sz w:val="22"/>
      <w:lang w:eastAsia="en-US"/>
    </w:rPr>
  </w:style>
  <w:style w:type="paragraph" w:styleId="BodyText3">
    <w:name w:val="Body Text 3"/>
    <w:basedOn w:val="Normal"/>
    <w:link w:val="BodyText3Char"/>
    <w:rsid w:val="00B36F09"/>
    <w:rPr>
      <w:sz w:val="16"/>
      <w:szCs w:val="16"/>
    </w:rPr>
  </w:style>
  <w:style w:type="character" w:customStyle="1" w:styleId="BodyText3Char">
    <w:name w:val="Body Text 3 Char"/>
    <w:basedOn w:val="DefaultParagraphFont"/>
    <w:link w:val="BodyText3"/>
    <w:rsid w:val="00B36F09"/>
    <w:rPr>
      <w:sz w:val="16"/>
      <w:szCs w:val="16"/>
      <w:lang w:eastAsia="en-US"/>
    </w:rPr>
  </w:style>
  <w:style w:type="paragraph" w:styleId="BodyTextFirstIndent">
    <w:name w:val="Body Text First Indent"/>
    <w:basedOn w:val="BodyText"/>
    <w:link w:val="BodyTextFirstIndentChar"/>
    <w:rsid w:val="00B36F09"/>
    <w:pPr>
      <w:ind w:firstLine="210"/>
    </w:pPr>
  </w:style>
  <w:style w:type="character" w:customStyle="1" w:styleId="BodyTextFirstIndentChar">
    <w:name w:val="Body Text First Indent Char"/>
    <w:basedOn w:val="BodyTextChar"/>
    <w:link w:val="BodyTextFirstIndent"/>
    <w:rsid w:val="00B36F09"/>
  </w:style>
  <w:style w:type="paragraph" w:styleId="BodyTextIndent">
    <w:name w:val="Body Text Indent"/>
    <w:basedOn w:val="Normal"/>
    <w:link w:val="BodyTextIndentChar"/>
    <w:rsid w:val="00B36F09"/>
    <w:pPr>
      <w:ind w:left="283"/>
    </w:pPr>
  </w:style>
  <w:style w:type="character" w:customStyle="1" w:styleId="BodyTextIndentChar">
    <w:name w:val="Body Text Indent Char"/>
    <w:basedOn w:val="DefaultParagraphFont"/>
    <w:link w:val="BodyTextIndent"/>
    <w:rsid w:val="00B36F09"/>
    <w:rPr>
      <w:sz w:val="22"/>
      <w:lang w:eastAsia="en-US"/>
    </w:rPr>
  </w:style>
  <w:style w:type="paragraph" w:styleId="BodyTextFirstIndent2">
    <w:name w:val="Body Text First Indent 2"/>
    <w:basedOn w:val="BodyTextIndent"/>
    <w:link w:val="BodyTextFirstIndent2Char"/>
    <w:rsid w:val="00B36F09"/>
    <w:pPr>
      <w:ind w:firstLine="210"/>
    </w:pPr>
  </w:style>
  <w:style w:type="character" w:customStyle="1" w:styleId="BodyTextFirstIndent2Char">
    <w:name w:val="Body Text First Indent 2 Char"/>
    <w:basedOn w:val="BodyTextIndentChar"/>
    <w:link w:val="BodyTextFirstIndent2"/>
    <w:rsid w:val="00B36F09"/>
  </w:style>
  <w:style w:type="paragraph" w:styleId="BodyTextIndent2">
    <w:name w:val="Body Text Indent 2"/>
    <w:basedOn w:val="Normal"/>
    <w:link w:val="BodyTextIndent2Char"/>
    <w:rsid w:val="00B36F09"/>
    <w:pPr>
      <w:spacing w:line="480" w:lineRule="auto"/>
      <w:ind w:left="283"/>
    </w:pPr>
  </w:style>
  <w:style w:type="character" w:customStyle="1" w:styleId="BodyTextIndent2Char">
    <w:name w:val="Body Text Indent 2 Char"/>
    <w:basedOn w:val="DefaultParagraphFont"/>
    <w:link w:val="BodyTextIndent2"/>
    <w:rsid w:val="00B36F09"/>
    <w:rPr>
      <w:sz w:val="22"/>
      <w:lang w:eastAsia="en-US"/>
    </w:rPr>
  </w:style>
  <w:style w:type="paragraph" w:styleId="BodyTextIndent3">
    <w:name w:val="Body Text Indent 3"/>
    <w:basedOn w:val="Normal"/>
    <w:link w:val="BodyTextIndent3Char"/>
    <w:rsid w:val="00B36F09"/>
    <w:pPr>
      <w:ind w:left="283"/>
    </w:pPr>
    <w:rPr>
      <w:sz w:val="16"/>
      <w:szCs w:val="16"/>
    </w:rPr>
  </w:style>
  <w:style w:type="character" w:customStyle="1" w:styleId="BodyTextIndent3Char">
    <w:name w:val="Body Text Indent 3 Char"/>
    <w:basedOn w:val="DefaultParagraphFont"/>
    <w:link w:val="BodyTextIndent3"/>
    <w:rsid w:val="00B36F09"/>
    <w:rPr>
      <w:sz w:val="16"/>
      <w:szCs w:val="16"/>
      <w:lang w:eastAsia="en-US"/>
    </w:rPr>
  </w:style>
  <w:style w:type="paragraph" w:styleId="Closing">
    <w:name w:val="Closing"/>
    <w:basedOn w:val="Normal"/>
    <w:link w:val="ClosingChar"/>
    <w:rsid w:val="00B36F09"/>
    <w:pPr>
      <w:ind w:left="4252"/>
    </w:pPr>
  </w:style>
  <w:style w:type="character" w:customStyle="1" w:styleId="ClosingChar">
    <w:name w:val="Closing Char"/>
    <w:basedOn w:val="DefaultParagraphFont"/>
    <w:link w:val="Closing"/>
    <w:rsid w:val="00B36F09"/>
    <w:rPr>
      <w:sz w:val="22"/>
      <w:lang w:eastAsia="en-US"/>
    </w:rPr>
  </w:style>
  <w:style w:type="paragraph" w:styleId="Date">
    <w:name w:val="Date"/>
    <w:basedOn w:val="Normal"/>
    <w:next w:val="Normal"/>
    <w:link w:val="DateChar"/>
    <w:rsid w:val="00B36F09"/>
  </w:style>
  <w:style w:type="character" w:customStyle="1" w:styleId="DateChar">
    <w:name w:val="Date Char"/>
    <w:basedOn w:val="DefaultParagraphFont"/>
    <w:link w:val="Date"/>
    <w:rsid w:val="00B36F09"/>
    <w:rPr>
      <w:sz w:val="22"/>
      <w:lang w:eastAsia="en-US"/>
    </w:rPr>
  </w:style>
  <w:style w:type="paragraph" w:styleId="DocumentMap">
    <w:name w:val="Document Map"/>
    <w:basedOn w:val="Normal"/>
    <w:link w:val="DocumentMapChar"/>
    <w:rsid w:val="00B36F09"/>
    <w:pPr>
      <w:shd w:val="clear" w:color="auto" w:fill="000080"/>
    </w:pPr>
    <w:rPr>
      <w:rFonts w:ascii="Tahoma" w:hAnsi="Tahoma" w:cs="Tahoma"/>
      <w:sz w:val="20"/>
    </w:rPr>
  </w:style>
  <w:style w:type="character" w:customStyle="1" w:styleId="DocumentMapChar">
    <w:name w:val="Document Map Char"/>
    <w:basedOn w:val="DefaultParagraphFont"/>
    <w:link w:val="DocumentMap"/>
    <w:rsid w:val="00B36F09"/>
    <w:rPr>
      <w:rFonts w:ascii="Tahoma" w:hAnsi="Tahoma" w:cs="Tahoma"/>
      <w:shd w:val="clear" w:color="auto" w:fill="000080"/>
      <w:lang w:eastAsia="en-US"/>
    </w:rPr>
  </w:style>
  <w:style w:type="paragraph" w:styleId="E-mailSignature">
    <w:name w:val="E-mail Signature"/>
    <w:basedOn w:val="Normal"/>
    <w:link w:val="E-mailSignatureChar"/>
    <w:rsid w:val="00B36F09"/>
  </w:style>
  <w:style w:type="character" w:customStyle="1" w:styleId="E-mailSignatureChar">
    <w:name w:val="E-mail Signature Char"/>
    <w:basedOn w:val="DefaultParagraphFont"/>
    <w:link w:val="E-mailSignature"/>
    <w:rsid w:val="00B36F09"/>
    <w:rPr>
      <w:sz w:val="22"/>
      <w:lang w:eastAsia="en-US"/>
    </w:rPr>
  </w:style>
  <w:style w:type="paragraph" w:styleId="EndnoteText">
    <w:name w:val="endnote text"/>
    <w:basedOn w:val="Normal"/>
    <w:link w:val="EndnoteTextChar"/>
    <w:rsid w:val="00B36F09"/>
    <w:rPr>
      <w:sz w:val="20"/>
    </w:rPr>
  </w:style>
  <w:style w:type="character" w:customStyle="1" w:styleId="EndnoteTextChar">
    <w:name w:val="Endnote Text Char"/>
    <w:basedOn w:val="DefaultParagraphFont"/>
    <w:link w:val="EndnoteText"/>
    <w:rsid w:val="00B36F09"/>
    <w:rPr>
      <w:lang w:eastAsia="en-US"/>
    </w:rPr>
  </w:style>
  <w:style w:type="paragraph" w:styleId="EnvelopeAddress">
    <w:name w:val="envelope address"/>
    <w:basedOn w:val="Normal"/>
    <w:rsid w:val="00B36F0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36F09"/>
    <w:rPr>
      <w:rFonts w:ascii="Arial" w:hAnsi="Arial" w:cs="Arial"/>
      <w:sz w:val="20"/>
    </w:rPr>
  </w:style>
  <w:style w:type="paragraph" w:styleId="HTMLAddress">
    <w:name w:val="HTML Address"/>
    <w:basedOn w:val="Normal"/>
    <w:link w:val="HTMLAddressChar"/>
    <w:rsid w:val="00B36F09"/>
    <w:rPr>
      <w:i/>
      <w:iCs/>
    </w:rPr>
  </w:style>
  <w:style w:type="character" w:customStyle="1" w:styleId="HTMLAddressChar">
    <w:name w:val="HTML Address Char"/>
    <w:basedOn w:val="DefaultParagraphFont"/>
    <w:link w:val="HTMLAddress"/>
    <w:rsid w:val="00B36F09"/>
    <w:rPr>
      <w:i/>
      <w:iCs/>
      <w:sz w:val="22"/>
      <w:lang w:eastAsia="en-US"/>
    </w:rPr>
  </w:style>
  <w:style w:type="paragraph" w:styleId="HTMLPreformatted">
    <w:name w:val="HTML Preformatted"/>
    <w:basedOn w:val="Normal"/>
    <w:link w:val="HTMLPreformattedChar"/>
    <w:rsid w:val="00B36F09"/>
    <w:rPr>
      <w:rFonts w:ascii="Courier New" w:hAnsi="Courier New" w:cs="Courier New"/>
      <w:sz w:val="20"/>
    </w:rPr>
  </w:style>
  <w:style w:type="character" w:customStyle="1" w:styleId="HTMLPreformattedChar">
    <w:name w:val="HTML Preformatted Char"/>
    <w:basedOn w:val="DefaultParagraphFont"/>
    <w:link w:val="HTMLPreformatted"/>
    <w:rsid w:val="00B36F09"/>
    <w:rPr>
      <w:rFonts w:ascii="Courier New" w:hAnsi="Courier New" w:cs="Courier New"/>
      <w:lang w:eastAsia="en-US"/>
    </w:rPr>
  </w:style>
  <w:style w:type="paragraph" w:styleId="Index1">
    <w:name w:val="index 1"/>
    <w:basedOn w:val="Normal"/>
    <w:next w:val="Normal"/>
    <w:autoRedefine/>
    <w:rsid w:val="00B36F09"/>
    <w:pPr>
      <w:ind w:left="220" w:hanging="220"/>
    </w:pPr>
  </w:style>
  <w:style w:type="paragraph" w:styleId="Index2">
    <w:name w:val="index 2"/>
    <w:basedOn w:val="Normal"/>
    <w:next w:val="Normal"/>
    <w:autoRedefine/>
    <w:rsid w:val="00B36F09"/>
    <w:pPr>
      <w:ind w:left="440" w:hanging="220"/>
    </w:pPr>
  </w:style>
  <w:style w:type="paragraph" w:styleId="Index3">
    <w:name w:val="index 3"/>
    <w:basedOn w:val="Normal"/>
    <w:next w:val="Normal"/>
    <w:autoRedefine/>
    <w:rsid w:val="00B36F09"/>
    <w:pPr>
      <w:ind w:left="660" w:hanging="220"/>
    </w:pPr>
  </w:style>
  <w:style w:type="paragraph" w:styleId="Index4">
    <w:name w:val="index 4"/>
    <w:basedOn w:val="Normal"/>
    <w:next w:val="Normal"/>
    <w:autoRedefine/>
    <w:rsid w:val="00B36F09"/>
    <w:pPr>
      <w:ind w:left="880" w:hanging="220"/>
    </w:pPr>
  </w:style>
  <w:style w:type="paragraph" w:styleId="Index5">
    <w:name w:val="index 5"/>
    <w:basedOn w:val="Normal"/>
    <w:next w:val="Normal"/>
    <w:autoRedefine/>
    <w:rsid w:val="00B36F09"/>
    <w:pPr>
      <w:ind w:left="1100" w:hanging="220"/>
    </w:pPr>
  </w:style>
  <w:style w:type="paragraph" w:styleId="Index6">
    <w:name w:val="index 6"/>
    <w:basedOn w:val="Normal"/>
    <w:next w:val="Normal"/>
    <w:autoRedefine/>
    <w:rsid w:val="00B36F09"/>
    <w:pPr>
      <w:ind w:left="1320" w:hanging="220"/>
    </w:pPr>
  </w:style>
  <w:style w:type="paragraph" w:styleId="Index7">
    <w:name w:val="index 7"/>
    <w:basedOn w:val="Normal"/>
    <w:next w:val="Normal"/>
    <w:autoRedefine/>
    <w:rsid w:val="00B36F09"/>
    <w:pPr>
      <w:ind w:left="1540" w:hanging="220"/>
    </w:pPr>
  </w:style>
  <w:style w:type="paragraph" w:styleId="Index8">
    <w:name w:val="index 8"/>
    <w:basedOn w:val="Normal"/>
    <w:next w:val="Normal"/>
    <w:autoRedefine/>
    <w:rsid w:val="00B36F09"/>
    <w:pPr>
      <w:ind w:left="1760" w:hanging="220"/>
    </w:pPr>
  </w:style>
  <w:style w:type="paragraph" w:styleId="Index9">
    <w:name w:val="index 9"/>
    <w:basedOn w:val="Normal"/>
    <w:next w:val="Normal"/>
    <w:autoRedefine/>
    <w:rsid w:val="00B36F09"/>
    <w:pPr>
      <w:ind w:left="1980" w:hanging="220"/>
    </w:pPr>
  </w:style>
  <w:style w:type="paragraph" w:styleId="IndexHeading">
    <w:name w:val="index heading"/>
    <w:basedOn w:val="Normal"/>
    <w:next w:val="Index1"/>
    <w:rsid w:val="00B36F09"/>
    <w:rPr>
      <w:rFonts w:ascii="Arial" w:hAnsi="Arial" w:cs="Arial"/>
      <w:b/>
      <w:bCs/>
    </w:rPr>
  </w:style>
  <w:style w:type="paragraph" w:styleId="List">
    <w:name w:val="List"/>
    <w:basedOn w:val="Normal"/>
    <w:rsid w:val="00B36F09"/>
    <w:pPr>
      <w:ind w:left="283" w:hanging="283"/>
    </w:pPr>
  </w:style>
  <w:style w:type="paragraph" w:styleId="List2">
    <w:name w:val="List 2"/>
    <w:basedOn w:val="Normal"/>
    <w:rsid w:val="00B36F09"/>
    <w:pPr>
      <w:ind w:left="566" w:hanging="283"/>
    </w:pPr>
  </w:style>
  <w:style w:type="paragraph" w:styleId="List3">
    <w:name w:val="List 3"/>
    <w:basedOn w:val="Normal"/>
    <w:rsid w:val="00B36F09"/>
    <w:pPr>
      <w:ind w:left="849" w:hanging="283"/>
    </w:pPr>
  </w:style>
  <w:style w:type="paragraph" w:styleId="List4">
    <w:name w:val="List 4"/>
    <w:basedOn w:val="Normal"/>
    <w:rsid w:val="00B36F09"/>
    <w:pPr>
      <w:ind w:left="1132" w:hanging="283"/>
    </w:pPr>
  </w:style>
  <w:style w:type="paragraph" w:styleId="List5">
    <w:name w:val="List 5"/>
    <w:basedOn w:val="Normal"/>
    <w:rsid w:val="00B36F09"/>
    <w:pPr>
      <w:ind w:left="1415" w:hanging="283"/>
    </w:pPr>
  </w:style>
  <w:style w:type="paragraph" w:styleId="ListBullet2">
    <w:name w:val="List Bullet 2"/>
    <w:basedOn w:val="Normal"/>
    <w:rsid w:val="00B36F09"/>
    <w:pPr>
      <w:tabs>
        <w:tab w:val="num" w:pos="643"/>
      </w:tabs>
      <w:ind w:left="643" w:hanging="360"/>
    </w:pPr>
  </w:style>
  <w:style w:type="paragraph" w:styleId="ListBullet3">
    <w:name w:val="List Bullet 3"/>
    <w:basedOn w:val="Normal"/>
    <w:rsid w:val="00B36F09"/>
    <w:pPr>
      <w:tabs>
        <w:tab w:val="num" w:pos="926"/>
      </w:tabs>
      <w:ind w:left="926" w:hanging="360"/>
    </w:pPr>
  </w:style>
  <w:style w:type="paragraph" w:styleId="ListBullet4">
    <w:name w:val="List Bullet 4"/>
    <w:basedOn w:val="Normal"/>
    <w:rsid w:val="00B36F09"/>
    <w:pPr>
      <w:tabs>
        <w:tab w:val="num" w:pos="1209"/>
      </w:tabs>
      <w:ind w:left="1209" w:hanging="360"/>
    </w:pPr>
  </w:style>
  <w:style w:type="paragraph" w:styleId="ListBullet5">
    <w:name w:val="List Bullet 5"/>
    <w:basedOn w:val="Normal"/>
    <w:rsid w:val="00B36F09"/>
    <w:pPr>
      <w:tabs>
        <w:tab w:val="num" w:pos="1492"/>
      </w:tabs>
      <w:ind w:left="1492" w:hanging="360"/>
    </w:pPr>
  </w:style>
  <w:style w:type="paragraph" w:styleId="ListContinue">
    <w:name w:val="List Continue"/>
    <w:basedOn w:val="Normal"/>
    <w:rsid w:val="00B36F09"/>
    <w:pPr>
      <w:ind w:left="283"/>
    </w:pPr>
  </w:style>
  <w:style w:type="paragraph" w:styleId="ListContinue2">
    <w:name w:val="List Continue 2"/>
    <w:basedOn w:val="Normal"/>
    <w:rsid w:val="00B36F09"/>
    <w:pPr>
      <w:ind w:left="566"/>
    </w:pPr>
  </w:style>
  <w:style w:type="paragraph" w:styleId="ListContinue3">
    <w:name w:val="List Continue 3"/>
    <w:basedOn w:val="Normal"/>
    <w:rsid w:val="00B36F09"/>
    <w:pPr>
      <w:ind w:left="849"/>
    </w:pPr>
  </w:style>
  <w:style w:type="paragraph" w:styleId="ListContinue4">
    <w:name w:val="List Continue 4"/>
    <w:basedOn w:val="Normal"/>
    <w:rsid w:val="00B36F09"/>
    <w:pPr>
      <w:ind w:left="1132"/>
    </w:pPr>
  </w:style>
  <w:style w:type="paragraph" w:styleId="ListContinue5">
    <w:name w:val="List Continue 5"/>
    <w:basedOn w:val="Normal"/>
    <w:rsid w:val="00B36F09"/>
    <w:pPr>
      <w:ind w:left="1415"/>
    </w:pPr>
  </w:style>
  <w:style w:type="paragraph" w:styleId="ListNumber">
    <w:name w:val="List Number"/>
    <w:basedOn w:val="Normal"/>
    <w:rsid w:val="00B36F09"/>
    <w:pPr>
      <w:tabs>
        <w:tab w:val="num" w:pos="360"/>
      </w:tabs>
      <w:ind w:left="360" w:hanging="360"/>
    </w:pPr>
  </w:style>
  <w:style w:type="paragraph" w:styleId="ListNumber2">
    <w:name w:val="List Number 2"/>
    <w:basedOn w:val="Normal"/>
    <w:rsid w:val="00B36F09"/>
    <w:pPr>
      <w:tabs>
        <w:tab w:val="num" w:pos="643"/>
      </w:tabs>
      <w:ind w:left="643" w:hanging="360"/>
    </w:pPr>
  </w:style>
  <w:style w:type="paragraph" w:styleId="ListNumber3">
    <w:name w:val="List Number 3"/>
    <w:basedOn w:val="Normal"/>
    <w:rsid w:val="00B36F09"/>
    <w:pPr>
      <w:tabs>
        <w:tab w:val="num" w:pos="926"/>
      </w:tabs>
      <w:ind w:left="926" w:hanging="360"/>
    </w:pPr>
  </w:style>
  <w:style w:type="paragraph" w:styleId="ListNumber4">
    <w:name w:val="List Number 4"/>
    <w:basedOn w:val="Normal"/>
    <w:rsid w:val="00B36F09"/>
    <w:pPr>
      <w:tabs>
        <w:tab w:val="num" w:pos="1209"/>
      </w:tabs>
      <w:ind w:left="1209" w:hanging="360"/>
    </w:pPr>
  </w:style>
  <w:style w:type="paragraph" w:styleId="ListNumber5">
    <w:name w:val="List Number 5"/>
    <w:basedOn w:val="Normal"/>
    <w:rsid w:val="00B36F09"/>
    <w:pPr>
      <w:tabs>
        <w:tab w:val="num" w:pos="1492"/>
      </w:tabs>
      <w:ind w:left="1492" w:hanging="360"/>
    </w:pPr>
  </w:style>
  <w:style w:type="paragraph" w:styleId="MacroText">
    <w:name w:val="macro"/>
    <w:link w:val="MacroTextChar"/>
    <w:rsid w:val="00B36F09"/>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character" w:customStyle="1" w:styleId="MacroTextChar">
    <w:name w:val="Macro Text Char"/>
    <w:basedOn w:val="DefaultParagraphFont"/>
    <w:link w:val="MacroText"/>
    <w:rsid w:val="00B36F09"/>
    <w:rPr>
      <w:rFonts w:ascii="Courier New" w:hAnsi="Courier New" w:cs="Courier New"/>
      <w:lang w:eastAsia="en-US"/>
    </w:rPr>
  </w:style>
  <w:style w:type="paragraph" w:styleId="MessageHeader">
    <w:name w:val="Message Header"/>
    <w:basedOn w:val="Normal"/>
    <w:link w:val="MessageHeaderChar"/>
    <w:rsid w:val="00B36F0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36F09"/>
    <w:rPr>
      <w:rFonts w:ascii="Arial" w:hAnsi="Arial" w:cs="Arial"/>
      <w:sz w:val="24"/>
      <w:szCs w:val="24"/>
      <w:shd w:val="pct20" w:color="auto" w:fill="auto"/>
      <w:lang w:eastAsia="en-US"/>
    </w:rPr>
  </w:style>
  <w:style w:type="paragraph" w:styleId="NoteHeading">
    <w:name w:val="Note Heading"/>
    <w:basedOn w:val="Normal"/>
    <w:next w:val="Normal"/>
    <w:link w:val="NoteHeadingChar"/>
    <w:rsid w:val="00B36F09"/>
  </w:style>
  <w:style w:type="character" w:customStyle="1" w:styleId="NoteHeadingChar">
    <w:name w:val="Note Heading Char"/>
    <w:basedOn w:val="DefaultParagraphFont"/>
    <w:link w:val="NoteHeading"/>
    <w:rsid w:val="00B36F09"/>
    <w:rPr>
      <w:sz w:val="22"/>
      <w:lang w:eastAsia="en-US"/>
    </w:rPr>
  </w:style>
  <w:style w:type="paragraph" w:styleId="PlainText">
    <w:name w:val="Plain Text"/>
    <w:basedOn w:val="Normal"/>
    <w:link w:val="PlainTextChar"/>
    <w:uiPriority w:val="99"/>
    <w:rsid w:val="00B36F09"/>
    <w:rPr>
      <w:rFonts w:ascii="Courier New" w:hAnsi="Courier New"/>
      <w:sz w:val="20"/>
    </w:rPr>
  </w:style>
  <w:style w:type="character" w:customStyle="1" w:styleId="PlainTextChar">
    <w:name w:val="Plain Text Char"/>
    <w:basedOn w:val="DefaultParagraphFont"/>
    <w:link w:val="PlainText"/>
    <w:uiPriority w:val="99"/>
    <w:rsid w:val="00B36F09"/>
    <w:rPr>
      <w:rFonts w:ascii="Courier New" w:hAnsi="Courier New"/>
      <w:lang w:eastAsia="en-US"/>
    </w:rPr>
  </w:style>
  <w:style w:type="paragraph" w:styleId="Salutation">
    <w:name w:val="Salutation"/>
    <w:basedOn w:val="Normal"/>
    <w:next w:val="Normal"/>
    <w:link w:val="SalutationChar"/>
    <w:rsid w:val="00B36F09"/>
  </w:style>
  <w:style w:type="character" w:customStyle="1" w:styleId="SalutationChar">
    <w:name w:val="Salutation Char"/>
    <w:basedOn w:val="DefaultParagraphFont"/>
    <w:link w:val="Salutation"/>
    <w:rsid w:val="00B36F09"/>
    <w:rPr>
      <w:sz w:val="22"/>
      <w:lang w:eastAsia="en-US"/>
    </w:rPr>
  </w:style>
  <w:style w:type="paragraph" w:styleId="Signature">
    <w:name w:val="Signature"/>
    <w:basedOn w:val="Normal"/>
    <w:link w:val="SignatureChar"/>
    <w:rsid w:val="00B36F09"/>
    <w:pPr>
      <w:ind w:left="4252"/>
    </w:pPr>
  </w:style>
  <w:style w:type="character" w:customStyle="1" w:styleId="SignatureChar">
    <w:name w:val="Signature Char"/>
    <w:basedOn w:val="DefaultParagraphFont"/>
    <w:link w:val="Signature"/>
    <w:rsid w:val="00B36F09"/>
    <w:rPr>
      <w:sz w:val="22"/>
      <w:lang w:eastAsia="en-US"/>
    </w:rPr>
  </w:style>
  <w:style w:type="paragraph" w:styleId="TableofAuthorities">
    <w:name w:val="table of authorities"/>
    <w:basedOn w:val="Normal"/>
    <w:next w:val="Normal"/>
    <w:rsid w:val="00B36F09"/>
    <w:pPr>
      <w:ind w:left="220" w:hanging="220"/>
    </w:pPr>
  </w:style>
  <w:style w:type="paragraph" w:styleId="TableofFigures">
    <w:name w:val="table of figures"/>
    <w:basedOn w:val="Normal"/>
    <w:next w:val="Normal"/>
    <w:rsid w:val="00B36F09"/>
  </w:style>
  <w:style w:type="paragraph" w:styleId="TOAHeading">
    <w:name w:val="toa heading"/>
    <w:basedOn w:val="Normal"/>
    <w:next w:val="Normal"/>
    <w:rsid w:val="00B36F09"/>
    <w:pPr>
      <w:spacing w:before="120"/>
    </w:pPr>
    <w:rPr>
      <w:rFonts w:ascii="Arial" w:hAnsi="Arial" w:cs="Arial"/>
      <w:b/>
      <w:bCs/>
      <w:sz w:val="24"/>
      <w:szCs w:val="24"/>
    </w:rPr>
  </w:style>
  <w:style w:type="paragraph" w:styleId="TOC5">
    <w:name w:val="toc 5"/>
    <w:basedOn w:val="Normal"/>
    <w:next w:val="Normal"/>
    <w:autoRedefine/>
    <w:uiPriority w:val="39"/>
    <w:rsid w:val="00B36F09"/>
    <w:pPr>
      <w:ind w:left="880"/>
    </w:pPr>
  </w:style>
  <w:style w:type="paragraph" w:styleId="TOC6">
    <w:name w:val="toc 6"/>
    <w:basedOn w:val="Normal"/>
    <w:next w:val="Normal"/>
    <w:autoRedefine/>
    <w:uiPriority w:val="39"/>
    <w:rsid w:val="00B36F09"/>
    <w:pPr>
      <w:ind w:left="1100"/>
    </w:pPr>
  </w:style>
  <w:style w:type="paragraph" w:styleId="TOC7">
    <w:name w:val="toc 7"/>
    <w:basedOn w:val="Normal"/>
    <w:next w:val="Normal"/>
    <w:autoRedefine/>
    <w:uiPriority w:val="39"/>
    <w:rsid w:val="00B36F09"/>
    <w:pPr>
      <w:ind w:left="1320"/>
    </w:pPr>
  </w:style>
  <w:style w:type="paragraph" w:styleId="TOC8">
    <w:name w:val="toc 8"/>
    <w:basedOn w:val="Normal"/>
    <w:next w:val="Normal"/>
    <w:autoRedefine/>
    <w:uiPriority w:val="39"/>
    <w:rsid w:val="00B36F09"/>
    <w:pPr>
      <w:ind w:left="1540"/>
    </w:pPr>
  </w:style>
  <w:style w:type="paragraph" w:styleId="TOC9">
    <w:name w:val="toc 9"/>
    <w:basedOn w:val="Normal"/>
    <w:next w:val="Normal"/>
    <w:autoRedefine/>
    <w:uiPriority w:val="39"/>
    <w:rsid w:val="00B36F09"/>
    <w:pPr>
      <w:ind w:left="1760"/>
    </w:pPr>
  </w:style>
  <w:style w:type="character" w:customStyle="1" w:styleId="CharChar">
    <w:name w:val="Char Char"/>
    <w:rsid w:val="00B36F09"/>
    <w:rPr>
      <w:rFonts w:ascii="Arial" w:hAnsi="Arial"/>
      <w:i/>
      <w:lang w:val="en-AU" w:eastAsia="en-US" w:bidi="ar-SA"/>
    </w:rPr>
  </w:style>
  <w:style w:type="table" w:styleId="TableSimple1">
    <w:name w:val="Table Simple 1"/>
    <w:basedOn w:val="TableNormal"/>
    <w:rsid w:val="00B36F09"/>
    <w:pPr>
      <w:spacing w:after="120" w:line="280" w:lineRule="atLeas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FollowedHyperlink">
    <w:name w:val="FollowedHyperlink"/>
    <w:rsid w:val="00B36F09"/>
    <w:rPr>
      <w:color w:val="800080"/>
      <w:u w:val="single"/>
    </w:rPr>
  </w:style>
  <w:style w:type="paragraph" w:customStyle="1" w:styleId="project-title">
    <w:name w:val="project-title"/>
    <w:basedOn w:val="Heading4"/>
    <w:rsid w:val="00B36F09"/>
    <w:pPr>
      <w:spacing w:before="240"/>
    </w:pPr>
    <w:rPr>
      <w:rFonts w:ascii="Arial Bold Italic" w:hAnsi="Arial Bold Italic"/>
      <w:i/>
    </w:rPr>
  </w:style>
  <w:style w:type="character" w:customStyle="1" w:styleId="textstyle01">
    <w:name w:val="textstyle01"/>
    <w:basedOn w:val="DefaultParagraphFont"/>
    <w:rsid w:val="00B36F09"/>
    <w:rPr>
      <w:rFonts w:ascii="Georgia" w:hAnsi="Georgia" w:hint="default"/>
      <w:b w:val="0"/>
      <w:bCs w:val="0"/>
      <w:i w:val="0"/>
      <w:iCs w:val="0"/>
      <w:strike w:val="0"/>
      <w:dstrike w:val="0"/>
      <w:color w:val="31221B"/>
      <w:sz w:val="20"/>
      <w:szCs w:val="20"/>
      <w:u w:val="none"/>
      <w:effect w:val="none"/>
    </w:rPr>
  </w:style>
  <w:style w:type="paragraph" w:customStyle="1" w:styleId="FigureCaption0">
    <w:name w:val="Figure Caption"/>
    <w:basedOn w:val="Caption"/>
    <w:next w:val="Normal"/>
    <w:link w:val="FigureCaptionChar0"/>
    <w:rsid w:val="00B36F09"/>
    <w:pPr>
      <w:keepNext/>
      <w:keepLines/>
      <w:spacing w:before="0" w:after="360" w:line="240" w:lineRule="auto"/>
      <w:ind w:left="1418" w:hanging="1418"/>
    </w:pPr>
    <w:rPr>
      <w:rFonts w:ascii="Arial" w:hAnsi="Arial"/>
      <w:bCs w:val="0"/>
      <w:sz w:val="22"/>
    </w:rPr>
  </w:style>
  <w:style w:type="character" w:customStyle="1" w:styleId="FigureCaptionChar0">
    <w:name w:val="Figure Caption Char"/>
    <w:basedOn w:val="DefaultParagraphFont"/>
    <w:link w:val="FigureCaption0"/>
    <w:rsid w:val="00B36F09"/>
    <w:rPr>
      <w:rFonts w:ascii="Arial" w:hAnsi="Arial"/>
      <w:b/>
      <w:sz w:val="22"/>
      <w:lang w:eastAsia="en-US"/>
    </w:rPr>
  </w:style>
  <w:style w:type="paragraph" w:customStyle="1" w:styleId="References">
    <w:name w:val="References"/>
    <w:basedOn w:val="Normal"/>
    <w:link w:val="ReferencesChar"/>
    <w:uiPriority w:val="99"/>
    <w:rsid w:val="00B36F09"/>
    <w:pPr>
      <w:spacing w:after="0" w:line="240" w:lineRule="auto"/>
      <w:ind w:left="567" w:hanging="567"/>
    </w:pPr>
    <w:rPr>
      <w:sz w:val="20"/>
      <w:szCs w:val="24"/>
    </w:rPr>
  </w:style>
  <w:style w:type="character" w:customStyle="1" w:styleId="ReferencesChar">
    <w:name w:val="References Char"/>
    <w:basedOn w:val="DefaultParagraphFont"/>
    <w:link w:val="References"/>
    <w:uiPriority w:val="99"/>
    <w:locked/>
    <w:rsid w:val="00B36F09"/>
    <w:rPr>
      <w:szCs w:val="24"/>
      <w:lang w:eastAsia="en-US"/>
    </w:rPr>
  </w:style>
  <w:style w:type="paragraph" w:styleId="TOCHeading">
    <w:name w:val="TOC Heading"/>
    <w:basedOn w:val="Heading1"/>
    <w:next w:val="Normal"/>
    <w:uiPriority w:val="39"/>
    <w:unhideWhenUsed/>
    <w:qFormat/>
    <w:rsid w:val="00B36F09"/>
    <w:pPr>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rPr>
  </w:style>
  <w:style w:type="character" w:customStyle="1" w:styleId="Heading1Char">
    <w:name w:val="Heading 1 Char"/>
    <w:basedOn w:val="DefaultParagraphFont"/>
    <w:link w:val="Heading1"/>
    <w:uiPriority w:val="1"/>
    <w:rsid w:val="00B36F09"/>
    <w:rPr>
      <w:rFonts w:ascii="Arial" w:hAnsi="Arial"/>
      <w:b/>
      <w:sz w:val="36"/>
      <w:lang w:eastAsia="en-US"/>
    </w:rPr>
  </w:style>
  <w:style w:type="paragraph" w:styleId="Revision">
    <w:name w:val="Revision"/>
    <w:hidden/>
    <w:uiPriority w:val="99"/>
    <w:semiHidden/>
    <w:rsid w:val="00B36F09"/>
    <w:rPr>
      <w:sz w:val="22"/>
      <w:lang w:eastAsia="en-US"/>
    </w:rPr>
  </w:style>
  <w:style w:type="character" w:styleId="HTMLAcronym">
    <w:name w:val="HTML Acronym"/>
    <w:basedOn w:val="DefaultParagraphFont"/>
    <w:rsid w:val="00B36F09"/>
  </w:style>
  <w:style w:type="character" w:customStyle="1" w:styleId="FootnoteTextChar">
    <w:name w:val="Footnote Text Char"/>
    <w:basedOn w:val="DefaultParagraphFont"/>
    <w:link w:val="FootnoteText"/>
    <w:semiHidden/>
    <w:rsid w:val="00B36F09"/>
    <w:rPr>
      <w:sz w:val="1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17.jpeg"/><Relationship Id="rId21" Type="http://schemas.openxmlformats.org/officeDocument/2006/relationships/image" Target="media/image7.emf"/><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2.emf"/><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header" Target="header4.xml"/><Relationship Id="rId25" Type="http://schemas.openxmlformats.org/officeDocument/2006/relationships/image" Target="media/image10.emf"/><Relationship Id="rId33" Type="http://schemas.openxmlformats.org/officeDocument/2006/relationships/image" Target="media/image15.emf"/><Relationship Id="rId38" Type="http://schemas.openxmlformats.org/officeDocument/2006/relationships/header" Target="header12.xml"/><Relationship Id="rId46"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header" Target="header6.xml"/><Relationship Id="rId41" Type="http://schemas.openxmlformats.org/officeDocument/2006/relationships/image" Target="media/image19.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4.jpeg"/><Relationship Id="rId37" Type="http://schemas.openxmlformats.org/officeDocument/2006/relationships/header" Target="header11.xml"/><Relationship Id="rId40" Type="http://schemas.openxmlformats.org/officeDocument/2006/relationships/image" Target="media/image18.emf"/><Relationship Id="rId45" Type="http://schemas.openxmlformats.org/officeDocument/2006/relationships/header" Target="header14.xml"/><Relationship Id="rId53" Type="http://schemas.openxmlformats.org/officeDocument/2006/relationships/footer" Target="footer4.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header" Target="header10.xml"/><Relationship Id="rId49" Type="http://schemas.openxmlformats.org/officeDocument/2006/relationships/header" Target="header17.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eader" Target="header8.xml"/><Relationship Id="rId44" Type="http://schemas.openxmlformats.org/officeDocument/2006/relationships/header" Target="header13.xml"/><Relationship Id="rId52" Type="http://schemas.openxmlformats.org/officeDocument/2006/relationships/header" Target="header18.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image" Target="media/image12.emf"/><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image" Target="media/image21.emf"/><Relationship Id="rId48"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footer" Target="footer3.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_x0020_Section xmlns="d3d3a9f2-d6b9-4ac6-938b-c1d69a470220">Supervising Scientist Division</Publishing_x0020_Section>
    <Keywords1 xmlns="d3d3a9f2-d6b9-4ac6-938b-c1d69a470220" xsi:nil="true"/>
    <PublishingExpirationDate xmlns="http://schemas.microsoft.com/sharepoint/v3" xsi:nil="true"/>
    <Departmental_x0020_Keywords xmlns="deda4f78-c946-4019-9afe-72b647367a98" xsi:nil="true"/>
    <PublishingStartDate xmlns="http://schemas.microsoft.com/sharepoint/v3" xsi:nil="true"/>
    <Themes xmlns="d3d3a9f2-d6b9-4ac6-938b-c1d69a47022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984309824B1146AAD399139940223E" ma:contentTypeVersion="6" ma:contentTypeDescription="Create a new document." ma:contentTypeScope="" ma:versionID="c433e366543f397711934eb711b5bb60">
  <xsd:schema xmlns:xsd="http://www.w3.org/2001/XMLSchema" xmlns:p="http://schemas.microsoft.com/office/2006/metadata/properties" xmlns:ns1="http://schemas.microsoft.com/sharepoint/v3" xmlns:ns2="deda4f78-c946-4019-9afe-72b647367a98" xmlns:ns3="d3d3a9f2-d6b9-4ac6-938b-c1d69a470220" targetNamespace="http://schemas.microsoft.com/office/2006/metadata/properties" ma:root="true" ma:fieldsID="7f42b83dab360dc63f9daff7defe803a" ns1:_="" ns2:_="" ns3:_="">
    <xsd:import namespace="http://schemas.microsoft.com/sharepoint/v3"/>
    <xsd:import namespace="deda4f78-c946-4019-9afe-72b647367a98"/>
    <xsd:import namespace="d3d3a9f2-d6b9-4ac6-938b-c1d69a470220"/>
    <xsd:element name="properties">
      <xsd:complexType>
        <xsd:sequence>
          <xsd:element name="documentManagement">
            <xsd:complexType>
              <xsd:all>
                <xsd:element ref="ns2:Departmental_x0020_Keywords" minOccurs="0"/>
                <xsd:element ref="ns3:Publishing_x0020_Section"/>
                <xsd:element ref="ns3:Keywords1" minOccurs="0"/>
                <xsd:element ref="ns3:Themes"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9" nillable="true" ma:displayName="Scheduling Start Date" ma:description="" ma:hidden="true" ma:internalName="PublishingStartDate">
      <xsd:simpleType>
        <xsd:restriction base="dms:Unknown"/>
      </xsd:simpleType>
    </xsd:element>
    <xsd:element name="PublishingExpirationDate" ma:index="10"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deda4f78-c946-4019-9afe-72b647367a98" elementFormDefault="qualified">
    <xsd:import namespace="http://schemas.microsoft.com/office/2006/documentManagement/types"/>
    <xsd:element name="Departmental_x0020_Keywords" ma:index="2" nillable="true" ma:displayName="Departmental Keywords" ma:internalName="Departmental_x0020_Keywords">
      <xsd:simpleType>
        <xsd:restriction base="dms:Text">
          <xsd:maxLength value="255"/>
        </xsd:restriction>
      </xsd:simpleType>
    </xsd:element>
  </xsd:schema>
  <xsd:schema xmlns:xsd="http://www.w3.org/2001/XMLSchema" xmlns:dms="http://schemas.microsoft.com/office/2006/documentManagement/types" targetNamespace="d3d3a9f2-d6b9-4ac6-938b-c1d69a470220" elementFormDefault="qualified">
    <xsd:import namespace="http://schemas.microsoft.com/office/2006/documentManagement/types"/>
    <xsd:element name="Publishing_x0020_Section" ma:index="3" ma:displayName="Publishing Section" ma:description="Select a departmental owner" ma:format="Dropdown" ma:internalName="Publishing_x0020_Section">
      <xsd:simpleType>
        <xsd:restriction base="dms:Choice">
          <xsd:enumeration value="All Department"/>
          <xsd:enumeration value="Australian Antarctic Division"/>
          <xsd:enumeration value="Business Improvement Division"/>
          <xsd:enumeration value="Corporate Strategies Division"/>
          <xsd:enumeration value="Department of Climate Change"/>
          <xsd:enumeration value="Director of National Parks"/>
          <xsd:enumeration value="Environment Assessment and Compliance Division"/>
          <xsd:enumeration value="Environment Quality Division"/>
          <xsd:enumeration value="Executive"/>
          <xsd:enumeration value="Great Barrier Reef Marine Park Authority"/>
          <xsd:enumeration value="Heritage and Wildlife Division"/>
          <xsd:enumeration value="Information Management Division"/>
          <xsd:enumeration value="Land &amp; Coasts"/>
          <xsd:enumeration value="Marine Division"/>
          <xsd:enumeration value="National Water Commission"/>
          <xsd:enumeration value="Natural Resource Management Programs Division"/>
          <xsd:enumeration value="Office of the Renewable Energy Regulator"/>
          <xsd:enumeration value="Parks Australia"/>
          <xsd:enumeration value="Policy and Communications Division"/>
          <xsd:enumeration value="Renewable &amp; Energy Efficiency Division"/>
          <xsd:enumeration value="Supervising Scientist Division"/>
          <xsd:enumeration value="Sustainability Policy and Analysis Division"/>
          <xsd:enumeration value="Sustainable Population Division"/>
          <xsd:enumeration value="Sydney Harbour Federation Trust"/>
          <xsd:enumeration value="Water Group"/>
        </xsd:restriction>
      </xsd:simpleType>
    </xsd:element>
    <xsd:element name="Keywords1" ma:index="4" nillable="true" ma:displayName="Category keywords" ma:internalName="Keywords1">
      <xsd:simpleType>
        <xsd:restriction base="dms:Text">
          <xsd:maxLength value="255"/>
        </xsd:restriction>
      </xsd:simpleType>
    </xsd:element>
    <xsd:element name="Themes" ma:index="6" nillable="true" ma:displayName="Themes" ma:default="" ma:description="Select a theme that applies" ma:internalName="Themes">
      <xsd:complexType>
        <xsd:complexContent>
          <xsd:extension base="dms:MultiChoice">
            <xsd:sequence>
              <xsd:element name="Value" maxOccurs="unbounded" minOccurs="0" nillable="true">
                <xsd:simpleType>
                  <xsd:restriction base="dms:Choice">
                    <xsd:enumeration value="Arts and Culture"/>
                    <xsd:enumeration value="Atmosphere"/>
                    <xsd:enumeration value="Biodiversity"/>
                    <xsd:enumeration value="Coasts and Oceans"/>
                    <xsd:enumeration value="Education for Sustainability"/>
                    <xsd:enumeration value="Energy"/>
                    <xsd:enumeration value="EPBC Act"/>
                    <xsd:enumeration value="Heritage"/>
                    <xsd:enumeration value="Indigenous"/>
                    <xsd:enumeration value="Land management"/>
                    <xsd:enumeration value="Natural Resource Management"/>
                    <xsd:enumeration value="Parks and reserves"/>
                    <xsd:enumeration value="Water"/>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ma:readOnly="true"/>
        <xsd:element ref="dc:title" minOccurs="0" maxOccurs="1" ma:index="1" ma:displayName="Title"/>
        <xsd:element ref="dc:subject" minOccurs="0" maxOccurs="1"/>
        <xsd:element ref="dc:description" minOccurs="0" maxOccurs="1" ma:index="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C0ABC0E-7CA8-478E-B0D5-CF0F9DED3F30}">
  <ds:schemaRefs>
    <ds:schemaRef ds:uri="http://schemas.microsoft.com/office/2006/metadata/properties"/>
    <ds:schemaRef ds:uri="d3d3a9f2-d6b9-4ac6-938b-c1d69a470220"/>
    <ds:schemaRef ds:uri="http://schemas.microsoft.com/sharepoint/v3"/>
    <ds:schemaRef ds:uri="deda4f78-c946-4019-9afe-72b647367a98"/>
  </ds:schemaRefs>
</ds:datastoreItem>
</file>

<file path=customXml/itemProps2.xml><?xml version="1.0" encoding="utf-8"?>
<ds:datastoreItem xmlns:ds="http://schemas.openxmlformats.org/officeDocument/2006/customXml" ds:itemID="{4ED1325C-6BAD-429C-86F6-49B4A11E33AD}">
  <ds:schemaRefs>
    <ds:schemaRef ds:uri="http://schemas.microsoft.com/sharepoint/v3/contenttype/forms"/>
  </ds:schemaRefs>
</ds:datastoreItem>
</file>

<file path=customXml/itemProps3.xml><?xml version="1.0" encoding="utf-8"?>
<ds:datastoreItem xmlns:ds="http://schemas.openxmlformats.org/officeDocument/2006/customXml" ds:itemID="{286ECDA8-B6FC-4AE2-96B7-D6982F480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da4f78-c946-4019-9afe-72b647367a98"/>
    <ds:schemaRef ds:uri="d3d3a9f2-d6b9-4ac6-938b-c1d69a47022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44</Pages>
  <Words>16980</Words>
  <Characters>93362</Characters>
  <Application>Microsoft Office Word</Application>
  <DocSecurity>0</DocSecurity>
  <Lines>778</Lines>
  <Paragraphs>220</Paragraphs>
  <ScaleCrop>false</ScaleCrop>
  <Company>DEWHA</Company>
  <LinksUpToDate>false</LinksUpToDate>
  <CharactersWithSpaces>110122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SSR 203 Part 2:  Ranger - rehabilitation</dc:title>
  <dc:creator>Australian Government Department of Sustainaiblity, Environment, Water, Population and Communities</dc:creator>
  <dc:description/>
  <cp:lastModifiedBy>a06368</cp:lastModifiedBy>
  <cp:revision>6</cp:revision>
  <cp:lastPrinted>1996-06-07T01:24:00Z</cp:lastPrinted>
  <dcterms:created xsi:type="dcterms:W3CDTF">2012-03-23T06:22:00Z</dcterms:created>
  <dcterms:modified xsi:type="dcterms:W3CDTF">2012-03-26T00:02:00Z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0x01010088984309824B1146AAD399139940223E</vt:lpwstr>
  </property>
</Properties>
</file>